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ind w:firstLine="2640" w:firstLineChars="600"/>
        <w:jc w:val="both"/>
        <w:textAlignment w:val="center"/>
        <w:rPr>
          <w:rFonts w:hint="eastAsia" w:ascii="黑体" w:hAnsi="黑体" w:eastAsia="黑体"/>
          <w:b w:val="0"/>
          <w:bCs/>
          <w:i w:val="0"/>
          <w:snapToGrid/>
          <w:color w:val="auto"/>
          <w:sz w:val="44"/>
          <w:u w:val="none"/>
          <w:lang w:eastAsia="zh-CN"/>
        </w:rPr>
      </w:pPr>
      <w:r>
        <w:rPr>
          <w:rFonts w:hint="eastAsia" w:ascii="黑体" w:hAnsi="黑体" w:eastAsia="黑体"/>
          <w:b w:val="0"/>
          <w:bCs/>
          <w:i w:val="0"/>
          <w:snapToGrid/>
          <w:color w:val="auto"/>
          <w:sz w:val="44"/>
          <w:u w:val="none"/>
          <w:lang w:eastAsia="zh-CN"/>
        </w:rPr>
        <w:t>韶关市市级依申请行政权力事项</w:t>
      </w:r>
      <w:r>
        <w:rPr>
          <w:rFonts w:hint="eastAsia" w:ascii="黑体" w:hAnsi="黑体" w:eastAsia="黑体" w:cs="Times New Roman"/>
          <w:b w:val="0"/>
          <w:bCs/>
          <w:i w:val="0"/>
          <w:snapToGrid/>
          <w:color w:val="auto"/>
          <w:sz w:val="44"/>
          <w:u w:val="none"/>
          <w:lang w:eastAsia="zh-CN"/>
        </w:rPr>
        <w:t>下放目</w:t>
      </w:r>
      <w:r>
        <w:rPr>
          <w:rFonts w:hint="eastAsia" w:ascii="黑体" w:hAnsi="黑体" w:eastAsia="黑体"/>
          <w:b w:val="0"/>
          <w:bCs/>
          <w:i w:val="0"/>
          <w:snapToGrid/>
          <w:color w:val="auto"/>
          <w:sz w:val="44"/>
          <w:u w:val="none"/>
          <w:lang w:eastAsia="zh-CN"/>
        </w:rPr>
        <w:t>录（202</w:t>
      </w:r>
      <w:r>
        <w:rPr>
          <w:rFonts w:hint="eastAsia" w:ascii="黑体" w:hAnsi="黑体" w:eastAsia="黑体"/>
          <w:b w:val="0"/>
          <w:bCs/>
          <w:i w:val="0"/>
          <w:snapToGrid/>
          <w:color w:val="auto"/>
          <w:sz w:val="44"/>
          <w:u w:val="none"/>
          <w:lang w:val="en-US" w:eastAsia="zh-CN"/>
        </w:rPr>
        <w:t>3</w:t>
      </w:r>
      <w:r>
        <w:rPr>
          <w:rFonts w:hint="eastAsia" w:ascii="黑体" w:hAnsi="黑体" w:eastAsia="黑体"/>
          <w:b w:val="0"/>
          <w:bCs/>
          <w:i w:val="0"/>
          <w:snapToGrid/>
          <w:color w:val="auto"/>
          <w:sz w:val="44"/>
          <w:u w:val="none"/>
          <w:lang w:eastAsia="zh-CN"/>
        </w:rPr>
        <w:t>年）</w:t>
      </w:r>
    </w:p>
    <w:p>
      <w:pPr>
        <w:pStyle w:val="7"/>
        <w:ind w:left="0" w:leftChars="0" w:firstLine="0" w:firstLineChars="0"/>
        <w:jc w:val="both"/>
        <w:rPr>
          <w:rFonts w:hint="eastAsia" w:ascii="黑体" w:hAnsi="宋体" w:eastAsia="黑体" w:cs="黑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138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64"/>
        <w:gridCol w:w="1438"/>
        <w:gridCol w:w="1647"/>
        <w:gridCol w:w="719"/>
        <w:gridCol w:w="3630"/>
        <w:gridCol w:w="1520"/>
        <w:gridCol w:w="1289"/>
        <w:gridCol w:w="1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主项名称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职权类型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下放后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行使层级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实施形式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中共韶关市委军民融合发展委员会办公室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人民防空工程拆除补偿费征收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人民防空工程拆除补偿费征收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行政征收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1.《中华人民共和国人民防空法》（2009修订）第二十八条；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2.《人民防空工程维护管理办法》〔2001〕国人防办字第210号）第二十条。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县（市、区）人防办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下放。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下放后市级不再实施。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韶关市自然资源局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控制性详细规划编制审批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控制性详细规划编制审查及审批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其他行政权力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.《中华人民共和国城乡规划法》第十九条；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2.《广东省土地管理条例》第九条；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3.《广东省城乡规划条例》第十七条；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4.《广东省城市控制性详细规划管理条例》第十二条；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5.《关于建立国土空间规划体系并监督实施的若干措施》（粤发〔2021〕5 号 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6.《关于加强和改进控制性详细规划管理若干指导意见（暂行）的通知》（粤自然资发〔2021〕3号）。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曲江区自然资源局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下放。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范围为：曲江中心城区工业（物流）产业园区。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该事项已在7个县（市）和韶关高新区管委会、华南装备园管委会实施，此次增加在曲江中心城区工业（物流）产业园区实施。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控制性详细规划调整审查及审批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jc w:val="both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850" w:right="850" w:bottom="850" w:left="850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12113"/>
    <w:rsid w:val="00FC1DF5"/>
    <w:rsid w:val="09844106"/>
    <w:rsid w:val="6831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0"/>
    </w:rPr>
  </w:style>
  <w:style w:type="paragraph" w:customStyle="1" w:styleId="7">
    <w:name w:val="Body Text First Indent 2"/>
    <w:basedOn w:val="8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8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2023-09-04T01:54:00Z</dcterms:created>
  <dc:creator>杨赛</dc:creator>
  <cp:lastModifiedBy>杨赛</cp:lastModifiedBy>
  <dcterms:modified xsi:type="dcterms:W3CDTF">2023-09-04T01:58:37Z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