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atLeast"/>
        <w:jc w:val="left"/>
        <w:rPr>
          <w:rFonts w:ascii="黑体" w:hAnsi="黑体" w:eastAsia="黑体"/>
          <w:b/>
          <w:bCs/>
          <w:kern w:val="0"/>
        </w:rPr>
      </w:pPr>
      <w:r>
        <w:rPr>
          <w:rFonts w:ascii="黑体" w:hAnsi="黑体" w:eastAsia="黑体"/>
          <w:kern w:val="0"/>
        </w:rPr>
        <w:t>附件3</w:t>
      </w:r>
    </w:p>
    <w:p>
      <w:pPr>
        <w:widowControl/>
        <w:snapToGrid w:val="0"/>
        <w:spacing w:line="520" w:lineRule="atLeast"/>
        <w:jc w:val="left"/>
        <w:rPr>
          <w:rFonts w:hint="eastAsia" w:ascii="仿宋_GB2312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韶关市区（浈江区、武江区）2018年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商服用地路线价区段表</w:t>
      </w:r>
    </w:p>
    <w:bookmarkEnd w:id="0"/>
    <w:p>
      <w:pPr>
        <w:widowControl/>
        <w:snapToGrid w:val="0"/>
        <w:spacing w:line="520" w:lineRule="atLeast"/>
        <w:jc w:val="center"/>
        <w:rPr>
          <w:rFonts w:hint="eastAsia" w:ascii="黑体" w:hAnsi="黑体" w:eastAsia="黑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before="78" w:after="78" w:line="300" w:lineRule="auto"/>
        <w:jc w:val="left"/>
        <w:rPr>
          <w:rFonts w:hint="eastAsia" w:ascii="黑体" w:hAnsi="黑体" w:eastAsia="黑体"/>
          <w:bCs/>
          <w:kern w:val="0"/>
        </w:rPr>
      </w:pPr>
      <w:r>
        <w:rPr>
          <w:rFonts w:hint="eastAsia" w:ascii="黑体" w:hAnsi="黑体" w:eastAsia="黑体"/>
          <w:bCs/>
          <w:kern w:val="0"/>
        </w:rPr>
        <w:t xml:space="preserve">    一、城区2018年商服用地路线价区段表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 xml:space="preserve">表3-1 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城区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2018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年商服用地路线价区段表</w:t>
      </w:r>
    </w:p>
    <w:p>
      <w:pPr>
        <w:widowControl/>
        <w:jc w:val="center"/>
        <w:rPr>
          <w:rFonts w:eastAsia="宋体"/>
          <w:kern w:val="0"/>
          <w:sz w:val="21"/>
          <w:szCs w:val="21"/>
        </w:rPr>
      </w:pPr>
      <w:r>
        <w:rPr>
          <w:rFonts w:hint="eastAsia" w:ascii="仿宋_GB2312"/>
          <w:kern w:val="0"/>
          <w:sz w:val="21"/>
          <w:szCs w:val="21"/>
        </w:rPr>
        <w:t xml:space="preserve">  </w:t>
      </w:r>
      <w:r>
        <w:rPr>
          <w:rFonts w:eastAsia="宋体"/>
          <w:kern w:val="0"/>
          <w:sz w:val="21"/>
          <w:szCs w:val="21"/>
        </w:rPr>
        <w:t xml:space="preserve">                                                                 </w:t>
      </w:r>
      <w:r>
        <w:rPr>
          <w:rFonts w:hint="eastAsia" w:ascii="仿宋_GB2312"/>
          <w:kern w:val="0"/>
          <w:sz w:val="21"/>
          <w:szCs w:val="21"/>
        </w:rPr>
        <w:t>单位：元</w:t>
      </w:r>
      <w:r>
        <w:rPr>
          <w:rFonts w:hint="eastAsia"/>
          <w:kern w:val="0"/>
          <w:sz w:val="21"/>
          <w:szCs w:val="21"/>
        </w:rPr>
        <w:t>/</w:t>
      </w:r>
      <w:r>
        <w:rPr>
          <w:rFonts w:hint="eastAsia" w:ascii="仿宋_GB2312"/>
          <w:kern w:val="0"/>
          <w:sz w:val="21"/>
          <w:szCs w:val="21"/>
        </w:rPr>
        <w:t>平米</w:t>
      </w:r>
    </w:p>
    <w:tbl>
      <w:tblPr>
        <w:tblStyle w:val="2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4"/>
        <w:gridCol w:w="1700"/>
        <w:gridCol w:w="368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区域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区段名称</w:t>
            </w:r>
          </w:p>
        </w:tc>
        <w:tc>
          <w:tcPr>
            <w:tcW w:w="3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起止点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商服路线价总价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北至风采路，南至复兴路。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47852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风度南路北段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北至复兴路，南至井巷。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43364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风度南路南段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北至井巷，南至解放路。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35455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风采路西段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西至西堤中路，东至东堤中路。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32712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复兴路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西至西堤中路，东至风度南路。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30270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和平路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西至西堤中路，东至风度中路。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23792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仁爱路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西至风度中路，东至东堤南路。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23387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风度广场北街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西至风度中路，东至上后街。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21323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文化街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西至解放路，东至风度南路。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21317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解放路南侧东段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西至园前路东段，东至环园东路。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20235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兴隆街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西至风度南路，东至漂布塘。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19979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建国路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西至风度中路，东至东堤南路。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19351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解放路北侧东段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西至风度南路，东至环园东路。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18510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解放路北侧西段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西至西堤南路，东至风度南路。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18026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井巷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西至风度南路，东至城守巷。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16933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解放路南侧西段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西至西堤南路，东至园前路东段。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16782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熏风路南段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北至武镇街，南至解放路。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风度北路北段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北至中山路，南至西堤横路。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上后街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北至风采路，南至仁爱路。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16090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新华北路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东至惠民北路，南至工业东路。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15554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园前路东西两段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北至解放路，南至园前东路。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15430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站南路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北至北江北路（财富广场），南至北江北路（北江桥头）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14744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风度北路南段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北至西堤横路，南至风采路。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14603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东堤中路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北至中山路，南至风采路。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13340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下后街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北至仁爱路，南至建国路。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12866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壮志街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北至和平路，南至复兴路。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11868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东堤南路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北至风采路，南至建国路。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园前西路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西至西堤南路，东至园前路。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11841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工业东路东段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西至新建路，东至武江南路。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西堤中路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北至风采路，南至解放路。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北至新华南路，南至福彩路。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10608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惠民南路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北至新华北路，南至新华南路。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光孝路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西至惠民北路，东至武江北路。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惠民北路南段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北至教育路，南至新华北路。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西堤横路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西至西堤北路，东至风度北路。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中山路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西至西堤北路，东至东堤中路。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熏风路北段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北至建国路，南至武镇街。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园前东路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西至园前路，东至环园东路。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8792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沙洲一路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西至芙蓉东路，东至沙洲二路。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8689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东堤横路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西至风度北路，东至东堤中路。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8472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工业东路西段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西至新华南路，东至新建路。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8470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西堤北路南段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北至中山路，南至风采路。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西至幸福路，东至新华南路。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武江北路中段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北至教育路，南至西河大桥。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芙蓉北一路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北至工业西路，南至芙蓉北路。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西堤南路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北至解放路，南至园前西路。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工业西路东段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西至沙湖路，东至幸福路。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新建路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北至新华北路，南至工业东路。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北江北路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北至站南路，南至北江大桥。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6972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北至北江桥头，南至金沙市场南。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6941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启明北路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北至浈江北路，南至风采路。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6886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新惠路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西至新华南路，东至惠民南路。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新华南路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北至工业中路（立交桥），南至沿江路。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亨泰路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西至新华南路，东至惠民南路。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6442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武江北路横街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西至惠民北路，东至武江北路。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惠民北路北段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北至五里亭大桥，南至教育路。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启明南路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北至风采路，南至南韶路。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西堤北路北段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北至五里亭大桥，南至中山路。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北至福彩路，南至芙蓉东路。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站前一路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西至北江北路，东至站南路。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韶南大道中北段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北至金沙市场南，南至中核锦园大厦。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5861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升平路南段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北至峰前路，南至中山路。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武江北路南段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北至西河大桥，南至武江桥。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5791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曲仁园商业街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西至莲花大道辅路，东至曲仁园格顶轩三横街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芙蓉北三路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北至工业西路，南至芙蓉北路。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5611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通天坡商业街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北至大塘路，南至京广铁路。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北至浈江北路，南至风采路。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5543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芙蓉北横巷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北至芙蓉北路，南至新津路。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5434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五祖路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北至工业东路，南至亨泰路。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5409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新津路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西至芙蓉北横巷，东至新华南路。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皇景路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西至聆韶路，东至良村公路。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风采路东段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西至东河路，东至启明北路。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环园西路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北至园前西路，南至环园西路11号明心堂茶庄。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芙蓉北二路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北至工业西路，南至吉祥路。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5238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芙蓉东路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北至新华南路，南至沿江路。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5137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站南二路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西至北江北路，东至站南路。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4948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吉祥路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西至芙蓉北三路，东至芙蓉北一路。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韶南大道中南段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北至中核锦园大厦，南至百旺大桥。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安全北路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西至南韶路，东至京广铁路。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南韶路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西至浈江南路，东至韶余公路。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4683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大塘路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西至京广铁路，东至站东路。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福彩路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西至芙蓉东路，东至沿江路。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东河路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北至志兴东景园，南至南韶路。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沙洲四路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西至芙蓉东路，东至沿江路。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4443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北至风采路，南至南韶路。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西至芙蓉北一路，东至工业中路。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前进路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北至锦绣御水豪庭，南至五里亭大桥。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沙洲三路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西至向阳美食城，东至沙洲路。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4266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金沙南路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西至北江中路，东至韶南大道北。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如意路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西至芙蓉北三路，东至芙蓉北一路。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浈江北路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北至启明北路，南至浈江中路。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北江中路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北至北江大桥，南至百旺大桥。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武江南路北段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北至武江桥，南至无名横路（中环广场对面）。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4075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十里亭大道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西至碧亭路，东至省道S248。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新民路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北至新华南路，南至芙蓉山国家矿山公园。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3891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沐溪大道中段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西至沐阳一路，东至武广客运专线。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沙洲二路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北至沙洲一路，南至沙洲三路。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3777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武江北路北段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北至五里亭大桥，南至教育路。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沙洲五路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西至芙蓉东路，东至沿江路。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3660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沙洲六路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西至沙洲路，东至沿江路。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3652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沿江路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北至新华南路，南至金凤翔棕榈湾。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凤凰路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西至韶关碧桂园西侧，东至韶关碧桂园高山流水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韶塘路韶关学院段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西至韶关学院，东至韶关技师学院。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大学路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西至韶余公路，东至韶陵汽修厂。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3444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教育路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西至新兴路，东至武江北路。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3417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升平路北段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北至西堤北路，南至中山路。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芙蓉大道北太阳城段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南至与芙蓉大道北辅路的十字路口，北至芙蓉村委对出200米路口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工业西路西段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西至威尼国际广场，东至沙湖路。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幸福路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北至幸福家园二期停车场入口，南至工业中路。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韶南大道南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北至韶南大道中，南至韶关冶炼厂。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沐溪大道东段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西至武广客运专线，东至建设路。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韶余公路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北至陵西路，南至大学路。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3059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芙蓉北路西段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西至建设路，东至芙蓉北一路。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3051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浈江区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省道S246十里亭镇区段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北至碧亭路，南至十里亭大道。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2949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怡华路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西至芙蓉北路，东至新华南路。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2897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沐溪大道西段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北至沐阳一路，南至京珠高速公路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2795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建设路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北至十里亭大桥，南至沐溪大道。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2727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武江区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西冲路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北至山水华府北侧路，南至工业中路。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2417</w:t>
            </w:r>
          </w:p>
        </w:tc>
      </w:tr>
    </w:tbl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注：1.商服路线价是指是通过对面临特定街道、使用价值相等的市街地，根据不同区域、类型，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设定标准深度为15米，标准宽度为4米，求取在该深度上商服用地的平均单价并附设于特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定街道上，即得到该街道的商服路线价。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2.标准深度是指在城市中随着土地离道路距离的增加，道路对土地利用价值影响为零时的深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度即为市街地的标准深度。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3.上述路段宗地在标准深度内部分的地价为所在地段路线价，超出标准深度部分的地价为所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在地段区片基准地价，计算公式为：宗地首层楼面地价=（路线价×标准深度内首层建筑面</w:t>
      </w:r>
    </w:p>
    <w:p>
      <w:pPr>
        <w:widowControl/>
        <w:snapToGrid w:val="0"/>
        <w:spacing w:line="300" w:lineRule="auto"/>
        <w:jc w:val="left"/>
        <w:rPr>
          <w:rFonts w:hint="eastAsia" w:ascii="楷体_GB2312" w:eastAsia="楷体_GB2312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 xml:space="preserve">      积+区片基准地价×标准深度外首层建筑面积）/总建筑面积。</w:t>
      </w:r>
    </w:p>
    <w:p>
      <w:pPr>
        <w:widowControl/>
        <w:snapToGrid w:val="0"/>
        <w:spacing w:before="78" w:after="78" w:line="300" w:lineRule="auto"/>
        <w:jc w:val="left"/>
        <w:rPr>
          <w:rFonts w:ascii="黑体" w:hAnsi="黑体" w:eastAsia="黑体"/>
          <w:kern w:val="0"/>
          <w:szCs w:val="28"/>
        </w:rPr>
      </w:pPr>
      <w:r>
        <w:rPr>
          <w:rFonts w:hint="eastAsia" w:ascii="楷体_GB2312" w:eastAsia="楷体_GB2312"/>
          <w:kern w:val="0"/>
          <w:szCs w:val="21"/>
        </w:rPr>
        <w:t xml:space="preserve">    </w:t>
      </w:r>
      <w:r>
        <w:rPr>
          <w:rFonts w:hint="eastAsia" w:ascii="黑体" w:hAnsi="黑体" w:eastAsia="黑体"/>
          <w:kern w:val="0"/>
          <w:szCs w:val="28"/>
        </w:rPr>
        <w:t>二、乡镇2018商服用地路线价区段表</w:t>
      </w:r>
    </w:p>
    <w:p>
      <w:pPr>
        <w:widowControl/>
        <w:snapToGrid w:val="0"/>
        <w:spacing w:before="78" w:after="78" w:line="300" w:lineRule="auto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 xml:space="preserve">表3-2 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乡镇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2018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商服用地路线价区段表</w:t>
      </w:r>
    </w:p>
    <w:p>
      <w:pPr>
        <w:widowControl/>
        <w:snapToGrid w:val="0"/>
        <w:spacing w:before="78" w:after="78" w:line="300" w:lineRule="auto"/>
        <w:jc w:val="center"/>
        <w:rPr>
          <w:rFonts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　　　　　　　　　　　　　　　　　　　　　　　　</w:t>
      </w:r>
      <w:r>
        <w:rPr>
          <w:rFonts w:hint="eastAsia" w:ascii="仿宋_GB2312" w:hAnsi="Calibri" w:cs="宋体"/>
          <w:color w:val="000000"/>
          <w:kern w:val="0"/>
          <w:sz w:val="21"/>
          <w:szCs w:val="21"/>
        </w:rPr>
        <w:t>单位：元</w:t>
      </w:r>
      <w:r>
        <w:rPr>
          <w:rFonts w:hint="eastAsia"/>
          <w:color w:val="000000"/>
          <w:kern w:val="0"/>
          <w:sz w:val="21"/>
          <w:szCs w:val="21"/>
        </w:rPr>
        <w:t>/</w:t>
      </w:r>
      <w:r>
        <w:rPr>
          <w:rFonts w:hint="eastAsia" w:ascii="仿宋_GB2312" w:hAnsi="Calibri" w:cs="宋体"/>
          <w:color w:val="000000"/>
          <w:kern w:val="0"/>
          <w:sz w:val="21"/>
          <w:szCs w:val="21"/>
        </w:rPr>
        <w:t>平米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35"/>
        <w:gridCol w:w="1277"/>
        <w:gridCol w:w="4112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所在区域</w:t>
            </w: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路段名称</w:t>
            </w:r>
          </w:p>
        </w:tc>
        <w:tc>
          <w:tcPr>
            <w:tcW w:w="4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起止点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1"/>
                <w:szCs w:val="21"/>
              </w:rPr>
              <w:t>商服路线价总价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建设路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西至河边，东至中心路。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文化路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西至中心路，东至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S246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2840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兴龙路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西至益龙路，东至河滨新街。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2049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河滨新街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东至省道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S253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，西至龙归桥，北至龙归河，南至兴龙路。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1719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河北街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西至重阳镇政府，东至重阳新天地幼儿园。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2420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新村路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西至河边，东至中心路。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3495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益龙路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西至乡道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Y263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，东至省道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S253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2674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中心路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北至向阳路西，南至碧亭路。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4415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犁市镇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向阳路西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北至梨园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号，南至中心路。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3622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花坪镇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花坪大道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西至花坪镇政府，东至曲仁路口。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1220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G323社主新村段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西至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S253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路口，东至社主农贸市场。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1450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龙归镇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石下路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北至益龙路，南至乡道。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1885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重阳镇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河南街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北至重阳河，南至重阳村口。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2164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江湾镇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江湾街</w:t>
            </w:r>
          </w:p>
        </w:tc>
        <w:tc>
          <w:tcPr>
            <w:tcW w:w="41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北至江湾镇卫生院，南至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Y267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 xml:space="preserve">1168 </w:t>
            </w:r>
          </w:p>
        </w:tc>
      </w:tr>
    </w:tbl>
    <w:p>
      <w:pPr>
        <w:widowControl/>
        <w:snapToGrid w:val="0"/>
        <w:spacing w:line="300" w:lineRule="auto"/>
        <w:ind w:firstLine="360"/>
        <w:jc w:val="left"/>
        <w:rPr>
          <w:rFonts w:eastAsia="宋体"/>
          <w:kern w:val="0"/>
          <w:sz w:val="18"/>
          <w:szCs w:val="18"/>
        </w:rPr>
      </w:pPr>
    </w:p>
    <w:p>
      <w:pPr>
        <w:pStyle w:val="4"/>
        <w:spacing w:line="600" w:lineRule="atLeast"/>
        <w:ind w:right="1203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74AE"/>
    <w:rsid w:val="5EC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2019-05-29T02:47:00Z</dcterms:created>
  <dc:creator>谢佳</dc:creator>
  <cp:lastModifiedBy>谢佳</cp:lastModifiedBy>
  <dcterms:modified xsi:type="dcterms:W3CDTF">2019-05-29T02:59:06Z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