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20" w:lineRule="atLeast"/>
        <w:jc w:val="left"/>
        <w:rPr>
          <w:rFonts w:ascii="黑体" w:hAnsi="黑体" w:eastAsia="黑体"/>
          <w:kern w:val="0"/>
        </w:rPr>
      </w:pPr>
      <w:r>
        <w:rPr>
          <w:rFonts w:ascii="黑体" w:hAnsi="黑体" w:eastAsia="黑体"/>
          <w:kern w:val="0"/>
        </w:rPr>
        <w:t>附件1</w:t>
      </w:r>
    </w:p>
    <w:p>
      <w:pPr>
        <w:widowControl/>
        <w:snapToGrid w:val="0"/>
        <w:spacing w:line="520" w:lineRule="atLeast"/>
        <w:jc w:val="left"/>
        <w:rPr>
          <w:rFonts w:ascii="黑体" w:hAnsi="黑体" w:eastAsia="黑体"/>
          <w:kern w:val="0"/>
        </w:rPr>
      </w:pPr>
    </w:p>
    <w:p>
      <w:pPr>
        <w:widowControl/>
        <w:snapToGrid w:val="0"/>
        <w:spacing w:line="600" w:lineRule="exact"/>
        <w:jc w:val="center"/>
        <w:rPr>
          <w:rFonts w:hint="eastAsia" w:ascii="方正小标宋简体" w:hAnsi="黑体" w:eastAsia="方正小标宋简体" w:cs="Tahoma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Tahoma"/>
          <w:bCs/>
          <w:kern w:val="0"/>
          <w:sz w:val="44"/>
          <w:szCs w:val="44"/>
        </w:rPr>
        <w:t>韶关市区（浈江区、武江区）2018年</w:t>
      </w:r>
    </w:p>
    <w:p>
      <w:pPr>
        <w:widowControl/>
        <w:snapToGrid w:val="0"/>
        <w:spacing w:line="600" w:lineRule="exact"/>
        <w:jc w:val="center"/>
        <w:rPr>
          <w:rFonts w:hint="eastAsia" w:ascii="方正小标宋简体" w:hAnsi="黑体" w:eastAsia="方正小标宋简体" w:cs="Tahoma"/>
          <w:bCs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Tahoma"/>
          <w:bCs/>
          <w:kern w:val="0"/>
          <w:sz w:val="44"/>
          <w:szCs w:val="44"/>
        </w:rPr>
        <w:t>国有建设用地使用权基准地价</w:t>
      </w:r>
    </w:p>
    <w:p>
      <w:pPr>
        <w:widowControl/>
        <w:snapToGrid w:val="0"/>
        <w:spacing w:line="600" w:lineRule="exact"/>
        <w:jc w:val="center"/>
        <w:rPr>
          <w:rFonts w:hint="eastAsia" w:ascii="方正小标宋简体" w:hAnsi="黑体" w:eastAsia="方正小标宋简体" w:cs="Tahoma"/>
          <w:bCs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Tahoma"/>
          <w:bCs/>
          <w:kern w:val="0"/>
          <w:sz w:val="44"/>
          <w:szCs w:val="44"/>
        </w:rPr>
        <w:t>更新范围及内涵</w:t>
      </w:r>
    </w:p>
    <w:bookmarkEnd w:id="0"/>
    <w:p>
      <w:pPr>
        <w:widowControl/>
        <w:snapToGrid w:val="0"/>
        <w:spacing w:line="560" w:lineRule="exact"/>
        <w:ind w:firstLine="640" w:firstLineChars="200"/>
        <w:jc w:val="center"/>
        <w:rPr>
          <w:rFonts w:hint="eastAsia" w:ascii="仿宋_GB2312"/>
          <w:kern w:val="0"/>
        </w:rPr>
      </w:pPr>
    </w:p>
    <w:p>
      <w:pPr>
        <w:snapToGrid w:val="0"/>
        <w:spacing w:line="540" w:lineRule="exact"/>
        <w:ind w:firstLine="640" w:firstLineChars="200"/>
        <w:rPr>
          <w:rFonts w:hint="eastAsia" w:ascii="黑体" w:hAnsi="黑体" w:eastAsia="黑体" w:cs="Tahoma"/>
          <w:bCs/>
          <w:kern w:val="0"/>
        </w:rPr>
      </w:pPr>
      <w:r>
        <w:rPr>
          <w:rFonts w:hint="eastAsia" w:ascii="黑体" w:hAnsi="黑体" w:eastAsia="黑体" w:cs="Tahoma"/>
          <w:bCs/>
          <w:kern w:val="0"/>
        </w:rPr>
        <w:t>一、评估范围</w:t>
      </w:r>
    </w:p>
    <w:p>
      <w:pPr>
        <w:snapToGrid w:val="0"/>
        <w:spacing w:line="540" w:lineRule="exact"/>
        <w:ind w:firstLine="640" w:firstLineChars="200"/>
        <w:rPr>
          <w:rFonts w:hint="eastAsia" w:ascii="仿宋_GB2312" w:hAnsi="Tahoma" w:cs="Tahoma"/>
          <w:kern w:val="0"/>
        </w:rPr>
      </w:pPr>
      <w:r>
        <w:rPr>
          <w:rFonts w:hint="eastAsia" w:ascii="仿宋_GB2312" w:hAnsi="Tahoma" w:cs="Tahoma"/>
          <w:kern w:val="0"/>
        </w:rPr>
        <w:t>本次基准地价评估工作范围为韶关市区（浈江区、武江区）及五个建制镇（犁市镇、龙归镇、重阳镇、花坪镇、江湾镇）的建成区范围土地，其中城区面积为</w:t>
      </w:r>
      <w:r>
        <w:rPr>
          <w:rFonts w:hint="eastAsia" w:ascii="仿宋_GB2312"/>
          <w:kern w:val="0"/>
        </w:rPr>
        <w:t>255.67</w:t>
      </w:r>
      <w:r>
        <w:rPr>
          <w:rFonts w:hint="eastAsia" w:ascii="仿宋_GB2312" w:hAnsi="Tahoma" w:cs="Tahoma"/>
          <w:kern w:val="0"/>
        </w:rPr>
        <w:t>平方公里，五个建制镇的面积为</w:t>
      </w:r>
      <w:r>
        <w:rPr>
          <w:rFonts w:hint="eastAsia" w:ascii="仿宋_GB2312"/>
          <w:kern w:val="0"/>
        </w:rPr>
        <w:t>43.08</w:t>
      </w:r>
      <w:r>
        <w:rPr>
          <w:rFonts w:hint="eastAsia" w:ascii="仿宋_GB2312" w:hAnsi="Tahoma" w:cs="Tahoma"/>
          <w:kern w:val="0"/>
        </w:rPr>
        <w:t>平方公里，共计</w:t>
      </w:r>
      <w:r>
        <w:rPr>
          <w:rFonts w:hint="eastAsia" w:ascii="仿宋_GB2312"/>
          <w:kern w:val="0"/>
        </w:rPr>
        <w:t>298.75</w:t>
      </w:r>
      <w:r>
        <w:rPr>
          <w:rFonts w:hint="eastAsia" w:ascii="仿宋_GB2312" w:hAnsi="Tahoma" w:cs="Tahoma"/>
          <w:kern w:val="0"/>
        </w:rPr>
        <w:t>平方公里。</w:t>
      </w:r>
    </w:p>
    <w:p>
      <w:pPr>
        <w:snapToGrid w:val="0"/>
        <w:spacing w:line="540" w:lineRule="exact"/>
        <w:ind w:firstLine="640" w:firstLineChars="200"/>
        <w:rPr>
          <w:rFonts w:hint="eastAsia" w:ascii="黑体" w:hAnsi="黑体" w:eastAsia="黑体" w:cs="Tahoma"/>
          <w:bCs/>
          <w:kern w:val="0"/>
        </w:rPr>
      </w:pPr>
      <w:r>
        <w:rPr>
          <w:rFonts w:hint="eastAsia" w:ascii="黑体" w:hAnsi="黑体" w:eastAsia="黑体" w:cs="Tahoma"/>
          <w:bCs/>
          <w:kern w:val="0"/>
        </w:rPr>
        <w:t>二、韶关市区城区及乡镇基准地价地价内涵</w:t>
      </w:r>
    </w:p>
    <w:p>
      <w:pPr>
        <w:snapToGrid w:val="0"/>
        <w:spacing w:line="540" w:lineRule="exact"/>
        <w:ind w:firstLine="640" w:firstLineChars="200"/>
        <w:rPr>
          <w:rFonts w:hint="eastAsia" w:ascii="仿宋_GB2312"/>
          <w:kern w:val="0"/>
        </w:rPr>
      </w:pPr>
      <w:r>
        <w:rPr>
          <w:rFonts w:hint="eastAsia" w:ascii="楷体_GB2312" w:eastAsia="楷体_GB2312"/>
          <w:kern w:val="0"/>
        </w:rPr>
        <w:t>（一）商服用地。</w:t>
      </w:r>
      <w:r>
        <w:rPr>
          <w:rFonts w:hint="eastAsia" w:ascii="仿宋_GB2312"/>
          <w:kern w:val="0"/>
        </w:rPr>
        <w:t>土地在正常市场条件下，设定土地开发程度为“五通一平”（即宗地红线外通路、通上水、通下水、通电、通讯，宗地红线内场地平整），估价期日为2018年3月1日，土地使用年期为40年，设定容积率为2.0，建筑密度为40%；地价表现形式为</w:t>
      </w:r>
      <w:r>
        <w:rPr>
          <w:rFonts w:hint="eastAsia" w:ascii="仿宋_GB2312" w:hAnsi="Tahoma" w:cs="Tahoma"/>
          <w:kern w:val="0"/>
        </w:rPr>
        <w:t>首层</w:t>
      </w:r>
      <w:r>
        <w:rPr>
          <w:rFonts w:hint="eastAsia" w:ascii="仿宋_GB2312"/>
          <w:kern w:val="0"/>
        </w:rPr>
        <w:t>楼面地价。价格单位为元/平方米，币种为人民币。</w:t>
      </w:r>
    </w:p>
    <w:p>
      <w:pPr>
        <w:snapToGrid w:val="0"/>
        <w:spacing w:line="540" w:lineRule="exact"/>
        <w:ind w:firstLine="640" w:firstLineChars="200"/>
        <w:rPr>
          <w:rFonts w:hint="eastAsia" w:ascii="仿宋_GB2312"/>
          <w:kern w:val="0"/>
        </w:rPr>
      </w:pPr>
      <w:r>
        <w:rPr>
          <w:rFonts w:hint="eastAsia" w:ascii="仿宋_GB2312"/>
          <w:kern w:val="0"/>
        </w:rPr>
        <w:t>商服路线价：土地在正常市场条件下，设定土地开发程度为“五通一平”（即宗地红线外通路、通上水、通下水、通电、通讯，宗地红线内场地平整），估价期日为2018年3月1日，土地使用年期为40年，设定容积率为2.0，</w:t>
      </w:r>
      <w:r>
        <w:rPr>
          <w:rFonts w:hint="eastAsia" w:ascii="仿宋_GB2312" w:hAnsi="Tahoma" w:cs="Tahoma"/>
          <w:kern w:val="0"/>
        </w:rPr>
        <w:t>城区</w:t>
      </w:r>
      <w:r>
        <w:rPr>
          <w:rFonts w:hint="eastAsia" w:ascii="仿宋_GB2312"/>
          <w:kern w:val="0"/>
        </w:rPr>
        <w:t>标准宽度为4米，标准深度为15米的标准铺面</w:t>
      </w:r>
      <w:r>
        <w:rPr>
          <w:rFonts w:hint="eastAsia" w:ascii="仿宋_GB2312" w:hAnsi="Tahoma" w:cs="Tahoma"/>
          <w:kern w:val="0"/>
        </w:rPr>
        <w:t>（</w:t>
      </w:r>
      <w:r>
        <w:rPr>
          <w:rFonts w:hint="eastAsia" w:ascii="仿宋_GB2312"/>
          <w:kern w:val="0"/>
        </w:rPr>
        <w:t>乡镇</w:t>
      </w:r>
      <w:r>
        <w:rPr>
          <w:rFonts w:hint="eastAsia" w:ascii="仿宋_GB2312" w:hAnsi="Tahoma" w:cs="Tahoma"/>
          <w:kern w:val="0"/>
        </w:rPr>
        <w:t>为标准宽度</w:t>
      </w:r>
      <w:r>
        <w:rPr>
          <w:rFonts w:hint="eastAsia" w:ascii="仿宋_GB2312"/>
          <w:kern w:val="0"/>
        </w:rPr>
        <w:t>4</w:t>
      </w:r>
      <w:r>
        <w:rPr>
          <w:rFonts w:hint="eastAsia" w:ascii="仿宋_GB2312" w:hAnsi="Tahoma" w:cs="Tahoma"/>
          <w:kern w:val="0"/>
        </w:rPr>
        <w:t>米，</w:t>
      </w:r>
      <w:r>
        <w:rPr>
          <w:rFonts w:hint="eastAsia" w:ascii="仿宋_GB2312"/>
          <w:kern w:val="0"/>
        </w:rPr>
        <w:t>标准</w:t>
      </w:r>
      <w:r>
        <w:rPr>
          <w:rFonts w:hint="eastAsia" w:ascii="仿宋_GB2312" w:hAnsi="Tahoma" w:cs="Tahoma"/>
          <w:kern w:val="0"/>
        </w:rPr>
        <w:t>深度为</w:t>
      </w:r>
      <w:r>
        <w:rPr>
          <w:rFonts w:hint="eastAsia" w:ascii="仿宋_GB2312"/>
          <w:kern w:val="0"/>
        </w:rPr>
        <w:t>10</w:t>
      </w:r>
      <w:r>
        <w:rPr>
          <w:rFonts w:hint="eastAsia" w:ascii="仿宋_GB2312" w:hAnsi="Tahoma" w:cs="Tahoma"/>
          <w:kern w:val="0"/>
        </w:rPr>
        <w:t>米）</w:t>
      </w:r>
      <w:r>
        <w:rPr>
          <w:rFonts w:hint="eastAsia" w:ascii="仿宋_GB2312"/>
          <w:kern w:val="0"/>
        </w:rPr>
        <w:t>，地价表现形式为</w:t>
      </w:r>
      <w:r>
        <w:rPr>
          <w:rFonts w:hint="eastAsia" w:ascii="仿宋_GB2312" w:hAnsi="Tahoma" w:cs="Tahoma"/>
          <w:kern w:val="0"/>
        </w:rPr>
        <w:t>首层</w:t>
      </w:r>
      <w:r>
        <w:rPr>
          <w:rFonts w:hint="eastAsia" w:ascii="仿宋_GB2312"/>
          <w:kern w:val="0"/>
        </w:rPr>
        <w:t>楼面地价。价格单位为元/平方米，币种为人民币。</w:t>
      </w:r>
    </w:p>
    <w:p>
      <w:pPr>
        <w:snapToGrid w:val="0"/>
        <w:spacing w:line="540" w:lineRule="exact"/>
        <w:ind w:firstLine="640" w:firstLineChars="200"/>
        <w:rPr>
          <w:rFonts w:hint="eastAsia" w:ascii="仿宋_GB2312"/>
          <w:kern w:val="0"/>
        </w:rPr>
      </w:pPr>
      <w:r>
        <w:rPr>
          <w:rFonts w:hint="eastAsia" w:ascii="楷体_GB2312" w:eastAsia="楷体_GB2312"/>
          <w:kern w:val="0"/>
        </w:rPr>
        <w:t>（二）住宅用地。</w:t>
      </w:r>
      <w:r>
        <w:rPr>
          <w:rFonts w:hint="eastAsia" w:ascii="仿宋_GB2312"/>
          <w:kern w:val="0"/>
        </w:rPr>
        <w:t>土地在正常市场条件下，设定土地开发程度为“五通一平”（即宗地红线外通路、通上水、通下水、通电、通讯，宗地红线内场地平整），估价期日为2018年3月1日，土地使用年期为70年，设定容积率为2.5，建筑密度为32%；地价表现形式为平均楼面地价。价格单位为元/平方米，币种为人民币。</w:t>
      </w:r>
    </w:p>
    <w:p>
      <w:pPr>
        <w:snapToGrid w:val="0"/>
        <w:spacing w:line="540" w:lineRule="exact"/>
        <w:ind w:firstLine="640" w:firstLineChars="200"/>
        <w:rPr>
          <w:rFonts w:hint="eastAsia" w:ascii="仿宋_GB2312"/>
          <w:kern w:val="0"/>
        </w:rPr>
      </w:pPr>
      <w:r>
        <w:rPr>
          <w:rFonts w:hint="eastAsia" w:ascii="楷体_GB2312" w:hAnsi="黑体" w:eastAsia="楷体_GB2312"/>
          <w:kern w:val="0"/>
        </w:rPr>
        <w:t>（三）工业用地。</w:t>
      </w:r>
      <w:r>
        <w:rPr>
          <w:rFonts w:hint="eastAsia" w:ascii="仿宋_GB2312"/>
          <w:kern w:val="0"/>
        </w:rPr>
        <w:t>土地在正常市场条件，设定土地开发程度为“五通一平”（即宗地红线外通路、通上水、通下水、通电、通讯，宗地红线内场地平整），估价期日为2018年3月1日，土地使用年期为50年，设定容积率为1.0</w:t>
      </w:r>
      <w:r>
        <w:rPr>
          <w:rFonts w:hint="eastAsia" w:ascii="仿宋_GB2312" w:hAnsi="Tahoma" w:cs="Tahoma"/>
          <w:kern w:val="0"/>
        </w:rPr>
        <w:t>，</w:t>
      </w:r>
      <w:r>
        <w:rPr>
          <w:rFonts w:hint="eastAsia" w:ascii="仿宋_GB2312"/>
          <w:kern w:val="0"/>
        </w:rPr>
        <w:t>建筑</w:t>
      </w:r>
      <w:r>
        <w:rPr>
          <w:rFonts w:hint="eastAsia" w:ascii="仿宋_GB2312" w:hAnsi="Tahoma" w:cs="Tahoma"/>
          <w:kern w:val="0"/>
        </w:rPr>
        <w:t>密度为</w:t>
      </w:r>
      <w:r>
        <w:rPr>
          <w:rFonts w:hint="eastAsia" w:ascii="仿宋_GB2312"/>
          <w:kern w:val="0"/>
        </w:rPr>
        <w:t>40%；地价表现形式为地面地价。价格单位为元/平方米，币种为人民币。</w:t>
      </w:r>
    </w:p>
    <w:p>
      <w:pPr>
        <w:snapToGrid w:val="0"/>
        <w:spacing w:line="540" w:lineRule="exact"/>
        <w:ind w:firstLine="640" w:firstLineChars="200"/>
        <w:rPr>
          <w:rFonts w:hint="eastAsia" w:ascii="楷体_GB2312" w:eastAsia="楷体_GB2312"/>
          <w:kern w:val="0"/>
        </w:rPr>
      </w:pPr>
      <w:r>
        <w:rPr>
          <w:rFonts w:hint="eastAsia" w:ascii="楷体_GB2312" w:eastAsia="楷体_GB2312"/>
          <w:kern w:val="0"/>
        </w:rPr>
        <w:t>（四）公共服务项目用地。</w:t>
      </w:r>
    </w:p>
    <w:p>
      <w:pPr>
        <w:snapToGrid w:val="0"/>
        <w:spacing w:line="540" w:lineRule="exact"/>
        <w:ind w:firstLine="640" w:firstLineChars="200"/>
        <w:rPr>
          <w:rFonts w:hint="eastAsia" w:ascii="仿宋_GB2312"/>
          <w:kern w:val="0"/>
        </w:rPr>
      </w:pPr>
      <w:r>
        <w:rPr>
          <w:rFonts w:hint="eastAsia" w:ascii="仿宋_GB2312"/>
          <w:kern w:val="0"/>
        </w:rPr>
        <w:t>1.公共服务项目用地（类别一）。土地在正常市场条件，设定土地开发程度为“五通一平”（即宗地红线外通路、通上水、通下水、通电、通讯，宗地红线内场地平整），估价期日为2018年3月1日，土地使用年期为50年，设定容积率为1.5，建筑密度为35%；地价表现形式为平均楼面地价。价格单位为元/平方米，币种为人民币。</w:t>
      </w:r>
    </w:p>
    <w:p>
      <w:pPr>
        <w:snapToGrid w:val="0"/>
        <w:spacing w:line="540" w:lineRule="exact"/>
        <w:ind w:firstLine="640" w:firstLineChars="200"/>
        <w:rPr>
          <w:rFonts w:hint="eastAsia" w:ascii="仿宋_GB2312"/>
          <w:kern w:val="0"/>
        </w:rPr>
      </w:pPr>
      <w:r>
        <w:rPr>
          <w:rFonts w:hint="eastAsia" w:ascii="仿宋_GB2312"/>
          <w:kern w:val="0"/>
        </w:rPr>
        <w:t>2.公共服务项目用地（类别二）。土地在正常市场条件，设定土地开发程度为“五通一平”（即宗地红线外通路、通上水、通下水、通电、通讯，宗地红线内场地平整），估价期日为2018年3月1日，土地使用年期为50年，设定容积率为1.0</w:t>
      </w:r>
      <w:r>
        <w:rPr>
          <w:rFonts w:hint="eastAsia" w:ascii="仿宋_GB2312" w:hAnsi="Tahoma" w:cs="Tahoma"/>
          <w:kern w:val="0"/>
        </w:rPr>
        <w:t>，</w:t>
      </w:r>
      <w:r>
        <w:rPr>
          <w:rFonts w:hint="eastAsia" w:ascii="仿宋_GB2312"/>
          <w:kern w:val="0"/>
        </w:rPr>
        <w:t>建筑</w:t>
      </w:r>
      <w:r>
        <w:rPr>
          <w:rFonts w:hint="eastAsia" w:ascii="仿宋_GB2312" w:hAnsi="Tahoma" w:cs="Tahoma"/>
          <w:kern w:val="0"/>
        </w:rPr>
        <w:t>密度为</w:t>
      </w:r>
      <w:r>
        <w:rPr>
          <w:rFonts w:hint="eastAsia" w:ascii="仿宋_GB2312"/>
          <w:kern w:val="0"/>
        </w:rPr>
        <w:t>40%；地价表现形式为地面地价。价格单位为元/平方米，币种为人民币。</w:t>
      </w:r>
    </w:p>
    <w:p>
      <w:pPr>
        <w:widowControl/>
        <w:snapToGrid w:val="0"/>
        <w:spacing w:line="600" w:lineRule="exact"/>
        <w:jc w:val="center"/>
        <w:rPr>
          <w:rFonts w:hint="eastAsia" w:ascii="仿宋_GB2312"/>
          <w:b/>
          <w:bCs/>
          <w:color w:val="000000"/>
          <w:spacing w:val="10"/>
          <w:kern w:val="0"/>
          <w:sz w:val="28"/>
          <w:szCs w:val="28"/>
        </w:rPr>
      </w:pPr>
      <w:r>
        <w:rPr>
          <w:rFonts w:hint="eastAsia" w:ascii="仿宋_GB2312"/>
          <w:b/>
          <w:bCs/>
          <w:color w:val="000000"/>
          <w:spacing w:val="10"/>
          <w:kern w:val="0"/>
          <w:sz w:val="28"/>
          <w:szCs w:val="28"/>
        </w:rPr>
        <w:t xml:space="preserve">表1-1 </w:t>
      </w:r>
      <w:r>
        <w:rPr>
          <w:rFonts w:hint="eastAsia" w:ascii="仿宋_GB2312" w:hAnsi="Calibri" w:cs="宋体"/>
          <w:b/>
          <w:bCs/>
          <w:color w:val="000000"/>
          <w:spacing w:val="10"/>
          <w:kern w:val="0"/>
          <w:sz w:val="28"/>
          <w:szCs w:val="28"/>
        </w:rPr>
        <w:t>韶关市城区及乡镇</w:t>
      </w:r>
      <w:r>
        <w:rPr>
          <w:rFonts w:hint="eastAsia" w:ascii="仿宋_GB2312"/>
          <w:b/>
          <w:bCs/>
          <w:color w:val="000000"/>
          <w:spacing w:val="10"/>
          <w:kern w:val="0"/>
          <w:sz w:val="28"/>
          <w:szCs w:val="28"/>
        </w:rPr>
        <w:t>土地价格内涵表</w:t>
      </w:r>
    </w:p>
    <w:tbl>
      <w:tblPr>
        <w:tblStyle w:val="2"/>
        <w:tblW w:w="881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822"/>
        <w:gridCol w:w="3006"/>
        <w:gridCol w:w="42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用地类型</w:t>
            </w:r>
          </w:p>
        </w:tc>
        <w:tc>
          <w:tcPr>
            <w:tcW w:w="3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内  容</w:t>
            </w:r>
          </w:p>
        </w:tc>
        <w:tc>
          <w:tcPr>
            <w:tcW w:w="4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</w:rPr>
              <w:t>地价内涵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商服用地</w:t>
            </w:r>
          </w:p>
        </w:tc>
        <w:tc>
          <w:tcPr>
            <w:tcW w:w="3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土地开发程度</w:t>
            </w:r>
          </w:p>
        </w:tc>
        <w:tc>
          <w:tcPr>
            <w:tcW w:w="4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五通一平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/>
                <w:kern w:val="0"/>
                <w:sz w:val="21"/>
                <w:szCs w:val="21"/>
              </w:rPr>
            </w:pPr>
          </w:p>
        </w:tc>
        <w:tc>
          <w:tcPr>
            <w:tcW w:w="3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设定容积率</w:t>
            </w:r>
          </w:p>
        </w:tc>
        <w:tc>
          <w:tcPr>
            <w:tcW w:w="4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2.0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/>
                <w:kern w:val="0"/>
                <w:sz w:val="21"/>
                <w:szCs w:val="21"/>
              </w:rPr>
            </w:pPr>
          </w:p>
        </w:tc>
        <w:tc>
          <w:tcPr>
            <w:tcW w:w="3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建筑密度</w:t>
            </w:r>
          </w:p>
        </w:tc>
        <w:tc>
          <w:tcPr>
            <w:tcW w:w="4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/>
                <w:kern w:val="0"/>
                <w:sz w:val="21"/>
                <w:szCs w:val="21"/>
              </w:rPr>
            </w:pPr>
          </w:p>
        </w:tc>
        <w:tc>
          <w:tcPr>
            <w:tcW w:w="3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价格类型</w:t>
            </w:r>
          </w:p>
        </w:tc>
        <w:tc>
          <w:tcPr>
            <w:tcW w:w="4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ahoma" w:cs="Tahoma"/>
                <w:kern w:val="0"/>
                <w:sz w:val="21"/>
                <w:szCs w:val="21"/>
              </w:rPr>
              <w:t>首层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楼面地价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商服路线价</w:t>
            </w:r>
          </w:p>
        </w:tc>
        <w:tc>
          <w:tcPr>
            <w:tcW w:w="3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土地开发程度</w:t>
            </w:r>
          </w:p>
        </w:tc>
        <w:tc>
          <w:tcPr>
            <w:tcW w:w="4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五通一平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/>
                <w:kern w:val="0"/>
                <w:sz w:val="21"/>
                <w:szCs w:val="21"/>
              </w:rPr>
            </w:pPr>
          </w:p>
        </w:tc>
        <w:tc>
          <w:tcPr>
            <w:tcW w:w="3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设定容积率</w:t>
            </w:r>
          </w:p>
        </w:tc>
        <w:tc>
          <w:tcPr>
            <w:tcW w:w="4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2.0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/>
                <w:kern w:val="0"/>
                <w:sz w:val="21"/>
                <w:szCs w:val="21"/>
              </w:rPr>
            </w:pPr>
          </w:p>
        </w:tc>
        <w:tc>
          <w:tcPr>
            <w:tcW w:w="3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价格类型</w:t>
            </w:r>
          </w:p>
        </w:tc>
        <w:tc>
          <w:tcPr>
            <w:tcW w:w="4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ahoma" w:cs="Tahoma"/>
                <w:kern w:val="0"/>
                <w:sz w:val="21"/>
                <w:szCs w:val="21"/>
              </w:rPr>
              <w:t>首层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楼面地价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/>
                <w:kern w:val="0"/>
                <w:sz w:val="21"/>
                <w:szCs w:val="21"/>
              </w:rPr>
            </w:pPr>
          </w:p>
        </w:tc>
        <w:tc>
          <w:tcPr>
            <w:tcW w:w="3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标准宽度、标准深度</w:t>
            </w:r>
          </w:p>
        </w:tc>
        <w:tc>
          <w:tcPr>
            <w:tcW w:w="4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ahoma" w:cs="Tahoma"/>
                <w:kern w:val="0"/>
                <w:sz w:val="21"/>
                <w:szCs w:val="21"/>
              </w:rPr>
              <w:t>城区：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标准宽度为4米，标准深度为15米</w:t>
            </w:r>
          </w:p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ahoma" w:cs="Tahoma"/>
                <w:kern w:val="0"/>
                <w:sz w:val="21"/>
                <w:szCs w:val="21"/>
              </w:rPr>
              <w:t>乡镇：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标准宽度为4米，标准深度为10米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住宅用地</w:t>
            </w:r>
          </w:p>
        </w:tc>
        <w:tc>
          <w:tcPr>
            <w:tcW w:w="3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土地开发程度</w:t>
            </w:r>
          </w:p>
        </w:tc>
        <w:tc>
          <w:tcPr>
            <w:tcW w:w="4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五通一平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/>
                <w:kern w:val="0"/>
                <w:sz w:val="21"/>
                <w:szCs w:val="21"/>
              </w:rPr>
            </w:pPr>
          </w:p>
        </w:tc>
        <w:tc>
          <w:tcPr>
            <w:tcW w:w="3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设定容积率</w:t>
            </w:r>
          </w:p>
        </w:tc>
        <w:tc>
          <w:tcPr>
            <w:tcW w:w="4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/>
                <w:kern w:val="0"/>
                <w:sz w:val="21"/>
                <w:szCs w:val="21"/>
              </w:rPr>
            </w:pPr>
          </w:p>
        </w:tc>
        <w:tc>
          <w:tcPr>
            <w:tcW w:w="3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建筑密度</w:t>
            </w:r>
          </w:p>
        </w:tc>
        <w:tc>
          <w:tcPr>
            <w:tcW w:w="4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32%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/>
                <w:kern w:val="0"/>
                <w:sz w:val="21"/>
                <w:szCs w:val="21"/>
              </w:rPr>
            </w:pPr>
          </w:p>
        </w:tc>
        <w:tc>
          <w:tcPr>
            <w:tcW w:w="3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价格类型</w:t>
            </w:r>
          </w:p>
        </w:tc>
        <w:tc>
          <w:tcPr>
            <w:tcW w:w="4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平均楼面地价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工业用地</w:t>
            </w:r>
          </w:p>
        </w:tc>
        <w:tc>
          <w:tcPr>
            <w:tcW w:w="3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土地开发程度</w:t>
            </w:r>
          </w:p>
        </w:tc>
        <w:tc>
          <w:tcPr>
            <w:tcW w:w="4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五通一平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/>
                <w:kern w:val="0"/>
                <w:sz w:val="21"/>
                <w:szCs w:val="21"/>
              </w:rPr>
            </w:pPr>
          </w:p>
        </w:tc>
        <w:tc>
          <w:tcPr>
            <w:tcW w:w="3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设定容积率</w:t>
            </w:r>
          </w:p>
        </w:tc>
        <w:tc>
          <w:tcPr>
            <w:tcW w:w="4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1.0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/>
                <w:kern w:val="0"/>
                <w:sz w:val="21"/>
                <w:szCs w:val="21"/>
              </w:rPr>
            </w:pPr>
          </w:p>
        </w:tc>
        <w:tc>
          <w:tcPr>
            <w:tcW w:w="3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ahoma" w:cs="Tahoma"/>
                <w:kern w:val="0"/>
                <w:sz w:val="21"/>
                <w:szCs w:val="21"/>
              </w:rPr>
              <w:t>建筑密度</w:t>
            </w:r>
          </w:p>
        </w:tc>
        <w:tc>
          <w:tcPr>
            <w:tcW w:w="4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40%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9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/>
                <w:kern w:val="0"/>
                <w:sz w:val="21"/>
                <w:szCs w:val="21"/>
              </w:rPr>
            </w:pPr>
          </w:p>
        </w:tc>
        <w:tc>
          <w:tcPr>
            <w:tcW w:w="3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价格类型</w:t>
            </w:r>
          </w:p>
        </w:tc>
        <w:tc>
          <w:tcPr>
            <w:tcW w:w="4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地面地价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公共服务项目用地</w:t>
            </w:r>
          </w:p>
        </w:tc>
        <w:tc>
          <w:tcPr>
            <w:tcW w:w="82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类别一</w:t>
            </w:r>
          </w:p>
        </w:tc>
        <w:tc>
          <w:tcPr>
            <w:tcW w:w="3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土地开发程度</w:t>
            </w:r>
          </w:p>
        </w:tc>
        <w:tc>
          <w:tcPr>
            <w:tcW w:w="4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五通一平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/>
                <w:kern w:val="0"/>
                <w:sz w:val="21"/>
                <w:szCs w:val="21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/>
                <w:kern w:val="0"/>
                <w:sz w:val="21"/>
                <w:szCs w:val="21"/>
              </w:rPr>
            </w:pPr>
          </w:p>
        </w:tc>
        <w:tc>
          <w:tcPr>
            <w:tcW w:w="3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设定容积率</w:t>
            </w:r>
          </w:p>
        </w:tc>
        <w:tc>
          <w:tcPr>
            <w:tcW w:w="4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/>
                <w:kern w:val="0"/>
                <w:sz w:val="21"/>
                <w:szCs w:val="21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/>
                <w:kern w:val="0"/>
                <w:sz w:val="21"/>
                <w:szCs w:val="21"/>
              </w:rPr>
            </w:pPr>
          </w:p>
        </w:tc>
        <w:tc>
          <w:tcPr>
            <w:tcW w:w="3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建筑密度</w:t>
            </w:r>
          </w:p>
        </w:tc>
        <w:tc>
          <w:tcPr>
            <w:tcW w:w="4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/>
                <w:kern w:val="0"/>
                <w:sz w:val="21"/>
                <w:szCs w:val="21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/>
                <w:kern w:val="0"/>
                <w:sz w:val="21"/>
                <w:szCs w:val="21"/>
              </w:rPr>
            </w:pPr>
          </w:p>
        </w:tc>
        <w:tc>
          <w:tcPr>
            <w:tcW w:w="3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价格类型</w:t>
            </w:r>
          </w:p>
        </w:tc>
        <w:tc>
          <w:tcPr>
            <w:tcW w:w="4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平均楼面地价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/>
                <w:kern w:val="0"/>
                <w:sz w:val="21"/>
                <w:szCs w:val="21"/>
              </w:rPr>
            </w:pPr>
          </w:p>
        </w:tc>
        <w:tc>
          <w:tcPr>
            <w:tcW w:w="82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类别二</w:t>
            </w:r>
          </w:p>
        </w:tc>
        <w:tc>
          <w:tcPr>
            <w:tcW w:w="3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土地开发程度</w:t>
            </w:r>
          </w:p>
        </w:tc>
        <w:tc>
          <w:tcPr>
            <w:tcW w:w="4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五通一平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/>
                <w:kern w:val="0"/>
                <w:sz w:val="21"/>
                <w:szCs w:val="21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/>
                <w:kern w:val="0"/>
                <w:sz w:val="21"/>
                <w:szCs w:val="21"/>
              </w:rPr>
            </w:pPr>
          </w:p>
        </w:tc>
        <w:tc>
          <w:tcPr>
            <w:tcW w:w="3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设定容积率</w:t>
            </w:r>
          </w:p>
        </w:tc>
        <w:tc>
          <w:tcPr>
            <w:tcW w:w="4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1.0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/>
                <w:kern w:val="0"/>
                <w:sz w:val="21"/>
                <w:szCs w:val="21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/>
                <w:kern w:val="0"/>
                <w:sz w:val="21"/>
                <w:szCs w:val="21"/>
              </w:rPr>
            </w:pPr>
          </w:p>
        </w:tc>
        <w:tc>
          <w:tcPr>
            <w:tcW w:w="3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ahoma" w:cs="Tahoma"/>
                <w:kern w:val="0"/>
                <w:sz w:val="21"/>
                <w:szCs w:val="21"/>
              </w:rPr>
              <w:t>建筑密度</w:t>
            </w:r>
          </w:p>
        </w:tc>
        <w:tc>
          <w:tcPr>
            <w:tcW w:w="4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Tahoma" w:cs="Tahoma"/>
                <w:kern w:val="0"/>
                <w:sz w:val="21"/>
                <w:szCs w:val="21"/>
              </w:rPr>
              <w:t>40</w:t>
            </w:r>
            <w:r>
              <w:rPr>
                <w:rFonts w:hint="eastAsia" w:ascii="仿宋_GB2312"/>
                <w:kern w:val="0"/>
                <w:sz w:val="21"/>
                <w:szCs w:val="21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/>
                <w:kern w:val="0"/>
                <w:sz w:val="21"/>
                <w:szCs w:val="21"/>
              </w:rPr>
            </w:pPr>
          </w:p>
        </w:tc>
        <w:tc>
          <w:tcPr>
            <w:tcW w:w="82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_GB2312"/>
                <w:kern w:val="0"/>
                <w:sz w:val="21"/>
                <w:szCs w:val="21"/>
              </w:rPr>
            </w:pPr>
          </w:p>
        </w:tc>
        <w:tc>
          <w:tcPr>
            <w:tcW w:w="30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价格类型</w:t>
            </w:r>
          </w:p>
        </w:tc>
        <w:tc>
          <w:tcPr>
            <w:tcW w:w="4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snapToGrid w:val="0"/>
              <w:spacing w:line="30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地面地价</w:t>
            </w:r>
          </w:p>
        </w:tc>
      </w:tr>
    </w:tbl>
    <w:p>
      <w:pPr>
        <w:widowControl/>
        <w:snapToGrid w:val="0"/>
        <w:spacing w:before="78" w:after="78" w:line="300" w:lineRule="auto"/>
        <w:jc w:val="left"/>
        <w:rPr>
          <w:rFonts w:hint="eastAsia" w:ascii="楷体_GB2312" w:hAnsi="Tahoma" w:eastAsia="楷体_GB2312" w:cs="Tahoma"/>
          <w:b/>
          <w:bCs/>
          <w:kern w:val="0"/>
          <w:sz w:val="21"/>
          <w:szCs w:val="21"/>
        </w:rPr>
      </w:pPr>
      <w:r>
        <w:rPr>
          <w:rFonts w:hint="eastAsia" w:ascii="楷体_GB2312" w:eastAsia="楷体_GB2312"/>
          <w:b/>
          <w:bCs/>
          <w:kern w:val="0"/>
          <w:sz w:val="21"/>
          <w:szCs w:val="21"/>
        </w:rPr>
        <w:t>注：“五通一平”是指宗地外通路、通上水、通下水、通电、通讯和宗地内场地平整</w:t>
      </w:r>
      <w:r>
        <w:rPr>
          <w:rFonts w:hint="eastAsia" w:ascii="楷体_GB2312" w:hAnsi="Tahoma" w:eastAsia="楷体_GB2312" w:cs="Tahoma"/>
          <w:b/>
          <w:bCs/>
          <w:kern w:val="0"/>
          <w:sz w:val="21"/>
          <w:szCs w:val="21"/>
        </w:rPr>
        <w:t>。</w:t>
      </w:r>
    </w:p>
    <w:p>
      <w:pPr>
        <w:widowControl/>
        <w:snapToGrid w:val="0"/>
        <w:spacing w:before="78" w:after="78" w:line="300" w:lineRule="auto"/>
        <w:jc w:val="left"/>
        <w:rPr>
          <w:rFonts w:hint="eastAsia" w:ascii="楷体_GB2312" w:hAnsi="Tahoma" w:eastAsia="楷体_GB2312" w:cs="Tahoma"/>
          <w:b/>
          <w:bCs/>
          <w:kern w:val="0"/>
          <w:sz w:val="21"/>
          <w:szCs w:val="21"/>
        </w:rPr>
      </w:pPr>
    </w:p>
    <w:p>
      <w:pPr>
        <w:widowControl/>
        <w:snapToGrid w:val="0"/>
        <w:spacing w:before="78" w:after="78" w:line="300" w:lineRule="auto"/>
        <w:jc w:val="left"/>
        <w:rPr>
          <w:rFonts w:hint="eastAsia" w:ascii="楷体_GB2312" w:hAnsi="Tahoma" w:eastAsia="楷体_GB2312" w:cs="Tahoma"/>
          <w:b/>
          <w:bCs/>
          <w:kern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77D44"/>
    <w:rsid w:val="7D37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2019-05-29T02:46:00Z</dcterms:created>
  <dc:creator>谢佳</dc:creator>
  <cp:lastModifiedBy>谢佳</cp:lastModifiedBy>
  <dcterms:modified xsi:type="dcterms:W3CDTF">2019-05-29T02:57:02Z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