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240" w:lineRule="auto"/>
        <w:jc w:val="distribute"/>
        <w:textAlignment w:val="auto"/>
        <w:outlineLvl w:val="9"/>
        <w:rPr>
          <w:rFonts w:hint="eastAsia" w:ascii="方正小标宋简体" w:hAnsi="方正小标宋简体" w:eastAsia="方正小标宋简体" w:cs="方正小标宋简体"/>
          <w:color w:val="FF0000"/>
          <w:sz w:val="36"/>
          <w:szCs w:val="36"/>
        </w:rPr>
      </w:pPr>
      <w:bookmarkStart w:id="0" w:name="_GoBack"/>
      <w:bookmarkEnd w:id="0"/>
      <w:r>
        <w:rPr>
          <w:rFonts w:hint="eastAsia" w:ascii="方正小标宋简体" w:hAnsi="方正小标宋简体" w:eastAsia="方正小标宋简体" w:cs="方正小标宋简体"/>
          <w:color w:val="FF0000"/>
          <w:sz w:val="42"/>
          <w:szCs w:val="42"/>
        </w:rPr>
        <w:t>南雄市新时期精准扶贫工作领导小组办公室</w:t>
      </w:r>
    </w:p>
    <w:p>
      <w:pPr>
        <w:keepNext w:val="0"/>
        <w:keepLines w:val="0"/>
        <w:pageBreakBefore w:val="0"/>
        <w:widowControl/>
        <w:kinsoku/>
        <w:wordWrap/>
        <w:overflowPunct/>
        <w:topLinePunct w:val="0"/>
        <w:autoSpaceDE/>
        <w:autoSpaceDN/>
        <w:bidi w:val="0"/>
        <w:adjustRightInd/>
        <w:snapToGrid/>
        <w:spacing w:after="0" w:line="240" w:lineRule="auto"/>
        <w:jc w:val="distribute"/>
        <w:textAlignment w:val="auto"/>
        <w:outlineLvl w:val="9"/>
        <w:rPr>
          <w:rFonts w:hint="eastAsia" w:ascii="方正小标宋简体" w:hAnsi="方正小标宋简体" w:eastAsia="方正小标宋简体" w:cs="方正小标宋简体"/>
          <w:color w:val="FF0000"/>
          <w:sz w:val="48"/>
          <w:szCs w:val="48"/>
        </w:rPr>
      </w:pPr>
      <w:r>
        <w:rPr>
          <w:rFonts w:hint="eastAsia" w:ascii="方正小标宋简体" w:hAnsi="方正小标宋简体" w:eastAsia="方正小标宋简体" w:cs="方正小标宋简体"/>
          <w:color w:val="FF0000"/>
          <w:sz w:val="48"/>
          <w:szCs w:val="48"/>
        </w:rPr>
        <w:t>南雄市</w:t>
      </w:r>
      <w:r>
        <w:rPr>
          <w:rFonts w:hint="eastAsia" w:ascii="方正小标宋简体" w:hAnsi="方正小标宋简体" w:eastAsia="方正小标宋简体" w:cs="方正小标宋简体"/>
          <w:color w:val="FF0000"/>
          <w:sz w:val="48"/>
          <w:szCs w:val="48"/>
          <w:lang w:eastAsia="zh-CN"/>
        </w:rPr>
        <w:t>财政</w:t>
      </w:r>
      <w:r>
        <w:rPr>
          <w:rFonts w:hint="eastAsia" w:ascii="方正小标宋简体" w:hAnsi="方正小标宋简体" w:eastAsia="方正小标宋简体" w:cs="方正小标宋简体"/>
          <w:color w:val="FF0000"/>
          <w:sz w:val="48"/>
          <w:szCs w:val="48"/>
        </w:rPr>
        <w:t>局</w:t>
      </w:r>
    </w:p>
    <w:p>
      <w:pPr>
        <w:keepNext w:val="0"/>
        <w:keepLines w:val="0"/>
        <w:pageBreakBefore w:val="0"/>
        <w:widowControl/>
        <w:kinsoku/>
        <w:wordWrap/>
        <w:overflowPunct/>
        <w:topLinePunct w:val="0"/>
        <w:autoSpaceDE/>
        <w:autoSpaceDN/>
        <w:bidi w:val="0"/>
        <w:adjustRightInd/>
        <w:snapToGrid/>
        <w:spacing w:after="0" w:line="240" w:lineRule="auto"/>
        <w:jc w:val="distribute"/>
        <w:textAlignment w:val="auto"/>
        <w:outlineLvl w:val="9"/>
        <w:rPr>
          <w:rFonts w:hint="eastAsia" w:ascii="方正小标宋简体" w:hAnsi="方正小标宋简体" w:eastAsia="方正小标宋简体" w:cs="方正小标宋简体"/>
          <w:color w:val="FF0000"/>
          <w:sz w:val="48"/>
          <w:szCs w:val="48"/>
          <w:lang w:eastAsia="zh-CN"/>
        </w:rPr>
      </w:pPr>
      <w:r>
        <w:rPr>
          <w:rFonts w:hint="eastAsia" w:ascii="方正小标宋简体" w:hAnsi="方正小标宋简体" w:eastAsia="方正小标宋简体" w:cs="方正小标宋简体"/>
          <w:color w:val="FF0000"/>
          <w:sz w:val="48"/>
          <w:szCs w:val="48"/>
        </w:rPr>
        <w:t>南雄市</w:t>
      </w:r>
      <w:r>
        <w:rPr>
          <w:rFonts w:hint="eastAsia" w:ascii="方正小标宋简体" w:hAnsi="方正小标宋简体" w:eastAsia="方正小标宋简体" w:cs="方正小标宋简体"/>
          <w:color w:val="FF0000"/>
          <w:sz w:val="48"/>
          <w:szCs w:val="48"/>
          <w:lang w:eastAsia="zh-CN"/>
        </w:rPr>
        <w:t>金融办</w:t>
      </w:r>
    </w:p>
    <w:p>
      <w:pPr>
        <w:keepNext w:val="0"/>
        <w:keepLines w:val="0"/>
        <w:pageBreakBefore w:val="0"/>
        <w:widowControl/>
        <w:kinsoku/>
        <w:wordWrap/>
        <w:overflowPunct/>
        <w:topLinePunct w:val="0"/>
        <w:autoSpaceDE/>
        <w:autoSpaceDN/>
        <w:bidi w:val="0"/>
        <w:adjustRightInd/>
        <w:snapToGrid/>
        <w:spacing w:after="0" w:line="240" w:lineRule="auto"/>
        <w:jc w:val="distribute"/>
        <w:textAlignment w:val="auto"/>
        <w:outlineLvl w:val="9"/>
        <w:rPr>
          <w:rFonts w:hint="eastAsia" w:ascii="方正小标宋简体" w:hAnsi="方正小标宋简体" w:eastAsia="方正小标宋简体" w:cs="方正小标宋简体"/>
          <w:color w:val="FF0000"/>
          <w:sz w:val="48"/>
          <w:szCs w:val="48"/>
          <w:lang w:eastAsia="zh-CN"/>
        </w:rPr>
      </w:pPr>
      <w:r>
        <w:rPr>
          <w:rFonts w:hint="eastAsia" w:ascii="方正小标宋简体" w:hAnsi="方正小标宋简体" w:eastAsia="方正小标宋简体" w:cs="方正小标宋简体"/>
          <w:color w:val="FF0000"/>
          <w:sz w:val="48"/>
          <w:szCs w:val="48"/>
          <w:highlight w:val="none"/>
          <w:lang w:val="en-US" w:eastAsia="zh-CN"/>
        </w:rPr>
        <w:t>中国人民银行南雄市支行</w:t>
      </w:r>
    </w:p>
    <w:p>
      <w:pPr>
        <w:jc w:val="both"/>
        <w:rPr>
          <w:rFonts w:hint="eastAsia" w:ascii="仿宋_GB2312" w:hAnsi="仿宋_GB2312" w:eastAsia="仿宋_GB2312" w:cs="仿宋_GB2312"/>
          <w:sz w:val="32"/>
        </w:rPr>
      </w:pPr>
    </w:p>
    <w:p>
      <w:pPr>
        <w:jc w:val="center"/>
        <w:rPr>
          <w:rFonts w:ascii="仿宋_GB2312" w:eastAsia="仿宋_GB2312"/>
          <w:w w:val="77"/>
          <w:kern w:val="0"/>
          <w:sz w:val="32"/>
          <w:szCs w:val="32"/>
        </w:rPr>
      </w:pPr>
      <w:r>
        <mc:AlternateContent>
          <mc:Choice Requires="wps">
            <w:drawing>
              <wp:anchor distT="0" distB="0" distL="114300" distR="114300" simplePos="0" relativeHeight="251658240" behindDoc="0" locked="0" layoutInCell="1" allowOverlap="1">
                <wp:simplePos x="0" y="0"/>
                <wp:positionH relativeFrom="column">
                  <wp:posOffset>-63500</wp:posOffset>
                </wp:positionH>
                <wp:positionV relativeFrom="paragraph">
                  <wp:posOffset>487045</wp:posOffset>
                </wp:positionV>
                <wp:extent cx="5671820" cy="9525"/>
                <wp:effectExtent l="0" t="28575" r="5080" b="38100"/>
                <wp:wrapNone/>
                <wp:docPr id="1" name="线条1"/>
                <wp:cNvGraphicFramePr/>
                <a:graphic xmlns:a="http://schemas.openxmlformats.org/drawingml/2006/main">
                  <a:graphicData uri="http://schemas.microsoft.com/office/word/2010/wordprocessingShape">
                    <wps:wsp>
                      <wps:cNvCnPr/>
                      <wps:spPr>
                        <a:xfrm>
                          <a:off x="0" y="0"/>
                          <a:ext cx="5671820" cy="9525"/>
                        </a:xfrm>
                        <a:prstGeom prst="line">
                          <a:avLst/>
                        </a:prstGeom>
                        <a:ln w="57150" cap="flat" cmpd="thickThin">
                          <a:solidFill>
                            <a:srgbClr val="FF0000"/>
                          </a:solidFill>
                          <a:prstDash val="solid"/>
                          <a:headEnd type="none" w="med" len="med"/>
                          <a:tailEnd type="none" w="med" len="med"/>
                        </a:ln>
                        <a:effectLst/>
                      </wps:spPr>
                      <wps:bodyPr upright="1"/>
                    </wps:wsp>
                  </a:graphicData>
                </a:graphic>
              </wp:anchor>
            </w:drawing>
          </mc:Choice>
          <mc:Fallback>
            <w:pict>
              <v:line id="线条1" o:spid="_x0000_s1026" o:spt="20" style="position:absolute;left:0pt;margin-left:-5pt;margin-top:38.35pt;height:0.75pt;width:446.6pt;z-index:251658240;mso-width-relative:page;mso-height-relative:page;" filled="f" stroked="t" coordsize="21600,21600" o:gfxdata="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lPYZrWAAAACQEAAA8AAAAAAAAA&#10;AQAgAAAAIgAAAGRycy9kb3ducmV2LnhtbFBLAQIUABQAAAAIAIdO4kA+v/vr2gEAAKQDAAAOAAAA&#10;AAAAAAEAIAAAACUBAABkcnMvZTJvRG9jLnhtbFBLBQYAAAAABgAGAFkBAABxBQAAAAA=&#10;">
                <v:fill on="f" focussize="0,0"/>
                <v:stroke weight="4.5pt" color="#FF0000" linestyle="thickThin" joinstyle="round"/>
                <v:imagedata o:title=""/>
                <o:lock v:ext="edit" aspectratio="f"/>
              </v:line>
            </w:pict>
          </mc:Fallback>
        </mc:AlternateContent>
      </w:r>
      <w:r>
        <w:rPr>
          <w:rFonts w:hint="eastAsia" w:ascii="仿宋_GB2312" w:hAnsi="仿宋_GB2312" w:eastAsia="仿宋_GB2312" w:cs="仿宋_GB2312"/>
          <w:sz w:val="32"/>
        </w:rPr>
        <w:t>雄精准办〔</w:t>
      </w:r>
      <w:r>
        <w:rPr>
          <w:rFonts w:hint="eastAsia" w:ascii="仿宋_GB2312" w:hAnsi="仿宋_GB2312" w:eastAsia="仿宋_GB2312" w:cs="仿宋_GB2312"/>
          <w:sz w:val="32"/>
          <w:szCs w:val="32"/>
        </w:rPr>
        <w:t>2018</w:t>
      </w:r>
      <w:r>
        <w:rPr>
          <w:rFonts w:hint="eastAsia" w:ascii="仿宋_GB2312" w:hAnsi="仿宋_GB2312" w:eastAsia="仿宋_GB2312" w:cs="仿宋_GB2312"/>
          <w:sz w:val="32"/>
        </w:rPr>
        <w:t>〕</w:t>
      </w:r>
      <w:r>
        <w:rPr>
          <w:rFonts w:hint="eastAsia" w:ascii="仿宋_GB2312" w:hAnsi="仿宋_GB2312" w:eastAsia="仿宋_GB2312" w:cs="仿宋_GB2312"/>
          <w:sz w:val="32"/>
          <w:lang w:val="en-US" w:eastAsia="zh-CN"/>
        </w:rPr>
        <w:t>23</w:t>
      </w:r>
      <w:r>
        <w:rPr>
          <w:rFonts w:hint="eastAsia" w:ascii="仿宋_GB2312" w:hAnsi="仿宋_GB2312" w:eastAsia="仿宋_GB2312" w:cs="仿宋_GB2312"/>
          <w:sz w:val="32"/>
        </w:rPr>
        <w:t>号</w:t>
      </w:r>
    </w:p>
    <w:p>
      <w:pPr>
        <w:keepNext w:val="0"/>
        <w:keepLines w:val="0"/>
        <w:pageBreakBefore w:val="0"/>
        <w:widowControl/>
        <w:kinsoku/>
        <w:wordWrap/>
        <w:overflowPunct/>
        <w:topLinePunct w:val="0"/>
        <w:autoSpaceDE/>
        <w:autoSpaceDN/>
        <w:bidi w:val="0"/>
        <w:adjustRightInd/>
        <w:snapToGrid/>
        <w:spacing w:before="313" w:after="0" w:line="560" w:lineRule="exact"/>
        <w:jc w:val="center"/>
        <w:textAlignment w:val="auto"/>
        <w:rPr>
          <w:rFonts w:hint="eastAsia" w:ascii="方正小标宋简体" w:hAnsi="方正小标宋简体" w:eastAsia="方正小标宋简体" w:cs="方正小标宋简体"/>
          <w:sz w:val="44"/>
          <w:szCs w:val="44"/>
          <w:highlight w:val="none"/>
        </w:rPr>
      </w:pP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关于进一步规范精准扶贫贷款</w:t>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贴息程序的通知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lang w:eastAsia="zh-CN"/>
        </w:rPr>
        <w:t>各镇（街道）、驻镇（村）工作组（队）：</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进一步规范我市精准扶贫贷款贴息管理，推动我市金融扶贫政策落实，根据《关于印发广东省扶贫小额信贷工作实施方案2016-2018年的通知》（粤扶办〔2016〕171号）、《关于印发&lt;韶关市扶贫小额信贷工作实施细则（2016-2018年）&gt;（修订稿）的通知》（韶扶办〔2018〕12号）及《关于印发&lt;南雄市精准扶贫小额贷款实施细则&gt;的通知》（雄精准办〔2017〕6号）文件精神，现将我市贴息管理有关问题作如下要求：</w:t>
      </w:r>
    </w:p>
    <w:p>
      <w:pPr>
        <w:keepNext w:val="0"/>
        <w:keepLines w:val="0"/>
        <w:pageBreakBefore w:val="0"/>
        <w:widowControl/>
        <w:numPr>
          <w:ilvl w:val="0"/>
          <w:numId w:val="1"/>
        </w:numPr>
        <w:kinsoku/>
        <w:wordWrap/>
        <w:overflowPunct/>
        <w:topLinePunct w:val="0"/>
        <w:autoSpaceDE/>
        <w:autoSpaceDN/>
        <w:bidi w:val="0"/>
        <w:adjustRightInd/>
        <w:snapToGrid/>
        <w:spacing w:after="0" w:line="560" w:lineRule="exact"/>
        <w:ind w:firstLine="640" w:firstLineChars="200"/>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贴息</w:t>
      </w:r>
      <w:r>
        <w:rPr>
          <w:rFonts w:hint="eastAsia" w:ascii="黑体" w:hAnsi="黑体" w:eastAsia="黑体" w:cs="黑体"/>
          <w:b w:val="0"/>
          <w:bCs w:val="0"/>
          <w:sz w:val="32"/>
          <w:szCs w:val="32"/>
          <w:highlight w:val="none"/>
          <w:lang w:eastAsia="zh-CN"/>
        </w:rPr>
        <w:t>方式及贴息</w:t>
      </w:r>
      <w:r>
        <w:rPr>
          <w:rFonts w:hint="eastAsia" w:ascii="黑体" w:hAnsi="黑体" w:eastAsia="黑体" w:cs="黑体"/>
          <w:b w:val="0"/>
          <w:bCs w:val="0"/>
          <w:sz w:val="32"/>
          <w:szCs w:val="32"/>
          <w:highlight w:val="none"/>
        </w:rPr>
        <w:t>程序</w:t>
      </w:r>
    </w:p>
    <w:p>
      <w:pPr>
        <w:keepNext w:val="0"/>
        <w:keepLines w:val="0"/>
        <w:pageBreakBefore w:val="0"/>
        <w:widowControl/>
        <w:numPr>
          <w:ilvl w:val="0"/>
          <w:numId w:val="0"/>
        </w:numPr>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val="0"/>
          <w:bCs w:val="0"/>
          <w:sz w:val="32"/>
          <w:szCs w:val="32"/>
          <w:highlight w:val="none"/>
          <w:lang w:val="en-US" w:eastAsia="zh-CN"/>
        </w:rPr>
        <w:t xml:space="preserve"> 贴息方式主要有两种：直接贴息和先收后贴。</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 xml:space="preserve">   </w:t>
      </w:r>
      <w:r>
        <w:rPr>
          <w:rFonts w:hint="eastAsia" w:ascii="楷体_GB2312" w:hAnsi="楷体_GB2312" w:eastAsia="楷体_GB2312" w:cs="楷体_GB2312"/>
          <w:b w:val="0"/>
          <w:bCs w:val="0"/>
          <w:sz w:val="32"/>
          <w:szCs w:val="32"/>
          <w:highlight w:val="none"/>
        </w:rPr>
        <w:t xml:space="preserve"> （一）直接贴息</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贷款发放的金融机构（以下简称“承贷金融机构”）在每季度（3月、6月、9月、12月）的10号前，汇总当季全部扶贫贷款本息明细，并填写《扶贫小额贷款贴息明细表》（见附件），向</w:t>
      </w:r>
      <w:r>
        <w:rPr>
          <w:rFonts w:hint="eastAsia" w:ascii="仿宋_GB2312" w:hAnsi="仿宋_GB2312" w:eastAsia="仿宋_GB2312" w:cs="仿宋_GB2312"/>
          <w:sz w:val="32"/>
          <w:szCs w:val="32"/>
          <w:highlight w:val="none"/>
          <w:lang w:eastAsia="zh-CN"/>
        </w:rPr>
        <w:t>市“精准”办</w:t>
      </w:r>
      <w:r>
        <w:rPr>
          <w:rFonts w:hint="eastAsia" w:ascii="仿宋_GB2312" w:hAnsi="仿宋_GB2312" w:eastAsia="仿宋_GB2312" w:cs="仿宋_GB2312"/>
          <w:sz w:val="32"/>
          <w:szCs w:val="32"/>
          <w:highlight w:val="none"/>
        </w:rPr>
        <w:t>申请当季小额信贷贴息</w:t>
      </w:r>
      <w:r>
        <w:rPr>
          <w:rFonts w:hint="eastAsia" w:ascii="仿宋_GB2312" w:hAnsi="仿宋_GB2312" w:eastAsia="仿宋_GB2312" w:cs="仿宋_GB2312"/>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经</w:t>
      </w:r>
      <w:r>
        <w:rPr>
          <w:rFonts w:hint="eastAsia" w:ascii="仿宋_GB2312" w:hAnsi="仿宋_GB2312" w:eastAsia="仿宋_GB2312" w:cs="仿宋_GB2312"/>
          <w:sz w:val="32"/>
          <w:szCs w:val="32"/>
          <w:highlight w:val="none"/>
          <w:lang w:eastAsia="zh-CN"/>
        </w:rPr>
        <w:t>市“精准”办</w:t>
      </w:r>
      <w:r>
        <w:rPr>
          <w:rFonts w:hint="eastAsia" w:ascii="仿宋_GB2312" w:hAnsi="仿宋_GB2312" w:eastAsia="仿宋_GB2312" w:cs="仿宋_GB2312"/>
          <w:sz w:val="32"/>
          <w:szCs w:val="32"/>
          <w:highlight w:val="none"/>
        </w:rPr>
        <w:t>审核无误后，由市财政局每季度结息日即（3月、6月、9月、12月）20号前下拨贴息资金到</w:t>
      </w:r>
      <w:r>
        <w:rPr>
          <w:rFonts w:hint="eastAsia" w:ascii="仿宋_GB2312" w:hAnsi="仿宋_GB2312" w:eastAsia="仿宋_GB2312" w:cs="仿宋_GB2312"/>
          <w:sz w:val="32"/>
          <w:szCs w:val="32"/>
          <w:highlight w:val="none"/>
          <w:lang w:eastAsia="zh-CN"/>
        </w:rPr>
        <w:t>贷款贫困户</w:t>
      </w:r>
      <w:r>
        <w:rPr>
          <w:rFonts w:hint="eastAsia" w:ascii="仿宋_GB2312" w:hAnsi="仿宋_GB2312" w:eastAsia="仿宋_GB2312" w:cs="仿宋_GB2312"/>
          <w:sz w:val="32"/>
          <w:szCs w:val="32"/>
          <w:highlight w:val="none"/>
        </w:rPr>
        <w:t>账户</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承贷金融机构在每季度（3月、6月、9月、12月）20号贷款扣息日对扶贫贷款进行扣息，并及时收集相关扶贫贷款扣息凭证原件，交由给</w:t>
      </w:r>
      <w:r>
        <w:rPr>
          <w:rFonts w:hint="eastAsia" w:ascii="仿宋_GB2312" w:hAnsi="仿宋_GB2312" w:eastAsia="仿宋_GB2312" w:cs="仿宋_GB2312"/>
          <w:sz w:val="32"/>
          <w:szCs w:val="32"/>
          <w:highlight w:val="none"/>
          <w:lang w:eastAsia="zh-CN"/>
        </w:rPr>
        <w:t>市“精准”办</w:t>
      </w:r>
      <w:r>
        <w:rPr>
          <w:rFonts w:hint="eastAsia" w:ascii="仿宋_GB2312" w:hAnsi="仿宋_GB2312" w:eastAsia="仿宋_GB2312" w:cs="仿宋_GB2312"/>
          <w:sz w:val="32"/>
          <w:szCs w:val="32"/>
          <w:highlight w:val="none"/>
        </w:rPr>
        <w:t>入账。</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楷体_GB2312" w:hAnsi="楷体_GB2312" w:eastAsia="楷体_GB2312" w:cs="楷体_GB2312"/>
          <w:b w:val="0"/>
          <w:bCs w:val="0"/>
          <w:sz w:val="32"/>
          <w:szCs w:val="32"/>
          <w:highlight w:val="none"/>
        </w:rPr>
      </w:pPr>
      <w:r>
        <w:rPr>
          <w:rFonts w:hint="eastAsia" w:ascii="楷体_GB2312" w:hAnsi="楷体_GB2312" w:eastAsia="楷体_GB2312" w:cs="楷体_GB2312"/>
          <w:b w:val="0"/>
          <w:bCs w:val="0"/>
          <w:sz w:val="32"/>
          <w:szCs w:val="32"/>
          <w:highlight w:val="none"/>
        </w:rPr>
        <w:t>（二）先收后贴</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eastAsia="zh-CN"/>
        </w:rPr>
        <w:t>、承贷金融机构</w:t>
      </w:r>
      <w:r>
        <w:rPr>
          <w:rFonts w:hint="eastAsia" w:ascii="仿宋_GB2312" w:hAnsi="仿宋_GB2312" w:eastAsia="仿宋_GB2312" w:cs="仿宋_GB2312"/>
          <w:sz w:val="32"/>
          <w:szCs w:val="32"/>
          <w:highlight w:val="none"/>
        </w:rPr>
        <w:t>根据与贫困户签订的贷款合同约定的结息方式，按时正常收取贫困户小额信贷利息，并及时收集相关扶贫贷款扣息凭证原件</w:t>
      </w:r>
      <w:r>
        <w:rPr>
          <w:rFonts w:hint="eastAsia" w:ascii="仿宋_GB2312" w:hAnsi="仿宋_GB2312" w:eastAsia="仿宋_GB2312" w:cs="仿宋_GB2312"/>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每年1月10号前，汇总上一年度全部扶贫贷款本息明细，填制《扶贫小额贷款贴息明细表》（见附件），并提供扶贫贷款扣息凭证原件，向</w:t>
      </w:r>
      <w:r>
        <w:rPr>
          <w:rFonts w:hint="eastAsia" w:ascii="仿宋_GB2312" w:hAnsi="仿宋_GB2312" w:eastAsia="仿宋_GB2312" w:cs="仿宋_GB2312"/>
          <w:sz w:val="32"/>
          <w:szCs w:val="32"/>
          <w:highlight w:val="none"/>
          <w:lang w:eastAsia="zh-CN"/>
        </w:rPr>
        <w:t>市“精准”办</w:t>
      </w:r>
      <w:r>
        <w:rPr>
          <w:rFonts w:hint="eastAsia" w:ascii="仿宋_GB2312" w:hAnsi="仿宋_GB2312" w:eastAsia="仿宋_GB2312" w:cs="仿宋_GB2312"/>
          <w:sz w:val="32"/>
          <w:szCs w:val="32"/>
          <w:highlight w:val="none"/>
        </w:rPr>
        <w:t>申请上年度贫困户小额信贷贴息</w:t>
      </w:r>
      <w:r>
        <w:rPr>
          <w:rFonts w:hint="eastAsia" w:ascii="仿宋_GB2312" w:hAnsi="仿宋_GB2312" w:eastAsia="仿宋_GB2312" w:cs="仿宋_GB2312"/>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经</w:t>
      </w:r>
      <w:r>
        <w:rPr>
          <w:rFonts w:hint="eastAsia" w:ascii="仿宋_GB2312" w:hAnsi="仿宋_GB2312" w:eastAsia="仿宋_GB2312" w:cs="仿宋_GB2312"/>
          <w:sz w:val="32"/>
          <w:szCs w:val="32"/>
          <w:highlight w:val="none"/>
          <w:lang w:eastAsia="zh-CN"/>
        </w:rPr>
        <w:t>市“精准”办</w:t>
      </w:r>
      <w:r>
        <w:rPr>
          <w:rFonts w:hint="eastAsia" w:ascii="仿宋_GB2312" w:hAnsi="仿宋_GB2312" w:eastAsia="仿宋_GB2312" w:cs="仿宋_GB2312"/>
          <w:sz w:val="32"/>
          <w:szCs w:val="32"/>
          <w:highlight w:val="none"/>
        </w:rPr>
        <w:t>对上报的贴息资料审核无误后，市财政局</w:t>
      </w:r>
      <w:r>
        <w:rPr>
          <w:rFonts w:hint="eastAsia" w:ascii="仿宋_GB2312" w:hAnsi="仿宋_GB2312" w:eastAsia="仿宋_GB2312" w:cs="仿宋_GB2312"/>
          <w:sz w:val="32"/>
          <w:szCs w:val="32"/>
          <w:highlight w:val="none"/>
          <w:lang w:eastAsia="zh-CN"/>
        </w:rPr>
        <w:t>于每年</w:t>
      </w:r>
      <w:r>
        <w:rPr>
          <w:rFonts w:hint="eastAsia" w:ascii="仿宋_GB2312" w:hAnsi="仿宋_GB2312" w:eastAsia="仿宋_GB2312" w:cs="仿宋_GB2312"/>
          <w:sz w:val="32"/>
          <w:szCs w:val="32"/>
          <w:highlight w:val="none"/>
        </w:rPr>
        <w:t>1月20号前将贴息资金划拨到贷款贫困户账户。</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承贷金融机构可根据实际业务需要选择其中一种贴息方式。目前我市中国农业银行股份有限公司南雄市支行及中国邮政储蓄银行股份有限公司南雄市支行采取的是直接贴息方式，南雄市农村信用合作联社采取的是先收后贴方式。若日后承贷金融机构需调整贴息方式的，需向市“精准”办提交书面申请。</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二、贴息管理</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扶贫贷款原则上实行按季贴息，贴息时间为扶贫贷款发放日起至扶贫贷款到期日止。对超过扶贫贷款期限、未按合同约定条款使用扶贫贷款、未按合同约定归还扶贫贷款及其他违约行为而产生的逾期贷款利息、加息及罚息部分，不予以贴息。</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二</w:t>
      </w:r>
      <w:r>
        <w:rPr>
          <w:rFonts w:hint="eastAsia" w:ascii="仿宋_GB2312" w:hAnsi="仿宋_GB2312" w:eastAsia="仿宋_GB2312" w:cs="仿宋_GB2312"/>
          <w:sz w:val="32"/>
          <w:szCs w:val="32"/>
          <w:highlight w:val="none"/>
        </w:rPr>
        <w:t>）在扶贫贷款期限内，扶贫贷款贴息利率按中国人民银行同期同档次的贷款基准利率执行，贷款逾期按合作金融机构利率管理的相关规定执行。</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highlight w:val="none"/>
        </w:rPr>
        <w:t>）贴息资金是专项资金，必须保证贴息资金的专款专用，任何单位不得以任何理由、任何形式截留、挪用。违反规定使用、骗取、截留、挪用贴息资金的，依照《财政违法行为处罚处分条例》的规定进行处理。</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三、职责分工</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承贷金融机构负责统计汇总每户贷款贫困户贷款本息明细，收集相关扶贫贷款扣息凭证原件，按时向</w:t>
      </w:r>
      <w:r>
        <w:rPr>
          <w:rFonts w:hint="eastAsia" w:ascii="仿宋_GB2312" w:hAnsi="仿宋_GB2312" w:eastAsia="仿宋_GB2312" w:cs="仿宋_GB2312"/>
          <w:sz w:val="32"/>
          <w:szCs w:val="32"/>
          <w:highlight w:val="none"/>
          <w:lang w:eastAsia="zh-CN"/>
        </w:rPr>
        <w:t>市“精准”办</w:t>
      </w:r>
      <w:r>
        <w:rPr>
          <w:rFonts w:hint="eastAsia" w:ascii="仿宋_GB2312" w:hAnsi="仿宋_GB2312" w:eastAsia="仿宋_GB2312" w:cs="仿宋_GB2312"/>
          <w:sz w:val="32"/>
          <w:szCs w:val="32"/>
          <w:highlight w:val="none"/>
        </w:rPr>
        <w:t>申请小额信贷贴息，并确保数据准确、贴息及时等；</w:t>
      </w:r>
      <w:r>
        <w:rPr>
          <w:rFonts w:hint="eastAsia" w:ascii="仿宋_GB2312" w:hAnsi="仿宋_GB2312" w:eastAsia="仿宋_GB2312" w:cs="仿宋_GB2312"/>
          <w:sz w:val="32"/>
          <w:szCs w:val="32"/>
          <w:highlight w:val="none"/>
          <w:lang w:eastAsia="zh-CN"/>
        </w:rPr>
        <w:t>市“精准”办</w:t>
      </w:r>
      <w:r>
        <w:rPr>
          <w:rFonts w:hint="eastAsia" w:ascii="仿宋_GB2312" w:hAnsi="仿宋_GB2312" w:eastAsia="仿宋_GB2312" w:cs="仿宋_GB2312"/>
          <w:sz w:val="32"/>
          <w:szCs w:val="32"/>
          <w:highlight w:val="none"/>
        </w:rPr>
        <w:t>和市财政局对扶贫贷款贴息资金全过程监督，对贴息对象和扶持内容严格把关，对项目落实情况及贴息资金使用情况进行检查，避免出现应发未发贷款贴息、贷款贴息执行进度较慢及违规发放贷款贴息的现象。</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四、责任追究</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申请扶贫贷款贴息资金材料虚假不实的，规划的扶贫贷款贴息项目未实施到位的，多头申报、重复享受贴息的，一经核实，给予批评或通报，并责令限期整改和纠正。对于性质恶劣并造成扶贫贷款贴息资金损失或不良社会影响的，将追究法律责任。</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附件：扶贫小额贷款贴息明细表</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after="0" w:line="560" w:lineRule="exact"/>
        <w:ind w:firstLine="320" w:firstLineChars="1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南雄市“精准”办</w:t>
      </w:r>
      <w:r>
        <w:rPr>
          <w:rFonts w:hint="eastAsia" w:ascii="仿宋_GB2312" w:hAnsi="仿宋_GB2312" w:eastAsia="仿宋_GB2312" w:cs="仿宋_GB2312"/>
          <w:sz w:val="32"/>
          <w:szCs w:val="32"/>
          <w:highlight w:val="none"/>
          <w:lang w:val="en-US" w:eastAsia="zh-CN"/>
        </w:rPr>
        <w:t xml:space="preserve">             南雄市财政局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南雄市金融办             中国人民银行南雄市支行</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after="0" w:line="560" w:lineRule="exact"/>
        <w:ind w:firstLine="2240" w:firstLineChars="7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2018年1</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14</w:t>
      </w:r>
      <w:r>
        <w:rPr>
          <w:rFonts w:hint="eastAsia" w:ascii="仿宋_GB2312" w:hAnsi="仿宋_GB2312" w:eastAsia="仿宋_GB2312" w:cs="仿宋_GB2312"/>
          <w:sz w:val="32"/>
          <w:szCs w:val="32"/>
          <w:highlight w:val="none"/>
        </w:rPr>
        <w:t>日</w:t>
      </w:r>
    </w:p>
    <w:p>
      <w:pPr>
        <w:pStyle w:val="4"/>
        <w:keepNext w:val="0"/>
        <w:keepLines w:val="0"/>
        <w:pageBreakBefore w:val="0"/>
        <w:widowControl w:val="0"/>
        <w:kinsoku/>
        <w:wordWrap/>
        <w:overflowPunct/>
        <w:topLinePunct w:val="0"/>
        <w:autoSpaceDE/>
        <w:autoSpaceDN/>
        <w:bidi w:val="0"/>
        <w:adjustRightInd/>
        <w:snapToGrid/>
        <w:spacing w:after="0" w:line="560" w:lineRule="exact"/>
        <w:jc w:val="both"/>
        <w:textAlignment w:val="auto"/>
        <w:outlineLvl w:val="9"/>
        <w:rPr>
          <w:rFonts w:hint="eastAsia" w:ascii="方正小标宋简体" w:hAnsi="方正小标宋简体" w:eastAsia="方正小标宋简体" w:cs="方正小标宋简体"/>
          <w:color w:val="FF0000"/>
          <w:sz w:val="42"/>
          <w:szCs w:val="42"/>
        </w:rPr>
      </w:pPr>
    </w:p>
    <w:sectPr>
      <w:footerReference r:id="rId3" w:type="default"/>
      <w:pgSz w:w="11906" w:h="16838"/>
      <w:pgMar w:top="2098" w:right="1474"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PAGE  \* MERGEFORMAT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PAGE  \* MERGEFORMAT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C7712B"/>
    <w:multiLevelType w:val="singleLevel"/>
    <w:tmpl w:val="D7C7712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E53D45"/>
    <w:rsid w:val="076A5CC0"/>
    <w:rsid w:val="10E53D45"/>
    <w:rsid w:val="1437150D"/>
    <w:rsid w:val="181A2421"/>
    <w:rsid w:val="227A439F"/>
    <w:rsid w:val="382331C6"/>
    <w:rsid w:val="3A780E45"/>
    <w:rsid w:val="46764115"/>
    <w:rsid w:val="49424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000000" w:sz="0" w:space="0"/>
        <w:left w:val="none" w:color="000000" w:sz="0" w:space="0"/>
        <w:bottom w:val="none" w:color="000000" w:sz="0" w:space="0"/>
        <w:right w:val="none" w:color="000000" w:sz="0" w:space="0"/>
        <w:between w:val="none" w:color="000000" w:sz="0" w:space="0"/>
      </w:pBdr>
      <w:spacing w:after="200"/>
    </w:pPr>
    <w:rPr>
      <w:rFonts w:ascii="Tahoma" w:hAnsi="Tahoma" w:eastAsia="微软雅黑" w:cs="Times New Roman"/>
      <w:sz w:val="22"/>
      <w:szCs w:val="22"/>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qFormat/>
    <w:uiPriority w:val="0"/>
    <w:pPr>
      <w:pBdr>
        <w:top w:val="none" w:color="000000" w:sz="0" w:space="3"/>
        <w:left w:val="none" w:color="000000" w:sz="0" w:space="3"/>
        <w:bottom w:val="none" w:color="000000" w:sz="0" w:space="3"/>
        <w:right w:val="none" w:color="000000" w:sz="0" w:space="3"/>
        <w:between w:val="none" w:color="000000" w:sz="0" w:space="0"/>
      </w:pBdr>
      <w:spacing w:after="240"/>
      <w:ind w:firstLine="48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2018-11-07T08:42:00Z</dcterms:created>
  <dc:creator>olga</dc:creator>
  <cp:lastModifiedBy>Administrator</cp:lastModifiedBy>
  <cp:lastPrinted>2018-11-14T03:45:00Z</cp:lastPrinted>
  <dcterms:modified xsi:type="dcterms:W3CDTF">2018-11-22T08:31:38Z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