
<file path=[Content_Types].xml><?xml version="1.0" encoding="utf-8"?>
<Types xmlns="http://schemas.openxmlformats.org/package/2006/content-types">
  <Default Extension="xml" ContentType="application/xml"/>
  <Default Extension="emf" ContentType="image/x-e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宋体" w:cs="宋体"/>
          <w:b/>
          <w:sz w:val="52"/>
          <w:szCs w:val="52"/>
        </w:rPr>
      </w:pPr>
    </w:p>
    <w:p>
      <w:pPr>
        <w:jc w:val="center"/>
        <w:rPr>
          <w:rFonts w:ascii="宋体" w:cs="宋体"/>
          <w:b/>
          <w:sz w:val="52"/>
          <w:szCs w:val="52"/>
        </w:rPr>
      </w:pPr>
      <w:r>
        <w:rPr>
          <w:rFonts w:hint="eastAsia" w:ascii="宋体" w:hAnsi="宋体" w:cs="宋体"/>
          <w:b/>
          <w:sz w:val="52"/>
          <w:szCs w:val="52"/>
        </w:rPr>
        <w:t>翁源广业清怡食品科技有限公司</w:t>
      </w:r>
    </w:p>
    <w:p>
      <w:pPr>
        <w:jc w:val="center"/>
        <w:rPr>
          <w:rFonts w:ascii="宋体" w:cs="宋体"/>
          <w:b/>
          <w:sz w:val="52"/>
          <w:szCs w:val="52"/>
        </w:rPr>
      </w:pPr>
      <w:r>
        <w:rPr>
          <w:rFonts w:hint="eastAsia" w:ascii="宋体" w:hAnsi="宋体" w:cs="宋体"/>
          <w:b/>
          <w:sz w:val="52"/>
          <w:szCs w:val="52"/>
        </w:rPr>
        <w:t>年产</w:t>
      </w:r>
      <w:r>
        <w:rPr>
          <w:rFonts w:ascii="宋体" w:hAnsi="宋体" w:cs="宋体"/>
          <w:b/>
          <w:sz w:val="52"/>
          <w:szCs w:val="52"/>
        </w:rPr>
        <w:t>600</w:t>
      </w:r>
      <w:r>
        <w:rPr>
          <w:rFonts w:hint="eastAsia" w:ascii="宋体" w:hAnsi="宋体" w:cs="宋体"/>
          <w:b/>
          <w:sz w:val="52"/>
          <w:szCs w:val="52"/>
        </w:rPr>
        <w:t>吨食品抗氧化剂</w:t>
      </w:r>
      <w:r>
        <w:rPr>
          <w:rFonts w:ascii="宋体" w:hAnsi="宋体" w:cs="宋体"/>
          <w:b/>
          <w:sz w:val="52"/>
          <w:szCs w:val="52"/>
        </w:rPr>
        <w:t>TBHQ</w:t>
      </w:r>
      <w:r>
        <w:rPr>
          <w:rFonts w:hint="eastAsia" w:ascii="宋体" w:hAnsi="宋体" w:cs="宋体"/>
          <w:b/>
          <w:sz w:val="52"/>
          <w:szCs w:val="52"/>
        </w:rPr>
        <w:t>建设项目</w:t>
      </w:r>
    </w:p>
    <w:p>
      <w:pPr>
        <w:jc w:val="center"/>
        <w:rPr>
          <w:rFonts w:ascii="宋体" w:cs="宋体"/>
          <w:b/>
          <w:bCs/>
          <w:spacing w:val="-20"/>
          <w:kern w:val="20"/>
          <w:sz w:val="72"/>
          <w:szCs w:val="72"/>
        </w:rPr>
      </w:pPr>
      <w:r>
        <w:rPr>
          <w:rFonts w:hint="eastAsia" w:ascii="宋体" w:hAnsi="宋体" w:cs="宋体"/>
          <w:b/>
          <w:bCs/>
          <w:sz w:val="72"/>
          <w:szCs w:val="72"/>
        </w:rPr>
        <w:t>竣工环境保护验收监测报告</w:t>
      </w:r>
    </w:p>
    <w:p>
      <w:pPr>
        <w:jc w:val="center"/>
        <w:outlineLvl w:val="0"/>
        <w:rPr>
          <w:rFonts w:ascii="宋体"/>
          <w:sz w:val="32"/>
        </w:rPr>
      </w:pPr>
    </w:p>
    <w:p>
      <w:pPr>
        <w:jc w:val="center"/>
        <w:outlineLvl w:val="0"/>
        <w:rPr>
          <w:rFonts w:ascii="宋体"/>
          <w:sz w:val="32"/>
        </w:rPr>
      </w:pPr>
    </w:p>
    <w:p>
      <w:pPr>
        <w:jc w:val="center"/>
        <w:outlineLvl w:val="0"/>
        <w:rPr>
          <w:rFonts w:ascii="宋体"/>
          <w:sz w:val="32"/>
        </w:rPr>
      </w:pPr>
    </w:p>
    <w:p>
      <w:pPr>
        <w:rPr>
          <w:rFonts w:ascii="宋体" w:cs="宋体"/>
          <w:b/>
          <w:sz w:val="36"/>
          <w:szCs w:val="36"/>
          <w:u w:val="single"/>
        </w:rPr>
      </w:pPr>
      <w:r>
        <w:rPr>
          <w:rFonts w:ascii="宋体" w:hAnsi="宋体" w:cs="宋体"/>
          <w:b/>
          <w:sz w:val="36"/>
          <w:szCs w:val="36"/>
          <w:u w:val="single"/>
        </w:rPr>
        <w:t xml:space="preserve"> </w:t>
      </w:r>
    </w:p>
    <w:p>
      <w:pPr>
        <w:rPr>
          <w:rFonts w:ascii="宋体" w:cs="宋体"/>
          <w:b/>
          <w:sz w:val="36"/>
          <w:szCs w:val="36"/>
        </w:rPr>
      </w:pPr>
    </w:p>
    <w:p>
      <w:pPr>
        <w:rPr>
          <w:rFonts w:ascii="宋体" w:cs="宋体"/>
          <w:b/>
          <w:sz w:val="36"/>
          <w:szCs w:val="36"/>
        </w:rPr>
      </w:pPr>
    </w:p>
    <w:p>
      <w:pPr>
        <w:rPr>
          <w:rFonts w:ascii="宋体" w:cs="宋体"/>
          <w:b/>
          <w:sz w:val="36"/>
          <w:szCs w:val="36"/>
        </w:rPr>
      </w:pPr>
    </w:p>
    <w:p>
      <w:pPr>
        <w:rPr>
          <w:rFonts w:ascii="宋体" w:cs="宋体"/>
          <w:b/>
          <w:sz w:val="36"/>
          <w:szCs w:val="36"/>
        </w:rPr>
      </w:pPr>
    </w:p>
    <w:p>
      <w:pPr>
        <w:rPr>
          <w:rFonts w:ascii="宋体" w:cs="宋体"/>
          <w:b/>
          <w:sz w:val="36"/>
          <w:szCs w:val="36"/>
        </w:rPr>
      </w:pPr>
    </w:p>
    <w:p>
      <w:pPr>
        <w:ind w:firstLine="1084" w:firstLineChars="300"/>
        <w:rPr>
          <w:rFonts w:ascii="宋体" w:cs="宋体"/>
          <w:b/>
          <w:sz w:val="36"/>
          <w:szCs w:val="36"/>
          <w:u w:val="single"/>
        </w:rPr>
      </w:pPr>
      <w:r>
        <w:rPr>
          <w:rFonts w:hint="eastAsia" w:ascii="宋体" w:hAnsi="宋体" w:cs="宋体"/>
          <w:b/>
          <w:sz w:val="36"/>
          <w:szCs w:val="36"/>
        </w:rPr>
        <w:t>建设单位：</w:t>
      </w:r>
      <w:r>
        <w:rPr>
          <w:rFonts w:hint="eastAsia" w:ascii="宋体" w:hAnsi="宋体" w:cs="宋体"/>
          <w:b/>
          <w:sz w:val="36"/>
          <w:szCs w:val="36"/>
          <w:u w:val="single"/>
        </w:rPr>
        <w:t>翁源广业清怡食品科技有限公司</w:t>
      </w:r>
      <w:r>
        <w:rPr>
          <w:rFonts w:ascii="宋体" w:hAnsi="宋体" w:cs="宋体"/>
          <w:b/>
          <w:sz w:val="36"/>
          <w:szCs w:val="36"/>
          <w:u w:val="single"/>
        </w:rPr>
        <w:t xml:space="preserve"> </w:t>
      </w:r>
    </w:p>
    <w:p>
      <w:pPr>
        <w:ind w:firstLine="1084" w:firstLineChars="300"/>
        <w:rPr>
          <w:rFonts w:ascii="宋体" w:cs="宋体"/>
          <w:sz w:val="30"/>
        </w:rPr>
      </w:pPr>
      <w:r>
        <w:rPr>
          <w:rFonts w:hint="eastAsia" w:ascii="宋体" w:hAnsi="宋体" w:cs="宋体"/>
          <w:b/>
          <w:sz w:val="36"/>
          <w:szCs w:val="36"/>
        </w:rPr>
        <w:t>编制单位：</w:t>
      </w:r>
      <w:r>
        <w:rPr>
          <w:rFonts w:hint="eastAsia" w:ascii="宋体" w:hAnsi="宋体" w:cs="宋体"/>
          <w:b/>
          <w:sz w:val="36"/>
          <w:szCs w:val="36"/>
          <w:u w:val="single"/>
        </w:rPr>
        <w:t>广东中誉科诚检测技术有限公司</w:t>
      </w:r>
      <w:r>
        <w:rPr>
          <w:rFonts w:ascii="宋体" w:hAnsi="宋体" w:cs="宋体"/>
          <w:b/>
          <w:sz w:val="36"/>
          <w:szCs w:val="36"/>
          <w:u w:val="single"/>
        </w:rPr>
        <w:t xml:space="preserve">  </w:t>
      </w:r>
    </w:p>
    <w:p>
      <w:pPr>
        <w:jc w:val="center"/>
        <w:rPr>
          <w:rFonts w:ascii="宋体" w:cs="宋体"/>
          <w:b/>
          <w:sz w:val="36"/>
          <w:szCs w:val="36"/>
        </w:rPr>
      </w:pPr>
      <w:r>
        <w:rPr>
          <w:rFonts w:hint="eastAsia" w:ascii="宋体" w:hAnsi="宋体" w:cs="宋体"/>
          <w:b/>
          <w:sz w:val="36"/>
          <w:szCs w:val="36"/>
        </w:rPr>
        <w:t>二</w:t>
      </w:r>
      <w:r>
        <w:rPr>
          <w:rFonts w:ascii="宋体" w:cs="宋体"/>
          <w:b/>
          <w:sz w:val="36"/>
          <w:szCs w:val="36"/>
        </w:rPr>
        <w:t>0</w:t>
      </w:r>
      <w:r>
        <w:rPr>
          <w:rFonts w:hint="eastAsia" w:ascii="宋体" w:hAnsi="宋体" w:cs="宋体"/>
          <w:b/>
          <w:sz w:val="36"/>
          <w:szCs w:val="36"/>
        </w:rPr>
        <w:t>一八年一月</w:t>
      </w:r>
    </w:p>
    <w:p>
      <w:pPr>
        <w:jc w:val="center"/>
        <w:rPr>
          <w:rFonts w:ascii="宋体" w:cs="宋体"/>
          <w:b/>
          <w:sz w:val="36"/>
          <w:szCs w:val="36"/>
        </w:rPr>
      </w:pPr>
    </w:p>
    <w:p>
      <w:pPr>
        <w:tabs>
          <w:tab w:val="left" w:pos="1395"/>
        </w:tabs>
        <w:ind w:firstLine="960" w:firstLineChars="400"/>
        <w:jc w:val="left"/>
        <w:rPr>
          <w:rFonts w:ascii="宋体" w:cs="宋体"/>
        </w:rPr>
      </w:pPr>
    </w:p>
    <w:p>
      <w:pPr>
        <w:adjustRightInd w:val="0"/>
        <w:snapToGrid w:val="0"/>
        <w:spacing w:line="560" w:lineRule="atLeast"/>
        <w:rPr>
          <w:rFonts w:ascii="黑体" w:eastAsia="黑体"/>
          <w:b/>
          <w:sz w:val="44"/>
        </w:rPr>
        <w:sectPr>
          <w:headerReference r:id="rId3" w:type="default"/>
          <w:footerReference r:id="rId4" w:type="default"/>
          <w:pgSz w:w="11906" w:h="16838"/>
          <w:pgMar w:top="1440" w:right="1080" w:bottom="1440" w:left="1080" w:header="851" w:footer="992" w:gutter="0"/>
          <w:pgNumType w:fmt="decimal" w:start="1"/>
          <w:cols w:space="425" w:num="1"/>
          <w:docGrid w:type="lines" w:linePitch="312" w:charSpace="0"/>
        </w:sectPr>
      </w:pPr>
    </w:p>
    <w:p>
      <w:pPr>
        <w:adjustRightInd w:val="0"/>
        <w:snapToGrid w:val="0"/>
        <w:spacing w:line="560" w:lineRule="atLeast"/>
        <w:rPr>
          <w:rFonts w:ascii="宋体" w:cs="宋体"/>
          <w:b/>
          <w:sz w:val="28"/>
          <w:szCs w:val="28"/>
        </w:rPr>
      </w:pPr>
    </w:p>
    <w:p>
      <w:pPr>
        <w:adjustRightInd w:val="0"/>
        <w:snapToGrid w:val="0"/>
        <w:spacing w:line="560" w:lineRule="atLeast"/>
        <w:rPr>
          <w:rFonts w:ascii="宋体" w:cs="宋体"/>
          <w:b/>
          <w:sz w:val="28"/>
          <w:szCs w:val="28"/>
        </w:rPr>
      </w:pPr>
    </w:p>
    <w:p>
      <w:pPr>
        <w:adjustRightInd w:val="0"/>
        <w:snapToGrid w:val="0"/>
        <w:spacing w:line="560" w:lineRule="atLeast"/>
        <w:rPr>
          <w:rFonts w:ascii="宋体" w:cs="宋体"/>
          <w:b/>
          <w:sz w:val="28"/>
          <w:szCs w:val="28"/>
        </w:rPr>
      </w:pPr>
      <w:r>
        <w:rPr>
          <w:rFonts w:hint="eastAsia" w:ascii="宋体" w:hAnsi="宋体" w:cs="宋体"/>
          <w:b/>
          <w:sz w:val="28"/>
          <w:szCs w:val="28"/>
        </w:rPr>
        <w:t>建设单位：翁源广业清怡食品科技有限公司</w:t>
      </w:r>
    </w:p>
    <w:p>
      <w:pPr>
        <w:adjustRightInd w:val="0"/>
        <w:snapToGrid w:val="0"/>
        <w:spacing w:line="560" w:lineRule="atLeast"/>
        <w:rPr>
          <w:rFonts w:ascii="宋体" w:cs="宋体"/>
          <w:b/>
          <w:sz w:val="28"/>
          <w:szCs w:val="28"/>
        </w:rPr>
      </w:pPr>
      <w:r>
        <w:rPr>
          <w:rFonts w:hint="eastAsia" w:ascii="宋体" w:hAnsi="宋体" w:cs="宋体"/>
          <w:b/>
          <w:sz w:val="28"/>
          <w:szCs w:val="28"/>
        </w:rPr>
        <w:t>法人代表：王三永</w:t>
      </w:r>
    </w:p>
    <w:p>
      <w:pPr>
        <w:adjustRightInd w:val="0"/>
        <w:snapToGrid w:val="0"/>
        <w:spacing w:line="560" w:lineRule="atLeast"/>
        <w:rPr>
          <w:rFonts w:ascii="宋体" w:cs="宋体"/>
          <w:b/>
          <w:sz w:val="28"/>
          <w:szCs w:val="28"/>
        </w:rPr>
      </w:pPr>
    </w:p>
    <w:p>
      <w:pPr>
        <w:adjustRightInd w:val="0"/>
        <w:snapToGrid w:val="0"/>
        <w:spacing w:line="560" w:lineRule="atLeast"/>
        <w:rPr>
          <w:rFonts w:ascii="宋体" w:cs="宋体"/>
          <w:b/>
          <w:sz w:val="28"/>
          <w:szCs w:val="28"/>
        </w:rPr>
      </w:pPr>
      <w:r>
        <w:rPr>
          <w:rFonts w:hint="eastAsia" w:ascii="宋体" w:hAnsi="宋体" w:cs="宋体"/>
          <w:b/>
          <w:sz w:val="28"/>
          <w:szCs w:val="28"/>
        </w:rPr>
        <w:t>编制单位：广东中誉科诚检测技术有限公司</w:t>
      </w:r>
    </w:p>
    <w:p>
      <w:pPr>
        <w:adjustRightInd w:val="0"/>
        <w:snapToGrid w:val="0"/>
        <w:spacing w:line="560" w:lineRule="atLeast"/>
        <w:rPr>
          <w:rFonts w:ascii="宋体" w:cs="宋体"/>
          <w:b/>
          <w:sz w:val="28"/>
          <w:szCs w:val="28"/>
        </w:rPr>
      </w:pPr>
      <w:r>
        <w:rPr>
          <w:rFonts w:hint="eastAsia" w:ascii="宋体" w:hAnsi="宋体" w:cs="宋体"/>
          <w:b/>
          <w:sz w:val="28"/>
          <w:szCs w:val="28"/>
        </w:rPr>
        <w:t>法人代表：谢移爱</w:t>
      </w:r>
    </w:p>
    <w:p>
      <w:pPr>
        <w:adjustRightInd w:val="0"/>
        <w:snapToGrid w:val="0"/>
        <w:spacing w:line="560" w:lineRule="atLeast"/>
        <w:rPr>
          <w:rFonts w:ascii="宋体" w:cs="宋体"/>
          <w:b/>
          <w:sz w:val="28"/>
          <w:szCs w:val="28"/>
        </w:rPr>
      </w:pPr>
      <w:r>
        <w:rPr>
          <w:rFonts w:hint="eastAsia" w:ascii="宋体" w:hAnsi="宋体" w:cs="宋体"/>
          <w:b/>
          <w:sz w:val="28"/>
          <w:szCs w:val="28"/>
        </w:rPr>
        <w:t>项目负责人：</w:t>
      </w:r>
      <w:r>
        <w:rPr>
          <w:rFonts w:hint="eastAsia" w:ascii="宋体" w:hAnsi="宋体" w:cs="宋体"/>
          <w:b/>
          <w:sz w:val="28"/>
          <w:szCs w:val="28"/>
          <w:lang w:eastAsia="zh-CN"/>
        </w:rPr>
        <w:t>陈学仍</w:t>
      </w: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28"/>
          <w:szCs w:val="28"/>
        </w:rPr>
      </w:pPr>
    </w:p>
    <w:p>
      <w:pPr>
        <w:adjustRightInd w:val="0"/>
        <w:snapToGrid w:val="0"/>
        <w:spacing w:line="560" w:lineRule="atLeast"/>
        <w:rPr>
          <w:rFonts w:ascii="黑体" w:eastAsia="黑体"/>
          <w:b/>
          <w:sz w:val="44"/>
        </w:rPr>
      </w:pPr>
      <w:r>
        <mc:AlternateContent>
          <mc:Choice Requires="wps">
            <w:drawing>
              <wp:anchor distT="0" distB="0" distL="114300" distR="114300" simplePos="0" relativeHeight="251662336" behindDoc="0" locked="0" layoutInCell="1" allowOverlap="1">
                <wp:simplePos x="0" y="0"/>
                <wp:positionH relativeFrom="column">
                  <wp:posOffset>3332480</wp:posOffset>
                </wp:positionH>
                <wp:positionV relativeFrom="paragraph">
                  <wp:posOffset>17145</wp:posOffset>
                </wp:positionV>
                <wp:extent cx="2914650" cy="2600325"/>
                <wp:effectExtent l="0" t="0" r="0" b="9525"/>
                <wp:wrapNone/>
                <wp:docPr id="47" name="矩形 2"/>
                <wp:cNvGraphicFramePr/>
                <a:graphic xmlns:a="http://schemas.openxmlformats.org/drawingml/2006/main">
                  <a:graphicData uri="http://schemas.microsoft.com/office/word/2010/wordprocessingShape">
                    <wps:wsp>
                      <wps:cNvSpPr/>
                      <wps:spPr>
                        <a:xfrm>
                          <a:off x="0" y="0"/>
                          <a:ext cx="2914650" cy="2600325"/>
                        </a:xfrm>
                        <a:prstGeom prst="rect">
                          <a:avLst/>
                        </a:prstGeom>
                        <a:solidFill>
                          <a:srgbClr val="FFFFFF"/>
                        </a:solidFill>
                        <a:ln w="9525">
                          <a:noFill/>
                        </a:ln>
                      </wps:spPr>
                      <wps:txbx>
                        <w:txbxContent>
                          <w:p>
                            <w:pPr>
                              <w:spacing w:line="360" w:lineRule="auto"/>
                              <w:rPr>
                                <w:sz w:val="28"/>
                                <w:szCs w:val="28"/>
                              </w:rPr>
                            </w:pPr>
                            <w:r>
                              <w:rPr>
                                <w:rFonts w:hint="eastAsia"/>
                                <w:sz w:val="28"/>
                                <w:szCs w:val="28"/>
                              </w:rPr>
                              <w:t>编制单位</w:t>
                            </w:r>
                          </w:p>
                          <w:p>
                            <w:pPr>
                              <w:spacing w:line="360" w:lineRule="auto"/>
                              <w:rPr>
                                <w:sz w:val="28"/>
                                <w:szCs w:val="28"/>
                              </w:rPr>
                            </w:pPr>
                            <w:r>
                              <w:rPr>
                                <w:rFonts w:hint="eastAsia"/>
                                <w:sz w:val="28"/>
                                <w:szCs w:val="28"/>
                              </w:rPr>
                              <w:t>电话：</w:t>
                            </w:r>
                            <w:r>
                              <w:rPr>
                                <w:sz w:val="28"/>
                                <w:szCs w:val="28"/>
                              </w:rPr>
                              <w:t>0751-2886228</w:t>
                            </w:r>
                          </w:p>
                          <w:p>
                            <w:pPr>
                              <w:spacing w:line="360" w:lineRule="auto"/>
                              <w:rPr>
                                <w:sz w:val="28"/>
                                <w:szCs w:val="28"/>
                              </w:rPr>
                            </w:pPr>
                            <w:r>
                              <w:rPr>
                                <w:rFonts w:hint="eastAsia"/>
                                <w:sz w:val="28"/>
                                <w:szCs w:val="28"/>
                              </w:rPr>
                              <w:t>传真：</w:t>
                            </w:r>
                            <w:r>
                              <w:rPr>
                                <w:sz w:val="28"/>
                                <w:szCs w:val="28"/>
                              </w:rPr>
                              <w:t>/</w:t>
                            </w:r>
                          </w:p>
                          <w:p>
                            <w:pPr>
                              <w:spacing w:line="360" w:lineRule="auto"/>
                              <w:rPr>
                                <w:sz w:val="28"/>
                                <w:szCs w:val="28"/>
                              </w:rPr>
                            </w:pPr>
                            <w:r>
                              <w:rPr>
                                <w:rFonts w:hint="eastAsia"/>
                                <w:sz w:val="28"/>
                                <w:szCs w:val="28"/>
                              </w:rPr>
                              <w:t>邮编：</w:t>
                            </w:r>
                            <w:r>
                              <w:rPr>
                                <w:sz w:val="28"/>
                                <w:szCs w:val="28"/>
                              </w:rPr>
                              <w:t>512625</w:t>
                            </w:r>
                          </w:p>
                          <w:p>
                            <w:pPr>
                              <w:rPr>
                                <w:sz w:val="28"/>
                                <w:szCs w:val="28"/>
                              </w:rPr>
                            </w:pPr>
                            <w:r>
                              <w:rPr>
                                <w:rFonts w:hint="eastAsia"/>
                                <w:sz w:val="28"/>
                                <w:szCs w:val="28"/>
                              </w:rPr>
                              <w:t>地址：广东省韶关市翁源县官渡镇</w:t>
                            </w:r>
                          </w:p>
                          <w:p>
                            <w:pPr>
                              <w:ind w:firstLine="840" w:firstLineChars="300"/>
                              <w:rPr>
                                <w:sz w:val="28"/>
                                <w:szCs w:val="28"/>
                              </w:rPr>
                            </w:pPr>
                            <w:r>
                              <w:rPr>
                                <w:rFonts w:hint="eastAsia"/>
                                <w:sz w:val="28"/>
                                <w:szCs w:val="28"/>
                              </w:rPr>
                              <w:t>官广工业区</w:t>
                            </w:r>
                          </w:p>
                        </w:txbxContent>
                      </wps:txbx>
                      <wps:bodyPr upright="1"/>
                    </wps:wsp>
                  </a:graphicData>
                </a:graphic>
              </wp:anchor>
            </w:drawing>
          </mc:Choice>
          <mc:Fallback>
            <w:pict>
              <v:rect id="矩形 2" o:spid="_x0000_s1026" o:spt="1" style="position:absolute;left:0pt;margin-left:262.4pt;margin-top:1.35pt;height:204.75pt;width:229.5pt;z-index:251662336;mso-width-relative:page;mso-height-relative:page;" fillcolor="#FFFFFF" filled="t" stroked="f" coordsize="21600,21600" o:gfxdata="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B3v5Bb1wAAAAkBAAAPAAAA&#10;AAAAAAEAIAAAACIAAABkcnMvZG93bnJldi54bWxQSwECFAAUAAAACACHTuJAELyuaKQBAAAnAwAA&#10;DgAAAAAAAAABACAAAAAmAQAAZHJzL2Uyb0RvYy54bWxQSwUGAAAAAAYABgBZAQAAPAUAAAAA&#10;">
                <v:fill on="t" focussize="0,0"/>
                <v:stroke on="f"/>
                <v:imagedata o:title=""/>
                <o:lock v:ext="edit" aspectratio="f"/>
                <v:textbox>
                  <w:txbxContent>
                    <w:p>
                      <w:pPr>
                        <w:spacing w:line="360" w:lineRule="auto"/>
                        <w:rPr>
                          <w:sz w:val="28"/>
                          <w:szCs w:val="28"/>
                        </w:rPr>
                      </w:pPr>
                      <w:r>
                        <w:rPr>
                          <w:rFonts w:hint="eastAsia"/>
                          <w:sz w:val="28"/>
                          <w:szCs w:val="28"/>
                        </w:rPr>
                        <w:t>编制单位</w:t>
                      </w:r>
                    </w:p>
                    <w:p>
                      <w:pPr>
                        <w:spacing w:line="360" w:lineRule="auto"/>
                        <w:rPr>
                          <w:sz w:val="28"/>
                          <w:szCs w:val="28"/>
                        </w:rPr>
                      </w:pPr>
                      <w:r>
                        <w:rPr>
                          <w:rFonts w:hint="eastAsia"/>
                          <w:sz w:val="28"/>
                          <w:szCs w:val="28"/>
                        </w:rPr>
                        <w:t>电话：</w:t>
                      </w:r>
                      <w:r>
                        <w:rPr>
                          <w:sz w:val="28"/>
                          <w:szCs w:val="28"/>
                        </w:rPr>
                        <w:t>0751-2886228</w:t>
                      </w:r>
                    </w:p>
                    <w:p>
                      <w:pPr>
                        <w:spacing w:line="360" w:lineRule="auto"/>
                        <w:rPr>
                          <w:sz w:val="28"/>
                          <w:szCs w:val="28"/>
                        </w:rPr>
                      </w:pPr>
                      <w:r>
                        <w:rPr>
                          <w:rFonts w:hint="eastAsia"/>
                          <w:sz w:val="28"/>
                          <w:szCs w:val="28"/>
                        </w:rPr>
                        <w:t>传真：</w:t>
                      </w:r>
                      <w:r>
                        <w:rPr>
                          <w:sz w:val="28"/>
                          <w:szCs w:val="28"/>
                        </w:rPr>
                        <w:t>/</w:t>
                      </w:r>
                    </w:p>
                    <w:p>
                      <w:pPr>
                        <w:spacing w:line="360" w:lineRule="auto"/>
                        <w:rPr>
                          <w:sz w:val="28"/>
                          <w:szCs w:val="28"/>
                        </w:rPr>
                      </w:pPr>
                      <w:r>
                        <w:rPr>
                          <w:rFonts w:hint="eastAsia"/>
                          <w:sz w:val="28"/>
                          <w:szCs w:val="28"/>
                        </w:rPr>
                        <w:t>邮编：</w:t>
                      </w:r>
                      <w:r>
                        <w:rPr>
                          <w:sz w:val="28"/>
                          <w:szCs w:val="28"/>
                        </w:rPr>
                        <w:t>512625</w:t>
                      </w:r>
                    </w:p>
                    <w:p>
                      <w:pPr>
                        <w:rPr>
                          <w:sz w:val="28"/>
                          <w:szCs w:val="28"/>
                        </w:rPr>
                      </w:pPr>
                      <w:r>
                        <w:rPr>
                          <w:rFonts w:hint="eastAsia"/>
                          <w:sz w:val="28"/>
                          <w:szCs w:val="28"/>
                        </w:rPr>
                        <w:t>地址：广东省韶关市翁源县官渡镇</w:t>
                      </w:r>
                    </w:p>
                    <w:p>
                      <w:pPr>
                        <w:ind w:firstLine="840" w:firstLineChars="300"/>
                        <w:rPr>
                          <w:sz w:val="28"/>
                          <w:szCs w:val="28"/>
                        </w:rPr>
                      </w:pPr>
                      <w:r>
                        <w:rPr>
                          <w:rFonts w:hint="eastAsia"/>
                          <w:sz w:val="28"/>
                          <w:szCs w:val="28"/>
                        </w:rPr>
                        <w:t>官广工业区</w:t>
                      </w:r>
                    </w:p>
                  </w:txbxContent>
                </v:textbox>
              </v:rect>
            </w:pict>
          </mc:Fallback>
        </mc:AlternateContent>
      </w:r>
      <w:r>
        <mc:AlternateContent>
          <mc:Choice Requires="wps">
            <w:drawing>
              <wp:anchor distT="0" distB="0" distL="114300" distR="114300" simplePos="0" relativeHeight="251661312" behindDoc="0" locked="0" layoutInCell="1" allowOverlap="1">
                <wp:simplePos x="0" y="0"/>
                <wp:positionH relativeFrom="column">
                  <wp:posOffset>-77470</wp:posOffset>
                </wp:positionH>
                <wp:positionV relativeFrom="paragraph">
                  <wp:posOffset>45720</wp:posOffset>
                </wp:positionV>
                <wp:extent cx="2914650" cy="2600325"/>
                <wp:effectExtent l="0" t="0" r="0" b="9525"/>
                <wp:wrapNone/>
                <wp:docPr id="46" name="矩形 3"/>
                <wp:cNvGraphicFramePr/>
                <a:graphic xmlns:a="http://schemas.openxmlformats.org/drawingml/2006/main">
                  <a:graphicData uri="http://schemas.microsoft.com/office/word/2010/wordprocessingShape">
                    <wps:wsp>
                      <wps:cNvSpPr/>
                      <wps:spPr>
                        <a:xfrm>
                          <a:off x="0" y="0"/>
                          <a:ext cx="2914650" cy="2600325"/>
                        </a:xfrm>
                        <a:prstGeom prst="rect">
                          <a:avLst/>
                        </a:prstGeom>
                        <a:solidFill>
                          <a:srgbClr val="FFFFFF"/>
                        </a:solidFill>
                        <a:ln w="9525">
                          <a:noFill/>
                        </a:ln>
                      </wps:spPr>
                      <wps:txbx>
                        <w:txbxContent>
                          <w:p>
                            <w:pPr>
                              <w:spacing w:line="360" w:lineRule="auto"/>
                              <w:rPr>
                                <w:sz w:val="28"/>
                                <w:szCs w:val="28"/>
                              </w:rPr>
                            </w:pPr>
                            <w:r>
                              <w:rPr>
                                <w:rFonts w:hint="eastAsia"/>
                                <w:sz w:val="28"/>
                                <w:szCs w:val="28"/>
                              </w:rPr>
                              <w:t>建设单位</w:t>
                            </w:r>
                          </w:p>
                          <w:p>
                            <w:pPr>
                              <w:spacing w:line="360" w:lineRule="auto"/>
                              <w:rPr>
                                <w:sz w:val="28"/>
                                <w:szCs w:val="28"/>
                              </w:rPr>
                            </w:pPr>
                            <w:r>
                              <w:rPr>
                                <w:rFonts w:hint="eastAsia"/>
                                <w:sz w:val="28"/>
                                <w:szCs w:val="28"/>
                              </w:rPr>
                              <w:t>电话：</w:t>
                            </w:r>
                            <w:r>
                              <w:rPr>
                                <w:sz w:val="28"/>
                                <w:szCs w:val="28"/>
                              </w:rPr>
                              <w:t>0751-2882102</w:t>
                            </w:r>
                          </w:p>
                          <w:p>
                            <w:pPr>
                              <w:spacing w:line="360" w:lineRule="auto"/>
                              <w:rPr>
                                <w:sz w:val="28"/>
                                <w:szCs w:val="28"/>
                              </w:rPr>
                            </w:pPr>
                            <w:r>
                              <w:rPr>
                                <w:rFonts w:hint="eastAsia"/>
                                <w:sz w:val="28"/>
                                <w:szCs w:val="28"/>
                              </w:rPr>
                              <w:t>传真：</w:t>
                            </w:r>
                            <w:r>
                              <w:rPr>
                                <w:sz w:val="28"/>
                                <w:szCs w:val="28"/>
                              </w:rPr>
                              <w:t>/</w:t>
                            </w:r>
                          </w:p>
                          <w:p>
                            <w:pPr>
                              <w:spacing w:line="360" w:lineRule="auto"/>
                              <w:rPr>
                                <w:sz w:val="28"/>
                                <w:szCs w:val="28"/>
                              </w:rPr>
                            </w:pPr>
                            <w:r>
                              <w:rPr>
                                <w:rFonts w:hint="eastAsia"/>
                                <w:sz w:val="28"/>
                                <w:szCs w:val="28"/>
                              </w:rPr>
                              <w:t>邮编：</w:t>
                            </w:r>
                            <w:r>
                              <w:rPr>
                                <w:sz w:val="28"/>
                                <w:szCs w:val="28"/>
                              </w:rPr>
                              <w:t>512627</w:t>
                            </w:r>
                          </w:p>
                          <w:p>
                            <w:pPr>
                              <w:spacing w:line="360" w:lineRule="auto"/>
                              <w:rPr>
                                <w:sz w:val="28"/>
                                <w:szCs w:val="28"/>
                              </w:rPr>
                            </w:pPr>
                            <w:r>
                              <w:rPr>
                                <w:rFonts w:hint="eastAsia"/>
                                <w:sz w:val="28"/>
                                <w:szCs w:val="28"/>
                              </w:rPr>
                              <w:t>地址：韶关市翁源县京珠高速公路翁城进出口引道南侧</w:t>
                            </w:r>
                            <w:r>
                              <w:rPr>
                                <w:sz w:val="28"/>
                                <w:szCs w:val="28"/>
                              </w:rPr>
                              <w:t>250</w:t>
                            </w:r>
                            <w:r>
                              <w:rPr>
                                <w:rFonts w:hint="eastAsia"/>
                                <w:sz w:val="28"/>
                                <w:szCs w:val="28"/>
                              </w:rPr>
                              <w:t>米</w:t>
                            </w:r>
                          </w:p>
                        </w:txbxContent>
                      </wps:txbx>
                      <wps:bodyPr upright="1"/>
                    </wps:wsp>
                  </a:graphicData>
                </a:graphic>
              </wp:anchor>
            </w:drawing>
          </mc:Choice>
          <mc:Fallback>
            <w:pict>
              <v:rect id="矩形 3" o:spid="_x0000_s1026" o:spt="1" style="position:absolute;left:0pt;margin-left:-6.1pt;margin-top:3.6pt;height:204.75pt;width:229.5pt;z-index:251661312;mso-width-relative:page;mso-height-relative:page;" fillcolor="#FFFFFF" filled="t" stroked="f" coordsize="21600,21600" o:gfxdata="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">
                <v:fill on="t" focussize="0,0"/>
                <v:stroke on="f"/>
                <v:imagedata o:title=""/>
                <o:lock v:ext="edit" aspectratio="f"/>
                <v:textbox>
                  <w:txbxContent>
                    <w:p>
                      <w:pPr>
                        <w:spacing w:line="360" w:lineRule="auto"/>
                        <w:rPr>
                          <w:sz w:val="28"/>
                          <w:szCs w:val="28"/>
                        </w:rPr>
                      </w:pPr>
                      <w:r>
                        <w:rPr>
                          <w:rFonts w:hint="eastAsia"/>
                          <w:sz w:val="28"/>
                          <w:szCs w:val="28"/>
                        </w:rPr>
                        <w:t>建设单位</w:t>
                      </w:r>
                    </w:p>
                    <w:p>
                      <w:pPr>
                        <w:spacing w:line="360" w:lineRule="auto"/>
                        <w:rPr>
                          <w:sz w:val="28"/>
                          <w:szCs w:val="28"/>
                        </w:rPr>
                      </w:pPr>
                      <w:r>
                        <w:rPr>
                          <w:rFonts w:hint="eastAsia"/>
                          <w:sz w:val="28"/>
                          <w:szCs w:val="28"/>
                        </w:rPr>
                        <w:t>电话：</w:t>
                      </w:r>
                      <w:r>
                        <w:rPr>
                          <w:sz w:val="28"/>
                          <w:szCs w:val="28"/>
                        </w:rPr>
                        <w:t>0751-2882102</w:t>
                      </w:r>
                    </w:p>
                    <w:p>
                      <w:pPr>
                        <w:spacing w:line="360" w:lineRule="auto"/>
                        <w:rPr>
                          <w:sz w:val="28"/>
                          <w:szCs w:val="28"/>
                        </w:rPr>
                      </w:pPr>
                      <w:r>
                        <w:rPr>
                          <w:rFonts w:hint="eastAsia"/>
                          <w:sz w:val="28"/>
                          <w:szCs w:val="28"/>
                        </w:rPr>
                        <w:t>传真：</w:t>
                      </w:r>
                      <w:r>
                        <w:rPr>
                          <w:sz w:val="28"/>
                          <w:szCs w:val="28"/>
                        </w:rPr>
                        <w:t>/</w:t>
                      </w:r>
                    </w:p>
                    <w:p>
                      <w:pPr>
                        <w:spacing w:line="360" w:lineRule="auto"/>
                        <w:rPr>
                          <w:sz w:val="28"/>
                          <w:szCs w:val="28"/>
                        </w:rPr>
                      </w:pPr>
                      <w:r>
                        <w:rPr>
                          <w:rFonts w:hint="eastAsia"/>
                          <w:sz w:val="28"/>
                          <w:szCs w:val="28"/>
                        </w:rPr>
                        <w:t>邮编：</w:t>
                      </w:r>
                      <w:r>
                        <w:rPr>
                          <w:sz w:val="28"/>
                          <w:szCs w:val="28"/>
                        </w:rPr>
                        <w:t>512627</w:t>
                      </w:r>
                    </w:p>
                    <w:p>
                      <w:pPr>
                        <w:spacing w:line="360" w:lineRule="auto"/>
                        <w:rPr>
                          <w:sz w:val="28"/>
                          <w:szCs w:val="28"/>
                        </w:rPr>
                      </w:pPr>
                      <w:r>
                        <w:rPr>
                          <w:rFonts w:hint="eastAsia"/>
                          <w:sz w:val="28"/>
                          <w:szCs w:val="28"/>
                        </w:rPr>
                        <w:t>地址：韶关市翁源县京珠高速公路翁城进出口引道南侧</w:t>
                      </w:r>
                      <w:r>
                        <w:rPr>
                          <w:sz w:val="28"/>
                          <w:szCs w:val="28"/>
                        </w:rPr>
                        <w:t>250</w:t>
                      </w:r>
                      <w:r>
                        <w:rPr>
                          <w:rFonts w:hint="eastAsia"/>
                          <w:sz w:val="28"/>
                          <w:szCs w:val="28"/>
                        </w:rPr>
                        <w:t>米</w:t>
                      </w:r>
                    </w:p>
                  </w:txbxContent>
                </v:textbox>
              </v:rect>
            </w:pict>
          </mc:Fallback>
        </mc:AlternateContent>
      </w:r>
    </w:p>
    <w:p>
      <w:pPr>
        <w:adjustRightInd w:val="0"/>
        <w:snapToGrid w:val="0"/>
        <w:spacing w:line="560" w:lineRule="atLeast"/>
        <w:rPr>
          <w:rFonts w:ascii="黑体" w:eastAsia="黑体"/>
          <w:b/>
          <w:sz w:val="44"/>
        </w:rPr>
      </w:pPr>
    </w:p>
    <w:p>
      <w:pPr>
        <w:adjustRightInd w:val="0"/>
        <w:snapToGrid w:val="0"/>
        <w:spacing w:line="560" w:lineRule="atLeast"/>
        <w:rPr>
          <w:rFonts w:ascii="黑体" w:eastAsia="黑体"/>
          <w:b/>
          <w:sz w:val="44"/>
        </w:rPr>
      </w:pPr>
    </w:p>
    <w:p>
      <w:pPr>
        <w:adjustRightInd w:val="0"/>
        <w:snapToGrid w:val="0"/>
        <w:spacing w:line="560" w:lineRule="atLeast"/>
        <w:rPr>
          <w:rFonts w:ascii="黑体" w:eastAsia="黑体"/>
          <w:b/>
          <w:sz w:val="44"/>
        </w:rPr>
      </w:pPr>
    </w:p>
    <w:p>
      <w:pPr>
        <w:adjustRightInd w:val="0"/>
        <w:snapToGrid w:val="0"/>
        <w:spacing w:line="560" w:lineRule="atLeast"/>
        <w:rPr>
          <w:rFonts w:ascii="黑体" w:eastAsia="黑体"/>
          <w:b/>
          <w:sz w:val="44"/>
        </w:rPr>
      </w:pPr>
    </w:p>
    <w:p>
      <w:pPr>
        <w:rPr>
          <w:lang w:val="zh-CN"/>
        </w:rPr>
      </w:pPr>
    </w:p>
    <w:p>
      <w:pPr>
        <w:rPr>
          <w:lang w:val="zh-CN"/>
        </w:rPr>
      </w:pPr>
    </w:p>
    <w:p>
      <w:pPr>
        <w:rPr>
          <w:lang w:val="zh-CN"/>
        </w:rPr>
      </w:pPr>
    </w:p>
    <w:p>
      <w:pPr>
        <w:rPr>
          <w:lang w:val="zh-CN"/>
        </w:rPr>
      </w:pPr>
    </w:p>
    <w:p>
      <w:pPr>
        <w:pStyle w:val="152"/>
        <w:spacing w:before="0" w:line="240" w:lineRule="auto"/>
        <w:jc w:val="both"/>
        <w:rPr>
          <w:color w:val="auto"/>
          <w:lang w:val="zh-CN"/>
        </w:rPr>
      </w:pPr>
    </w:p>
    <w:p>
      <w:pPr>
        <w:rPr>
          <w:lang w:val="zh-CN"/>
        </w:rPr>
      </w:pPr>
    </w:p>
    <w:p>
      <w:pPr>
        <w:rPr>
          <w:lang w:val="zh-CN"/>
        </w:rPr>
      </w:pPr>
    </w:p>
    <w:p>
      <w:pPr>
        <w:jc w:val="center"/>
        <w:rPr>
          <w:b/>
          <w:bCs/>
        </w:rPr>
      </w:pPr>
      <w:r>
        <w:rPr>
          <w:rFonts w:hint="eastAsia"/>
          <w:b/>
          <w:bCs/>
          <w:lang w:val="zh-CN"/>
        </w:rPr>
        <w:t>目录</w:t>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TOC \o "1-3" \h \z \u </w:instrText>
      </w:r>
      <w:r>
        <w:rPr>
          <w:rFonts w:hint="eastAsia" w:ascii="宋体" w:hAnsi="宋体" w:eastAsia="宋体" w:cs="宋体"/>
          <w:i w:val="0"/>
          <w:iCs w:val="0"/>
        </w:rPr>
        <w:fldChar w:fldCharType="separate"/>
      </w: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_Toc19058 </w:instrText>
      </w:r>
      <w:r>
        <w:rPr>
          <w:rFonts w:hint="eastAsia" w:ascii="宋体" w:hAnsi="宋体" w:eastAsia="宋体" w:cs="宋体"/>
          <w:i w:val="0"/>
          <w:iCs w:val="0"/>
        </w:rPr>
        <w:fldChar w:fldCharType="separate"/>
      </w:r>
      <w:r>
        <w:rPr>
          <w:i w:val="0"/>
          <w:iCs w:val="0"/>
        </w:rPr>
        <w:t>1</w:t>
      </w:r>
      <w:r>
        <w:rPr>
          <w:rFonts w:hint="eastAsia"/>
          <w:i w:val="0"/>
          <w:iCs w:val="0"/>
        </w:rPr>
        <w:t>、前言</w:t>
      </w:r>
      <w:r>
        <w:rPr>
          <w:i w:val="0"/>
          <w:iCs w:val="0"/>
        </w:rPr>
        <w:tab/>
      </w:r>
      <w:r>
        <w:rPr>
          <w:i w:val="0"/>
          <w:iCs w:val="0"/>
        </w:rPr>
        <w:fldChar w:fldCharType="begin"/>
      </w:r>
      <w:r>
        <w:rPr>
          <w:i w:val="0"/>
          <w:iCs w:val="0"/>
        </w:rPr>
        <w:instrText xml:space="preserve"> PAGEREF _Toc19058 </w:instrText>
      </w:r>
      <w:r>
        <w:rPr>
          <w:i w:val="0"/>
          <w:iCs w:val="0"/>
        </w:rPr>
        <w:fldChar w:fldCharType="separate"/>
      </w:r>
      <w:r>
        <w:rPr>
          <w:i w:val="0"/>
          <w:iCs w:val="0"/>
        </w:rPr>
        <w:t>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_Toc10564 </w:instrText>
      </w:r>
      <w:r>
        <w:rPr>
          <w:rFonts w:hint="eastAsia" w:ascii="宋体" w:hAnsi="宋体" w:eastAsia="宋体" w:cs="宋体"/>
          <w:i w:val="0"/>
          <w:iCs w:val="0"/>
        </w:rPr>
        <w:fldChar w:fldCharType="separate"/>
      </w:r>
      <w:r>
        <w:rPr>
          <w:i w:val="0"/>
          <w:iCs w:val="0"/>
        </w:rPr>
        <w:t>2</w:t>
      </w:r>
      <w:r>
        <w:rPr>
          <w:rFonts w:hint="eastAsia"/>
          <w:i w:val="0"/>
          <w:iCs w:val="0"/>
        </w:rPr>
        <w:t>、验收监测依据</w:t>
      </w:r>
      <w:r>
        <w:rPr>
          <w:i w:val="0"/>
          <w:iCs w:val="0"/>
        </w:rPr>
        <w:tab/>
      </w:r>
      <w:r>
        <w:rPr>
          <w:i w:val="0"/>
          <w:iCs w:val="0"/>
        </w:rPr>
        <w:fldChar w:fldCharType="begin"/>
      </w:r>
      <w:r>
        <w:rPr>
          <w:i w:val="0"/>
          <w:iCs w:val="0"/>
        </w:rPr>
        <w:instrText xml:space="preserve"> PAGEREF _Toc10564 </w:instrText>
      </w:r>
      <w:r>
        <w:rPr>
          <w:i w:val="0"/>
          <w:iCs w:val="0"/>
        </w:rPr>
        <w:fldChar w:fldCharType="separate"/>
      </w:r>
      <w:r>
        <w:rPr>
          <w:i w:val="0"/>
          <w:iCs w:val="0"/>
        </w:rPr>
        <w:t>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_Toc3534 </w:instrText>
      </w:r>
      <w:r>
        <w:rPr>
          <w:rFonts w:hint="eastAsia" w:ascii="宋体" w:hAnsi="宋体" w:eastAsia="宋体" w:cs="宋体"/>
          <w:i w:val="0"/>
          <w:iCs w:val="0"/>
        </w:rPr>
        <w:fldChar w:fldCharType="separate"/>
      </w:r>
      <w:r>
        <w:rPr>
          <w:i w:val="0"/>
          <w:iCs w:val="0"/>
        </w:rPr>
        <w:t>3</w:t>
      </w:r>
      <w:r>
        <w:rPr>
          <w:rFonts w:hint="eastAsia"/>
          <w:i w:val="0"/>
          <w:iCs w:val="0"/>
        </w:rPr>
        <w:t>、工程建设情况</w:t>
      </w:r>
      <w:r>
        <w:rPr>
          <w:i w:val="0"/>
          <w:iCs w:val="0"/>
        </w:rPr>
        <w:tab/>
      </w:r>
      <w:r>
        <w:rPr>
          <w:i w:val="0"/>
          <w:iCs w:val="0"/>
        </w:rPr>
        <w:fldChar w:fldCharType="begin"/>
      </w:r>
      <w:r>
        <w:rPr>
          <w:i w:val="0"/>
          <w:iCs w:val="0"/>
        </w:rPr>
        <w:instrText xml:space="preserve"> PAGEREF _Toc3534 </w:instrText>
      </w:r>
      <w:r>
        <w:rPr>
          <w:i w:val="0"/>
          <w:iCs w:val="0"/>
        </w:rPr>
        <w:fldChar w:fldCharType="separate"/>
      </w:r>
      <w:r>
        <w:rPr>
          <w:i w:val="0"/>
          <w:iCs w:val="0"/>
        </w:rPr>
        <w:t>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_Toc13796 </w:instrText>
      </w:r>
      <w:r>
        <w:rPr>
          <w:rFonts w:hint="eastAsia" w:ascii="宋体" w:hAnsi="宋体" w:eastAsia="宋体" w:cs="宋体"/>
          <w:i w:val="0"/>
          <w:iCs w:val="0"/>
        </w:rPr>
        <w:fldChar w:fldCharType="separate"/>
      </w:r>
      <w:r>
        <w:rPr>
          <w:i w:val="0"/>
          <w:iCs w:val="0"/>
        </w:rPr>
        <w:t xml:space="preserve">3.1 </w:t>
      </w:r>
      <w:r>
        <w:rPr>
          <w:rFonts w:hint="eastAsia"/>
          <w:i w:val="0"/>
          <w:iCs w:val="0"/>
        </w:rPr>
        <w:t>项目建设情况</w:t>
      </w:r>
      <w:r>
        <w:rPr>
          <w:i w:val="0"/>
          <w:iCs w:val="0"/>
        </w:rPr>
        <w:tab/>
      </w:r>
      <w:r>
        <w:rPr>
          <w:i w:val="0"/>
          <w:iCs w:val="0"/>
        </w:rPr>
        <w:fldChar w:fldCharType="begin"/>
      </w:r>
      <w:r>
        <w:rPr>
          <w:i w:val="0"/>
          <w:iCs w:val="0"/>
        </w:rPr>
        <w:instrText xml:space="preserve"> PAGEREF _Toc13796 </w:instrText>
      </w:r>
      <w:r>
        <w:rPr>
          <w:i w:val="0"/>
          <w:iCs w:val="0"/>
        </w:rPr>
        <w:fldChar w:fldCharType="separate"/>
      </w:r>
      <w:r>
        <w:rPr>
          <w:i w:val="0"/>
          <w:iCs w:val="0"/>
        </w:rPr>
        <w:t>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_Toc29298 </w:instrText>
      </w:r>
      <w:r>
        <w:rPr>
          <w:rFonts w:hint="eastAsia" w:ascii="宋体" w:hAnsi="宋体" w:eastAsia="宋体" w:cs="宋体"/>
          <w:i w:val="0"/>
          <w:iCs w:val="0"/>
        </w:rPr>
        <w:fldChar w:fldCharType="separate"/>
      </w:r>
      <w:r>
        <w:rPr>
          <w:i w:val="0"/>
          <w:iCs w:val="0"/>
        </w:rPr>
        <w:t>3.2</w:t>
      </w:r>
      <w:r>
        <w:rPr>
          <w:rFonts w:hint="eastAsia"/>
          <w:i w:val="0"/>
          <w:iCs w:val="0"/>
        </w:rPr>
        <w:t>主要原辅材料及燃料</w:t>
      </w:r>
      <w:r>
        <w:rPr>
          <w:i w:val="0"/>
          <w:iCs w:val="0"/>
        </w:rPr>
        <w:tab/>
      </w:r>
      <w:r>
        <w:rPr>
          <w:i w:val="0"/>
          <w:iCs w:val="0"/>
        </w:rPr>
        <w:fldChar w:fldCharType="begin"/>
      </w:r>
      <w:r>
        <w:rPr>
          <w:i w:val="0"/>
          <w:iCs w:val="0"/>
        </w:rPr>
        <w:instrText xml:space="preserve"> PAGEREF _Toc29298 </w:instrText>
      </w:r>
      <w:r>
        <w:rPr>
          <w:i w:val="0"/>
          <w:iCs w:val="0"/>
        </w:rPr>
        <w:fldChar w:fldCharType="separate"/>
      </w:r>
      <w:r>
        <w:rPr>
          <w:i w:val="0"/>
          <w:iCs w:val="0"/>
        </w:rPr>
        <w:t>8</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_Toc15491 </w:instrText>
      </w:r>
      <w:r>
        <w:rPr>
          <w:rFonts w:hint="eastAsia" w:ascii="宋体" w:hAnsi="宋体" w:eastAsia="宋体" w:cs="宋体"/>
          <w:i w:val="0"/>
          <w:iCs w:val="0"/>
        </w:rPr>
        <w:fldChar w:fldCharType="separate"/>
      </w:r>
      <w:r>
        <w:rPr>
          <w:rFonts w:cs="Times New Roman"/>
          <w:i w:val="0"/>
          <w:iCs w:val="0"/>
        </w:rPr>
        <w:t xml:space="preserve">3. </w:t>
      </w:r>
      <w:r>
        <w:rPr>
          <w:i w:val="0"/>
          <w:iCs w:val="0"/>
        </w:rPr>
        <w:t xml:space="preserve">3 </w:t>
      </w:r>
      <w:r>
        <w:rPr>
          <w:rFonts w:hint="eastAsia"/>
          <w:i w:val="0"/>
          <w:iCs w:val="0"/>
        </w:rPr>
        <w:t>水平衡</w:t>
      </w:r>
      <w:r>
        <w:rPr>
          <w:i w:val="0"/>
          <w:iCs w:val="0"/>
        </w:rPr>
        <w:tab/>
      </w:r>
      <w:r>
        <w:rPr>
          <w:i w:val="0"/>
          <w:iCs w:val="0"/>
        </w:rPr>
        <w:fldChar w:fldCharType="begin"/>
      </w:r>
      <w:r>
        <w:rPr>
          <w:i w:val="0"/>
          <w:iCs w:val="0"/>
        </w:rPr>
        <w:instrText xml:space="preserve"> PAGEREF _Toc15491 </w:instrText>
      </w:r>
      <w:r>
        <w:rPr>
          <w:i w:val="0"/>
          <w:iCs w:val="0"/>
        </w:rPr>
        <w:fldChar w:fldCharType="separate"/>
      </w:r>
      <w:r>
        <w:rPr>
          <w:i w:val="0"/>
          <w:iCs w:val="0"/>
        </w:rPr>
        <w:t>10</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_Toc17554 </w:instrText>
      </w:r>
      <w:r>
        <w:rPr>
          <w:rFonts w:hint="eastAsia" w:ascii="宋体" w:hAnsi="宋体" w:eastAsia="宋体" w:cs="宋体"/>
          <w:i w:val="0"/>
          <w:iCs w:val="0"/>
        </w:rPr>
        <w:fldChar w:fldCharType="separate"/>
      </w:r>
      <w:r>
        <w:rPr>
          <w:i w:val="0"/>
          <w:iCs w:val="0"/>
        </w:rPr>
        <w:t xml:space="preserve">3.4 </w:t>
      </w:r>
      <w:r>
        <w:rPr>
          <w:rFonts w:hint="eastAsia"/>
          <w:i w:val="0"/>
          <w:iCs w:val="0"/>
        </w:rPr>
        <w:t>生产工艺简介</w:t>
      </w:r>
      <w:r>
        <w:rPr>
          <w:i w:val="0"/>
          <w:iCs w:val="0"/>
        </w:rPr>
        <w:tab/>
      </w:r>
      <w:r>
        <w:rPr>
          <w:i w:val="0"/>
          <w:iCs w:val="0"/>
        </w:rPr>
        <w:fldChar w:fldCharType="begin"/>
      </w:r>
      <w:r>
        <w:rPr>
          <w:i w:val="0"/>
          <w:iCs w:val="0"/>
        </w:rPr>
        <w:instrText xml:space="preserve"> PAGEREF _Toc17554 </w:instrText>
      </w:r>
      <w:r>
        <w:rPr>
          <w:i w:val="0"/>
          <w:iCs w:val="0"/>
        </w:rPr>
        <w:fldChar w:fldCharType="separate"/>
      </w:r>
      <w:r>
        <w:rPr>
          <w:i w:val="0"/>
          <w:iCs w:val="0"/>
        </w:rPr>
        <w:t>12</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_Toc2388 </w:instrText>
      </w:r>
      <w:r>
        <w:rPr>
          <w:rFonts w:hint="eastAsia" w:ascii="宋体" w:hAnsi="宋体" w:eastAsia="宋体" w:cs="宋体"/>
          <w:i w:val="0"/>
          <w:iCs w:val="0"/>
        </w:rPr>
        <w:fldChar w:fldCharType="separate"/>
      </w:r>
      <w:r>
        <w:rPr>
          <w:i w:val="0"/>
          <w:iCs w:val="0"/>
        </w:rPr>
        <w:t>4</w:t>
      </w:r>
      <w:r>
        <w:rPr>
          <w:rFonts w:hint="eastAsia"/>
          <w:i w:val="0"/>
          <w:iCs w:val="0"/>
        </w:rPr>
        <w:t>、环境保护设施</w:t>
      </w:r>
      <w:r>
        <w:rPr>
          <w:i w:val="0"/>
          <w:iCs w:val="0"/>
        </w:rPr>
        <w:tab/>
      </w:r>
      <w:r>
        <w:rPr>
          <w:i w:val="0"/>
          <w:iCs w:val="0"/>
        </w:rPr>
        <w:fldChar w:fldCharType="begin"/>
      </w:r>
      <w:r>
        <w:rPr>
          <w:i w:val="0"/>
          <w:iCs w:val="0"/>
        </w:rPr>
        <w:instrText xml:space="preserve"> PAGEREF _Toc2388 </w:instrText>
      </w:r>
      <w:r>
        <w:rPr>
          <w:i w:val="0"/>
          <w:iCs w:val="0"/>
        </w:rPr>
        <w:fldChar w:fldCharType="separate"/>
      </w:r>
      <w:r>
        <w:rPr>
          <w:i w:val="0"/>
          <w:iCs w:val="0"/>
        </w:rPr>
        <w:t>16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_Toc13615 </w:instrText>
      </w:r>
      <w:r>
        <w:rPr>
          <w:rFonts w:hint="eastAsia" w:ascii="宋体" w:hAnsi="宋体" w:eastAsia="宋体" w:cs="宋体"/>
          <w:i w:val="0"/>
          <w:iCs w:val="0"/>
        </w:rPr>
        <w:fldChar w:fldCharType="separate"/>
      </w:r>
      <w:r>
        <w:rPr>
          <w:i w:val="0"/>
          <w:iCs w:val="0"/>
        </w:rPr>
        <w:t>4.1</w:t>
      </w:r>
      <w:r>
        <w:rPr>
          <w:rFonts w:hint="eastAsia"/>
          <w:i w:val="0"/>
          <w:iCs w:val="0"/>
        </w:rPr>
        <w:t>污染物治理</w:t>
      </w:r>
      <w:r>
        <w:rPr>
          <w:i w:val="0"/>
          <w:iCs w:val="0"/>
        </w:rPr>
        <w:t>/</w:t>
      </w:r>
      <w:r>
        <w:rPr>
          <w:rFonts w:hint="eastAsia"/>
          <w:i w:val="0"/>
          <w:iCs w:val="0"/>
        </w:rPr>
        <w:t>处置措施</w:t>
      </w:r>
      <w:r>
        <w:rPr>
          <w:i w:val="0"/>
          <w:iCs w:val="0"/>
        </w:rPr>
        <w:tab/>
      </w:r>
      <w:r>
        <w:rPr>
          <w:i w:val="0"/>
          <w:iCs w:val="0"/>
        </w:rPr>
        <w:fldChar w:fldCharType="begin"/>
      </w:r>
      <w:r>
        <w:rPr>
          <w:i w:val="0"/>
          <w:iCs w:val="0"/>
        </w:rPr>
        <w:instrText xml:space="preserve"> PAGEREF _Toc13615 </w:instrText>
      </w:r>
      <w:r>
        <w:rPr>
          <w:i w:val="0"/>
          <w:iCs w:val="0"/>
        </w:rPr>
        <w:fldChar w:fldCharType="separate"/>
      </w:r>
      <w:r>
        <w:rPr>
          <w:i w:val="0"/>
          <w:iCs w:val="0"/>
        </w:rPr>
        <w:t>16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_Toc20585 </w:instrText>
      </w:r>
      <w:r>
        <w:rPr>
          <w:rFonts w:hint="eastAsia" w:ascii="宋体" w:hAnsi="宋体" w:eastAsia="宋体" w:cs="宋体"/>
          <w:i w:val="0"/>
          <w:iCs w:val="0"/>
        </w:rPr>
        <w:fldChar w:fldCharType="separate"/>
      </w:r>
      <w:r>
        <w:rPr>
          <w:i w:val="0"/>
          <w:iCs w:val="0"/>
        </w:rPr>
        <w:t>4.1.1</w:t>
      </w:r>
      <w:r>
        <w:rPr>
          <w:rFonts w:hint="eastAsia"/>
          <w:i w:val="0"/>
          <w:iCs w:val="0"/>
        </w:rPr>
        <w:t>废水</w:t>
      </w:r>
      <w:r>
        <w:rPr>
          <w:i w:val="0"/>
          <w:iCs w:val="0"/>
        </w:rPr>
        <w:tab/>
      </w:r>
      <w:r>
        <w:rPr>
          <w:i w:val="0"/>
          <w:iCs w:val="0"/>
        </w:rPr>
        <w:fldChar w:fldCharType="begin"/>
      </w:r>
      <w:r>
        <w:rPr>
          <w:i w:val="0"/>
          <w:iCs w:val="0"/>
        </w:rPr>
        <w:instrText xml:space="preserve"> PAGEREF _Toc20585 </w:instrText>
      </w:r>
      <w:r>
        <w:rPr>
          <w:i w:val="0"/>
          <w:iCs w:val="0"/>
        </w:rPr>
        <w:fldChar w:fldCharType="separate"/>
      </w:r>
      <w:r>
        <w:rPr>
          <w:i w:val="0"/>
          <w:iCs w:val="0"/>
        </w:rPr>
        <w:t>16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_Toc15049 </w:instrText>
      </w:r>
      <w:r>
        <w:rPr>
          <w:rFonts w:hint="eastAsia" w:ascii="宋体" w:hAnsi="宋体" w:eastAsia="宋体" w:cs="宋体"/>
          <w:i w:val="0"/>
          <w:iCs w:val="0"/>
        </w:rPr>
        <w:fldChar w:fldCharType="separate"/>
      </w:r>
      <w:r>
        <w:rPr>
          <w:i w:val="0"/>
          <w:iCs w:val="0"/>
        </w:rPr>
        <w:t xml:space="preserve">4.1.2 </w:t>
      </w:r>
      <w:r>
        <w:rPr>
          <w:rFonts w:hint="eastAsia"/>
          <w:i w:val="0"/>
          <w:iCs w:val="0"/>
        </w:rPr>
        <w:t>废气</w:t>
      </w:r>
      <w:r>
        <w:rPr>
          <w:i w:val="0"/>
          <w:iCs w:val="0"/>
        </w:rPr>
        <w:tab/>
      </w:r>
      <w:r>
        <w:rPr>
          <w:i w:val="0"/>
          <w:iCs w:val="0"/>
        </w:rPr>
        <w:fldChar w:fldCharType="begin"/>
      </w:r>
      <w:r>
        <w:rPr>
          <w:i w:val="0"/>
          <w:iCs w:val="0"/>
        </w:rPr>
        <w:instrText xml:space="preserve"> PAGEREF _Toc15049 </w:instrText>
      </w:r>
      <w:r>
        <w:rPr>
          <w:i w:val="0"/>
          <w:iCs w:val="0"/>
        </w:rPr>
        <w:fldChar w:fldCharType="separate"/>
      </w:r>
      <w:r>
        <w:rPr>
          <w:i w:val="0"/>
          <w:iCs w:val="0"/>
        </w:rPr>
        <w:t>19</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_Toc15919 </w:instrText>
      </w:r>
      <w:r>
        <w:rPr>
          <w:rFonts w:hint="eastAsia" w:ascii="宋体" w:hAnsi="宋体" w:eastAsia="宋体" w:cs="宋体"/>
          <w:i w:val="0"/>
          <w:iCs w:val="0"/>
        </w:rPr>
        <w:fldChar w:fldCharType="separate"/>
      </w:r>
      <w:r>
        <w:rPr>
          <w:i w:val="0"/>
          <w:iCs w:val="0"/>
        </w:rPr>
        <w:t xml:space="preserve">4.1.3 </w:t>
      </w:r>
      <w:r>
        <w:rPr>
          <w:rFonts w:hint="eastAsia"/>
          <w:i w:val="0"/>
          <w:iCs w:val="0"/>
        </w:rPr>
        <w:t>噪声</w:t>
      </w:r>
      <w:r>
        <w:rPr>
          <w:i w:val="0"/>
          <w:iCs w:val="0"/>
        </w:rPr>
        <w:tab/>
      </w:r>
      <w:r>
        <w:rPr>
          <w:i w:val="0"/>
          <w:iCs w:val="0"/>
        </w:rPr>
        <w:fldChar w:fldCharType="begin"/>
      </w:r>
      <w:r>
        <w:rPr>
          <w:i w:val="0"/>
          <w:iCs w:val="0"/>
        </w:rPr>
        <w:instrText xml:space="preserve"> PAGEREF _Toc15919 </w:instrText>
      </w:r>
      <w:r>
        <w:rPr>
          <w:i w:val="0"/>
          <w:iCs w:val="0"/>
        </w:rPr>
        <w:fldChar w:fldCharType="separate"/>
      </w:r>
      <w:r>
        <w:rPr>
          <w:i w:val="0"/>
          <w:iCs w:val="0"/>
        </w:rPr>
        <w:t>24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_Toc18522 </w:instrText>
      </w:r>
      <w:r>
        <w:rPr>
          <w:rFonts w:hint="eastAsia" w:ascii="宋体" w:hAnsi="宋体" w:eastAsia="宋体" w:cs="宋体"/>
          <w:i w:val="0"/>
          <w:iCs w:val="0"/>
        </w:rPr>
        <w:fldChar w:fldCharType="separate"/>
      </w:r>
      <w:r>
        <w:rPr>
          <w:i w:val="0"/>
          <w:iCs w:val="0"/>
        </w:rPr>
        <w:t>4.1.4</w:t>
      </w:r>
      <w:r>
        <w:rPr>
          <w:rFonts w:hint="eastAsia"/>
          <w:i w:val="0"/>
          <w:iCs w:val="0"/>
        </w:rPr>
        <w:t>固体废物防治措施</w:t>
      </w:r>
      <w:r>
        <w:rPr>
          <w:i w:val="0"/>
          <w:iCs w:val="0"/>
        </w:rPr>
        <w:tab/>
      </w:r>
      <w:r>
        <w:rPr>
          <w:i w:val="0"/>
          <w:iCs w:val="0"/>
        </w:rPr>
        <w:fldChar w:fldCharType="begin"/>
      </w:r>
      <w:r>
        <w:rPr>
          <w:i w:val="0"/>
          <w:iCs w:val="0"/>
        </w:rPr>
        <w:instrText xml:space="preserve"> PAGEREF _Toc18522 </w:instrText>
      </w:r>
      <w:r>
        <w:rPr>
          <w:i w:val="0"/>
          <w:iCs w:val="0"/>
        </w:rPr>
        <w:fldChar w:fldCharType="separate"/>
      </w:r>
      <w:r>
        <w:rPr>
          <w:i w:val="0"/>
          <w:iCs w:val="0"/>
        </w:rPr>
        <w:t>24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_Toc6385 </w:instrText>
      </w:r>
      <w:r>
        <w:rPr>
          <w:rFonts w:hint="eastAsia" w:ascii="宋体" w:hAnsi="宋体" w:eastAsia="宋体" w:cs="宋体"/>
          <w:i w:val="0"/>
          <w:iCs w:val="0"/>
        </w:rPr>
        <w:fldChar w:fldCharType="separate"/>
      </w:r>
      <w:r>
        <w:rPr>
          <w:i w:val="0"/>
          <w:iCs w:val="0"/>
        </w:rPr>
        <w:t>4.2</w:t>
      </w:r>
      <w:r>
        <w:rPr>
          <w:rFonts w:hint="eastAsia"/>
          <w:i w:val="0"/>
          <w:iCs w:val="0"/>
        </w:rPr>
        <w:t>其他环保设施</w:t>
      </w:r>
      <w:r>
        <w:rPr>
          <w:i w:val="0"/>
          <w:iCs w:val="0"/>
        </w:rPr>
        <w:tab/>
      </w:r>
      <w:r>
        <w:rPr>
          <w:i w:val="0"/>
          <w:iCs w:val="0"/>
        </w:rPr>
        <w:fldChar w:fldCharType="begin"/>
      </w:r>
      <w:r>
        <w:rPr>
          <w:i w:val="0"/>
          <w:iCs w:val="0"/>
        </w:rPr>
        <w:instrText xml:space="preserve"> PAGEREF _Toc6385 </w:instrText>
      </w:r>
      <w:r>
        <w:rPr>
          <w:i w:val="0"/>
          <w:iCs w:val="0"/>
        </w:rPr>
        <w:fldChar w:fldCharType="separate"/>
      </w:r>
      <w:r>
        <w:rPr>
          <w:i w:val="0"/>
          <w:iCs w:val="0"/>
        </w:rPr>
        <w:t>26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_Toc5462 </w:instrText>
      </w:r>
      <w:r>
        <w:rPr>
          <w:rFonts w:hint="eastAsia" w:ascii="宋体" w:hAnsi="宋体" w:eastAsia="宋体" w:cs="宋体"/>
          <w:i w:val="0"/>
          <w:iCs w:val="0"/>
        </w:rPr>
        <w:fldChar w:fldCharType="separate"/>
      </w:r>
      <w:r>
        <w:rPr>
          <w:i w:val="0"/>
          <w:iCs w:val="0"/>
        </w:rPr>
        <w:t>4.2.1</w:t>
      </w:r>
      <w:r>
        <w:rPr>
          <w:rFonts w:hint="eastAsia"/>
          <w:i w:val="0"/>
          <w:iCs w:val="0"/>
        </w:rPr>
        <w:t>环境风险防范设施</w:t>
      </w:r>
      <w:r>
        <w:rPr>
          <w:i w:val="0"/>
          <w:iCs w:val="0"/>
        </w:rPr>
        <w:tab/>
      </w:r>
      <w:r>
        <w:rPr>
          <w:i w:val="0"/>
          <w:iCs w:val="0"/>
        </w:rPr>
        <w:fldChar w:fldCharType="begin"/>
      </w:r>
      <w:r>
        <w:rPr>
          <w:i w:val="0"/>
          <w:iCs w:val="0"/>
        </w:rPr>
        <w:instrText xml:space="preserve"> PAGEREF _Toc5462 </w:instrText>
      </w:r>
      <w:r>
        <w:rPr>
          <w:i w:val="0"/>
          <w:iCs w:val="0"/>
        </w:rPr>
        <w:fldChar w:fldCharType="separate"/>
      </w:r>
      <w:r>
        <w:rPr>
          <w:i w:val="0"/>
          <w:iCs w:val="0"/>
        </w:rPr>
        <w:t>26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_Toc25439 </w:instrText>
      </w:r>
      <w:r>
        <w:rPr>
          <w:rFonts w:hint="eastAsia" w:ascii="宋体" w:hAnsi="宋体" w:eastAsia="宋体" w:cs="宋体"/>
          <w:i w:val="0"/>
          <w:iCs w:val="0"/>
        </w:rPr>
        <w:fldChar w:fldCharType="separate"/>
      </w:r>
      <w:r>
        <w:rPr>
          <w:i w:val="0"/>
          <w:iCs w:val="0"/>
        </w:rPr>
        <w:t>4.2.2</w:t>
      </w:r>
      <w:r>
        <w:rPr>
          <w:rFonts w:hint="eastAsia"/>
          <w:i w:val="0"/>
          <w:iCs w:val="0"/>
        </w:rPr>
        <w:t>在线监测装置</w:t>
      </w:r>
      <w:r>
        <w:rPr>
          <w:i w:val="0"/>
          <w:iCs w:val="0"/>
        </w:rPr>
        <w:tab/>
      </w:r>
      <w:r>
        <w:rPr>
          <w:i w:val="0"/>
          <w:iCs w:val="0"/>
        </w:rPr>
        <w:fldChar w:fldCharType="begin"/>
      </w:r>
      <w:r>
        <w:rPr>
          <w:i w:val="0"/>
          <w:iCs w:val="0"/>
        </w:rPr>
        <w:instrText xml:space="preserve"> PAGEREF _Toc25439 </w:instrText>
      </w:r>
      <w:r>
        <w:rPr>
          <w:i w:val="0"/>
          <w:iCs w:val="0"/>
        </w:rPr>
        <w:fldChar w:fldCharType="separate"/>
      </w:r>
      <w:r>
        <w:rPr>
          <w:i w:val="0"/>
          <w:iCs w:val="0"/>
        </w:rPr>
        <w:t>28</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_Toc18056 </w:instrText>
      </w:r>
      <w:r>
        <w:rPr>
          <w:rFonts w:hint="eastAsia" w:ascii="宋体" w:hAnsi="宋体" w:eastAsia="宋体" w:cs="宋体"/>
          <w:i w:val="0"/>
          <w:iCs w:val="0"/>
        </w:rPr>
        <w:fldChar w:fldCharType="separate"/>
      </w:r>
      <w:r>
        <w:rPr>
          <w:i w:val="0"/>
          <w:iCs w:val="0"/>
        </w:rPr>
        <w:t>4.2.3</w:t>
      </w:r>
      <w:r>
        <w:rPr>
          <w:rFonts w:hint="eastAsia"/>
          <w:i w:val="0"/>
          <w:iCs w:val="0"/>
        </w:rPr>
        <w:t>其他设施</w:t>
      </w:r>
      <w:r>
        <w:rPr>
          <w:i w:val="0"/>
          <w:iCs w:val="0"/>
        </w:rPr>
        <w:tab/>
      </w:r>
      <w:r>
        <w:rPr>
          <w:i w:val="0"/>
          <w:iCs w:val="0"/>
        </w:rPr>
        <w:fldChar w:fldCharType="begin"/>
      </w:r>
      <w:r>
        <w:rPr>
          <w:i w:val="0"/>
          <w:iCs w:val="0"/>
        </w:rPr>
        <w:instrText xml:space="preserve"> PAGEREF _Toc18056 </w:instrText>
      </w:r>
      <w:r>
        <w:rPr>
          <w:i w:val="0"/>
          <w:iCs w:val="0"/>
        </w:rPr>
        <w:fldChar w:fldCharType="separate"/>
      </w:r>
      <w:r>
        <w:rPr>
          <w:i w:val="0"/>
          <w:iCs w:val="0"/>
        </w:rPr>
        <w:t>28</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_Toc12400 </w:instrText>
      </w:r>
      <w:r>
        <w:rPr>
          <w:rFonts w:hint="eastAsia" w:ascii="宋体" w:hAnsi="宋体" w:eastAsia="宋体" w:cs="宋体"/>
          <w:i w:val="0"/>
          <w:iCs w:val="0"/>
        </w:rPr>
        <w:fldChar w:fldCharType="separate"/>
      </w:r>
      <w:r>
        <w:rPr>
          <w:i w:val="0"/>
          <w:iCs w:val="0"/>
        </w:rPr>
        <w:t>4.3</w:t>
      </w:r>
      <w:r>
        <w:rPr>
          <w:rFonts w:hint="eastAsia"/>
          <w:i w:val="0"/>
          <w:iCs w:val="0"/>
        </w:rPr>
        <w:t>环保设施投资及“三同时”落实情况</w:t>
      </w:r>
      <w:r>
        <w:rPr>
          <w:i w:val="0"/>
          <w:iCs w:val="0"/>
        </w:rPr>
        <w:tab/>
      </w:r>
      <w:r>
        <w:rPr>
          <w:i w:val="0"/>
          <w:iCs w:val="0"/>
        </w:rPr>
        <w:fldChar w:fldCharType="begin"/>
      </w:r>
      <w:r>
        <w:rPr>
          <w:i w:val="0"/>
          <w:iCs w:val="0"/>
        </w:rPr>
        <w:instrText xml:space="preserve"> PAGEREF _Toc12400 </w:instrText>
      </w:r>
      <w:r>
        <w:rPr>
          <w:i w:val="0"/>
          <w:iCs w:val="0"/>
        </w:rPr>
        <w:fldChar w:fldCharType="separate"/>
      </w:r>
      <w:r>
        <w:rPr>
          <w:i w:val="0"/>
          <w:iCs w:val="0"/>
        </w:rPr>
        <w:t>28</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_Toc1797 </w:instrText>
      </w:r>
      <w:r>
        <w:rPr>
          <w:rFonts w:hint="eastAsia" w:ascii="宋体" w:hAnsi="宋体" w:eastAsia="宋体" w:cs="宋体"/>
          <w:i w:val="0"/>
          <w:iCs w:val="0"/>
        </w:rPr>
        <w:fldChar w:fldCharType="separate"/>
      </w:r>
      <w:r>
        <w:rPr>
          <w:i w:val="0"/>
          <w:iCs w:val="0"/>
        </w:rPr>
        <w:t>5</w:t>
      </w:r>
      <w:r>
        <w:rPr>
          <w:rFonts w:hint="eastAsia"/>
          <w:i w:val="0"/>
          <w:iCs w:val="0"/>
        </w:rPr>
        <w:t>、建设项目环评报告书的主要结论与建议及审批部门审批决定</w:t>
      </w:r>
      <w:r>
        <w:rPr>
          <w:i w:val="0"/>
          <w:iCs w:val="0"/>
        </w:rPr>
        <w:tab/>
      </w:r>
      <w:r>
        <w:rPr>
          <w:i w:val="0"/>
          <w:iCs w:val="0"/>
        </w:rPr>
        <w:fldChar w:fldCharType="begin"/>
      </w:r>
      <w:r>
        <w:rPr>
          <w:i w:val="0"/>
          <w:iCs w:val="0"/>
        </w:rPr>
        <w:instrText xml:space="preserve"> PAGEREF _Toc1797 </w:instrText>
      </w:r>
      <w:r>
        <w:rPr>
          <w:i w:val="0"/>
          <w:iCs w:val="0"/>
        </w:rPr>
        <w:fldChar w:fldCharType="separate"/>
      </w:r>
      <w:r>
        <w:rPr>
          <w:i w:val="0"/>
          <w:iCs w:val="0"/>
        </w:rPr>
        <w:t>29</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_Toc6924 </w:instrText>
      </w:r>
      <w:r>
        <w:rPr>
          <w:rFonts w:hint="eastAsia" w:ascii="宋体" w:hAnsi="宋体" w:eastAsia="宋体" w:cs="宋体"/>
          <w:i w:val="0"/>
          <w:iCs w:val="0"/>
        </w:rPr>
        <w:fldChar w:fldCharType="separate"/>
      </w:r>
      <w:r>
        <w:rPr>
          <w:i w:val="0"/>
          <w:iCs w:val="0"/>
        </w:rPr>
        <w:t xml:space="preserve">5.1 </w:t>
      </w:r>
      <w:r>
        <w:rPr>
          <w:rFonts w:hint="eastAsia"/>
          <w:i w:val="0"/>
          <w:iCs w:val="0"/>
        </w:rPr>
        <w:t>建设项目环评报告书的主要结论与建议</w:t>
      </w:r>
      <w:r>
        <w:rPr>
          <w:i w:val="0"/>
          <w:iCs w:val="0"/>
        </w:rPr>
        <w:tab/>
      </w:r>
      <w:r>
        <w:rPr>
          <w:i w:val="0"/>
          <w:iCs w:val="0"/>
        </w:rPr>
        <w:fldChar w:fldCharType="begin"/>
      </w:r>
      <w:r>
        <w:rPr>
          <w:i w:val="0"/>
          <w:iCs w:val="0"/>
        </w:rPr>
        <w:instrText xml:space="preserve"> PAGEREF _Toc6924 </w:instrText>
      </w:r>
      <w:r>
        <w:rPr>
          <w:i w:val="0"/>
          <w:iCs w:val="0"/>
        </w:rPr>
        <w:fldChar w:fldCharType="separate"/>
      </w:r>
      <w:r>
        <w:rPr>
          <w:i w:val="0"/>
          <w:iCs w:val="0"/>
        </w:rPr>
        <w:t>29</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_Toc22927 </w:instrText>
      </w:r>
      <w:r>
        <w:rPr>
          <w:rFonts w:hint="eastAsia" w:ascii="宋体" w:hAnsi="宋体" w:eastAsia="宋体" w:cs="宋体"/>
          <w:i w:val="0"/>
          <w:iCs w:val="0"/>
        </w:rPr>
        <w:fldChar w:fldCharType="separate"/>
      </w:r>
      <w:r>
        <w:rPr>
          <w:i w:val="0"/>
          <w:iCs w:val="0"/>
        </w:rPr>
        <w:t>5.2</w:t>
      </w:r>
      <w:r>
        <w:rPr>
          <w:rFonts w:hint="eastAsia"/>
          <w:i w:val="0"/>
          <w:iCs w:val="0"/>
        </w:rPr>
        <w:t>环境影响评价批复的要求</w:t>
      </w:r>
      <w:r>
        <w:rPr>
          <w:i w:val="0"/>
          <w:iCs w:val="0"/>
        </w:rPr>
        <w:tab/>
      </w:r>
      <w:r>
        <w:rPr>
          <w:i w:val="0"/>
          <w:iCs w:val="0"/>
        </w:rPr>
        <w:fldChar w:fldCharType="begin"/>
      </w:r>
      <w:r>
        <w:rPr>
          <w:i w:val="0"/>
          <w:iCs w:val="0"/>
        </w:rPr>
        <w:instrText xml:space="preserve"> PAGEREF _Toc22927 </w:instrText>
      </w:r>
      <w:r>
        <w:rPr>
          <w:i w:val="0"/>
          <w:iCs w:val="0"/>
        </w:rPr>
        <w:fldChar w:fldCharType="separate"/>
      </w:r>
      <w:r>
        <w:rPr>
          <w:i w:val="0"/>
          <w:iCs w:val="0"/>
        </w:rPr>
        <w:t>30</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_Toc10348 </w:instrText>
      </w:r>
      <w:r>
        <w:rPr>
          <w:rFonts w:hint="eastAsia" w:ascii="宋体" w:hAnsi="宋体" w:eastAsia="宋体" w:cs="宋体"/>
          <w:i w:val="0"/>
          <w:iCs w:val="0"/>
        </w:rPr>
        <w:fldChar w:fldCharType="separate"/>
      </w:r>
      <w:r>
        <w:rPr>
          <w:i w:val="0"/>
          <w:iCs w:val="0"/>
        </w:rPr>
        <w:t>6</w:t>
      </w:r>
      <w:r>
        <w:rPr>
          <w:rFonts w:hint="eastAsia"/>
          <w:i w:val="0"/>
          <w:iCs w:val="0"/>
        </w:rPr>
        <w:t>、验收监测评价标准</w:t>
      </w:r>
      <w:r>
        <w:rPr>
          <w:i w:val="0"/>
          <w:iCs w:val="0"/>
        </w:rPr>
        <w:tab/>
      </w:r>
      <w:r>
        <w:rPr>
          <w:i w:val="0"/>
          <w:iCs w:val="0"/>
        </w:rPr>
        <w:fldChar w:fldCharType="begin"/>
      </w:r>
      <w:r>
        <w:rPr>
          <w:i w:val="0"/>
          <w:iCs w:val="0"/>
        </w:rPr>
        <w:instrText xml:space="preserve"> PAGEREF _Toc10348 </w:instrText>
      </w:r>
      <w:r>
        <w:rPr>
          <w:i w:val="0"/>
          <w:iCs w:val="0"/>
        </w:rPr>
        <w:fldChar w:fldCharType="separate"/>
      </w:r>
      <w:r>
        <w:rPr>
          <w:i w:val="0"/>
          <w:iCs w:val="0"/>
        </w:rPr>
        <w:t>31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_Toc28180 </w:instrText>
      </w:r>
      <w:r>
        <w:rPr>
          <w:rFonts w:hint="eastAsia" w:ascii="宋体" w:hAnsi="宋体" w:eastAsia="宋体" w:cs="宋体"/>
          <w:i w:val="0"/>
          <w:iCs w:val="0"/>
        </w:rPr>
        <w:fldChar w:fldCharType="separate"/>
      </w:r>
      <w:r>
        <w:rPr>
          <w:i w:val="0"/>
          <w:iCs w:val="0"/>
        </w:rPr>
        <w:t>6.1</w:t>
      </w:r>
      <w:r>
        <w:rPr>
          <w:rFonts w:hint="eastAsia"/>
          <w:i w:val="0"/>
          <w:iCs w:val="0"/>
        </w:rPr>
        <w:t>废水排放验收监测评价标准</w:t>
      </w:r>
      <w:r>
        <w:rPr>
          <w:i w:val="0"/>
          <w:iCs w:val="0"/>
        </w:rPr>
        <w:tab/>
      </w:r>
      <w:r>
        <w:rPr>
          <w:i w:val="0"/>
          <w:iCs w:val="0"/>
        </w:rPr>
        <w:fldChar w:fldCharType="begin"/>
      </w:r>
      <w:r>
        <w:rPr>
          <w:i w:val="0"/>
          <w:iCs w:val="0"/>
        </w:rPr>
        <w:instrText xml:space="preserve"> PAGEREF _Toc28180 </w:instrText>
      </w:r>
      <w:r>
        <w:rPr>
          <w:i w:val="0"/>
          <w:iCs w:val="0"/>
        </w:rPr>
        <w:fldChar w:fldCharType="separate"/>
      </w:r>
      <w:r>
        <w:rPr>
          <w:i w:val="0"/>
          <w:iCs w:val="0"/>
        </w:rPr>
        <w:t>31</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_Toc21008 </w:instrText>
      </w:r>
      <w:r>
        <w:rPr>
          <w:rFonts w:hint="eastAsia" w:ascii="宋体" w:hAnsi="宋体" w:eastAsia="宋体" w:cs="宋体"/>
          <w:i w:val="0"/>
          <w:iCs w:val="0"/>
        </w:rPr>
        <w:fldChar w:fldCharType="separate"/>
      </w:r>
      <w:r>
        <w:rPr>
          <w:i w:val="0"/>
          <w:iCs w:val="0"/>
        </w:rPr>
        <w:t>6.2</w:t>
      </w:r>
      <w:r>
        <w:rPr>
          <w:rFonts w:hint="eastAsia"/>
          <w:i w:val="0"/>
          <w:iCs w:val="0"/>
        </w:rPr>
        <w:t>废气排放验收监测评价标准</w:t>
      </w:r>
      <w:r>
        <w:rPr>
          <w:i w:val="0"/>
          <w:iCs w:val="0"/>
        </w:rPr>
        <w:tab/>
      </w:r>
      <w:r>
        <w:rPr>
          <w:i w:val="0"/>
          <w:iCs w:val="0"/>
        </w:rPr>
        <w:fldChar w:fldCharType="begin"/>
      </w:r>
      <w:r>
        <w:rPr>
          <w:i w:val="0"/>
          <w:iCs w:val="0"/>
        </w:rPr>
        <w:instrText xml:space="preserve"> PAGEREF _Toc21008 </w:instrText>
      </w:r>
      <w:r>
        <w:rPr>
          <w:i w:val="0"/>
          <w:iCs w:val="0"/>
        </w:rPr>
        <w:fldChar w:fldCharType="separate"/>
      </w:r>
      <w:r>
        <w:rPr>
          <w:i w:val="0"/>
          <w:iCs w:val="0"/>
        </w:rPr>
        <w:t>32</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_Toc25651 </w:instrText>
      </w:r>
      <w:r>
        <w:rPr>
          <w:rFonts w:hint="eastAsia" w:ascii="宋体" w:hAnsi="宋体" w:eastAsia="宋体" w:cs="宋体"/>
          <w:i w:val="0"/>
          <w:iCs w:val="0"/>
        </w:rPr>
        <w:fldChar w:fldCharType="separate"/>
      </w:r>
      <w:r>
        <w:rPr>
          <w:i w:val="0"/>
          <w:iCs w:val="0"/>
        </w:rPr>
        <w:t>6.3</w:t>
      </w:r>
      <w:r>
        <w:rPr>
          <w:rFonts w:hint="eastAsia"/>
          <w:i w:val="0"/>
          <w:iCs w:val="0"/>
        </w:rPr>
        <w:t>厂界噪声验收标准</w:t>
      </w:r>
      <w:r>
        <w:rPr>
          <w:i w:val="0"/>
          <w:iCs w:val="0"/>
        </w:rPr>
        <w:tab/>
      </w:r>
      <w:r>
        <w:rPr>
          <w:i w:val="0"/>
          <w:iCs w:val="0"/>
        </w:rPr>
        <w:fldChar w:fldCharType="begin"/>
      </w:r>
      <w:r>
        <w:rPr>
          <w:i w:val="0"/>
          <w:iCs w:val="0"/>
        </w:rPr>
        <w:instrText xml:space="preserve"> PAGEREF _Toc25651 </w:instrText>
      </w:r>
      <w:r>
        <w:rPr>
          <w:i w:val="0"/>
          <w:iCs w:val="0"/>
        </w:rPr>
        <w:fldChar w:fldCharType="separate"/>
      </w:r>
      <w:r>
        <w:rPr>
          <w:i w:val="0"/>
          <w:iCs w:val="0"/>
        </w:rPr>
        <w:t>33</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_Toc7346 </w:instrText>
      </w:r>
      <w:r>
        <w:rPr>
          <w:rFonts w:hint="eastAsia" w:ascii="宋体" w:hAnsi="宋体" w:eastAsia="宋体" w:cs="宋体"/>
          <w:i w:val="0"/>
          <w:iCs w:val="0"/>
        </w:rPr>
        <w:fldChar w:fldCharType="separate"/>
      </w:r>
      <w:r>
        <w:rPr>
          <w:i w:val="0"/>
          <w:iCs w:val="0"/>
        </w:rPr>
        <w:t>6.4</w:t>
      </w:r>
      <w:r>
        <w:rPr>
          <w:rFonts w:hint="eastAsia"/>
          <w:i w:val="0"/>
          <w:iCs w:val="0"/>
        </w:rPr>
        <w:t>总量控制指标</w:t>
      </w:r>
      <w:r>
        <w:rPr>
          <w:i w:val="0"/>
          <w:iCs w:val="0"/>
        </w:rPr>
        <w:tab/>
      </w:r>
      <w:r>
        <w:rPr>
          <w:i w:val="0"/>
          <w:iCs w:val="0"/>
        </w:rPr>
        <w:fldChar w:fldCharType="begin"/>
      </w:r>
      <w:r>
        <w:rPr>
          <w:i w:val="0"/>
          <w:iCs w:val="0"/>
        </w:rPr>
        <w:instrText xml:space="preserve"> PAGEREF _Toc7346 </w:instrText>
      </w:r>
      <w:r>
        <w:rPr>
          <w:i w:val="0"/>
          <w:iCs w:val="0"/>
        </w:rPr>
        <w:fldChar w:fldCharType="separate"/>
      </w:r>
      <w:r>
        <w:rPr>
          <w:i w:val="0"/>
          <w:iCs w:val="0"/>
        </w:rPr>
        <w:t>33</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_Toc27378 </w:instrText>
      </w:r>
      <w:r>
        <w:rPr>
          <w:rFonts w:hint="eastAsia" w:ascii="宋体" w:hAnsi="宋体" w:eastAsia="宋体" w:cs="宋体"/>
          <w:i w:val="0"/>
          <w:iCs w:val="0"/>
        </w:rPr>
        <w:fldChar w:fldCharType="separate"/>
      </w:r>
      <w:r>
        <w:rPr>
          <w:i w:val="0"/>
          <w:iCs w:val="0"/>
        </w:rPr>
        <w:t>6.5</w:t>
      </w:r>
      <w:r>
        <w:rPr>
          <w:rFonts w:hint="eastAsia"/>
          <w:i w:val="0"/>
          <w:iCs w:val="0"/>
        </w:rPr>
        <w:t>卫生防护距离</w:t>
      </w:r>
      <w:r>
        <w:rPr>
          <w:i w:val="0"/>
          <w:iCs w:val="0"/>
        </w:rPr>
        <w:tab/>
      </w:r>
      <w:r>
        <w:rPr>
          <w:i w:val="0"/>
          <w:iCs w:val="0"/>
        </w:rPr>
        <w:fldChar w:fldCharType="begin"/>
      </w:r>
      <w:r>
        <w:rPr>
          <w:i w:val="0"/>
          <w:iCs w:val="0"/>
        </w:rPr>
        <w:instrText xml:space="preserve"> PAGEREF _Toc27378 </w:instrText>
      </w:r>
      <w:r>
        <w:rPr>
          <w:i w:val="0"/>
          <w:iCs w:val="0"/>
        </w:rPr>
        <w:fldChar w:fldCharType="separate"/>
      </w:r>
      <w:r>
        <w:rPr>
          <w:i w:val="0"/>
          <w:iCs w:val="0"/>
        </w:rPr>
        <w:t>33</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_Toc2988 </w:instrText>
      </w:r>
      <w:r>
        <w:rPr>
          <w:rFonts w:hint="eastAsia" w:ascii="宋体" w:hAnsi="宋体" w:eastAsia="宋体" w:cs="宋体"/>
          <w:i w:val="0"/>
          <w:iCs w:val="0"/>
        </w:rPr>
        <w:fldChar w:fldCharType="separate"/>
      </w:r>
      <w:r>
        <w:rPr>
          <w:rFonts w:cs="Times New Roman"/>
          <w:i w:val="0"/>
          <w:iCs w:val="0"/>
        </w:rPr>
        <w:t xml:space="preserve">7、 </w:t>
      </w:r>
      <w:r>
        <w:rPr>
          <w:rFonts w:hint="eastAsia"/>
          <w:i w:val="0"/>
          <w:iCs w:val="0"/>
        </w:rPr>
        <w:t>验收监测内容</w:t>
      </w:r>
      <w:r>
        <w:rPr>
          <w:i w:val="0"/>
          <w:iCs w:val="0"/>
        </w:rPr>
        <w:tab/>
      </w:r>
      <w:r>
        <w:rPr>
          <w:i w:val="0"/>
          <w:iCs w:val="0"/>
        </w:rPr>
        <w:fldChar w:fldCharType="begin"/>
      </w:r>
      <w:r>
        <w:rPr>
          <w:i w:val="0"/>
          <w:iCs w:val="0"/>
        </w:rPr>
        <w:instrText xml:space="preserve"> PAGEREF _Toc2988 </w:instrText>
      </w:r>
      <w:r>
        <w:rPr>
          <w:i w:val="0"/>
          <w:iCs w:val="0"/>
        </w:rPr>
        <w:fldChar w:fldCharType="separate"/>
      </w:r>
      <w:r>
        <w:rPr>
          <w:i w:val="0"/>
          <w:iCs w:val="0"/>
        </w:rPr>
        <w:t>33</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_Toc28418 </w:instrText>
      </w:r>
      <w:r>
        <w:rPr>
          <w:rFonts w:hint="eastAsia" w:ascii="宋体" w:hAnsi="宋体" w:eastAsia="宋体" w:cs="宋体"/>
          <w:i w:val="0"/>
          <w:iCs w:val="0"/>
        </w:rPr>
        <w:fldChar w:fldCharType="separate"/>
      </w:r>
      <w:r>
        <w:rPr>
          <w:i w:val="0"/>
          <w:iCs w:val="0"/>
        </w:rPr>
        <w:t>8</w:t>
      </w:r>
      <w:r>
        <w:rPr>
          <w:rFonts w:hint="eastAsia"/>
          <w:i w:val="0"/>
          <w:iCs w:val="0"/>
        </w:rPr>
        <w:t>、验收监测数据的质量控制和质量保证</w:t>
      </w:r>
      <w:r>
        <w:rPr>
          <w:i w:val="0"/>
          <w:iCs w:val="0"/>
        </w:rPr>
        <w:tab/>
      </w:r>
      <w:r>
        <w:rPr>
          <w:i w:val="0"/>
          <w:iCs w:val="0"/>
        </w:rPr>
        <w:fldChar w:fldCharType="begin"/>
      </w:r>
      <w:r>
        <w:rPr>
          <w:i w:val="0"/>
          <w:iCs w:val="0"/>
        </w:rPr>
        <w:instrText xml:space="preserve"> PAGEREF _Toc28418 </w:instrText>
      </w:r>
      <w:r>
        <w:rPr>
          <w:i w:val="0"/>
          <w:iCs w:val="0"/>
        </w:rPr>
        <w:fldChar w:fldCharType="separate"/>
      </w:r>
      <w:r>
        <w:rPr>
          <w:i w:val="0"/>
          <w:iCs w:val="0"/>
        </w:rPr>
        <w:t>34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_Toc31907 </w:instrText>
      </w:r>
      <w:r>
        <w:rPr>
          <w:rFonts w:hint="eastAsia" w:ascii="宋体" w:hAnsi="宋体" w:eastAsia="宋体" w:cs="宋体"/>
          <w:i w:val="0"/>
          <w:iCs w:val="0"/>
        </w:rPr>
        <w:fldChar w:fldCharType="separate"/>
      </w:r>
      <w:r>
        <w:rPr>
          <w:i w:val="0"/>
          <w:iCs w:val="0"/>
        </w:rPr>
        <w:t xml:space="preserve">8.1 </w:t>
      </w:r>
      <w:r>
        <w:rPr>
          <w:rFonts w:hint="eastAsia"/>
          <w:i w:val="0"/>
          <w:iCs w:val="0"/>
        </w:rPr>
        <w:t>分析方法</w:t>
      </w:r>
      <w:r>
        <w:rPr>
          <w:i w:val="0"/>
          <w:iCs w:val="0"/>
        </w:rPr>
        <w:tab/>
      </w:r>
      <w:r>
        <w:rPr>
          <w:i w:val="0"/>
          <w:iCs w:val="0"/>
        </w:rPr>
        <w:fldChar w:fldCharType="begin"/>
      </w:r>
      <w:r>
        <w:rPr>
          <w:i w:val="0"/>
          <w:iCs w:val="0"/>
        </w:rPr>
        <w:instrText xml:space="preserve"> PAGEREF _Toc31907 </w:instrText>
      </w:r>
      <w:r>
        <w:rPr>
          <w:i w:val="0"/>
          <w:iCs w:val="0"/>
        </w:rPr>
        <w:fldChar w:fldCharType="separate"/>
      </w:r>
      <w:r>
        <w:rPr>
          <w:i w:val="0"/>
          <w:iCs w:val="0"/>
        </w:rPr>
        <w:t>34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_Toc21574 </w:instrText>
      </w:r>
      <w:r>
        <w:rPr>
          <w:rFonts w:hint="eastAsia" w:ascii="宋体" w:hAnsi="宋体" w:eastAsia="宋体" w:cs="宋体"/>
          <w:i w:val="0"/>
          <w:iCs w:val="0"/>
        </w:rPr>
        <w:fldChar w:fldCharType="separate"/>
      </w:r>
      <w:r>
        <w:rPr>
          <w:i w:val="0"/>
          <w:iCs w:val="0"/>
        </w:rPr>
        <w:t xml:space="preserve">8.2 </w:t>
      </w:r>
      <w:r>
        <w:rPr>
          <w:rFonts w:hint="eastAsia"/>
          <w:i w:val="0"/>
          <w:iCs w:val="0"/>
        </w:rPr>
        <w:t>验收监测数据的质量控制和质量保证措施</w:t>
      </w:r>
      <w:r>
        <w:rPr>
          <w:i w:val="0"/>
          <w:iCs w:val="0"/>
        </w:rPr>
        <w:tab/>
      </w:r>
      <w:r>
        <w:rPr>
          <w:i w:val="0"/>
          <w:iCs w:val="0"/>
        </w:rPr>
        <w:fldChar w:fldCharType="begin"/>
      </w:r>
      <w:r>
        <w:rPr>
          <w:i w:val="0"/>
          <w:iCs w:val="0"/>
        </w:rPr>
        <w:instrText xml:space="preserve"> PAGEREF _Toc21574 </w:instrText>
      </w:r>
      <w:r>
        <w:rPr>
          <w:i w:val="0"/>
          <w:iCs w:val="0"/>
        </w:rPr>
        <w:fldChar w:fldCharType="separate"/>
      </w:r>
      <w:r>
        <w:rPr>
          <w:i w:val="0"/>
          <w:iCs w:val="0"/>
        </w:rPr>
        <w:t>36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_Toc5497 </w:instrText>
      </w:r>
      <w:r>
        <w:rPr>
          <w:rFonts w:hint="eastAsia" w:ascii="宋体" w:hAnsi="宋体" w:eastAsia="宋体" w:cs="宋体"/>
          <w:i w:val="0"/>
          <w:iCs w:val="0"/>
        </w:rPr>
        <w:fldChar w:fldCharType="separate"/>
      </w:r>
      <w:r>
        <w:rPr>
          <w:i w:val="0"/>
          <w:iCs w:val="0"/>
        </w:rPr>
        <w:t>9</w:t>
      </w:r>
      <w:r>
        <w:rPr>
          <w:rFonts w:hint="eastAsia"/>
          <w:i w:val="0"/>
          <w:iCs w:val="0"/>
        </w:rPr>
        <w:t>、验收监测结果及分析评价</w:t>
      </w:r>
      <w:r>
        <w:rPr>
          <w:i w:val="0"/>
          <w:iCs w:val="0"/>
        </w:rPr>
        <w:tab/>
      </w:r>
      <w:r>
        <w:rPr>
          <w:i w:val="0"/>
          <w:iCs w:val="0"/>
        </w:rPr>
        <w:fldChar w:fldCharType="begin"/>
      </w:r>
      <w:r>
        <w:rPr>
          <w:i w:val="0"/>
          <w:iCs w:val="0"/>
        </w:rPr>
        <w:instrText xml:space="preserve"> PAGEREF _Toc5497 </w:instrText>
      </w:r>
      <w:r>
        <w:rPr>
          <w:i w:val="0"/>
          <w:iCs w:val="0"/>
        </w:rPr>
        <w:fldChar w:fldCharType="separate"/>
      </w:r>
      <w:r>
        <w:rPr>
          <w:i w:val="0"/>
          <w:iCs w:val="0"/>
        </w:rPr>
        <w:t>39</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_Toc23676 </w:instrText>
      </w:r>
      <w:r>
        <w:rPr>
          <w:rFonts w:hint="eastAsia" w:ascii="宋体" w:hAnsi="宋体" w:eastAsia="宋体" w:cs="宋体"/>
          <w:i w:val="0"/>
          <w:iCs w:val="0"/>
        </w:rPr>
        <w:fldChar w:fldCharType="separate"/>
      </w:r>
      <w:r>
        <w:rPr>
          <w:i w:val="0"/>
          <w:iCs w:val="0"/>
        </w:rPr>
        <w:t xml:space="preserve">9.1 </w:t>
      </w:r>
      <w:r>
        <w:rPr>
          <w:rFonts w:hint="eastAsia"/>
          <w:i w:val="0"/>
          <w:iCs w:val="0"/>
        </w:rPr>
        <w:t>验收监测期间工况分析</w:t>
      </w:r>
      <w:r>
        <w:rPr>
          <w:i w:val="0"/>
          <w:iCs w:val="0"/>
        </w:rPr>
        <w:tab/>
      </w:r>
      <w:r>
        <w:rPr>
          <w:i w:val="0"/>
          <w:iCs w:val="0"/>
        </w:rPr>
        <w:fldChar w:fldCharType="begin"/>
      </w:r>
      <w:r>
        <w:rPr>
          <w:i w:val="0"/>
          <w:iCs w:val="0"/>
        </w:rPr>
        <w:instrText xml:space="preserve"> PAGEREF _Toc23676 </w:instrText>
      </w:r>
      <w:r>
        <w:rPr>
          <w:i w:val="0"/>
          <w:iCs w:val="0"/>
        </w:rPr>
        <w:fldChar w:fldCharType="separate"/>
      </w:r>
      <w:r>
        <w:rPr>
          <w:i w:val="0"/>
          <w:iCs w:val="0"/>
        </w:rPr>
        <w:t>39</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_Toc32463 </w:instrText>
      </w:r>
      <w:r>
        <w:rPr>
          <w:rFonts w:hint="eastAsia" w:ascii="宋体" w:hAnsi="宋体" w:eastAsia="宋体" w:cs="宋体"/>
          <w:i w:val="0"/>
          <w:iCs w:val="0"/>
        </w:rPr>
        <w:fldChar w:fldCharType="separate"/>
      </w:r>
      <w:r>
        <w:rPr>
          <w:i w:val="0"/>
          <w:iCs w:val="0"/>
        </w:rPr>
        <w:t xml:space="preserve">9.2 </w:t>
      </w:r>
      <w:r>
        <w:rPr>
          <w:rFonts w:hint="eastAsia"/>
          <w:i w:val="0"/>
          <w:iCs w:val="0"/>
        </w:rPr>
        <w:t>废水监测结果及评价</w:t>
      </w:r>
      <w:r>
        <w:rPr>
          <w:i w:val="0"/>
          <w:iCs w:val="0"/>
        </w:rPr>
        <w:tab/>
      </w:r>
      <w:r>
        <w:rPr>
          <w:i w:val="0"/>
          <w:iCs w:val="0"/>
        </w:rPr>
        <w:fldChar w:fldCharType="begin"/>
      </w:r>
      <w:r>
        <w:rPr>
          <w:i w:val="0"/>
          <w:iCs w:val="0"/>
        </w:rPr>
        <w:instrText xml:space="preserve"> PAGEREF _Toc32463 </w:instrText>
      </w:r>
      <w:r>
        <w:rPr>
          <w:i w:val="0"/>
          <w:iCs w:val="0"/>
        </w:rPr>
        <w:fldChar w:fldCharType="separate"/>
      </w:r>
      <w:r>
        <w:rPr>
          <w:i w:val="0"/>
          <w:iCs w:val="0"/>
        </w:rPr>
        <w:t>40</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_Toc11315 </w:instrText>
      </w:r>
      <w:r>
        <w:rPr>
          <w:rFonts w:hint="eastAsia" w:ascii="宋体" w:hAnsi="宋体" w:eastAsia="宋体" w:cs="宋体"/>
          <w:i w:val="0"/>
          <w:iCs w:val="0"/>
        </w:rPr>
        <w:fldChar w:fldCharType="separate"/>
      </w:r>
      <w:r>
        <w:rPr>
          <w:i w:val="0"/>
          <w:iCs w:val="0"/>
        </w:rPr>
        <w:t xml:space="preserve">9.3 </w:t>
      </w:r>
      <w:r>
        <w:rPr>
          <w:rFonts w:hint="eastAsia"/>
          <w:i w:val="0"/>
          <w:iCs w:val="0"/>
        </w:rPr>
        <w:t>废气监测结果及评价</w:t>
      </w:r>
      <w:r>
        <w:rPr>
          <w:i w:val="0"/>
          <w:iCs w:val="0"/>
        </w:rPr>
        <w:tab/>
      </w:r>
      <w:r>
        <w:rPr>
          <w:i w:val="0"/>
          <w:iCs w:val="0"/>
        </w:rPr>
        <w:fldChar w:fldCharType="begin"/>
      </w:r>
      <w:r>
        <w:rPr>
          <w:i w:val="0"/>
          <w:iCs w:val="0"/>
        </w:rPr>
        <w:instrText xml:space="preserve"> PAGEREF _Toc11315 </w:instrText>
      </w:r>
      <w:r>
        <w:rPr>
          <w:i w:val="0"/>
          <w:iCs w:val="0"/>
        </w:rPr>
        <w:fldChar w:fldCharType="separate"/>
      </w:r>
      <w:r>
        <w:rPr>
          <w:i w:val="0"/>
          <w:iCs w:val="0"/>
        </w:rPr>
        <w:t>42</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_Toc14241 </w:instrText>
      </w:r>
      <w:r>
        <w:rPr>
          <w:rFonts w:hint="eastAsia" w:ascii="宋体" w:hAnsi="宋体" w:eastAsia="宋体" w:cs="宋体"/>
          <w:i w:val="0"/>
          <w:iCs w:val="0"/>
        </w:rPr>
        <w:fldChar w:fldCharType="separate"/>
      </w:r>
      <w:r>
        <w:rPr>
          <w:i w:val="0"/>
          <w:iCs w:val="0"/>
        </w:rPr>
        <w:t xml:space="preserve">9.4 </w:t>
      </w:r>
      <w:r>
        <w:rPr>
          <w:rFonts w:hint="eastAsia"/>
          <w:i w:val="0"/>
          <w:iCs w:val="0"/>
        </w:rPr>
        <w:t>噪声监测结果及评价</w:t>
      </w:r>
      <w:r>
        <w:rPr>
          <w:i w:val="0"/>
          <w:iCs w:val="0"/>
        </w:rPr>
        <w:tab/>
      </w:r>
      <w:r>
        <w:rPr>
          <w:i w:val="0"/>
          <w:iCs w:val="0"/>
        </w:rPr>
        <w:fldChar w:fldCharType="begin"/>
      </w:r>
      <w:r>
        <w:rPr>
          <w:i w:val="0"/>
          <w:iCs w:val="0"/>
        </w:rPr>
        <w:instrText xml:space="preserve"> PAGEREF _Toc14241 </w:instrText>
      </w:r>
      <w:r>
        <w:rPr>
          <w:i w:val="0"/>
          <w:iCs w:val="0"/>
        </w:rPr>
        <w:fldChar w:fldCharType="separate"/>
      </w:r>
      <w:r>
        <w:rPr>
          <w:i w:val="0"/>
          <w:iCs w:val="0"/>
        </w:rPr>
        <w:t>46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_Toc10359 </w:instrText>
      </w:r>
      <w:r>
        <w:rPr>
          <w:rFonts w:hint="eastAsia" w:ascii="宋体" w:hAnsi="宋体" w:eastAsia="宋体" w:cs="宋体"/>
          <w:i w:val="0"/>
          <w:iCs w:val="0"/>
        </w:rPr>
        <w:fldChar w:fldCharType="separate"/>
      </w:r>
      <w:r>
        <w:rPr>
          <w:i w:val="0"/>
          <w:iCs w:val="0"/>
        </w:rPr>
        <w:t xml:space="preserve">9.5 </w:t>
      </w:r>
      <w:r>
        <w:rPr>
          <w:rFonts w:hint="eastAsia"/>
          <w:i w:val="0"/>
          <w:iCs w:val="0"/>
        </w:rPr>
        <w:t>污染物总量控制监测结果及评价</w:t>
      </w:r>
      <w:r>
        <w:rPr>
          <w:i w:val="0"/>
          <w:iCs w:val="0"/>
        </w:rPr>
        <w:tab/>
      </w:r>
      <w:r>
        <w:rPr>
          <w:i w:val="0"/>
          <w:iCs w:val="0"/>
        </w:rPr>
        <w:fldChar w:fldCharType="begin"/>
      </w:r>
      <w:r>
        <w:rPr>
          <w:i w:val="0"/>
          <w:iCs w:val="0"/>
        </w:rPr>
        <w:instrText xml:space="preserve"> PAGEREF _Toc10359 </w:instrText>
      </w:r>
      <w:r>
        <w:rPr>
          <w:i w:val="0"/>
          <w:iCs w:val="0"/>
        </w:rPr>
        <w:fldChar w:fldCharType="separate"/>
      </w:r>
      <w:r>
        <w:rPr>
          <w:i w:val="0"/>
          <w:iCs w:val="0"/>
        </w:rPr>
        <w:t>46</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_Toc29381 </w:instrText>
      </w:r>
      <w:r>
        <w:rPr>
          <w:rFonts w:hint="eastAsia" w:ascii="宋体" w:hAnsi="宋体" w:eastAsia="宋体" w:cs="宋体"/>
          <w:i w:val="0"/>
          <w:iCs w:val="0"/>
        </w:rPr>
        <w:fldChar w:fldCharType="separate"/>
      </w:r>
      <w:r>
        <w:rPr>
          <w:i w:val="0"/>
          <w:iCs w:val="0"/>
        </w:rPr>
        <w:t>9.6</w:t>
      </w:r>
      <w:r>
        <w:rPr>
          <w:rFonts w:hint="eastAsia"/>
          <w:i w:val="0"/>
          <w:iCs w:val="0"/>
        </w:rPr>
        <w:t>卫生防护距离调查结果</w:t>
      </w:r>
      <w:r>
        <w:rPr>
          <w:i w:val="0"/>
          <w:iCs w:val="0"/>
        </w:rPr>
        <w:tab/>
      </w:r>
      <w:r>
        <w:rPr>
          <w:i w:val="0"/>
          <w:iCs w:val="0"/>
        </w:rPr>
        <w:fldChar w:fldCharType="begin"/>
      </w:r>
      <w:r>
        <w:rPr>
          <w:i w:val="0"/>
          <w:iCs w:val="0"/>
        </w:rPr>
        <w:instrText xml:space="preserve"> PAGEREF _Toc29381 </w:instrText>
      </w:r>
      <w:r>
        <w:rPr>
          <w:i w:val="0"/>
          <w:iCs w:val="0"/>
        </w:rPr>
        <w:fldChar w:fldCharType="separate"/>
      </w:r>
      <w:r>
        <w:rPr>
          <w:i w:val="0"/>
          <w:iCs w:val="0"/>
        </w:rPr>
        <w:t>47</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_Toc31450 </w:instrText>
      </w:r>
      <w:r>
        <w:rPr>
          <w:rFonts w:hint="eastAsia" w:ascii="宋体" w:hAnsi="宋体" w:eastAsia="宋体" w:cs="宋体"/>
          <w:i w:val="0"/>
          <w:iCs w:val="0"/>
        </w:rPr>
        <w:fldChar w:fldCharType="separate"/>
      </w:r>
      <w:r>
        <w:rPr>
          <w:i w:val="0"/>
          <w:iCs w:val="0"/>
        </w:rPr>
        <w:t>10</w:t>
      </w:r>
      <w:r>
        <w:rPr>
          <w:rFonts w:hint="eastAsia"/>
          <w:i w:val="0"/>
          <w:iCs w:val="0"/>
        </w:rPr>
        <w:t>、环境管理检查</w:t>
      </w:r>
      <w:r>
        <w:rPr>
          <w:i w:val="0"/>
          <w:iCs w:val="0"/>
        </w:rPr>
        <w:tab/>
      </w:r>
      <w:r>
        <w:rPr>
          <w:i w:val="0"/>
          <w:iCs w:val="0"/>
        </w:rPr>
        <w:fldChar w:fldCharType="begin"/>
      </w:r>
      <w:r>
        <w:rPr>
          <w:i w:val="0"/>
          <w:iCs w:val="0"/>
        </w:rPr>
        <w:instrText xml:space="preserve"> PAGEREF _Toc31450 </w:instrText>
      </w:r>
      <w:r>
        <w:rPr>
          <w:i w:val="0"/>
          <w:iCs w:val="0"/>
        </w:rPr>
        <w:fldChar w:fldCharType="separate"/>
      </w:r>
      <w:r>
        <w:rPr>
          <w:i w:val="0"/>
          <w:iCs w:val="0"/>
        </w:rPr>
        <w:t>48</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_Toc13646 </w:instrText>
      </w:r>
      <w:r>
        <w:rPr>
          <w:rFonts w:hint="eastAsia" w:ascii="宋体" w:hAnsi="宋体" w:eastAsia="宋体" w:cs="宋体"/>
          <w:i w:val="0"/>
          <w:iCs w:val="0"/>
        </w:rPr>
        <w:fldChar w:fldCharType="separate"/>
      </w:r>
      <w:r>
        <w:rPr>
          <w:i w:val="0"/>
          <w:iCs w:val="0"/>
        </w:rPr>
        <w:t>11</w:t>
      </w:r>
      <w:r>
        <w:rPr>
          <w:rFonts w:hint="eastAsia"/>
          <w:i w:val="0"/>
          <w:iCs w:val="0"/>
        </w:rPr>
        <w:t>、公众意见调查</w:t>
      </w:r>
      <w:r>
        <w:rPr>
          <w:i w:val="0"/>
          <w:iCs w:val="0"/>
        </w:rPr>
        <w:tab/>
      </w:r>
      <w:r>
        <w:rPr>
          <w:i w:val="0"/>
          <w:iCs w:val="0"/>
        </w:rPr>
        <w:fldChar w:fldCharType="begin"/>
      </w:r>
      <w:r>
        <w:rPr>
          <w:i w:val="0"/>
          <w:iCs w:val="0"/>
        </w:rPr>
        <w:instrText xml:space="preserve"> PAGEREF _Toc13646 </w:instrText>
      </w:r>
      <w:r>
        <w:rPr>
          <w:i w:val="0"/>
          <w:iCs w:val="0"/>
        </w:rPr>
        <w:fldChar w:fldCharType="separate"/>
      </w:r>
      <w:r>
        <w:rPr>
          <w:i w:val="0"/>
          <w:iCs w:val="0"/>
        </w:rPr>
        <w:t>52</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_Toc14018 </w:instrText>
      </w:r>
      <w:r>
        <w:rPr>
          <w:rFonts w:hint="eastAsia" w:ascii="宋体" w:hAnsi="宋体" w:eastAsia="宋体" w:cs="宋体"/>
          <w:i w:val="0"/>
          <w:iCs w:val="0"/>
        </w:rPr>
        <w:fldChar w:fldCharType="separate"/>
      </w:r>
      <w:r>
        <w:rPr>
          <w:i w:val="0"/>
          <w:iCs w:val="0"/>
        </w:rPr>
        <w:t>12</w:t>
      </w:r>
      <w:r>
        <w:rPr>
          <w:rFonts w:hint="eastAsia"/>
          <w:i w:val="0"/>
          <w:iCs w:val="0"/>
        </w:rPr>
        <w:t>、结论和建议</w:t>
      </w:r>
      <w:r>
        <w:rPr>
          <w:i w:val="0"/>
          <w:iCs w:val="0"/>
        </w:rPr>
        <w:tab/>
      </w:r>
      <w:r>
        <w:rPr>
          <w:i w:val="0"/>
          <w:iCs w:val="0"/>
        </w:rPr>
        <w:fldChar w:fldCharType="begin"/>
      </w:r>
      <w:r>
        <w:rPr>
          <w:i w:val="0"/>
          <w:iCs w:val="0"/>
        </w:rPr>
        <w:instrText xml:space="preserve"> PAGEREF _Toc14018 </w:instrText>
      </w:r>
      <w:r>
        <w:rPr>
          <w:i w:val="0"/>
          <w:iCs w:val="0"/>
        </w:rPr>
        <w:fldChar w:fldCharType="separate"/>
      </w:r>
      <w:r>
        <w:rPr>
          <w:i w:val="0"/>
          <w:iCs w:val="0"/>
        </w:rPr>
        <w:t>54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_Toc25896 </w:instrText>
      </w:r>
      <w:r>
        <w:rPr>
          <w:rFonts w:hint="eastAsia" w:ascii="宋体" w:hAnsi="宋体" w:eastAsia="宋体" w:cs="宋体"/>
          <w:i w:val="0"/>
          <w:iCs w:val="0"/>
        </w:rPr>
        <w:fldChar w:fldCharType="separate"/>
      </w:r>
      <w:r>
        <w:rPr>
          <w:i w:val="0"/>
          <w:iCs w:val="0"/>
        </w:rPr>
        <w:t xml:space="preserve">12.1 </w:t>
      </w:r>
      <w:r>
        <w:rPr>
          <w:rFonts w:hint="eastAsia"/>
          <w:i w:val="0"/>
          <w:iCs w:val="0"/>
        </w:rPr>
        <w:t>结论</w:t>
      </w:r>
      <w:r>
        <w:rPr>
          <w:i w:val="0"/>
          <w:iCs w:val="0"/>
        </w:rPr>
        <w:tab/>
      </w:r>
      <w:r>
        <w:rPr>
          <w:i w:val="0"/>
          <w:iCs w:val="0"/>
        </w:rPr>
        <w:fldChar w:fldCharType="begin"/>
      </w:r>
      <w:r>
        <w:rPr>
          <w:i w:val="0"/>
          <w:iCs w:val="0"/>
        </w:rPr>
        <w:instrText xml:space="preserve"> PAGEREF _Toc25896 </w:instrText>
      </w:r>
      <w:r>
        <w:rPr>
          <w:i w:val="0"/>
          <w:iCs w:val="0"/>
        </w:rPr>
        <w:fldChar w:fldCharType="separate"/>
      </w:r>
      <w:r>
        <w:rPr>
          <w:i w:val="0"/>
          <w:iCs w:val="0"/>
        </w:rPr>
        <w:t>54</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_Toc12833 </w:instrText>
      </w:r>
      <w:r>
        <w:rPr>
          <w:rFonts w:hint="eastAsia" w:ascii="宋体" w:hAnsi="宋体" w:eastAsia="宋体" w:cs="宋体"/>
          <w:i w:val="0"/>
          <w:iCs w:val="0"/>
        </w:rPr>
        <w:fldChar w:fldCharType="separate"/>
      </w:r>
      <w:r>
        <w:rPr>
          <w:i w:val="0"/>
          <w:iCs w:val="0"/>
        </w:rPr>
        <w:t>12.2</w:t>
      </w:r>
      <w:r>
        <w:rPr>
          <w:rFonts w:hint="eastAsia"/>
          <w:i w:val="0"/>
          <w:iCs w:val="0"/>
        </w:rPr>
        <w:t>建议</w:t>
      </w:r>
      <w:r>
        <w:rPr>
          <w:i w:val="0"/>
          <w:iCs w:val="0"/>
        </w:rPr>
        <w:tab/>
      </w:r>
      <w:r>
        <w:rPr>
          <w:i w:val="0"/>
          <w:iCs w:val="0"/>
        </w:rPr>
        <w:fldChar w:fldCharType="begin"/>
      </w:r>
      <w:r>
        <w:rPr>
          <w:i w:val="0"/>
          <w:iCs w:val="0"/>
        </w:rPr>
        <w:instrText xml:space="preserve"> PAGEREF _Toc12833 </w:instrText>
      </w:r>
      <w:r>
        <w:rPr>
          <w:i w:val="0"/>
          <w:iCs w:val="0"/>
        </w:rPr>
        <w:fldChar w:fldCharType="separate"/>
      </w:r>
      <w:r>
        <w:rPr>
          <w:i w:val="0"/>
          <w:iCs w:val="0"/>
        </w:rPr>
        <w:t>55</w:t>
      </w:r>
      <w:r>
        <w:rPr>
          <w:i w:val="0"/>
          <w:iCs w:val="0"/>
        </w:rPr>
        <w:fldChar w:fldCharType="end"/>
      </w:r>
      <w:r>
        <w:rPr>
          <w:rFonts w:hint="eastAsia" w:ascii="宋体" w:hAnsi="宋体" w:eastAsia="宋体" w:cs="宋体"/>
          <w:i w:val="0"/>
          <w:iCs w:val="0"/>
        </w:rPr>
        <w:fldChar w:fldCharType="end"/>
      </w:r>
    </w:p>
    <w:p>
      <w:pPr>
        <w:pStyle w:val="20"/>
        <w:tabs>
          <w:tab w:val="right" w:leader="dot" w:pos="9746"/>
        </w:tabs>
        <w:rPr>
          <w:i w:val="0"/>
          <w:iCs w:val="0"/>
        </w:rPr>
      </w:pPr>
      <w:r>
        <w:rPr>
          <w:rFonts w:hint="eastAsia" w:ascii="宋体" w:hAnsi="宋体" w:eastAsia="宋体" w:cs="宋体"/>
          <w:i w:val="0"/>
          <w:iCs w:val="0"/>
        </w:rPr>
        <w:fldChar w:fldCharType="begin"/>
      </w:r>
      <w:r>
        <w:rPr>
          <w:rFonts w:hint="eastAsia" w:ascii="宋体" w:hAnsi="宋体" w:eastAsia="宋体" w:cs="宋体"/>
          <w:i w:val="0"/>
          <w:iCs w:val="0"/>
        </w:rPr>
        <w:instrText xml:space="preserve"> HYPERLINK \l _Toc12643 </w:instrText>
      </w:r>
      <w:r>
        <w:rPr>
          <w:rFonts w:hint="eastAsia" w:ascii="宋体" w:hAnsi="宋体" w:eastAsia="宋体" w:cs="宋体"/>
          <w:i w:val="0"/>
          <w:iCs w:val="0"/>
        </w:rPr>
        <w:fldChar w:fldCharType="separate"/>
      </w:r>
      <w:r>
        <w:rPr>
          <w:rFonts w:cs="Times New Roman"/>
          <w:i w:val="0"/>
          <w:iCs w:val="0"/>
        </w:rPr>
        <w:t xml:space="preserve">13、 </w:t>
      </w:r>
      <w:r>
        <w:rPr>
          <w:rFonts w:hint="eastAsia"/>
          <w:i w:val="0"/>
          <w:iCs w:val="0"/>
        </w:rPr>
        <w:t>建设项目环境保护“三同时”竣工验收登记表</w:t>
      </w:r>
      <w:r>
        <w:rPr>
          <w:i w:val="0"/>
          <w:iCs w:val="0"/>
        </w:rPr>
        <w:tab/>
      </w:r>
      <w:r>
        <w:rPr>
          <w:i w:val="0"/>
          <w:iCs w:val="0"/>
        </w:rPr>
        <w:fldChar w:fldCharType="begin"/>
      </w:r>
      <w:r>
        <w:rPr>
          <w:i w:val="0"/>
          <w:iCs w:val="0"/>
        </w:rPr>
        <w:instrText xml:space="preserve"> PAGEREF _Toc12643 </w:instrText>
      </w:r>
      <w:r>
        <w:rPr>
          <w:i w:val="0"/>
          <w:iCs w:val="0"/>
        </w:rPr>
        <w:fldChar w:fldCharType="separate"/>
      </w:r>
      <w:r>
        <w:rPr>
          <w:i w:val="0"/>
          <w:iCs w:val="0"/>
        </w:rPr>
        <w:t>55</w:t>
      </w:r>
      <w:r>
        <w:rPr>
          <w:i w:val="0"/>
          <w:iCs w:val="0"/>
        </w:rPr>
        <w:fldChar w:fldCharType="end"/>
      </w:r>
      <w:r>
        <w:rPr>
          <w:rFonts w:hint="eastAsia" w:ascii="宋体" w:hAnsi="宋体" w:eastAsia="宋体" w:cs="宋体"/>
          <w:i w:val="0"/>
          <w:iCs w:val="0"/>
        </w:rPr>
        <w:fldChar w:fldCharType="end"/>
      </w:r>
    </w:p>
    <w:p>
      <w:pPr>
        <w:rPr>
          <w:color w:val="000000"/>
          <w:kern w:val="0"/>
        </w:rPr>
      </w:pPr>
      <w:r>
        <w:rPr>
          <w:rFonts w:hint="eastAsia" w:ascii="宋体" w:hAnsi="宋体" w:eastAsia="宋体" w:cs="宋体"/>
          <w:i w:val="0"/>
          <w:iCs w:val="0"/>
        </w:rPr>
        <w:fldChar w:fldCharType="end"/>
      </w:r>
      <w:r>
        <w:rPr>
          <w:rFonts w:hint="eastAsia" w:ascii="宋体" w:hAnsi="宋体" w:cs="宋体"/>
          <w:b/>
          <w:color w:val="000000"/>
          <w:kern w:val="0"/>
          <w:sz w:val="28"/>
          <w:szCs w:val="28"/>
        </w:rPr>
        <w:t>附件</w:t>
      </w:r>
      <w:r>
        <w:rPr>
          <w:rFonts w:ascii="宋体" w:hAnsi="宋体" w:cs="宋体"/>
          <w:b/>
          <w:color w:val="000000"/>
          <w:kern w:val="0"/>
          <w:sz w:val="28"/>
          <w:szCs w:val="28"/>
        </w:rPr>
        <w:t xml:space="preserve">1 </w:t>
      </w:r>
      <w:r>
        <w:rPr>
          <w:rFonts w:hint="eastAsia"/>
          <w:color w:val="000000"/>
          <w:kern w:val="0"/>
        </w:rPr>
        <w:t>韶环审［</w:t>
      </w:r>
      <w:r>
        <w:rPr>
          <w:color w:val="000000"/>
          <w:kern w:val="0"/>
        </w:rPr>
        <w:t>2015</w:t>
      </w:r>
      <w:r>
        <w:rPr>
          <w:rFonts w:hint="eastAsia"/>
          <w:color w:val="000000"/>
          <w:kern w:val="0"/>
        </w:rPr>
        <w:t>］</w:t>
      </w:r>
      <w:r>
        <w:rPr>
          <w:color w:val="000000"/>
          <w:kern w:val="0"/>
        </w:rPr>
        <w:t>348</w:t>
      </w:r>
      <w:r>
        <w:rPr>
          <w:rFonts w:hint="eastAsia"/>
          <w:color w:val="000000"/>
          <w:kern w:val="0"/>
        </w:rPr>
        <w:t>号《韶关市环境保护局关于翁源广业清怡食品科技有限公司年产</w:t>
      </w:r>
      <w:r>
        <w:rPr>
          <w:color w:val="000000"/>
          <w:kern w:val="0"/>
        </w:rPr>
        <w:t>600</w:t>
      </w:r>
      <w:r>
        <w:rPr>
          <w:rFonts w:hint="eastAsia"/>
          <w:color w:val="000000"/>
          <w:kern w:val="0"/>
        </w:rPr>
        <w:t>吨食品抗氧化剂</w:t>
      </w:r>
      <w:r>
        <w:rPr>
          <w:color w:val="000000"/>
          <w:kern w:val="0"/>
        </w:rPr>
        <w:t>TBHQ</w:t>
      </w:r>
      <w:r>
        <w:rPr>
          <w:rFonts w:hint="eastAsia"/>
          <w:color w:val="000000"/>
          <w:kern w:val="0"/>
        </w:rPr>
        <w:t>建设项目环境影响报告书审批意见的函》；</w:t>
      </w:r>
    </w:p>
    <w:p>
      <w:pPr>
        <w:jc w:val="left"/>
        <w:rPr>
          <w:rFonts w:hint="eastAsia"/>
          <w:color w:val="000000"/>
          <w:kern w:val="0"/>
        </w:rPr>
      </w:pPr>
      <w:r>
        <w:rPr>
          <w:rFonts w:hint="eastAsia"/>
          <w:b/>
          <w:bCs/>
          <w:color w:val="000000"/>
          <w:kern w:val="0"/>
          <w:sz w:val="28"/>
          <w:szCs w:val="28"/>
        </w:rPr>
        <w:t>附件</w:t>
      </w:r>
      <w:r>
        <w:rPr>
          <w:b/>
          <w:bCs/>
          <w:color w:val="000000"/>
          <w:kern w:val="0"/>
          <w:sz w:val="28"/>
          <w:szCs w:val="28"/>
        </w:rPr>
        <w:t>2</w:t>
      </w:r>
      <w:r>
        <w:rPr>
          <w:rFonts w:hint="eastAsia"/>
          <w:color w:val="000000"/>
          <w:kern w:val="0"/>
        </w:rPr>
        <w:t>翁环审［</w:t>
      </w:r>
      <w:r>
        <w:rPr>
          <w:color w:val="000000"/>
          <w:kern w:val="0"/>
        </w:rPr>
        <w:t>2015</w:t>
      </w:r>
      <w:r>
        <w:rPr>
          <w:rFonts w:hint="eastAsia"/>
          <w:color w:val="000000"/>
          <w:kern w:val="0"/>
        </w:rPr>
        <w:t>］</w:t>
      </w:r>
      <w:r>
        <w:rPr>
          <w:color w:val="000000"/>
          <w:kern w:val="0"/>
        </w:rPr>
        <w:t>15</w:t>
      </w:r>
      <w:r>
        <w:rPr>
          <w:rFonts w:hint="eastAsia"/>
          <w:color w:val="000000"/>
          <w:kern w:val="0"/>
        </w:rPr>
        <w:t>号《翁源县环境保护局关于翁源广业清怡食品科技有限公司年产</w:t>
      </w:r>
      <w:r>
        <w:rPr>
          <w:color w:val="000000"/>
          <w:kern w:val="0"/>
        </w:rPr>
        <w:t>600</w:t>
      </w:r>
      <w:r>
        <w:rPr>
          <w:rFonts w:hint="eastAsia"/>
          <w:color w:val="000000"/>
          <w:kern w:val="0"/>
        </w:rPr>
        <w:t>吨食品抗氧化剂</w:t>
      </w:r>
      <w:r>
        <w:rPr>
          <w:color w:val="000000"/>
          <w:kern w:val="0"/>
        </w:rPr>
        <w:t>TBHQ</w:t>
      </w:r>
      <w:r>
        <w:rPr>
          <w:rFonts w:hint="eastAsia"/>
          <w:color w:val="000000"/>
          <w:kern w:val="0"/>
        </w:rPr>
        <w:t>建设项目主要污染物排放总量控制指标的批复》；</w:t>
      </w:r>
    </w:p>
    <w:p>
      <w:pPr>
        <w:jc w:val="left"/>
        <w:rPr>
          <w:rFonts w:hint="eastAsia"/>
          <w:b/>
          <w:color w:val="000000"/>
          <w:kern w:val="0"/>
          <w:sz w:val="28"/>
          <w:szCs w:val="28"/>
        </w:rPr>
      </w:pPr>
      <w:r>
        <w:rPr>
          <w:rFonts w:hint="eastAsia"/>
          <w:b/>
          <w:color w:val="000000"/>
          <w:kern w:val="0"/>
          <w:sz w:val="28"/>
          <w:szCs w:val="28"/>
        </w:rPr>
        <w:t>附件</w:t>
      </w:r>
      <w:r>
        <w:rPr>
          <w:b/>
          <w:bCs w:val="0"/>
          <w:color w:val="000000"/>
          <w:kern w:val="0"/>
          <w:sz w:val="28"/>
          <w:szCs w:val="28"/>
        </w:rPr>
        <w:t>3</w:t>
      </w:r>
      <w:r>
        <w:rPr>
          <w:rFonts w:hint="eastAsia"/>
          <w:b w:val="0"/>
          <w:bCs/>
          <w:color w:val="000000"/>
          <w:kern w:val="0"/>
          <w:sz w:val="24"/>
          <w:szCs w:val="24"/>
          <w:lang w:val="en-US" w:eastAsia="zh-CN"/>
        </w:rPr>
        <w:t>韶环审【2016】401号</w:t>
      </w:r>
      <w:r>
        <w:rPr>
          <w:rFonts w:hint="eastAsia"/>
          <w:b w:val="0"/>
          <w:bCs/>
          <w:color w:val="000000"/>
          <w:kern w:val="0"/>
          <w:sz w:val="24"/>
          <w:szCs w:val="24"/>
          <w:lang w:eastAsia="zh-CN"/>
        </w:rPr>
        <w:t>《韶关市保护局关于翁源广业清怡食品科技有限公司年产</w:t>
      </w:r>
      <w:r>
        <w:rPr>
          <w:rFonts w:hint="eastAsia"/>
          <w:b w:val="0"/>
          <w:bCs/>
          <w:color w:val="000000"/>
          <w:kern w:val="0"/>
          <w:sz w:val="24"/>
          <w:szCs w:val="24"/>
          <w:lang w:val="en-US" w:eastAsia="zh-CN"/>
        </w:rPr>
        <w:t>300吨三氯蔗糖建设项目环境保护设施验收决定书》；</w:t>
      </w:r>
    </w:p>
    <w:p>
      <w:pPr>
        <w:jc w:val="left"/>
        <w:rPr>
          <w:color w:val="000000"/>
          <w:kern w:val="0"/>
          <w:sz w:val="28"/>
          <w:szCs w:val="28"/>
        </w:rPr>
      </w:pPr>
      <w:r>
        <w:rPr>
          <w:rFonts w:hint="eastAsia"/>
          <w:b/>
          <w:color w:val="000000"/>
          <w:kern w:val="0"/>
          <w:sz w:val="28"/>
          <w:szCs w:val="28"/>
        </w:rPr>
        <w:t>附件</w:t>
      </w:r>
      <w:r>
        <w:rPr>
          <w:rFonts w:hint="eastAsia"/>
          <w:b/>
          <w:color w:val="000000"/>
          <w:kern w:val="0"/>
          <w:sz w:val="28"/>
          <w:szCs w:val="28"/>
          <w:lang w:val="en-US" w:eastAsia="zh-CN"/>
        </w:rPr>
        <w:t>4</w:t>
      </w:r>
      <w:r>
        <w:rPr>
          <w:rFonts w:hint="eastAsia"/>
          <w:color w:val="000000"/>
          <w:kern w:val="0"/>
          <w:sz w:val="28"/>
          <w:szCs w:val="28"/>
        </w:rPr>
        <w:t>《</w:t>
      </w:r>
      <w:r>
        <w:rPr>
          <w:rFonts w:hint="eastAsia"/>
          <w:color w:val="000000"/>
          <w:kern w:val="0"/>
        </w:rPr>
        <w:t>翁源广业清怡食品科技有限公司环境保护管理制度</w:t>
      </w:r>
      <w:r>
        <w:rPr>
          <w:rFonts w:hint="eastAsia"/>
          <w:color w:val="000000"/>
          <w:kern w:val="0"/>
          <w:sz w:val="28"/>
          <w:szCs w:val="28"/>
        </w:rPr>
        <w:t>》；</w:t>
      </w:r>
    </w:p>
    <w:p>
      <w:pPr>
        <w:jc w:val="left"/>
        <w:rPr>
          <w:color w:val="000000"/>
          <w:kern w:val="0"/>
        </w:rPr>
      </w:pPr>
      <w:r>
        <w:rPr>
          <w:rFonts w:hint="eastAsia"/>
          <w:b/>
          <w:color w:val="000000"/>
          <w:kern w:val="0"/>
          <w:sz w:val="28"/>
          <w:szCs w:val="28"/>
        </w:rPr>
        <w:t>附件</w:t>
      </w:r>
      <w:r>
        <w:rPr>
          <w:rFonts w:hint="eastAsia"/>
          <w:b/>
          <w:color w:val="000000"/>
          <w:kern w:val="0"/>
          <w:sz w:val="28"/>
          <w:szCs w:val="28"/>
          <w:lang w:val="en-US" w:eastAsia="zh-CN"/>
        </w:rPr>
        <w:t>5</w:t>
      </w:r>
      <w:r>
        <w:rPr>
          <w:rFonts w:hint="eastAsia"/>
          <w:color w:val="000000"/>
          <w:kern w:val="0"/>
          <w:sz w:val="28"/>
          <w:szCs w:val="28"/>
        </w:rPr>
        <w:t>《</w:t>
      </w:r>
      <w:r>
        <w:rPr>
          <w:rFonts w:hint="eastAsia"/>
          <w:color w:val="000000"/>
          <w:kern w:val="0"/>
        </w:rPr>
        <w:t>翁源广业清怡食品科技有限公司突发环境事件应急预案》、《突发环境事件应急预案备案登记表》、演练方案与记录；</w:t>
      </w:r>
    </w:p>
    <w:p>
      <w:pPr>
        <w:jc w:val="left"/>
        <w:rPr>
          <w:color w:val="000000"/>
        </w:rPr>
      </w:pPr>
      <w:r>
        <w:rPr>
          <w:rFonts w:hint="eastAsia"/>
          <w:b/>
          <w:color w:val="000000"/>
          <w:kern w:val="0"/>
          <w:sz w:val="28"/>
          <w:szCs w:val="28"/>
        </w:rPr>
        <w:t>附件</w:t>
      </w:r>
      <w:r>
        <w:rPr>
          <w:rFonts w:hint="eastAsia"/>
          <w:b/>
          <w:color w:val="000000"/>
          <w:kern w:val="0"/>
          <w:sz w:val="28"/>
          <w:szCs w:val="28"/>
          <w:lang w:val="en-US" w:eastAsia="zh-CN"/>
        </w:rPr>
        <w:t>6</w:t>
      </w:r>
      <w:r>
        <w:rPr>
          <w:rFonts w:hint="eastAsia"/>
          <w:color w:val="000000"/>
          <w:kern w:val="0"/>
        </w:rPr>
        <w:t>《废物（液）处理处置及工业服务合同》、</w:t>
      </w:r>
      <w:r>
        <w:rPr>
          <w:rFonts w:hint="eastAsia"/>
          <w:color w:val="000000"/>
        </w:rPr>
        <w:t>固体废物处理单位营业执照、《危险废物经营许可证》等；</w:t>
      </w:r>
    </w:p>
    <w:p>
      <w:pPr>
        <w:jc w:val="left"/>
        <w:rPr>
          <w:bCs/>
          <w:color w:val="000000"/>
        </w:rPr>
      </w:pPr>
      <w:r>
        <w:rPr>
          <w:rFonts w:hint="eastAsia"/>
          <w:b/>
          <w:color w:val="000000"/>
          <w:sz w:val="28"/>
          <w:szCs w:val="28"/>
        </w:rPr>
        <w:t>附件</w:t>
      </w:r>
      <w:r>
        <w:rPr>
          <w:rFonts w:hint="eastAsia"/>
          <w:b/>
          <w:color w:val="000000"/>
          <w:sz w:val="28"/>
          <w:szCs w:val="28"/>
          <w:lang w:val="en-US" w:eastAsia="zh-CN"/>
        </w:rPr>
        <w:t>7</w:t>
      </w:r>
      <w:r>
        <w:rPr>
          <w:rFonts w:hint="eastAsia"/>
          <w:bCs/>
          <w:color w:val="000000"/>
        </w:rPr>
        <w:t>废水处理工艺流程图；</w:t>
      </w:r>
    </w:p>
    <w:p>
      <w:pPr>
        <w:jc w:val="left"/>
        <w:rPr>
          <w:bCs/>
          <w:color w:val="000000"/>
        </w:rPr>
      </w:pPr>
      <w:r>
        <w:rPr>
          <w:rFonts w:hint="eastAsia"/>
          <w:b/>
          <w:color w:val="000000"/>
          <w:sz w:val="28"/>
          <w:szCs w:val="28"/>
        </w:rPr>
        <w:t>附件</w:t>
      </w:r>
      <w:r>
        <w:rPr>
          <w:rFonts w:hint="eastAsia"/>
          <w:b/>
          <w:color w:val="000000"/>
          <w:sz w:val="28"/>
          <w:szCs w:val="28"/>
          <w:lang w:val="en-US" w:eastAsia="zh-CN"/>
        </w:rPr>
        <w:t>8</w:t>
      </w:r>
      <w:r>
        <w:rPr>
          <w:rFonts w:hint="eastAsia"/>
          <w:bCs/>
          <w:color w:val="000000"/>
        </w:rPr>
        <w:t>废气处理工艺流程图；</w:t>
      </w:r>
    </w:p>
    <w:p>
      <w:pPr>
        <w:jc w:val="left"/>
        <w:rPr>
          <w:bCs/>
          <w:color w:val="000000"/>
        </w:rPr>
      </w:pPr>
      <w:r>
        <w:rPr>
          <w:rFonts w:hint="eastAsia"/>
          <w:b/>
          <w:color w:val="000000"/>
          <w:sz w:val="28"/>
          <w:szCs w:val="28"/>
        </w:rPr>
        <w:t>附件</w:t>
      </w:r>
      <w:r>
        <w:rPr>
          <w:rFonts w:hint="eastAsia"/>
          <w:b/>
          <w:color w:val="000000"/>
          <w:sz w:val="28"/>
          <w:szCs w:val="28"/>
          <w:lang w:val="en-US" w:eastAsia="zh-CN"/>
        </w:rPr>
        <w:t>9</w:t>
      </w:r>
      <w:r>
        <w:rPr>
          <w:rFonts w:hint="eastAsia"/>
          <w:bCs/>
          <w:color w:val="000000"/>
        </w:rPr>
        <w:t>实际生产能力证明及工况说明；</w:t>
      </w:r>
    </w:p>
    <w:p>
      <w:pPr>
        <w:jc w:val="left"/>
        <w:rPr>
          <w:bCs/>
          <w:color w:val="000000"/>
        </w:rPr>
      </w:pPr>
      <w:r>
        <w:rPr>
          <w:rFonts w:hint="eastAsia"/>
          <w:b/>
          <w:color w:val="000000"/>
          <w:sz w:val="28"/>
          <w:szCs w:val="28"/>
        </w:rPr>
        <w:t>附件</w:t>
      </w:r>
      <w:r>
        <w:rPr>
          <w:rFonts w:hint="eastAsia"/>
          <w:b/>
          <w:color w:val="000000"/>
          <w:sz w:val="28"/>
          <w:szCs w:val="28"/>
          <w:lang w:val="en-US" w:eastAsia="zh-CN"/>
        </w:rPr>
        <w:t>10</w:t>
      </w:r>
      <w:r>
        <w:rPr>
          <w:rFonts w:hint="eastAsia"/>
          <w:bCs/>
          <w:color w:val="000000"/>
        </w:rPr>
        <w:t>煤的检测报告；</w:t>
      </w:r>
    </w:p>
    <w:p>
      <w:pPr>
        <w:jc w:val="left"/>
        <w:rPr>
          <w:bCs/>
          <w:color w:val="000000"/>
        </w:rPr>
      </w:pPr>
      <w:r>
        <w:rPr>
          <w:rFonts w:hint="eastAsia"/>
          <w:b/>
          <w:color w:val="000000"/>
          <w:sz w:val="28"/>
          <w:szCs w:val="28"/>
        </w:rPr>
        <w:t>附件</w:t>
      </w:r>
      <w:r>
        <w:rPr>
          <w:b/>
          <w:color w:val="000000"/>
          <w:sz w:val="28"/>
          <w:szCs w:val="28"/>
        </w:rPr>
        <w:t>1</w:t>
      </w:r>
      <w:r>
        <w:rPr>
          <w:rFonts w:hint="eastAsia"/>
          <w:b/>
          <w:color w:val="000000"/>
          <w:sz w:val="28"/>
          <w:szCs w:val="28"/>
          <w:lang w:val="en-US" w:eastAsia="zh-CN"/>
        </w:rPr>
        <w:t>1</w:t>
      </w:r>
      <w:r>
        <w:rPr>
          <w:rFonts w:hint="eastAsia"/>
          <w:bCs/>
          <w:color w:val="000000"/>
        </w:rPr>
        <w:t>排污许可证；</w:t>
      </w:r>
    </w:p>
    <w:p>
      <w:pPr>
        <w:jc w:val="left"/>
        <w:rPr>
          <w:color w:val="000000"/>
        </w:rPr>
      </w:pPr>
      <w:r>
        <w:rPr>
          <w:rFonts w:hint="eastAsia"/>
          <w:b/>
          <w:color w:val="000000"/>
          <w:sz w:val="28"/>
          <w:szCs w:val="28"/>
        </w:rPr>
        <w:t>附件</w:t>
      </w:r>
      <w:r>
        <w:rPr>
          <w:b/>
          <w:color w:val="000000"/>
          <w:sz w:val="28"/>
          <w:szCs w:val="28"/>
        </w:rPr>
        <w:t>1</w:t>
      </w:r>
      <w:r>
        <w:rPr>
          <w:rFonts w:hint="eastAsia"/>
          <w:b/>
          <w:color w:val="000000"/>
          <w:sz w:val="28"/>
          <w:szCs w:val="28"/>
          <w:lang w:val="en-US" w:eastAsia="zh-CN"/>
        </w:rPr>
        <w:t>2</w:t>
      </w:r>
      <w:r>
        <w:rPr>
          <w:rFonts w:hint="eastAsia"/>
          <w:bCs/>
          <w:color w:val="000000"/>
        </w:rPr>
        <w:t>环境监测委托书</w:t>
      </w:r>
      <w:r>
        <w:rPr>
          <w:rFonts w:hint="eastAsia"/>
          <w:color w:val="000000"/>
        </w:rPr>
        <w:t>。</w:t>
      </w:r>
    </w:p>
    <w:p>
      <w:pPr>
        <w:pStyle w:val="40"/>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pPr>
    </w:p>
    <w:p>
      <w:pPr>
        <w:rPr>
          <w:rFonts w:ascii="宋体" w:cs="宋体"/>
        </w:rPr>
        <w:sectPr>
          <w:pgSz w:w="11906" w:h="16838"/>
          <w:pgMar w:top="1440" w:right="1080" w:bottom="1440" w:left="1080" w:header="851" w:footer="992" w:gutter="0"/>
          <w:pgNumType w:fmt="decimal" w:start="1"/>
          <w:cols w:space="425" w:num="1"/>
          <w:docGrid w:type="lines" w:linePitch="312" w:charSpace="0"/>
        </w:sectPr>
      </w:pPr>
    </w:p>
    <w:p>
      <w:pPr>
        <w:pStyle w:val="4"/>
        <w:spacing w:line="360" w:lineRule="auto"/>
      </w:pPr>
      <w:bookmarkStart w:id="0" w:name="_Toc19058"/>
      <w:r>
        <w:t>1</w:t>
      </w:r>
      <w:r>
        <w:rPr>
          <w:rFonts w:hint="eastAsia"/>
        </w:rPr>
        <w:t>、前言</w:t>
      </w:r>
      <w:bookmarkEnd w:id="0"/>
    </w:p>
    <w:p>
      <w:pPr>
        <w:snapToGrid w:val="0"/>
        <w:spacing w:line="360" w:lineRule="auto"/>
        <w:ind w:firstLine="480" w:firstLineChars="200"/>
        <w:rPr>
          <w:color w:val="000000"/>
        </w:rPr>
      </w:pPr>
      <w:r>
        <w:rPr>
          <w:rFonts w:hint="eastAsia"/>
          <w:color w:val="000000"/>
        </w:rPr>
        <w:t>翁源广业清怡食品科技有限公司是广东省食品工业研究所成果转化基地，拟投资</w:t>
      </w:r>
      <w:r>
        <w:rPr>
          <w:color w:val="000000"/>
        </w:rPr>
        <w:t>3000</w:t>
      </w:r>
      <w:r>
        <w:rPr>
          <w:rFonts w:hint="eastAsia"/>
          <w:color w:val="000000"/>
        </w:rPr>
        <w:t>万元在</w:t>
      </w:r>
      <w:r>
        <w:rPr>
          <w:rFonts w:hint="eastAsia"/>
        </w:rPr>
        <w:t>位于韶关市翁源县京珠高速公路翁城进出口引道南侧</w:t>
      </w:r>
      <w:r>
        <w:t>250</w:t>
      </w:r>
      <w:r>
        <w:rPr>
          <w:rFonts w:hint="eastAsia"/>
        </w:rPr>
        <w:t>米，京珠高速公路东侧</w:t>
      </w:r>
      <w:r>
        <w:t>130</w:t>
      </w:r>
      <w:r>
        <w:rPr>
          <w:rFonts w:hint="eastAsia"/>
        </w:rPr>
        <w:t>米，金悦通电子（翁源）有限公司西南侧</w:t>
      </w:r>
      <w:r>
        <w:t>58</w:t>
      </w:r>
      <w:r>
        <w:rPr>
          <w:rFonts w:hint="eastAsia"/>
        </w:rPr>
        <w:t>米处现有厂区预留地块内建设年产</w:t>
      </w:r>
      <w:r>
        <w:t>600</w:t>
      </w:r>
      <w:r>
        <w:rPr>
          <w:rFonts w:hint="eastAsia"/>
        </w:rPr>
        <w:t>吨食品抗氧化剂</w:t>
      </w:r>
      <w:r>
        <w:t>TBHQ</w:t>
      </w:r>
      <w:r>
        <w:rPr>
          <w:rFonts w:hint="eastAsia"/>
        </w:rPr>
        <w:t>建设项目，本项目新建车间一座，其他构筑物利用厂区已有的厂房和配套设施，厂区地理坐标为</w:t>
      </w:r>
      <w:r>
        <w:t>24°25'13.26"N</w:t>
      </w:r>
      <w:r>
        <w:rPr>
          <w:rFonts w:hint="eastAsia"/>
        </w:rPr>
        <w:t>，</w:t>
      </w:r>
      <w:r>
        <w:t>113°46'50.69"E</w:t>
      </w:r>
      <w:r>
        <w:rPr>
          <w:rFonts w:hint="eastAsia"/>
          <w:color w:val="000000"/>
        </w:rPr>
        <w:t>。</w:t>
      </w:r>
    </w:p>
    <w:p>
      <w:pPr>
        <w:snapToGrid w:val="0"/>
        <w:spacing w:line="360" w:lineRule="auto"/>
        <w:ind w:firstLine="480" w:firstLineChars="200"/>
        <w:rPr>
          <w:color w:val="000000"/>
        </w:rPr>
      </w:pPr>
      <w:r>
        <w:rPr>
          <w:color w:val="000000"/>
        </w:rPr>
        <w:t>TBHQ——</w:t>
      </w:r>
      <w:r>
        <w:rPr>
          <w:rFonts w:hint="eastAsia"/>
          <w:color w:val="000000"/>
        </w:rPr>
        <w:t>特丁基对苯二酚，是一种新型高效的食用油脂抗氧化剂，适用于动植物脂肪和富脂食品，特别适用于食物油中，它能够有效延缓油脂氧化，提高食品的稳定性；能够有效抑制细菌及霉菌生长；耐高温，最高承受温度可达</w:t>
      </w:r>
      <w:r>
        <w:rPr>
          <w:color w:val="000000"/>
        </w:rPr>
        <w:t>230℃</w:t>
      </w:r>
      <w:r>
        <w:rPr>
          <w:rFonts w:hint="eastAsia"/>
          <w:color w:val="000000"/>
        </w:rPr>
        <w:t>以上。与传统的抗氧化剂</w:t>
      </w:r>
      <w:r>
        <w:rPr>
          <w:color w:val="000000"/>
        </w:rPr>
        <w:t>BHA</w:t>
      </w:r>
      <w:r>
        <w:rPr>
          <w:rFonts w:hint="eastAsia"/>
          <w:color w:val="000000"/>
        </w:rPr>
        <w:t>、</w:t>
      </w:r>
      <w:r>
        <w:rPr>
          <w:color w:val="000000"/>
        </w:rPr>
        <w:t>BHT</w:t>
      </w:r>
      <w:r>
        <w:rPr>
          <w:rFonts w:hint="eastAsia"/>
          <w:color w:val="000000"/>
        </w:rPr>
        <w:t>、</w:t>
      </w:r>
      <w:r>
        <w:rPr>
          <w:color w:val="000000"/>
        </w:rPr>
        <w:t>PG</w:t>
      </w:r>
      <w:r>
        <w:rPr>
          <w:rFonts w:hint="eastAsia"/>
          <w:color w:val="000000"/>
        </w:rPr>
        <w:t>相比，具有更高的抗氧化效果，是国际上公认最安全的化学合成类抗氧化剂之一，已在十几个国家和地区广泛应用于油脂和含油脂食品工业中，产品质优价廉，非常适合食用油脂及方便面等企业使用，市场前景广阔。</w:t>
      </w:r>
    </w:p>
    <w:p>
      <w:pPr>
        <w:spacing w:line="360" w:lineRule="auto"/>
        <w:ind w:firstLine="480" w:firstLineChars="200"/>
        <w:rPr>
          <w:rFonts w:hint="eastAsia" w:eastAsia="宋体"/>
          <w:kern w:val="0"/>
          <w:lang w:eastAsia="zh-CN"/>
        </w:rPr>
      </w:pPr>
      <w:r>
        <w:rPr>
          <w:rFonts w:hint="eastAsia"/>
          <w:kern w:val="0"/>
        </w:rPr>
        <w:t>项目环境影响报告书由韶关市环境保护科学研究所于</w:t>
      </w:r>
      <w:r>
        <w:rPr>
          <w:kern w:val="0"/>
        </w:rPr>
        <w:t>2015</w:t>
      </w:r>
      <w:r>
        <w:rPr>
          <w:rFonts w:hint="eastAsia"/>
          <w:kern w:val="0"/>
        </w:rPr>
        <w:t>年</w:t>
      </w:r>
      <w:r>
        <w:rPr>
          <w:kern w:val="0"/>
        </w:rPr>
        <w:t>6</w:t>
      </w:r>
      <w:r>
        <w:rPr>
          <w:rFonts w:hint="eastAsia"/>
          <w:kern w:val="0"/>
        </w:rPr>
        <w:t>月编制完成，</w:t>
      </w:r>
      <w:r>
        <w:rPr>
          <w:kern w:val="0"/>
        </w:rPr>
        <w:t xml:space="preserve"> </w:t>
      </w:r>
      <w:r>
        <w:rPr>
          <w:rFonts w:hint="eastAsia"/>
          <w:kern w:val="0"/>
        </w:rPr>
        <w:t>韶关市环境保护局于</w:t>
      </w:r>
      <w:r>
        <w:rPr>
          <w:kern w:val="0"/>
        </w:rPr>
        <w:t>2015</w:t>
      </w:r>
      <w:r>
        <w:rPr>
          <w:rFonts w:hint="eastAsia"/>
          <w:kern w:val="0"/>
        </w:rPr>
        <w:t>年</w:t>
      </w:r>
      <w:r>
        <w:rPr>
          <w:kern w:val="0"/>
        </w:rPr>
        <w:t>8</w:t>
      </w:r>
      <w:r>
        <w:rPr>
          <w:rFonts w:hint="eastAsia"/>
          <w:kern w:val="0"/>
        </w:rPr>
        <w:t>月</w:t>
      </w:r>
      <w:r>
        <w:rPr>
          <w:kern w:val="0"/>
        </w:rPr>
        <w:t>31</w:t>
      </w:r>
      <w:r>
        <w:rPr>
          <w:rFonts w:hint="eastAsia"/>
          <w:kern w:val="0"/>
        </w:rPr>
        <w:t>日以韶环审［</w:t>
      </w:r>
      <w:r>
        <w:rPr>
          <w:kern w:val="0"/>
        </w:rPr>
        <w:t>2015</w:t>
      </w:r>
      <w:r>
        <w:rPr>
          <w:rFonts w:hint="eastAsia"/>
          <w:kern w:val="0"/>
        </w:rPr>
        <w:t>］</w:t>
      </w:r>
      <w:r>
        <w:rPr>
          <w:kern w:val="0"/>
        </w:rPr>
        <w:t>348</w:t>
      </w:r>
      <w:r>
        <w:rPr>
          <w:rFonts w:hint="eastAsia"/>
          <w:kern w:val="0"/>
        </w:rPr>
        <w:t>号文予以批复。</w:t>
      </w:r>
      <w:r>
        <w:rPr>
          <w:rFonts w:hint="eastAsia"/>
          <w:kern w:val="0"/>
          <w:lang w:eastAsia="zh-CN"/>
        </w:rPr>
        <w:t>翁源广业清怡食品科技有限公司原有项目《翁源广业清怡食品科技有限公司年产</w:t>
      </w:r>
      <w:r>
        <w:rPr>
          <w:rFonts w:hint="eastAsia"/>
          <w:kern w:val="0"/>
          <w:lang w:val="en-US" w:eastAsia="zh-CN"/>
        </w:rPr>
        <w:t>300吨三氯蔗糖建设项目》于2016年11月18日竣工验收。项目于2015年9月开工建设，于2017年7月建设完成。2017年9月，翁源县环境保护局向建设单位核发了排污许可证（编号为4402292017000033，见</w:t>
      </w:r>
      <w:r>
        <w:rPr>
          <w:rFonts w:hint="eastAsia"/>
          <w:color w:val="000000" w:themeColor="text1"/>
          <w:kern w:val="0"/>
          <w:lang w:val="en-US" w:eastAsia="zh-CN"/>
          <w14:textFill>
            <w14:solidFill>
              <w14:schemeClr w14:val="tx1"/>
            </w14:solidFill>
          </w14:textFill>
        </w:rPr>
        <w:t>附件11）</w:t>
      </w:r>
      <w:r>
        <w:rPr>
          <w:rFonts w:hint="eastAsia"/>
          <w:kern w:val="0"/>
          <w:lang w:val="en-US" w:eastAsia="zh-CN"/>
        </w:rPr>
        <w:t>。目前，项目已投入运行，具备了竣工环保验收监测条件。</w:t>
      </w:r>
    </w:p>
    <w:p>
      <w:pPr>
        <w:spacing w:line="360" w:lineRule="auto"/>
        <w:ind w:firstLine="482"/>
        <w:jc w:val="left"/>
      </w:pPr>
      <w:r>
        <w:rPr>
          <w:rFonts w:hint="eastAsia"/>
        </w:rPr>
        <w:t>受</w:t>
      </w:r>
      <w:r>
        <w:rPr>
          <w:rFonts w:hint="eastAsia"/>
          <w:color w:val="000000"/>
        </w:rPr>
        <w:t>翁源广业清怡食品科技有限公司</w:t>
      </w:r>
      <w:r>
        <w:rPr>
          <w:rFonts w:hint="eastAsia"/>
          <w:kern w:val="0"/>
        </w:rPr>
        <w:t>委托，广东中誉科诚检测技术有限公司</w:t>
      </w:r>
      <w:r>
        <w:rPr>
          <w:rFonts w:hint="eastAsia"/>
        </w:rPr>
        <w:t>承担了该建设项目</w:t>
      </w:r>
      <w:r>
        <w:rPr>
          <w:rFonts w:hint="eastAsia"/>
          <w:lang w:val="zh-CN"/>
        </w:rPr>
        <w:t>工程</w:t>
      </w:r>
      <w:r>
        <w:rPr>
          <w:rFonts w:hint="eastAsia"/>
        </w:rPr>
        <w:t>的环保设施</w:t>
      </w:r>
      <w:r>
        <w:t>“</w:t>
      </w:r>
      <w:r>
        <w:rPr>
          <w:rFonts w:hint="eastAsia"/>
        </w:rPr>
        <w:t>三同时</w:t>
      </w:r>
      <w:r>
        <w:t>”</w:t>
      </w:r>
      <w:r>
        <w:rPr>
          <w:rFonts w:hint="eastAsia"/>
        </w:rPr>
        <w:t>验收监测工作</w:t>
      </w:r>
      <w:r>
        <w:rPr>
          <w:rFonts w:hint="eastAsia"/>
          <w:kern w:val="0"/>
        </w:rPr>
        <w:t>。</w:t>
      </w:r>
      <w:r>
        <w:rPr>
          <w:kern w:val="0"/>
        </w:rPr>
        <w:t>2017</w:t>
      </w:r>
      <w:r>
        <w:rPr>
          <w:rFonts w:hint="eastAsia"/>
          <w:kern w:val="0"/>
        </w:rPr>
        <w:t>年</w:t>
      </w:r>
      <w:r>
        <w:rPr>
          <w:kern w:val="0"/>
        </w:rPr>
        <w:t>09</w:t>
      </w:r>
      <w:r>
        <w:rPr>
          <w:rFonts w:hint="eastAsia"/>
          <w:kern w:val="0"/>
        </w:rPr>
        <w:t>月，</w:t>
      </w:r>
      <w:r>
        <w:rPr>
          <w:rFonts w:hint="eastAsia"/>
        </w:rPr>
        <w:t>我公司组织人员对该项目进行现场勘察。初步了解该项目环保设施的配置及运行情况。根据现场勘查结果，并查阅、收集相关资料，在此基础上编制了《翁源广业清怡食品科技有限公司年产</w:t>
      </w:r>
      <w:r>
        <w:t>600</w:t>
      </w:r>
      <w:r>
        <w:rPr>
          <w:rFonts w:hint="eastAsia"/>
        </w:rPr>
        <w:t>吨食品抗氧化剂</w:t>
      </w:r>
      <w:r>
        <w:t>TBHQ</w:t>
      </w:r>
      <w:r>
        <w:rPr>
          <w:rFonts w:hint="eastAsia"/>
        </w:rPr>
        <w:t>建设项目竣工验收监测方案》。</w:t>
      </w:r>
      <w:r>
        <w:rPr>
          <w:color w:val="000000"/>
        </w:rPr>
        <w:t>2017</w:t>
      </w:r>
      <w:r>
        <w:rPr>
          <w:rFonts w:hint="eastAsia"/>
          <w:color w:val="000000"/>
        </w:rPr>
        <w:t>年</w:t>
      </w:r>
      <w:r>
        <w:rPr>
          <w:color w:val="000000"/>
        </w:rPr>
        <w:t>09</w:t>
      </w:r>
      <w:r>
        <w:rPr>
          <w:rFonts w:hint="eastAsia"/>
          <w:color w:val="000000"/>
        </w:rPr>
        <w:t>月</w:t>
      </w:r>
      <w:r>
        <w:rPr>
          <w:color w:val="000000"/>
        </w:rPr>
        <w:t>05</w:t>
      </w:r>
      <w:r>
        <w:rPr>
          <w:rFonts w:hint="eastAsia"/>
          <w:color w:val="000000"/>
        </w:rPr>
        <w:t>、</w:t>
      </w:r>
      <w:r>
        <w:rPr>
          <w:color w:val="000000"/>
        </w:rPr>
        <w:t>06</w:t>
      </w:r>
      <w:r>
        <w:rPr>
          <w:rFonts w:hint="eastAsia"/>
          <w:color w:val="000000"/>
        </w:rPr>
        <w:t>日，</w:t>
      </w:r>
      <w:r>
        <w:rPr>
          <w:rFonts w:hint="eastAsia"/>
        </w:rPr>
        <w:t>我公司根据上述方案组织人员对该项目进行了验收监测及现场检查。在监测结果及</w:t>
      </w:r>
      <w:r>
        <w:rPr>
          <w:rFonts w:hint="eastAsia"/>
          <w:lang w:eastAsia="zh-CN"/>
        </w:rPr>
        <w:t>环境管理检查落实情况下</w:t>
      </w:r>
      <w:r>
        <w:rPr>
          <w:rFonts w:hint="eastAsia"/>
        </w:rPr>
        <w:t>，编写了本项目的《建设项目竣工环境保护验收监测报告》。</w:t>
      </w:r>
    </w:p>
    <w:p>
      <w:pPr>
        <w:pStyle w:val="4"/>
      </w:pPr>
      <w:bookmarkStart w:id="1" w:name="_Toc10564"/>
      <w:r>
        <w:t>2</w:t>
      </w:r>
      <w:r>
        <w:rPr>
          <w:rFonts w:hint="eastAsia"/>
        </w:rPr>
        <w:t>、验收监测依据</w:t>
      </w:r>
      <w:bookmarkEnd w:id="1"/>
    </w:p>
    <w:p>
      <w:pPr>
        <w:spacing w:line="360" w:lineRule="auto"/>
        <w:rPr>
          <w:rFonts w:hint="eastAsia"/>
          <w:color w:val="000000"/>
          <w:lang w:val="en-US" w:eastAsia="zh-CN"/>
        </w:rPr>
      </w:pPr>
      <w:r>
        <w:rPr>
          <w:color w:val="000000"/>
        </w:rPr>
        <w:t>2.1</w:t>
      </w:r>
      <w:r>
        <w:rPr>
          <w:rFonts w:hint="eastAsia"/>
          <w:color w:val="000000"/>
        </w:rPr>
        <w:t>、</w:t>
      </w:r>
      <w:r>
        <w:rPr>
          <w:rFonts w:hint="eastAsia"/>
          <w:color w:val="000000"/>
          <w:lang w:eastAsia="zh-CN"/>
        </w:rPr>
        <w:t>中华人民共和国国务院</w:t>
      </w:r>
      <w:r>
        <w:rPr>
          <w:rFonts w:hint="eastAsia"/>
          <w:color w:val="000000"/>
          <w:lang w:val="en-US" w:eastAsia="zh-CN"/>
        </w:rPr>
        <w:t>253号令，《建设项目环境保护管理条例》，1998年12月；</w:t>
      </w:r>
    </w:p>
    <w:p>
      <w:pPr>
        <w:spacing w:line="360" w:lineRule="auto"/>
        <w:rPr>
          <w:rFonts w:hint="eastAsia"/>
          <w:color w:val="000000"/>
          <w:lang w:val="en-US" w:eastAsia="zh-CN"/>
        </w:rPr>
      </w:pPr>
      <w:r>
        <w:rPr>
          <w:rFonts w:hint="eastAsia"/>
          <w:color w:val="000000"/>
          <w:lang w:val="en-US" w:eastAsia="zh-CN"/>
        </w:rPr>
        <w:t>2.2、中华人民共和国国务院682号令，《国务院关于修改&lt;建设项目环境保护管理条例&gt;的决定》，2017年7月；</w:t>
      </w:r>
    </w:p>
    <w:p>
      <w:pPr>
        <w:spacing w:line="360" w:lineRule="auto"/>
        <w:rPr>
          <w:color w:val="000000"/>
        </w:rPr>
      </w:pPr>
      <w:r>
        <w:rPr>
          <w:rFonts w:hint="eastAsia"/>
          <w:bCs/>
          <w:color w:val="000000"/>
          <w:lang w:val="en-US" w:eastAsia="zh-CN"/>
        </w:rPr>
        <w:t>2.3、</w:t>
      </w:r>
      <w:r>
        <w:rPr>
          <w:rFonts w:hint="eastAsia"/>
          <w:bCs/>
          <w:color w:val="000000"/>
        </w:rPr>
        <w:t>《建设项目竣工环境保护验收暂行办法》（国环规环评【</w:t>
      </w:r>
      <w:r>
        <w:rPr>
          <w:bCs/>
          <w:color w:val="000000"/>
        </w:rPr>
        <w:t>2017</w:t>
      </w:r>
      <w:r>
        <w:rPr>
          <w:rFonts w:hint="eastAsia"/>
          <w:bCs/>
          <w:color w:val="000000"/>
        </w:rPr>
        <w:t>】</w:t>
      </w:r>
      <w:r>
        <w:rPr>
          <w:bCs/>
          <w:color w:val="000000"/>
        </w:rPr>
        <w:t>4</w:t>
      </w:r>
      <w:r>
        <w:rPr>
          <w:rFonts w:hint="eastAsia"/>
          <w:bCs/>
          <w:color w:val="000000"/>
        </w:rPr>
        <w:t>号）；</w:t>
      </w:r>
    </w:p>
    <w:p>
      <w:pPr>
        <w:spacing w:line="360" w:lineRule="auto"/>
        <w:rPr>
          <w:color w:val="000000"/>
        </w:rPr>
      </w:pPr>
      <w:r>
        <w:rPr>
          <w:rFonts w:hint="eastAsia"/>
          <w:color w:val="000000"/>
          <w:lang w:val="en-US" w:eastAsia="zh-CN"/>
        </w:rPr>
        <w:t>2.4、</w:t>
      </w:r>
      <w:r>
        <w:rPr>
          <w:rFonts w:hint="eastAsia"/>
          <w:color w:val="000000"/>
        </w:rPr>
        <w:t>《建设项目竣工环境保护验收技术指南</w:t>
      </w:r>
      <w:r>
        <w:rPr>
          <w:color w:val="000000"/>
        </w:rPr>
        <w:t xml:space="preserve"> </w:t>
      </w:r>
      <w:r>
        <w:rPr>
          <w:rFonts w:hint="eastAsia"/>
          <w:color w:val="000000"/>
        </w:rPr>
        <w:t>污染影响类》（环办环评函【</w:t>
      </w:r>
      <w:r>
        <w:rPr>
          <w:color w:val="000000"/>
        </w:rPr>
        <w:t>2017</w:t>
      </w:r>
      <w:r>
        <w:rPr>
          <w:rFonts w:hint="eastAsia"/>
          <w:color w:val="000000"/>
        </w:rPr>
        <w:t>】</w:t>
      </w:r>
      <w:r>
        <w:rPr>
          <w:color w:val="000000"/>
        </w:rPr>
        <w:t>1529</w:t>
      </w:r>
      <w:r>
        <w:rPr>
          <w:rFonts w:hint="eastAsia"/>
          <w:color w:val="000000"/>
        </w:rPr>
        <w:t>号）；</w:t>
      </w:r>
    </w:p>
    <w:p>
      <w:pPr>
        <w:spacing w:line="360" w:lineRule="auto"/>
        <w:jc w:val="left"/>
        <w:rPr>
          <w:kern w:val="0"/>
        </w:rPr>
      </w:pPr>
      <w:r>
        <w:rPr>
          <w:kern w:val="0"/>
        </w:rPr>
        <w:t>2.</w:t>
      </w:r>
      <w:r>
        <w:rPr>
          <w:rFonts w:hint="eastAsia"/>
          <w:kern w:val="0"/>
          <w:lang w:val="en-US" w:eastAsia="zh-CN"/>
        </w:rPr>
        <w:t>5</w:t>
      </w:r>
      <w:r>
        <w:rPr>
          <w:rFonts w:hint="eastAsia"/>
          <w:kern w:val="0"/>
        </w:rPr>
        <w:t>、建设项目环境影响报告书；</w:t>
      </w:r>
    </w:p>
    <w:p>
      <w:pPr>
        <w:spacing w:line="360" w:lineRule="auto"/>
        <w:jc w:val="left"/>
        <w:rPr>
          <w:kern w:val="0"/>
        </w:rPr>
      </w:pPr>
      <w:r>
        <w:rPr>
          <w:kern w:val="0"/>
        </w:rPr>
        <w:t>2.</w:t>
      </w:r>
      <w:r>
        <w:rPr>
          <w:rFonts w:hint="eastAsia"/>
          <w:kern w:val="0"/>
          <w:lang w:val="en-US" w:eastAsia="zh-CN"/>
        </w:rPr>
        <w:t>6</w:t>
      </w:r>
      <w:r>
        <w:rPr>
          <w:rFonts w:hint="eastAsia"/>
          <w:kern w:val="0"/>
        </w:rPr>
        <w:t>、韶环审［</w:t>
      </w:r>
      <w:r>
        <w:rPr>
          <w:kern w:val="0"/>
        </w:rPr>
        <w:t>2015</w:t>
      </w:r>
      <w:r>
        <w:rPr>
          <w:rFonts w:hint="eastAsia"/>
          <w:kern w:val="0"/>
        </w:rPr>
        <w:t>］</w:t>
      </w:r>
      <w:r>
        <w:rPr>
          <w:kern w:val="0"/>
        </w:rPr>
        <w:t>348</w:t>
      </w:r>
      <w:r>
        <w:rPr>
          <w:rFonts w:hint="eastAsia"/>
          <w:kern w:val="0"/>
        </w:rPr>
        <w:t>号《韶关市环境保护局关于翁源广业清怡食品科技有限公司年产</w:t>
      </w:r>
      <w:r>
        <w:rPr>
          <w:kern w:val="0"/>
        </w:rPr>
        <w:t>600</w:t>
      </w:r>
      <w:r>
        <w:rPr>
          <w:rFonts w:hint="eastAsia"/>
          <w:kern w:val="0"/>
        </w:rPr>
        <w:t>吨食品抗氧化剂</w:t>
      </w:r>
      <w:r>
        <w:rPr>
          <w:kern w:val="0"/>
        </w:rPr>
        <w:t>TBHQ</w:t>
      </w:r>
      <w:r>
        <w:rPr>
          <w:rFonts w:hint="eastAsia"/>
          <w:kern w:val="0"/>
        </w:rPr>
        <w:t>建设项目环境影响报告书审批意见的函》；</w:t>
      </w:r>
    </w:p>
    <w:p>
      <w:pPr>
        <w:spacing w:line="360" w:lineRule="auto"/>
        <w:jc w:val="left"/>
        <w:rPr>
          <w:rFonts w:hint="eastAsia"/>
          <w:kern w:val="0"/>
        </w:rPr>
      </w:pPr>
      <w:r>
        <w:rPr>
          <w:kern w:val="0"/>
        </w:rPr>
        <w:t>2.</w:t>
      </w:r>
      <w:r>
        <w:rPr>
          <w:rFonts w:hint="eastAsia"/>
          <w:kern w:val="0"/>
          <w:lang w:val="en-US" w:eastAsia="zh-CN"/>
        </w:rPr>
        <w:t>7</w:t>
      </w:r>
      <w:r>
        <w:rPr>
          <w:rFonts w:hint="eastAsia"/>
          <w:kern w:val="0"/>
        </w:rPr>
        <w:t>、翁环审［</w:t>
      </w:r>
      <w:r>
        <w:rPr>
          <w:kern w:val="0"/>
        </w:rPr>
        <w:t>2015</w:t>
      </w:r>
      <w:r>
        <w:rPr>
          <w:rFonts w:hint="eastAsia"/>
          <w:kern w:val="0"/>
        </w:rPr>
        <w:t>］</w:t>
      </w:r>
      <w:r>
        <w:rPr>
          <w:kern w:val="0"/>
        </w:rPr>
        <w:t>15</w:t>
      </w:r>
      <w:r>
        <w:rPr>
          <w:rFonts w:hint="eastAsia"/>
          <w:kern w:val="0"/>
        </w:rPr>
        <w:t>号《翁源县环境保护局关于翁源广业清怡食品科技有限公司年产</w:t>
      </w:r>
      <w:r>
        <w:rPr>
          <w:kern w:val="0"/>
        </w:rPr>
        <w:t>600</w:t>
      </w:r>
      <w:r>
        <w:rPr>
          <w:rFonts w:hint="eastAsia"/>
          <w:kern w:val="0"/>
        </w:rPr>
        <w:t>吨食品抗氧化剂</w:t>
      </w:r>
      <w:r>
        <w:rPr>
          <w:kern w:val="0"/>
        </w:rPr>
        <w:t>TBHQ</w:t>
      </w:r>
      <w:r>
        <w:rPr>
          <w:rFonts w:hint="eastAsia"/>
          <w:kern w:val="0"/>
        </w:rPr>
        <w:t>建设项目主要污染物排放总量控制指标的批复》；</w:t>
      </w:r>
    </w:p>
    <w:p>
      <w:pPr>
        <w:spacing w:line="360" w:lineRule="auto"/>
        <w:jc w:val="left"/>
        <w:rPr>
          <w:rFonts w:hint="eastAsia"/>
          <w:color w:val="000000"/>
          <w:lang w:eastAsia="zh-CN"/>
        </w:rPr>
      </w:pPr>
      <w:r>
        <w:rPr>
          <w:rFonts w:hint="eastAsia"/>
          <w:kern w:val="0"/>
          <w:lang w:val="en-US" w:eastAsia="zh-CN"/>
        </w:rPr>
        <w:t>2.8、广东省地方标准</w:t>
      </w:r>
      <w:r>
        <w:rPr>
          <w:rFonts w:hint="eastAsia"/>
          <w:color w:val="000000"/>
        </w:rPr>
        <w:t>《家具制造行业挥发性有机化合物排放标准》（</w:t>
      </w:r>
      <w:r>
        <w:rPr>
          <w:color w:val="000000"/>
        </w:rPr>
        <w:t>DB44/814-2010</w:t>
      </w:r>
      <w:r>
        <w:rPr>
          <w:rFonts w:hint="eastAsia"/>
          <w:color w:val="000000"/>
        </w:rPr>
        <w:t>）</w:t>
      </w:r>
      <w:r>
        <w:rPr>
          <w:rFonts w:hint="eastAsia"/>
          <w:color w:val="000000"/>
          <w:lang w:eastAsia="zh-CN"/>
        </w:rPr>
        <w:t>；</w:t>
      </w:r>
    </w:p>
    <w:p>
      <w:pPr>
        <w:spacing w:line="360" w:lineRule="auto"/>
        <w:jc w:val="left"/>
        <w:rPr>
          <w:rFonts w:hint="eastAsia"/>
          <w:szCs w:val="28"/>
          <w:lang w:eastAsia="zh-CN"/>
        </w:rPr>
      </w:pPr>
      <w:r>
        <w:rPr>
          <w:rFonts w:hint="eastAsia"/>
          <w:color w:val="000000"/>
          <w:lang w:val="en-US" w:eastAsia="zh-CN"/>
        </w:rPr>
        <w:t>2.9、</w:t>
      </w:r>
      <w:r>
        <w:rPr>
          <w:rFonts w:hint="eastAsia"/>
          <w:szCs w:val="28"/>
        </w:rPr>
        <w:t>广东省地方《大气污染物排放限值》（</w:t>
      </w:r>
      <w:r>
        <w:rPr>
          <w:szCs w:val="28"/>
        </w:rPr>
        <w:t>DB44/27-2001</w:t>
      </w:r>
      <w:r>
        <w:rPr>
          <w:rFonts w:hint="eastAsia"/>
          <w:szCs w:val="28"/>
        </w:rPr>
        <w:t>）</w:t>
      </w:r>
      <w:r>
        <w:rPr>
          <w:rFonts w:hint="eastAsia"/>
          <w:szCs w:val="28"/>
          <w:lang w:eastAsia="zh-CN"/>
        </w:rPr>
        <w:t>；</w:t>
      </w:r>
    </w:p>
    <w:p>
      <w:pPr>
        <w:spacing w:line="360" w:lineRule="auto"/>
        <w:jc w:val="left"/>
        <w:rPr>
          <w:rFonts w:hint="eastAsia"/>
          <w:szCs w:val="28"/>
          <w:lang w:eastAsia="zh-CN"/>
        </w:rPr>
      </w:pPr>
      <w:r>
        <w:rPr>
          <w:rFonts w:hint="eastAsia"/>
          <w:szCs w:val="28"/>
          <w:lang w:val="en-US" w:eastAsia="zh-CN"/>
        </w:rPr>
        <w:t>2.10、</w:t>
      </w:r>
      <w:r>
        <w:rPr>
          <w:rFonts w:hint="eastAsia"/>
          <w:szCs w:val="28"/>
        </w:rPr>
        <w:t>《锅炉大气污染物排放标准》（</w:t>
      </w:r>
      <w:r>
        <w:rPr>
          <w:szCs w:val="28"/>
        </w:rPr>
        <w:t>GB13271-2014</w:t>
      </w:r>
      <w:r>
        <w:rPr>
          <w:rFonts w:hint="eastAsia"/>
          <w:szCs w:val="28"/>
        </w:rPr>
        <w:t>）</w:t>
      </w:r>
      <w:r>
        <w:rPr>
          <w:rFonts w:hint="eastAsia"/>
          <w:szCs w:val="28"/>
          <w:lang w:eastAsia="zh-CN"/>
        </w:rPr>
        <w:t>；</w:t>
      </w:r>
    </w:p>
    <w:p>
      <w:pPr>
        <w:autoSpaceDE w:val="0"/>
        <w:autoSpaceDN w:val="0"/>
        <w:adjustRightInd w:val="0"/>
        <w:spacing w:line="360" w:lineRule="auto"/>
        <w:jc w:val="left"/>
        <w:rPr>
          <w:rFonts w:hint="eastAsia"/>
          <w:bCs/>
          <w:szCs w:val="21"/>
          <w:lang w:eastAsia="zh-CN"/>
        </w:rPr>
      </w:pPr>
      <w:r>
        <w:rPr>
          <w:rFonts w:hint="eastAsia"/>
          <w:szCs w:val="28"/>
          <w:lang w:val="en-US" w:eastAsia="zh-CN"/>
        </w:rPr>
        <w:t>2.11、</w:t>
      </w:r>
      <w:r>
        <w:rPr>
          <w:rFonts w:hint="eastAsia"/>
          <w:bCs/>
          <w:szCs w:val="21"/>
        </w:rPr>
        <w:t>《恶臭污染物排放标准》（</w:t>
      </w:r>
      <w:r>
        <w:rPr>
          <w:bCs/>
          <w:szCs w:val="21"/>
        </w:rPr>
        <w:t>GB14554-1993</w:t>
      </w:r>
      <w:r>
        <w:rPr>
          <w:rFonts w:hint="eastAsia"/>
          <w:bCs/>
          <w:szCs w:val="21"/>
        </w:rPr>
        <w:t>）</w:t>
      </w:r>
      <w:r>
        <w:rPr>
          <w:rFonts w:hint="eastAsia"/>
          <w:bCs/>
          <w:szCs w:val="21"/>
          <w:lang w:eastAsia="zh-CN"/>
        </w:rPr>
        <w:t>；</w:t>
      </w:r>
    </w:p>
    <w:p>
      <w:pPr>
        <w:autoSpaceDE w:val="0"/>
        <w:autoSpaceDN w:val="0"/>
        <w:adjustRightInd w:val="0"/>
        <w:spacing w:line="360" w:lineRule="auto"/>
        <w:jc w:val="left"/>
        <w:rPr>
          <w:rFonts w:hint="eastAsia"/>
          <w:szCs w:val="28"/>
          <w:lang w:eastAsia="zh-CN"/>
        </w:rPr>
      </w:pPr>
      <w:r>
        <w:rPr>
          <w:rFonts w:hint="eastAsia"/>
          <w:bCs/>
          <w:szCs w:val="21"/>
          <w:lang w:val="en-US" w:eastAsia="zh-CN"/>
        </w:rPr>
        <w:t>2.12、</w:t>
      </w:r>
      <w:r>
        <w:rPr>
          <w:rFonts w:hint="eastAsia"/>
          <w:szCs w:val="28"/>
        </w:rPr>
        <w:t>广东省《水污染物排放限值》（</w:t>
      </w:r>
      <w:r>
        <w:rPr>
          <w:szCs w:val="28"/>
        </w:rPr>
        <w:t>DB 44/26-2001</w:t>
      </w:r>
      <w:r>
        <w:rPr>
          <w:rFonts w:hint="eastAsia"/>
          <w:szCs w:val="28"/>
        </w:rPr>
        <w:t>）</w:t>
      </w:r>
      <w:r>
        <w:rPr>
          <w:rFonts w:hint="eastAsia"/>
          <w:szCs w:val="28"/>
          <w:lang w:eastAsia="zh-CN"/>
        </w:rPr>
        <w:t>；</w:t>
      </w:r>
    </w:p>
    <w:p>
      <w:pPr>
        <w:autoSpaceDE w:val="0"/>
        <w:autoSpaceDN w:val="0"/>
        <w:adjustRightInd w:val="0"/>
        <w:spacing w:line="360" w:lineRule="auto"/>
        <w:jc w:val="left"/>
        <w:rPr>
          <w:rStyle w:val="42"/>
          <w:rFonts w:hint="eastAsia"/>
          <w:b w:val="0"/>
          <w:szCs w:val="28"/>
          <w:lang w:eastAsia="zh-CN"/>
        </w:rPr>
      </w:pPr>
      <w:r>
        <w:rPr>
          <w:rFonts w:hint="eastAsia"/>
          <w:szCs w:val="28"/>
          <w:lang w:val="en-US" w:eastAsia="zh-CN"/>
        </w:rPr>
        <w:t>2.13、</w:t>
      </w:r>
      <w:r>
        <w:rPr>
          <w:rStyle w:val="42"/>
          <w:rFonts w:hint="eastAsia"/>
          <w:b w:val="0"/>
          <w:szCs w:val="28"/>
        </w:rPr>
        <w:t>《工业企业厂界环境噪声排放标准》（</w:t>
      </w:r>
      <w:r>
        <w:rPr>
          <w:rStyle w:val="42"/>
          <w:b w:val="0"/>
          <w:szCs w:val="28"/>
        </w:rPr>
        <w:t>GB 12348-2008</w:t>
      </w:r>
      <w:r>
        <w:rPr>
          <w:rStyle w:val="42"/>
          <w:rFonts w:hint="eastAsia"/>
          <w:b w:val="0"/>
          <w:szCs w:val="28"/>
        </w:rPr>
        <w:t>）</w:t>
      </w:r>
      <w:r>
        <w:rPr>
          <w:rStyle w:val="42"/>
          <w:rFonts w:hint="eastAsia"/>
          <w:b w:val="0"/>
          <w:szCs w:val="28"/>
          <w:lang w:eastAsia="zh-CN"/>
        </w:rPr>
        <w:t>；</w:t>
      </w:r>
    </w:p>
    <w:p>
      <w:pPr>
        <w:autoSpaceDE w:val="0"/>
        <w:autoSpaceDN w:val="0"/>
        <w:adjustRightInd w:val="0"/>
        <w:spacing w:line="360" w:lineRule="auto"/>
        <w:jc w:val="left"/>
        <w:rPr>
          <w:rFonts w:hint="eastAsia"/>
          <w:bCs/>
          <w:szCs w:val="21"/>
          <w:lang w:eastAsia="zh-CN"/>
        </w:rPr>
      </w:pPr>
      <w:r>
        <w:rPr>
          <w:rStyle w:val="42"/>
          <w:rFonts w:hint="eastAsia"/>
          <w:b w:val="0"/>
          <w:szCs w:val="28"/>
          <w:lang w:val="en-US" w:eastAsia="zh-CN"/>
        </w:rPr>
        <w:t>2.14、</w:t>
      </w:r>
      <w:r>
        <w:rPr>
          <w:rFonts w:hint="eastAsia"/>
          <w:kern w:val="0"/>
        </w:rPr>
        <w:t>翁源广业清怡食品科技有限公司验收监测委托书。</w:t>
      </w:r>
    </w:p>
    <w:p>
      <w:pPr>
        <w:pStyle w:val="4"/>
        <w:sectPr>
          <w:footerReference r:id="rId5" w:type="default"/>
          <w:pgSz w:w="11906" w:h="16838"/>
          <w:pgMar w:top="1080" w:right="1440" w:bottom="1080" w:left="1440" w:header="851" w:footer="992" w:gutter="0"/>
          <w:pgNumType w:fmt="decimal" w:start="1"/>
          <w:cols w:space="425" w:num="1"/>
          <w:docGrid w:type="lines" w:linePitch="312" w:charSpace="0"/>
        </w:sectPr>
      </w:pPr>
    </w:p>
    <w:p>
      <w:pPr>
        <w:pStyle w:val="4"/>
      </w:pPr>
      <w:bookmarkStart w:id="2" w:name="_Toc3534"/>
      <w:r>
        <w:t>3</w:t>
      </w:r>
      <w:r>
        <w:rPr>
          <w:rFonts w:hint="eastAsia"/>
        </w:rPr>
        <w:t>、工程建设情况</w:t>
      </w:r>
      <w:bookmarkEnd w:id="2"/>
    </w:p>
    <w:p>
      <w:pPr>
        <w:pStyle w:val="4"/>
      </w:pPr>
      <w:bookmarkStart w:id="3" w:name="_Toc18234"/>
      <w:bookmarkStart w:id="4" w:name="_Toc13796"/>
      <w:r>
        <w:t xml:space="preserve">3.1 </w:t>
      </w:r>
      <w:r>
        <w:rPr>
          <w:rFonts w:hint="eastAsia"/>
        </w:rPr>
        <w:t>项目建设情况</w:t>
      </w:r>
      <w:bookmarkEnd w:id="3"/>
      <w:bookmarkEnd w:id="4"/>
    </w:p>
    <w:p>
      <w:pPr>
        <w:autoSpaceDE w:val="0"/>
        <w:autoSpaceDN w:val="0"/>
        <w:adjustRightInd w:val="0"/>
        <w:spacing w:line="360" w:lineRule="auto"/>
        <w:ind w:firstLine="482" w:firstLineChars="200"/>
        <w:rPr>
          <w:b/>
          <w:bCs/>
          <w:color w:val="000000"/>
        </w:rPr>
      </w:pPr>
      <w:r>
        <w:rPr>
          <w:b/>
          <w:bCs/>
          <w:color w:val="000000"/>
        </w:rPr>
        <w:t xml:space="preserve">3.1.1 </w:t>
      </w:r>
      <w:r>
        <w:rPr>
          <w:rFonts w:hint="eastAsia"/>
          <w:b/>
          <w:bCs/>
          <w:color w:val="000000"/>
        </w:rPr>
        <w:t>原有工程简介</w:t>
      </w:r>
    </w:p>
    <w:p>
      <w:pPr>
        <w:autoSpaceDE w:val="0"/>
        <w:autoSpaceDN w:val="0"/>
        <w:adjustRightInd w:val="0"/>
        <w:spacing w:line="360" w:lineRule="auto"/>
        <w:ind w:firstLine="480" w:firstLineChars="200"/>
        <w:rPr>
          <w:rFonts w:eastAsia="Times New Roman"/>
          <w:szCs w:val="28"/>
        </w:rPr>
      </w:pPr>
      <w:r>
        <w:rPr>
          <w:rFonts w:hint="eastAsia"/>
          <w:szCs w:val="28"/>
        </w:rPr>
        <w:t>翁源广业清怡食品科技有限公司原计划选址韶关市翁源县京珠高速翁城进出口原翁源县广业蓄电池有限公司地块内，由于原选址原翁源县广业蓄电池有限公司地块内生产车间厂房高度不符合三氯蔗糖生产设备安装需要，并且清洗改造成本高，为了进一步优化投资成本，公司对投资和选址进行变更，厂址和原拟选厂址的直线距离为</w:t>
      </w:r>
      <w:r>
        <w:rPr>
          <w:szCs w:val="28"/>
        </w:rPr>
        <w:t>435</w:t>
      </w:r>
      <w:r>
        <w:rPr>
          <w:rFonts w:hint="eastAsia"/>
          <w:szCs w:val="28"/>
        </w:rPr>
        <w:t>米，仅占地面积和投资发生变化，产品及规模、原辅材料、生产设备、公用及动力工程、生产工艺、污染物防治措施、主要污染物产生及排放情况不变。公司位于韶关市翁源县京珠高速翁城进出口引道南侧</w:t>
      </w:r>
      <w:r>
        <w:rPr>
          <w:szCs w:val="28"/>
        </w:rPr>
        <w:t>250</w:t>
      </w:r>
      <w:r>
        <w:rPr>
          <w:rFonts w:hint="eastAsia"/>
          <w:szCs w:val="28"/>
        </w:rPr>
        <w:t>米，京珠高速公路东侧</w:t>
      </w:r>
      <w:r>
        <w:rPr>
          <w:szCs w:val="28"/>
        </w:rPr>
        <w:t>130</w:t>
      </w:r>
      <w:r>
        <w:rPr>
          <w:rFonts w:hint="eastAsia"/>
          <w:szCs w:val="28"/>
        </w:rPr>
        <w:t>米，金悦通电子（翁源）有限公司西南侧</w:t>
      </w:r>
      <w:r>
        <w:rPr>
          <w:szCs w:val="28"/>
        </w:rPr>
        <w:t>58</w:t>
      </w:r>
      <w:r>
        <w:rPr>
          <w:rFonts w:hint="eastAsia"/>
          <w:szCs w:val="28"/>
        </w:rPr>
        <w:t>米处。中心地理坐标为</w:t>
      </w:r>
      <w:r>
        <w:rPr>
          <w:szCs w:val="28"/>
        </w:rPr>
        <w:t>N24°25′13.26″</w:t>
      </w:r>
      <w:r>
        <w:rPr>
          <w:rFonts w:hint="eastAsia"/>
          <w:szCs w:val="28"/>
        </w:rPr>
        <w:t>，</w:t>
      </w:r>
      <w:r>
        <w:rPr>
          <w:szCs w:val="28"/>
        </w:rPr>
        <w:t>E113°46′50.69″</w:t>
      </w:r>
      <w:r>
        <w:rPr>
          <w:rFonts w:hint="eastAsia"/>
          <w:szCs w:val="28"/>
        </w:rPr>
        <w:t>，项目东北侧</w:t>
      </w:r>
      <w:r>
        <w:rPr>
          <w:szCs w:val="28"/>
        </w:rPr>
        <w:t>58</w:t>
      </w:r>
      <w:r>
        <w:rPr>
          <w:rFonts w:hint="eastAsia"/>
          <w:szCs w:val="28"/>
        </w:rPr>
        <w:t>米为金悦通电子（翁源）有限公司，北面隔</w:t>
      </w:r>
      <w:r>
        <w:rPr>
          <w:szCs w:val="28"/>
        </w:rPr>
        <w:t>250</w:t>
      </w:r>
      <w:r>
        <w:rPr>
          <w:rFonts w:hint="eastAsia"/>
          <w:szCs w:val="28"/>
        </w:rPr>
        <w:t>米荒地为京珠高速公路翁城进出口引道，西面距京珠高速公路最近</w:t>
      </w:r>
      <w:r>
        <w:rPr>
          <w:szCs w:val="28"/>
        </w:rPr>
        <w:t>130</w:t>
      </w:r>
      <w:r>
        <w:rPr>
          <w:rFonts w:hint="eastAsia"/>
          <w:szCs w:val="28"/>
        </w:rPr>
        <w:t>米，西南距下卢屋村最近距离为</w:t>
      </w:r>
      <w:r>
        <w:rPr>
          <w:szCs w:val="28"/>
        </w:rPr>
        <w:t>110</w:t>
      </w:r>
      <w:r>
        <w:rPr>
          <w:rFonts w:hint="eastAsia"/>
          <w:szCs w:val="28"/>
        </w:rPr>
        <w:t>米，东面隔</w:t>
      </w:r>
      <w:r>
        <w:rPr>
          <w:szCs w:val="28"/>
        </w:rPr>
        <w:t>435</w:t>
      </w:r>
      <w:r>
        <w:rPr>
          <w:rFonts w:hint="eastAsia"/>
          <w:szCs w:val="28"/>
        </w:rPr>
        <w:t>米荒地，南面为山地。</w:t>
      </w:r>
    </w:p>
    <w:p>
      <w:pPr>
        <w:autoSpaceDE w:val="0"/>
        <w:autoSpaceDN w:val="0"/>
        <w:adjustRightInd w:val="0"/>
        <w:spacing w:line="360" w:lineRule="auto"/>
        <w:ind w:firstLine="482" w:firstLineChars="200"/>
        <w:rPr>
          <w:b/>
          <w:bCs/>
          <w:szCs w:val="28"/>
        </w:rPr>
      </w:pPr>
      <w:r>
        <w:rPr>
          <w:b/>
          <w:bCs/>
          <w:szCs w:val="28"/>
        </w:rPr>
        <w:t xml:space="preserve">3.1.2 </w:t>
      </w:r>
      <w:r>
        <w:rPr>
          <w:rFonts w:hint="eastAsia"/>
          <w:b/>
          <w:bCs/>
          <w:szCs w:val="28"/>
        </w:rPr>
        <w:t>原有工程项目内容</w:t>
      </w:r>
    </w:p>
    <w:p>
      <w:pPr>
        <w:adjustRightInd w:val="0"/>
        <w:snapToGrid w:val="0"/>
        <w:spacing w:line="360" w:lineRule="auto"/>
        <w:ind w:firstLine="480" w:firstLineChars="200"/>
        <w:jc w:val="left"/>
        <w:rPr>
          <w:color w:val="000000"/>
          <w:szCs w:val="28"/>
          <w:lang w:val="zh-CN"/>
        </w:rPr>
      </w:pPr>
      <w:r>
        <w:rPr>
          <w:rFonts w:hint="eastAsia"/>
          <w:color w:val="000000"/>
          <w:szCs w:val="28"/>
          <w:lang w:val="zh-CN"/>
        </w:rPr>
        <w:t>根据生产流程将整个厂区为如下功能区：</w:t>
      </w:r>
    </w:p>
    <w:p>
      <w:pPr>
        <w:adjustRightInd w:val="0"/>
        <w:snapToGrid w:val="0"/>
        <w:spacing w:line="360" w:lineRule="auto"/>
        <w:ind w:firstLine="480" w:firstLineChars="200"/>
        <w:jc w:val="left"/>
        <w:rPr>
          <w:color w:val="000000"/>
          <w:szCs w:val="28"/>
          <w:lang w:val="zh-CN"/>
        </w:rPr>
      </w:pPr>
      <w:r>
        <w:rPr>
          <w:rFonts w:hint="eastAsia"/>
          <w:color w:val="000000"/>
          <w:szCs w:val="28"/>
          <w:lang w:val="zh-CN"/>
        </w:rPr>
        <w:t>（</w:t>
      </w:r>
      <w:r>
        <w:rPr>
          <w:color w:val="000000"/>
          <w:szCs w:val="28"/>
          <w:lang w:val="zh-CN"/>
        </w:rPr>
        <w:t>1</w:t>
      </w:r>
      <w:r>
        <w:rPr>
          <w:rFonts w:hint="eastAsia"/>
          <w:color w:val="000000"/>
          <w:szCs w:val="28"/>
          <w:lang w:val="zh-CN"/>
        </w:rPr>
        <w:t>）生产区</w:t>
      </w:r>
    </w:p>
    <w:p>
      <w:pPr>
        <w:adjustRightInd w:val="0"/>
        <w:snapToGrid w:val="0"/>
        <w:spacing w:line="360" w:lineRule="auto"/>
        <w:ind w:firstLine="480" w:firstLineChars="200"/>
        <w:jc w:val="left"/>
        <w:rPr>
          <w:color w:val="000000"/>
          <w:szCs w:val="28"/>
          <w:lang w:val="zh-CN"/>
        </w:rPr>
      </w:pPr>
      <w:r>
        <w:rPr>
          <w:rFonts w:hint="eastAsia" w:ascii="宋体" w:hAnsi="宋体" w:cs="宋体"/>
          <w:szCs w:val="28"/>
        </w:rPr>
        <w:t>①</w:t>
      </w:r>
      <w:r>
        <w:rPr>
          <w:rFonts w:hint="eastAsia"/>
          <w:szCs w:val="28"/>
        </w:rPr>
        <w:t>甲类车间：利用蔗糖、乙酸酐、氯化亚砜等原辅材料通过酯化反应、氯代反应、中和反应、醇解反应，结合压滤、萃取、浓缩、重结晶、结晶等操作合成三氯蔗糖粗品，通过活性炭脱色、离心、重结晶、干燥、粉碎、包装等操作收取三氯蔗糖成品。该车间位于厂区中东部，甲类罐区北侧。</w:t>
      </w:r>
    </w:p>
    <w:p>
      <w:pPr>
        <w:spacing w:line="360" w:lineRule="auto"/>
        <w:ind w:firstLine="480" w:firstLineChars="200"/>
        <w:rPr>
          <w:szCs w:val="28"/>
        </w:rPr>
      </w:pPr>
      <w:r>
        <w:rPr>
          <w:rFonts w:hint="eastAsia" w:ascii="宋体" w:hAnsi="宋体" w:cs="宋体"/>
          <w:szCs w:val="28"/>
        </w:rPr>
        <w:t>②</w:t>
      </w:r>
      <w:r>
        <w:rPr>
          <w:rFonts w:hint="eastAsia"/>
          <w:szCs w:val="28"/>
        </w:rPr>
        <w:t>精制包装车间：通过活性炭脱色、离心、重结晶、干燥、粉碎、包装等操作收取三氯蔗糖成品，并经检验后入仓。实现单线产能</w:t>
      </w:r>
      <w:r>
        <w:rPr>
          <w:szCs w:val="28"/>
        </w:rPr>
        <w:t>300t/a</w:t>
      </w:r>
      <w:r>
        <w:rPr>
          <w:rFonts w:hint="eastAsia"/>
          <w:szCs w:val="28"/>
        </w:rPr>
        <w:t>后精制包装车间利用已建设的一期车间，位于甲类车间内。</w:t>
      </w:r>
    </w:p>
    <w:p>
      <w:pPr>
        <w:spacing w:line="360" w:lineRule="auto"/>
        <w:ind w:firstLine="480" w:firstLineChars="200"/>
        <w:rPr>
          <w:color w:val="FF0000"/>
          <w:szCs w:val="28"/>
        </w:rPr>
      </w:pPr>
      <w:r>
        <w:rPr>
          <w:rFonts w:hint="eastAsia" w:ascii="宋体" w:hAnsi="宋体" w:cs="宋体"/>
          <w:szCs w:val="28"/>
        </w:rPr>
        <w:t>③</w:t>
      </w:r>
      <w:r>
        <w:rPr>
          <w:rFonts w:hint="eastAsia"/>
          <w:szCs w:val="28"/>
        </w:rPr>
        <w:t>甲类仓库：主要储存氯化亚砜、乙酸酐等原辅材料。利用一期已建设的甲类仓库，该仓库位于厂区西北部，废水处理站东侧。</w:t>
      </w:r>
    </w:p>
    <w:p>
      <w:pPr>
        <w:spacing w:line="360" w:lineRule="auto"/>
        <w:ind w:firstLine="480" w:firstLineChars="200"/>
        <w:rPr>
          <w:szCs w:val="28"/>
        </w:rPr>
      </w:pPr>
      <w:r>
        <w:rPr>
          <w:rFonts w:hint="eastAsia" w:ascii="宋体" w:hAnsi="宋体" w:cs="宋体"/>
          <w:szCs w:val="28"/>
        </w:rPr>
        <w:t>④</w:t>
      </w:r>
      <w:r>
        <w:rPr>
          <w:rFonts w:hint="eastAsia"/>
          <w:szCs w:val="28"/>
        </w:rPr>
        <w:t>固体原料仓库：主要储存蔗糖、乙醇钠、活性炭、氢氧化钠、氢氧化钙等原辅材料。利用一期已建设的固体原料仓库，该仓库位于厂区西北部，甲类仓库东侧。</w:t>
      </w:r>
    </w:p>
    <w:p>
      <w:pPr>
        <w:spacing w:line="360" w:lineRule="auto"/>
        <w:ind w:firstLine="480" w:firstLineChars="200"/>
        <w:rPr>
          <w:szCs w:val="28"/>
        </w:rPr>
      </w:pPr>
      <w:r>
        <w:rPr>
          <w:rFonts w:hint="eastAsia" w:ascii="宋体" w:hAnsi="宋体" w:cs="宋体"/>
          <w:szCs w:val="28"/>
        </w:rPr>
        <w:t>⑤</w:t>
      </w:r>
      <w:r>
        <w:rPr>
          <w:rFonts w:hint="eastAsia"/>
          <w:szCs w:val="28"/>
        </w:rPr>
        <w:t>成品仓库：主要用于储存三氯蔗糖成品。利用一期已建设的成品仓库，该仓库位于厂区中北部，固体原料仓库东侧。</w:t>
      </w:r>
    </w:p>
    <w:p>
      <w:pPr>
        <w:spacing w:line="360" w:lineRule="auto"/>
        <w:ind w:firstLine="480" w:firstLineChars="200"/>
        <w:rPr>
          <w:b/>
          <w:szCs w:val="28"/>
        </w:rPr>
      </w:pPr>
      <w:r>
        <w:rPr>
          <w:rFonts w:hint="eastAsia" w:ascii="宋体" w:hAnsi="宋体" w:cs="宋体"/>
          <w:szCs w:val="28"/>
        </w:rPr>
        <w:t>⑥</w:t>
      </w:r>
      <w:r>
        <w:rPr>
          <w:rFonts w:hint="eastAsia"/>
          <w:szCs w:val="28"/>
        </w:rPr>
        <w:t>甲类罐区：共设置</w:t>
      </w:r>
      <w:r>
        <w:rPr>
          <w:szCs w:val="28"/>
        </w:rPr>
        <w:t>15</w:t>
      </w:r>
      <w:r>
        <w:rPr>
          <w:rFonts w:hint="eastAsia"/>
          <w:szCs w:val="28"/>
        </w:rPr>
        <w:t>个储罐，用于储存</w:t>
      </w:r>
      <w:r>
        <w:rPr>
          <w:szCs w:val="28"/>
        </w:rPr>
        <w:t>DMF</w:t>
      </w:r>
      <w:r>
        <w:rPr>
          <w:rFonts w:hint="eastAsia"/>
          <w:szCs w:val="28"/>
        </w:rPr>
        <w:t>（二甲基甲酰胺）、</w:t>
      </w:r>
      <w:r>
        <w:rPr>
          <w:szCs w:val="28"/>
        </w:rPr>
        <w:t>DMF</w:t>
      </w:r>
      <w:r>
        <w:rPr>
          <w:rFonts w:hint="eastAsia"/>
          <w:szCs w:val="28"/>
        </w:rPr>
        <w:t>废水、氢氧化钠（液体）、盐酸、乙酸乙酯、乙醇、环己烷等物料，以及备用于收集泄漏的化学品，位于厂区东南部。</w:t>
      </w:r>
    </w:p>
    <w:p>
      <w:pPr>
        <w:spacing w:line="360" w:lineRule="auto"/>
        <w:ind w:firstLine="480" w:firstLineChars="200"/>
        <w:rPr>
          <w:color w:val="FF0000"/>
          <w:szCs w:val="28"/>
        </w:rPr>
      </w:pPr>
      <w:r>
        <w:rPr>
          <w:rFonts w:hint="eastAsia" w:ascii="宋体" w:hAnsi="宋体" w:cs="宋体"/>
          <w:szCs w:val="28"/>
        </w:rPr>
        <w:t>⑦</w:t>
      </w:r>
      <w:r>
        <w:rPr>
          <w:szCs w:val="28"/>
        </w:rPr>
        <w:t>DMF</w:t>
      </w:r>
      <w:r>
        <w:rPr>
          <w:rFonts w:hint="eastAsia"/>
          <w:szCs w:val="28"/>
        </w:rPr>
        <w:t>回收车间：通过精馏回收</w:t>
      </w:r>
      <w:r>
        <w:rPr>
          <w:szCs w:val="28"/>
        </w:rPr>
        <w:t>DMF</w:t>
      </w:r>
      <w:r>
        <w:rPr>
          <w:rFonts w:hint="eastAsia"/>
          <w:szCs w:val="28"/>
        </w:rPr>
        <w:t>废水中的</w:t>
      </w:r>
      <w:r>
        <w:rPr>
          <w:szCs w:val="28"/>
        </w:rPr>
        <w:t>DMF</w:t>
      </w:r>
      <w:r>
        <w:rPr>
          <w:rFonts w:hint="eastAsia"/>
          <w:szCs w:val="28"/>
        </w:rPr>
        <w:t>，利用一期已建设的溶剂回收车间，该车间位于厂区中部，一期工程甲类车间西侧。</w:t>
      </w:r>
    </w:p>
    <w:p>
      <w:pPr>
        <w:spacing w:line="360" w:lineRule="auto"/>
        <w:ind w:firstLine="480" w:firstLineChars="200"/>
        <w:rPr>
          <w:szCs w:val="28"/>
        </w:rPr>
      </w:pPr>
      <w:r>
        <w:rPr>
          <w:rFonts w:hint="eastAsia"/>
          <w:szCs w:val="28"/>
        </w:rPr>
        <w:t>（</w:t>
      </w:r>
      <w:r>
        <w:rPr>
          <w:szCs w:val="28"/>
        </w:rPr>
        <w:t>2</w:t>
      </w:r>
      <w:r>
        <w:rPr>
          <w:rFonts w:hint="eastAsia"/>
          <w:szCs w:val="28"/>
        </w:rPr>
        <w:t>）公用工程：主要为循环水站、消防泵房、空压站、冷冻站、制氮站、维修车间等，位于厂区中南部公用工程楼内，甲类罐区的西侧，循环水站兼作消防水池，本项目高压配电房位于厂区东北部。</w:t>
      </w:r>
    </w:p>
    <w:p>
      <w:pPr>
        <w:spacing w:line="360" w:lineRule="auto"/>
        <w:ind w:firstLine="480" w:firstLineChars="200"/>
        <w:rPr>
          <w:szCs w:val="28"/>
        </w:rPr>
      </w:pPr>
      <w:r>
        <w:rPr>
          <w:rFonts w:hint="eastAsia"/>
          <w:szCs w:val="28"/>
        </w:rPr>
        <w:t>（</w:t>
      </w:r>
      <w:r>
        <w:rPr>
          <w:szCs w:val="28"/>
        </w:rPr>
        <w:t>3</w:t>
      </w:r>
      <w:r>
        <w:rPr>
          <w:rFonts w:hint="eastAsia"/>
          <w:szCs w:val="28"/>
        </w:rPr>
        <w:t>）辅助工程：主要为锅炉房和煤棚，利用一期已建设</w:t>
      </w:r>
      <w:r>
        <w:rPr>
          <w:szCs w:val="28"/>
        </w:rPr>
        <w:t>1</w:t>
      </w:r>
      <w:r>
        <w:rPr>
          <w:rFonts w:hint="eastAsia"/>
          <w:szCs w:val="28"/>
        </w:rPr>
        <w:t>台</w:t>
      </w:r>
      <w:r>
        <w:rPr>
          <w:szCs w:val="28"/>
        </w:rPr>
        <w:t>10 t/h</w:t>
      </w:r>
      <w:r>
        <w:rPr>
          <w:rFonts w:hint="eastAsia"/>
          <w:szCs w:val="28"/>
        </w:rPr>
        <w:t>燃煤锅炉和</w:t>
      </w:r>
      <w:r>
        <w:rPr>
          <w:szCs w:val="28"/>
        </w:rPr>
        <w:t>1</w:t>
      </w:r>
      <w:r>
        <w:rPr>
          <w:rFonts w:hint="eastAsia"/>
          <w:szCs w:val="28"/>
        </w:rPr>
        <w:t>台</w:t>
      </w:r>
      <w:r>
        <w:rPr>
          <w:szCs w:val="28"/>
        </w:rPr>
        <w:t>5 t/h</w:t>
      </w:r>
      <w:r>
        <w:rPr>
          <w:rFonts w:hint="eastAsia"/>
          <w:szCs w:val="28"/>
        </w:rPr>
        <w:t>燃煤导热油炉，位于厂区西南部锅炉房内，产生的烟气通过</w:t>
      </w:r>
      <w:r>
        <w:rPr>
          <w:szCs w:val="28"/>
        </w:rPr>
        <w:t>1</w:t>
      </w:r>
      <w:r>
        <w:rPr>
          <w:rFonts w:hint="eastAsia"/>
          <w:szCs w:val="28"/>
        </w:rPr>
        <w:t>根</w:t>
      </w:r>
      <w:r>
        <w:rPr>
          <w:szCs w:val="28"/>
        </w:rPr>
        <w:t>45</w:t>
      </w:r>
      <w:r>
        <w:rPr>
          <w:rFonts w:hint="eastAsia"/>
          <w:szCs w:val="28"/>
        </w:rPr>
        <w:t>米高的烟囱排放。</w:t>
      </w:r>
    </w:p>
    <w:p>
      <w:pPr>
        <w:spacing w:line="360" w:lineRule="auto"/>
        <w:ind w:firstLine="480" w:firstLineChars="200"/>
        <w:rPr>
          <w:szCs w:val="28"/>
        </w:rPr>
      </w:pPr>
      <w:r>
        <w:rPr>
          <w:rFonts w:hint="eastAsia"/>
          <w:szCs w:val="28"/>
        </w:rPr>
        <w:t>（</w:t>
      </w:r>
      <w:r>
        <w:rPr>
          <w:szCs w:val="28"/>
        </w:rPr>
        <w:t>4</w:t>
      </w:r>
      <w:r>
        <w:rPr>
          <w:rFonts w:hint="eastAsia"/>
          <w:szCs w:val="28"/>
        </w:rPr>
        <w:t>）环保工程：废水处理站和事故应急池位于厂区西北部，一般固废堆场位于厂区东南部，一期工程甲类罐区南侧，钠盐堆场位于厂区东南部，一期工程锅炉房南侧，危废仓位于一期工程钠盐堆场东侧独立区域内，用于贮存危险废物。</w:t>
      </w:r>
    </w:p>
    <w:p>
      <w:pPr>
        <w:spacing w:line="360" w:lineRule="auto"/>
        <w:ind w:firstLine="480" w:firstLineChars="200"/>
        <w:rPr>
          <w:rFonts w:eastAsia="Times New Roman"/>
          <w:szCs w:val="28"/>
        </w:rPr>
      </w:pPr>
      <w:r>
        <w:rPr>
          <w:rFonts w:hint="eastAsia"/>
          <w:szCs w:val="28"/>
        </w:rPr>
        <w:t>（</w:t>
      </w:r>
      <w:r>
        <w:rPr>
          <w:szCs w:val="28"/>
        </w:rPr>
        <w:t>5</w:t>
      </w:r>
      <w:r>
        <w:rPr>
          <w:rFonts w:hint="eastAsia"/>
          <w:szCs w:val="28"/>
        </w:rPr>
        <w:t>）办公生活区：厂区东北部为办公生活区，用于员工办公、值班、更衣、就餐等，利用一期工程已建的综合楼，二期工程宿舍楼和办公楼不再建设，综合楼北侧为篮球场地，在厂区西北部和东北部分别设一个进出口和门卫。</w:t>
      </w:r>
    </w:p>
    <w:p>
      <w:pPr>
        <w:spacing w:line="360" w:lineRule="auto"/>
        <w:ind w:firstLine="480" w:firstLineChars="200"/>
        <w:rPr>
          <w:szCs w:val="28"/>
        </w:rPr>
      </w:pPr>
      <w:r>
        <w:rPr>
          <w:rFonts w:hint="eastAsia"/>
          <w:szCs w:val="28"/>
        </w:rPr>
        <w:t>（</w:t>
      </w:r>
      <w:r>
        <w:rPr>
          <w:szCs w:val="28"/>
        </w:rPr>
        <w:t>6</w:t>
      </w:r>
      <w:r>
        <w:rPr>
          <w:rFonts w:hint="eastAsia"/>
          <w:szCs w:val="28"/>
        </w:rPr>
        <w:t>）根据原有项目水平衡，年产</w:t>
      </w:r>
      <w:r>
        <w:rPr>
          <w:szCs w:val="28"/>
        </w:rPr>
        <w:t>300</w:t>
      </w:r>
      <w:r>
        <w:rPr>
          <w:rFonts w:hint="eastAsia"/>
          <w:szCs w:val="28"/>
        </w:rPr>
        <w:t>吨三氯蔗糖项目排水量为</w:t>
      </w:r>
      <w:r>
        <w:rPr>
          <w:szCs w:val="28"/>
        </w:rPr>
        <w:t>1440t/d</w:t>
      </w:r>
      <w:r>
        <w:rPr>
          <w:rFonts w:hint="eastAsia"/>
          <w:szCs w:val="28"/>
        </w:rPr>
        <w:t>。</w:t>
      </w:r>
    </w:p>
    <w:p>
      <w:pPr>
        <w:autoSpaceDE w:val="0"/>
        <w:autoSpaceDN w:val="0"/>
        <w:adjustRightInd w:val="0"/>
        <w:spacing w:line="360" w:lineRule="auto"/>
        <w:ind w:firstLine="482" w:firstLineChars="200"/>
        <w:rPr>
          <w:b/>
          <w:bCs/>
          <w:szCs w:val="28"/>
        </w:rPr>
      </w:pPr>
      <w:r>
        <w:rPr>
          <w:b/>
          <w:bCs/>
          <w:szCs w:val="28"/>
        </w:rPr>
        <w:t xml:space="preserve">3.1.3 </w:t>
      </w:r>
      <w:r>
        <w:rPr>
          <w:rFonts w:hint="eastAsia"/>
          <w:b/>
          <w:bCs/>
          <w:szCs w:val="28"/>
        </w:rPr>
        <w:t>建设项目概括及建设内容</w:t>
      </w:r>
    </w:p>
    <w:p>
      <w:pPr>
        <w:autoSpaceDE w:val="0"/>
        <w:autoSpaceDN w:val="0"/>
        <w:adjustRightInd w:val="0"/>
        <w:spacing w:line="360" w:lineRule="auto"/>
        <w:ind w:firstLine="480" w:firstLineChars="200"/>
        <w:rPr>
          <w:kern w:val="0"/>
        </w:rPr>
      </w:pPr>
      <w:r>
        <w:rPr>
          <w:rFonts w:hint="eastAsia"/>
          <w:color w:val="000000"/>
        </w:rPr>
        <w:t>翁源广业清怡食品科技有限公司</w:t>
      </w:r>
      <w:r>
        <w:rPr>
          <w:rFonts w:hint="eastAsia"/>
          <w:kern w:val="0"/>
        </w:rPr>
        <w:t>选址</w:t>
      </w:r>
      <w:r>
        <w:rPr>
          <w:rFonts w:hint="eastAsia"/>
          <w:color w:val="000000"/>
        </w:rPr>
        <w:t>翁源广业清怡食品科技有限公司厂区内南部</w:t>
      </w:r>
      <w:r>
        <w:rPr>
          <w:rFonts w:hint="eastAsia"/>
          <w:kern w:val="0"/>
        </w:rPr>
        <w:t>新建</w:t>
      </w:r>
      <w:r>
        <w:rPr>
          <w:rFonts w:hint="eastAsia"/>
          <w:color w:val="000000"/>
        </w:rPr>
        <w:t>年产</w:t>
      </w:r>
      <w:r>
        <w:rPr>
          <w:color w:val="000000"/>
        </w:rPr>
        <w:t>600</w:t>
      </w:r>
      <w:r>
        <w:rPr>
          <w:rFonts w:hint="eastAsia"/>
          <w:color w:val="000000"/>
        </w:rPr>
        <w:t>吨食品抗氧化剂</w:t>
      </w:r>
      <w:r>
        <w:rPr>
          <w:color w:val="000000"/>
        </w:rPr>
        <w:t>TBHQ</w:t>
      </w:r>
      <w:r>
        <w:rPr>
          <w:rFonts w:hint="eastAsia"/>
          <w:color w:val="000000"/>
        </w:rPr>
        <w:t>建设项目</w:t>
      </w:r>
      <w:r>
        <w:rPr>
          <w:rFonts w:hint="eastAsia"/>
          <w:kern w:val="0"/>
        </w:rPr>
        <w:t>；项目</w:t>
      </w:r>
      <w:r>
        <w:rPr>
          <w:rFonts w:hint="eastAsia"/>
          <w:color w:val="000000"/>
        </w:rPr>
        <w:t>占地面积</w:t>
      </w:r>
      <w:r>
        <w:rPr>
          <w:color w:val="000000"/>
        </w:rPr>
        <w:t>2007.65</w:t>
      </w:r>
      <w:r>
        <w:rPr>
          <w:rFonts w:hint="eastAsia"/>
          <w:color w:val="000000"/>
        </w:rPr>
        <w:t>平方米，建筑面积</w:t>
      </w:r>
      <w:r>
        <w:rPr>
          <w:color w:val="000000"/>
        </w:rPr>
        <w:t>4055.22</w:t>
      </w:r>
      <w:r>
        <w:rPr>
          <w:rFonts w:hint="eastAsia"/>
          <w:color w:val="000000"/>
        </w:rPr>
        <w:t>平方米</w:t>
      </w:r>
      <w:r>
        <w:rPr>
          <w:rFonts w:hint="eastAsia"/>
          <w:kern w:val="0"/>
        </w:rPr>
        <w:t>；总投资</w:t>
      </w:r>
      <w:r>
        <w:rPr>
          <w:kern w:val="0"/>
        </w:rPr>
        <w:t>3000</w:t>
      </w:r>
      <w:r>
        <w:rPr>
          <w:rFonts w:hint="eastAsia"/>
          <w:kern w:val="0"/>
        </w:rPr>
        <w:t>万元，其中环保投资</w:t>
      </w:r>
      <w:r>
        <w:rPr>
          <w:kern w:val="0"/>
        </w:rPr>
        <w:t>200</w:t>
      </w:r>
      <w:r>
        <w:rPr>
          <w:rFonts w:hint="eastAsia"/>
          <w:kern w:val="0"/>
        </w:rPr>
        <w:t>万元，占总投资额的</w:t>
      </w:r>
      <w:r>
        <w:rPr>
          <w:kern w:val="0"/>
        </w:rPr>
        <w:t>6.7%</w:t>
      </w:r>
      <w:r>
        <w:rPr>
          <w:rFonts w:hint="eastAsia"/>
          <w:kern w:val="0"/>
        </w:rPr>
        <w:t>；本项目厂区由办公区、生产区和仓储区组成。项目厂区新建一个车间；仓库、锅炉房、消防水池、事故应急池</w:t>
      </w:r>
      <w:r>
        <w:rPr>
          <w:kern w:val="0"/>
        </w:rPr>
        <w:t>/</w:t>
      </w:r>
      <w:r>
        <w:rPr>
          <w:rFonts w:hint="eastAsia"/>
          <w:kern w:val="0"/>
        </w:rPr>
        <w:t>初期雨水收集池等辅助设施都利用厂区已有的厂房和配套设施。项目劳动定员增加</w:t>
      </w:r>
      <w:r>
        <w:rPr>
          <w:kern w:val="0"/>
        </w:rPr>
        <w:t>80</w:t>
      </w:r>
      <w:r>
        <w:rPr>
          <w:rFonts w:hint="eastAsia"/>
          <w:kern w:val="0"/>
        </w:rPr>
        <w:t>人，实行每天三班倒，每班</w:t>
      </w:r>
      <w:r>
        <w:rPr>
          <w:kern w:val="0"/>
        </w:rPr>
        <w:t>8</w:t>
      </w:r>
      <w:r>
        <w:rPr>
          <w:rFonts w:hint="eastAsia"/>
          <w:kern w:val="0"/>
        </w:rPr>
        <w:t>小时工作制。全年工作</w:t>
      </w:r>
      <w:r>
        <w:rPr>
          <w:kern w:val="0"/>
        </w:rPr>
        <w:t>300</w:t>
      </w:r>
      <w:r>
        <w:rPr>
          <w:rFonts w:hint="eastAsia"/>
          <w:kern w:val="0"/>
        </w:rPr>
        <w:t>天。</w:t>
      </w:r>
    </w:p>
    <w:p>
      <w:pPr>
        <w:autoSpaceDE w:val="0"/>
        <w:autoSpaceDN w:val="0"/>
        <w:adjustRightInd w:val="0"/>
        <w:spacing w:line="360" w:lineRule="auto"/>
        <w:ind w:firstLine="482" w:firstLineChars="200"/>
        <w:rPr>
          <w:b/>
          <w:bCs/>
          <w:kern w:val="0"/>
        </w:rPr>
      </w:pPr>
      <w:r>
        <w:rPr>
          <w:b/>
          <w:bCs/>
          <w:kern w:val="0"/>
        </w:rPr>
        <w:t xml:space="preserve">3.1.4 </w:t>
      </w:r>
      <w:r>
        <w:rPr>
          <w:rFonts w:hint="eastAsia"/>
          <w:b/>
          <w:bCs/>
          <w:kern w:val="0"/>
        </w:rPr>
        <w:t>建设项目的平面布置</w:t>
      </w:r>
    </w:p>
    <w:p>
      <w:pPr>
        <w:snapToGrid w:val="0"/>
        <w:spacing w:line="360" w:lineRule="auto"/>
        <w:ind w:firstLine="480" w:firstLineChars="200"/>
        <w:rPr>
          <w:color w:val="000000"/>
        </w:rPr>
      </w:pPr>
      <w:r>
        <w:rPr>
          <w:rFonts w:hint="eastAsia"/>
          <w:color w:val="000000"/>
        </w:rPr>
        <w:t>总平面布置根据生产流程将整个厂区分为如下功能区：</w:t>
      </w:r>
    </w:p>
    <w:p>
      <w:pPr>
        <w:snapToGrid w:val="0"/>
        <w:spacing w:line="360" w:lineRule="auto"/>
        <w:ind w:firstLine="480" w:firstLineChars="200"/>
      </w:pPr>
      <w:r>
        <w:rPr>
          <w:rFonts w:hint="eastAsia"/>
        </w:rPr>
        <w:t>（</w:t>
      </w:r>
      <w:r>
        <w:t>1</w:t>
      </w:r>
      <w:r>
        <w:rPr>
          <w:rFonts w:hint="eastAsia"/>
        </w:rPr>
        <w:t>）生产区</w:t>
      </w:r>
    </w:p>
    <w:p>
      <w:pPr>
        <w:snapToGrid w:val="0"/>
        <w:spacing w:line="360" w:lineRule="auto"/>
        <w:ind w:firstLine="480" w:firstLineChars="200"/>
      </w:pPr>
      <w:r>
        <w:rPr>
          <w:rFonts w:hint="eastAsia" w:ascii="宋体" w:hAnsi="宋体" w:cs="宋体"/>
        </w:rPr>
        <w:t>①</w:t>
      </w:r>
      <w:r>
        <w:rPr>
          <w:rFonts w:hint="eastAsia"/>
        </w:rPr>
        <w:t>精制合成车间（新建）：利用对苯二酚、二甲苯、叔丁醇及磷酸等原辅材料通过烷基化反应、分层、析晶过滤、水提纯、酒精重结晶、过滤、干燥等步骤生产食品抗氧化剂</w:t>
      </w:r>
      <w:r>
        <w:t>TBHQ</w:t>
      </w:r>
      <w:r>
        <w:rPr>
          <w:rFonts w:hint="eastAsia"/>
        </w:rPr>
        <w:t>，车间位于厂区南部。</w:t>
      </w:r>
    </w:p>
    <w:p>
      <w:pPr>
        <w:snapToGrid w:val="0"/>
        <w:spacing w:line="360" w:lineRule="auto"/>
        <w:ind w:firstLine="480" w:firstLineChars="200"/>
      </w:pPr>
      <w:r>
        <w:rPr>
          <w:rFonts w:hint="eastAsia" w:ascii="宋体" w:hAnsi="宋体" w:cs="宋体"/>
        </w:rPr>
        <w:t>②</w:t>
      </w:r>
      <w:r>
        <w:rPr>
          <w:rFonts w:hint="eastAsia"/>
        </w:rPr>
        <w:t>固体原料仓库（原有）：储存对苯二酚、氢氧化钙等原辅材料，固体原料仓库位于厂区中北部。</w:t>
      </w:r>
    </w:p>
    <w:p>
      <w:pPr>
        <w:snapToGrid w:val="0"/>
        <w:spacing w:line="360" w:lineRule="auto"/>
        <w:ind w:firstLine="480" w:firstLineChars="200"/>
      </w:pPr>
      <w:r>
        <w:rPr>
          <w:rFonts w:hint="eastAsia" w:ascii="宋体" w:hAnsi="宋体" w:cs="宋体"/>
        </w:rPr>
        <w:t>③</w:t>
      </w:r>
      <w:r>
        <w:rPr>
          <w:rFonts w:hint="eastAsia"/>
        </w:rPr>
        <w:t>成品仓库（原有）：用于储存食品抗氧化剂</w:t>
      </w:r>
      <w:r>
        <w:t>TBHQ</w:t>
      </w:r>
      <w:r>
        <w:rPr>
          <w:rFonts w:hint="eastAsia"/>
        </w:rPr>
        <w:t>成品，成品仓库位于厂区北部，固体原料仓库东侧。</w:t>
      </w:r>
    </w:p>
    <w:p>
      <w:pPr>
        <w:snapToGrid w:val="0"/>
        <w:spacing w:line="360" w:lineRule="auto"/>
        <w:ind w:firstLine="480" w:firstLineChars="200"/>
      </w:pPr>
      <w:r>
        <w:rPr>
          <w:rFonts w:hint="eastAsia" w:ascii="宋体" w:hAnsi="宋体" w:cs="宋体"/>
        </w:rPr>
        <w:t>④</w:t>
      </w:r>
      <w:r>
        <w:rPr>
          <w:rFonts w:hint="eastAsia"/>
        </w:rPr>
        <w:t>罐区（原有）：新增</w:t>
      </w:r>
      <w:r>
        <w:t>1</w:t>
      </w:r>
      <w:r>
        <w:rPr>
          <w:rFonts w:hint="eastAsia"/>
        </w:rPr>
        <w:t>个</w:t>
      </w:r>
      <w:r>
        <w:t>30m</w:t>
      </w:r>
      <w:r>
        <w:rPr>
          <w:vertAlign w:val="superscript"/>
        </w:rPr>
        <w:t>3</w:t>
      </w:r>
      <w:r>
        <w:rPr>
          <w:rFonts w:hint="eastAsia"/>
        </w:rPr>
        <w:t>的二甲苯储罐、</w:t>
      </w:r>
      <w:r>
        <w:t>1</w:t>
      </w:r>
      <w:r>
        <w:rPr>
          <w:rFonts w:hint="eastAsia"/>
        </w:rPr>
        <w:t>个</w:t>
      </w:r>
      <w:r>
        <w:t>40m</w:t>
      </w:r>
      <w:r>
        <w:rPr>
          <w:vertAlign w:val="superscript"/>
        </w:rPr>
        <w:t>3</w:t>
      </w:r>
      <w:r>
        <w:rPr>
          <w:rFonts w:hint="eastAsia"/>
        </w:rPr>
        <w:t>的叔丁醇储罐、</w:t>
      </w:r>
      <w:r>
        <w:t>1</w:t>
      </w:r>
      <w:r>
        <w:rPr>
          <w:rFonts w:hint="eastAsia"/>
        </w:rPr>
        <w:t>个</w:t>
      </w:r>
      <w:r>
        <w:t>30m</w:t>
      </w:r>
      <w:r>
        <w:rPr>
          <w:vertAlign w:val="superscript"/>
        </w:rPr>
        <w:t>3</w:t>
      </w:r>
      <w:r>
        <w:rPr>
          <w:rFonts w:hint="eastAsia"/>
        </w:rPr>
        <w:t>的磷酸（</w:t>
      </w:r>
      <w:r>
        <w:t>85%</w:t>
      </w:r>
      <w:r>
        <w:rPr>
          <w:rFonts w:hint="eastAsia"/>
        </w:rPr>
        <w:t>）储罐和</w:t>
      </w:r>
      <w:r>
        <w:t>1</w:t>
      </w:r>
      <w:r>
        <w:rPr>
          <w:rFonts w:hint="eastAsia"/>
        </w:rPr>
        <w:t>个</w:t>
      </w:r>
      <w:r>
        <w:t>30m</w:t>
      </w:r>
      <w:r>
        <w:rPr>
          <w:vertAlign w:val="superscript"/>
        </w:rPr>
        <w:t>3</w:t>
      </w:r>
      <w:r>
        <w:rPr>
          <w:rFonts w:hint="eastAsia"/>
        </w:rPr>
        <w:t>的酒精（</w:t>
      </w:r>
      <w:r>
        <w:t>95%</w:t>
      </w:r>
      <w:r>
        <w:rPr>
          <w:rFonts w:hint="eastAsia"/>
        </w:rPr>
        <w:t>）储罐。新增储罐位于原有罐区空地处，罐区具体位置见图</w:t>
      </w:r>
      <w:r>
        <w:t>3-2</w:t>
      </w:r>
      <w:r>
        <w:rPr>
          <w:rFonts w:hint="eastAsia"/>
        </w:rPr>
        <w:t>。</w:t>
      </w:r>
    </w:p>
    <w:p>
      <w:pPr>
        <w:snapToGrid w:val="0"/>
        <w:spacing w:line="360" w:lineRule="auto"/>
        <w:ind w:firstLine="480" w:firstLineChars="200"/>
      </w:pPr>
      <w:r>
        <w:rPr>
          <w:rFonts w:hint="eastAsia"/>
        </w:rPr>
        <w:t>（</w:t>
      </w:r>
      <w:r>
        <w:t>2</w:t>
      </w:r>
      <w:r>
        <w:rPr>
          <w:rFonts w:hint="eastAsia"/>
        </w:rPr>
        <w:t>）公用工程（原有）：包括为循环水池、消防泵房、空压站、维修车间等，位于厂区中南部，罐区的西侧，循环水站兼作消防水池，高压配电室位于厂区东北部。</w:t>
      </w:r>
    </w:p>
    <w:p>
      <w:pPr>
        <w:snapToGrid w:val="0"/>
        <w:spacing w:line="360" w:lineRule="auto"/>
        <w:ind w:firstLine="480" w:firstLineChars="200"/>
      </w:pPr>
      <w:r>
        <w:rPr>
          <w:rFonts w:hint="eastAsia"/>
        </w:rPr>
        <w:t>（</w:t>
      </w:r>
      <w:r>
        <w:t>3</w:t>
      </w:r>
      <w:r>
        <w:rPr>
          <w:rFonts w:hint="eastAsia"/>
        </w:rPr>
        <w:t>）辅助工程（原有）：包括锅炉房和煤棚，不新增锅炉，利用已有的锅炉。现有工程（年产</w:t>
      </w:r>
      <w:r>
        <w:t>300</w:t>
      </w:r>
      <w:r>
        <w:rPr>
          <w:rFonts w:hint="eastAsia"/>
        </w:rPr>
        <w:t>吨三氯蔗糖项目）已建成</w:t>
      </w:r>
      <w:r>
        <w:t>1</w:t>
      </w:r>
      <w:r>
        <w:rPr>
          <w:rFonts w:hint="eastAsia"/>
        </w:rPr>
        <w:t>台</w:t>
      </w:r>
      <w:r>
        <w:t>10t/h</w:t>
      </w:r>
      <w:r>
        <w:rPr>
          <w:rFonts w:hint="eastAsia"/>
        </w:rPr>
        <w:t>的燃煤蒸汽锅炉和</w:t>
      </w:r>
      <w:r>
        <w:t>1</w:t>
      </w:r>
      <w:r>
        <w:rPr>
          <w:rFonts w:hint="eastAsia"/>
        </w:rPr>
        <w:t>台</w:t>
      </w:r>
      <w:r>
        <w:t>5t/h</w:t>
      </w:r>
      <w:r>
        <w:rPr>
          <w:rFonts w:hint="eastAsia"/>
        </w:rPr>
        <w:t>的燃煤导热油锅炉。现有三氯蔗糖项目平均用汽量</w:t>
      </w:r>
      <w:r>
        <w:t>2.5t/h</w:t>
      </w:r>
      <w:r>
        <w:rPr>
          <w:rFonts w:hint="eastAsia"/>
        </w:rPr>
        <w:t>，本项目</w:t>
      </w:r>
      <w:r>
        <w:t>TBHQ</w:t>
      </w:r>
      <w:r>
        <w:rPr>
          <w:rFonts w:hint="eastAsia"/>
        </w:rPr>
        <w:t>平均用汽量</w:t>
      </w:r>
      <w:r>
        <w:t>2.5t/h</w:t>
      </w:r>
      <w:r>
        <w:rPr>
          <w:rFonts w:hint="eastAsia"/>
        </w:rPr>
        <w:t>，合计总用汽量约为</w:t>
      </w:r>
      <w:r>
        <w:t>5t/h</w:t>
      </w:r>
      <w:r>
        <w:rPr>
          <w:rFonts w:hint="eastAsia"/>
        </w:rPr>
        <w:t>，原有锅炉供汽能力尚有富余，因此新建项目不需增加锅炉，原有锅炉能满足新建项目的需求。</w:t>
      </w:r>
    </w:p>
    <w:p>
      <w:pPr>
        <w:snapToGrid w:val="0"/>
        <w:spacing w:line="360" w:lineRule="auto"/>
        <w:ind w:firstLine="480" w:firstLineChars="200"/>
      </w:pPr>
      <w:r>
        <w:rPr>
          <w:rFonts w:hint="eastAsia"/>
        </w:rPr>
        <w:t>（</w:t>
      </w:r>
      <w:r>
        <w:t>4</w:t>
      </w:r>
      <w:r>
        <w:rPr>
          <w:rFonts w:hint="eastAsia"/>
        </w:rPr>
        <w:t>）环保工程（原有）：污水处理站位于厂区西北部，一般固废堆场位于厂区东南部和西南部，西南部建有危废仓。事故应急池（兼初期雨水池）利用原有工程已建的构筑物，原有工程事故应急池</w:t>
      </w:r>
      <w:r>
        <w:t>750m</w:t>
      </w:r>
      <w:r>
        <w:rPr>
          <w:vertAlign w:val="superscript"/>
        </w:rPr>
        <w:t>3</w:t>
      </w:r>
      <w:r>
        <w:rPr>
          <w:rFonts w:hint="eastAsia"/>
        </w:rPr>
        <w:t>。本项目建设的事故风险源主要来自于新增储罐发生泄漏等，新增储罐位于原有的罐区内，罐区内设置的围堰可围堵事故时发生的泄漏，一旦发生泄漏，可通过管网均匀的将事故废水导入事故应急池中，不会对事故应急池产生较大的冲击，事故应急池的容积可保证本项目建成后的事故废水接纳。</w:t>
      </w:r>
    </w:p>
    <w:p>
      <w:pPr>
        <w:autoSpaceDE w:val="0"/>
        <w:autoSpaceDN w:val="0"/>
        <w:adjustRightInd w:val="0"/>
        <w:spacing w:line="360" w:lineRule="auto"/>
        <w:ind w:firstLine="482" w:firstLineChars="200"/>
        <w:rPr>
          <w:b/>
          <w:bCs/>
          <w:kern w:val="0"/>
        </w:rPr>
      </w:pPr>
      <w:r>
        <w:rPr>
          <w:b/>
          <w:bCs/>
          <w:kern w:val="0"/>
        </w:rPr>
        <w:t xml:space="preserve">3.1.5 </w:t>
      </w:r>
      <w:r>
        <w:rPr>
          <w:rFonts w:hint="eastAsia"/>
          <w:b/>
          <w:bCs/>
          <w:kern w:val="0"/>
        </w:rPr>
        <w:t>本项目主要生产设备</w:t>
      </w:r>
    </w:p>
    <w:p>
      <w:pPr>
        <w:snapToGrid w:val="0"/>
        <w:spacing w:line="360" w:lineRule="auto"/>
        <w:ind w:firstLine="480" w:firstLineChars="200"/>
      </w:pPr>
      <w:r>
        <w:rPr>
          <w:rFonts w:hint="eastAsia"/>
        </w:rPr>
        <w:t>本项目主要生产设备见表</w:t>
      </w:r>
      <w:r>
        <w:t>3-1</w:t>
      </w:r>
    </w:p>
    <w:p>
      <w:pPr>
        <w:pStyle w:val="14"/>
        <w:spacing w:line="380" w:lineRule="exact"/>
        <w:ind w:firstLine="482"/>
        <w:jc w:val="center"/>
        <w:rPr>
          <w:b/>
          <w:color w:val="000000"/>
        </w:rPr>
      </w:pPr>
      <w:r>
        <w:rPr>
          <w:rFonts w:hint="eastAsia"/>
          <w:b/>
        </w:rPr>
        <w:t>表</w:t>
      </w:r>
      <w:r>
        <w:rPr>
          <w:b/>
        </w:rPr>
        <w:t xml:space="preserve">3-1       </w:t>
      </w:r>
      <w:r>
        <w:rPr>
          <w:rFonts w:hint="eastAsia"/>
          <w:b/>
          <w:color w:val="000000"/>
        </w:rPr>
        <w:t>主要设备一览表</w:t>
      </w:r>
    </w:p>
    <w:tbl>
      <w:tblPr>
        <w:tblStyle w:val="47"/>
        <w:tblW w:w="921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5"/>
        <w:gridCol w:w="2671"/>
        <w:gridCol w:w="1871"/>
        <w:gridCol w:w="1123"/>
        <w:gridCol w:w="1434"/>
        <w:gridCol w:w="14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b/>
                <w:kern w:val="0"/>
                <w:sz w:val="21"/>
                <w:szCs w:val="21"/>
              </w:rPr>
            </w:pPr>
            <w:r>
              <w:rPr>
                <w:rFonts w:hint="eastAsia" w:hAnsi="宋体"/>
                <w:b/>
                <w:kern w:val="0"/>
                <w:sz w:val="21"/>
                <w:szCs w:val="21"/>
              </w:rPr>
              <w:t>序号</w:t>
            </w:r>
          </w:p>
        </w:tc>
        <w:tc>
          <w:tcPr>
            <w:tcW w:w="2671" w:type="dxa"/>
            <w:vAlign w:val="center"/>
          </w:tcPr>
          <w:p>
            <w:pPr>
              <w:widowControl/>
              <w:spacing w:line="240" w:lineRule="atLeast"/>
              <w:jc w:val="center"/>
              <w:rPr>
                <w:b/>
                <w:kern w:val="0"/>
                <w:sz w:val="21"/>
                <w:szCs w:val="21"/>
              </w:rPr>
            </w:pPr>
            <w:r>
              <w:rPr>
                <w:rFonts w:hint="eastAsia" w:hAnsi="宋体"/>
                <w:b/>
                <w:kern w:val="0"/>
                <w:sz w:val="21"/>
                <w:szCs w:val="21"/>
              </w:rPr>
              <w:t>设备名称</w:t>
            </w:r>
          </w:p>
        </w:tc>
        <w:tc>
          <w:tcPr>
            <w:tcW w:w="1871" w:type="dxa"/>
            <w:vAlign w:val="center"/>
          </w:tcPr>
          <w:p>
            <w:pPr>
              <w:widowControl/>
              <w:spacing w:line="240" w:lineRule="atLeast"/>
              <w:jc w:val="center"/>
              <w:rPr>
                <w:b/>
                <w:kern w:val="0"/>
                <w:sz w:val="21"/>
                <w:szCs w:val="21"/>
              </w:rPr>
            </w:pPr>
            <w:r>
              <w:rPr>
                <w:rFonts w:hint="eastAsia" w:hAnsi="宋体"/>
                <w:b/>
                <w:kern w:val="0"/>
                <w:sz w:val="21"/>
                <w:szCs w:val="21"/>
              </w:rPr>
              <w:t>型号</w:t>
            </w:r>
          </w:p>
        </w:tc>
        <w:tc>
          <w:tcPr>
            <w:tcW w:w="1123" w:type="dxa"/>
            <w:vAlign w:val="center"/>
          </w:tcPr>
          <w:p>
            <w:pPr>
              <w:widowControl/>
              <w:spacing w:line="240" w:lineRule="atLeast"/>
              <w:jc w:val="center"/>
              <w:rPr>
                <w:b/>
                <w:kern w:val="0"/>
                <w:sz w:val="21"/>
                <w:szCs w:val="21"/>
              </w:rPr>
            </w:pPr>
            <w:r>
              <w:rPr>
                <w:rFonts w:hint="eastAsia" w:hAnsi="宋体"/>
                <w:b/>
                <w:kern w:val="0"/>
                <w:sz w:val="21"/>
                <w:szCs w:val="21"/>
              </w:rPr>
              <w:t>数量</w:t>
            </w:r>
          </w:p>
        </w:tc>
        <w:tc>
          <w:tcPr>
            <w:tcW w:w="1434" w:type="dxa"/>
            <w:vAlign w:val="center"/>
          </w:tcPr>
          <w:p>
            <w:pPr>
              <w:widowControl/>
              <w:spacing w:line="240" w:lineRule="atLeast"/>
              <w:jc w:val="center"/>
              <w:rPr>
                <w:b/>
                <w:kern w:val="0"/>
                <w:sz w:val="21"/>
                <w:szCs w:val="21"/>
              </w:rPr>
            </w:pPr>
            <w:r>
              <w:rPr>
                <w:rFonts w:hint="eastAsia" w:hAnsi="宋体"/>
                <w:b/>
                <w:kern w:val="0"/>
                <w:sz w:val="21"/>
                <w:szCs w:val="21"/>
              </w:rPr>
              <w:t>单位</w:t>
            </w:r>
          </w:p>
        </w:tc>
        <w:tc>
          <w:tcPr>
            <w:tcW w:w="1432" w:type="dxa"/>
            <w:vAlign w:val="center"/>
          </w:tcPr>
          <w:p>
            <w:pPr>
              <w:widowControl/>
              <w:spacing w:line="240" w:lineRule="atLeast"/>
              <w:jc w:val="center"/>
              <w:rPr>
                <w:rFonts w:hAnsi="宋体"/>
                <w:b/>
                <w:kern w:val="0"/>
                <w:sz w:val="21"/>
                <w:szCs w:val="21"/>
              </w:rPr>
            </w:pPr>
            <w:r>
              <w:rPr>
                <w:rFonts w:hint="eastAsia" w:hAnsi="宋体"/>
                <w:b/>
                <w:kern w:val="0"/>
                <w:sz w:val="21"/>
                <w:szCs w:val="21"/>
              </w:rPr>
              <w:t>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kern w:val="0"/>
                <w:sz w:val="21"/>
                <w:szCs w:val="21"/>
              </w:rPr>
            </w:pPr>
            <w:r>
              <w:rPr>
                <w:kern w:val="0"/>
                <w:sz w:val="21"/>
                <w:szCs w:val="21"/>
              </w:rPr>
              <w:t>1</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反应釜</w:t>
            </w:r>
          </w:p>
        </w:tc>
        <w:tc>
          <w:tcPr>
            <w:tcW w:w="1871" w:type="dxa"/>
            <w:vAlign w:val="center"/>
          </w:tcPr>
          <w:p>
            <w:pPr>
              <w:widowControl/>
              <w:snapToGrid w:val="0"/>
              <w:jc w:val="center"/>
              <w:rPr>
                <w:kern w:val="0"/>
                <w:sz w:val="21"/>
                <w:szCs w:val="21"/>
              </w:rPr>
            </w:pPr>
            <w:r>
              <w:rPr>
                <w:kern w:val="0"/>
                <w:sz w:val="21"/>
                <w:szCs w:val="21"/>
              </w:rPr>
              <w:t>6.3m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kern w:val="0"/>
                <w:sz w:val="21"/>
                <w:szCs w:val="21"/>
              </w:rPr>
            </w:pPr>
            <w:r>
              <w:rPr>
                <w:rFonts w:hint="eastAsia" w:hAnsi="宋体"/>
                <w:kern w:val="0"/>
                <w:sz w:val="21"/>
                <w:szCs w:val="21"/>
              </w:rPr>
              <w:t>台</w:t>
            </w:r>
          </w:p>
        </w:tc>
        <w:tc>
          <w:tcPr>
            <w:tcW w:w="1432" w:type="dxa"/>
            <w:vAlign w:val="center"/>
          </w:tcPr>
          <w:p>
            <w:pPr>
              <w:widowControl/>
              <w:spacing w:line="240" w:lineRule="atLeast"/>
              <w:jc w:val="center"/>
              <w:rPr>
                <w:rFonts w:hAnsi="宋体"/>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2</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结晶罐</w:t>
            </w:r>
          </w:p>
        </w:tc>
        <w:tc>
          <w:tcPr>
            <w:tcW w:w="1871" w:type="dxa"/>
            <w:vAlign w:val="center"/>
          </w:tcPr>
          <w:p>
            <w:pPr>
              <w:widowControl/>
              <w:snapToGrid w:val="0"/>
              <w:jc w:val="center"/>
              <w:rPr>
                <w:kern w:val="0"/>
                <w:sz w:val="21"/>
                <w:szCs w:val="21"/>
              </w:rPr>
            </w:pPr>
            <w:r>
              <w:rPr>
                <w:kern w:val="0"/>
                <w:sz w:val="21"/>
                <w:szCs w:val="21"/>
              </w:rPr>
              <w:t>0.5 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3</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析晶罐</w:t>
            </w:r>
          </w:p>
        </w:tc>
        <w:tc>
          <w:tcPr>
            <w:tcW w:w="1871" w:type="dxa"/>
            <w:vAlign w:val="center"/>
          </w:tcPr>
          <w:p>
            <w:pPr>
              <w:widowControl/>
              <w:snapToGrid w:val="0"/>
              <w:jc w:val="center"/>
              <w:rPr>
                <w:kern w:val="0"/>
                <w:sz w:val="21"/>
                <w:szCs w:val="21"/>
              </w:rPr>
            </w:pPr>
            <w:r>
              <w:rPr>
                <w:kern w:val="0"/>
                <w:sz w:val="21"/>
                <w:szCs w:val="21"/>
              </w:rPr>
              <w:t>4m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8</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4</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溶解罐</w:t>
            </w:r>
          </w:p>
        </w:tc>
        <w:tc>
          <w:tcPr>
            <w:tcW w:w="1871" w:type="dxa"/>
            <w:vAlign w:val="center"/>
          </w:tcPr>
          <w:p>
            <w:pPr>
              <w:widowControl/>
              <w:snapToGrid w:val="0"/>
              <w:jc w:val="center"/>
              <w:rPr>
                <w:kern w:val="0"/>
                <w:sz w:val="21"/>
                <w:szCs w:val="21"/>
              </w:rPr>
            </w:pPr>
            <w:r>
              <w:rPr>
                <w:kern w:val="0"/>
                <w:sz w:val="21"/>
                <w:szCs w:val="21"/>
              </w:rPr>
              <w:t>4m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5</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重结晶溶解罐</w:t>
            </w:r>
          </w:p>
        </w:tc>
        <w:tc>
          <w:tcPr>
            <w:tcW w:w="1871" w:type="dxa"/>
            <w:vAlign w:val="center"/>
          </w:tcPr>
          <w:p>
            <w:pPr>
              <w:widowControl/>
              <w:snapToGrid w:val="0"/>
              <w:jc w:val="center"/>
              <w:rPr>
                <w:kern w:val="0"/>
                <w:sz w:val="21"/>
                <w:szCs w:val="21"/>
              </w:rPr>
            </w:pPr>
            <w:r>
              <w:rPr>
                <w:kern w:val="0"/>
                <w:sz w:val="21"/>
                <w:szCs w:val="21"/>
              </w:rPr>
              <w:t>3m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4</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6</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浓缩罐</w:t>
            </w:r>
          </w:p>
        </w:tc>
        <w:tc>
          <w:tcPr>
            <w:tcW w:w="1871" w:type="dxa"/>
            <w:vAlign w:val="center"/>
          </w:tcPr>
          <w:p>
            <w:pPr>
              <w:widowControl/>
              <w:snapToGrid w:val="0"/>
              <w:jc w:val="center"/>
              <w:rPr>
                <w:kern w:val="0"/>
                <w:sz w:val="21"/>
                <w:szCs w:val="21"/>
              </w:rPr>
            </w:pPr>
            <w:r>
              <w:rPr>
                <w:kern w:val="0"/>
                <w:sz w:val="21"/>
                <w:szCs w:val="21"/>
              </w:rPr>
              <w:t>1.5 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7</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回收罐</w:t>
            </w:r>
          </w:p>
        </w:tc>
        <w:tc>
          <w:tcPr>
            <w:tcW w:w="1871" w:type="dxa"/>
            <w:vAlign w:val="center"/>
          </w:tcPr>
          <w:p>
            <w:pPr>
              <w:widowControl/>
              <w:snapToGrid w:val="0"/>
              <w:jc w:val="center"/>
              <w:rPr>
                <w:kern w:val="0"/>
                <w:sz w:val="21"/>
                <w:szCs w:val="21"/>
              </w:rPr>
            </w:pPr>
            <w:r>
              <w:rPr>
                <w:kern w:val="0"/>
                <w:sz w:val="21"/>
                <w:szCs w:val="21"/>
              </w:rPr>
              <w:t>3m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4</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8</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真空泵</w:t>
            </w:r>
          </w:p>
        </w:tc>
        <w:tc>
          <w:tcPr>
            <w:tcW w:w="1871" w:type="dxa"/>
            <w:vAlign w:val="center"/>
          </w:tcPr>
          <w:p>
            <w:pPr>
              <w:widowControl/>
              <w:snapToGrid w:val="0"/>
              <w:jc w:val="center"/>
              <w:rPr>
                <w:kern w:val="0"/>
                <w:sz w:val="21"/>
                <w:szCs w:val="21"/>
              </w:rPr>
            </w:pPr>
            <w:r>
              <w:rPr>
                <w:kern w:val="0"/>
                <w:sz w:val="21"/>
                <w:szCs w:val="21"/>
              </w:rPr>
              <w:t>120m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8</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9</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离心机</w:t>
            </w:r>
          </w:p>
        </w:tc>
        <w:tc>
          <w:tcPr>
            <w:tcW w:w="1871" w:type="dxa"/>
            <w:vAlign w:val="center"/>
          </w:tcPr>
          <w:p>
            <w:pPr>
              <w:widowControl/>
              <w:snapToGrid w:val="0"/>
              <w:jc w:val="center"/>
              <w:rPr>
                <w:kern w:val="0"/>
                <w:sz w:val="21"/>
                <w:szCs w:val="21"/>
              </w:rPr>
            </w:pPr>
            <w:r>
              <w:rPr>
                <w:kern w:val="0"/>
                <w:sz w:val="21"/>
                <w:szCs w:val="21"/>
              </w:rPr>
              <w:t>LGZ800</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kern w:val="0"/>
                <w:sz w:val="21"/>
                <w:szCs w:val="21"/>
              </w:rPr>
            </w:pPr>
            <w:r>
              <w:rPr>
                <w:rFonts w:hint="eastAsia" w:hAnsi="宋体"/>
                <w:kern w:val="0"/>
                <w:sz w:val="21"/>
                <w:szCs w:val="21"/>
              </w:rPr>
              <w:t>台</w:t>
            </w:r>
          </w:p>
        </w:tc>
        <w:tc>
          <w:tcPr>
            <w:tcW w:w="1432" w:type="dxa"/>
            <w:vAlign w:val="center"/>
          </w:tcPr>
          <w:p>
            <w:pPr>
              <w:widowControl/>
              <w:spacing w:line="240" w:lineRule="atLeast"/>
              <w:jc w:val="center"/>
              <w:rPr>
                <w:rFonts w:hAnsi="宋体"/>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10</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离心机</w:t>
            </w:r>
          </w:p>
        </w:tc>
        <w:tc>
          <w:tcPr>
            <w:tcW w:w="1871" w:type="dxa"/>
            <w:vAlign w:val="center"/>
          </w:tcPr>
          <w:p>
            <w:pPr>
              <w:widowControl/>
              <w:snapToGrid w:val="0"/>
              <w:jc w:val="center"/>
              <w:rPr>
                <w:kern w:val="0"/>
                <w:sz w:val="21"/>
                <w:szCs w:val="21"/>
              </w:rPr>
            </w:pPr>
            <w:r>
              <w:rPr>
                <w:kern w:val="0"/>
                <w:sz w:val="21"/>
                <w:szCs w:val="21"/>
              </w:rPr>
              <w:t>LGZ1250N</w:t>
            </w:r>
          </w:p>
        </w:tc>
        <w:tc>
          <w:tcPr>
            <w:tcW w:w="1123" w:type="dxa"/>
            <w:vAlign w:val="center"/>
          </w:tcPr>
          <w:p>
            <w:pPr>
              <w:widowControl/>
              <w:jc w:val="center"/>
              <w:rPr>
                <w:kern w:val="0"/>
                <w:sz w:val="21"/>
                <w:szCs w:val="21"/>
              </w:rPr>
            </w:pPr>
            <w:r>
              <w:rPr>
                <w:kern w:val="0"/>
                <w:sz w:val="21"/>
                <w:szCs w:val="21"/>
              </w:rPr>
              <w:t>10</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11</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真空干燥机</w:t>
            </w:r>
          </w:p>
        </w:tc>
        <w:tc>
          <w:tcPr>
            <w:tcW w:w="1871" w:type="dxa"/>
            <w:vAlign w:val="center"/>
          </w:tcPr>
          <w:p>
            <w:pPr>
              <w:widowControl/>
              <w:snapToGrid w:val="0"/>
              <w:jc w:val="center"/>
              <w:rPr>
                <w:kern w:val="0"/>
                <w:sz w:val="21"/>
                <w:szCs w:val="21"/>
              </w:rPr>
            </w:pPr>
            <w:r>
              <w:rPr>
                <w:kern w:val="0"/>
                <w:sz w:val="21"/>
                <w:szCs w:val="21"/>
              </w:rPr>
              <w:t>SZG-2000</w:t>
            </w:r>
          </w:p>
        </w:tc>
        <w:tc>
          <w:tcPr>
            <w:tcW w:w="1123" w:type="dxa"/>
            <w:vAlign w:val="center"/>
          </w:tcPr>
          <w:p>
            <w:pPr>
              <w:widowControl/>
              <w:jc w:val="center"/>
              <w:rPr>
                <w:kern w:val="0"/>
                <w:sz w:val="21"/>
                <w:szCs w:val="21"/>
              </w:rPr>
            </w:pPr>
            <w:r>
              <w:rPr>
                <w:kern w:val="0"/>
                <w:sz w:val="21"/>
                <w:szCs w:val="21"/>
              </w:rPr>
              <w:t>6</w:t>
            </w:r>
          </w:p>
        </w:tc>
        <w:tc>
          <w:tcPr>
            <w:tcW w:w="1434" w:type="dxa"/>
            <w:vAlign w:val="center"/>
          </w:tcPr>
          <w:p>
            <w:pPr>
              <w:widowControl/>
              <w:spacing w:line="240" w:lineRule="atLeast"/>
              <w:jc w:val="center"/>
              <w:rPr>
                <w:kern w:val="0"/>
                <w:sz w:val="21"/>
                <w:szCs w:val="21"/>
              </w:rPr>
            </w:pPr>
            <w:r>
              <w:rPr>
                <w:rFonts w:hint="eastAsia" w:hAnsi="宋体"/>
                <w:kern w:val="0"/>
                <w:sz w:val="21"/>
                <w:szCs w:val="21"/>
              </w:rPr>
              <w:t>台</w:t>
            </w:r>
          </w:p>
        </w:tc>
        <w:tc>
          <w:tcPr>
            <w:tcW w:w="1432" w:type="dxa"/>
            <w:vAlign w:val="center"/>
          </w:tcPr>
          <w:p>
            <w:pPr>
              <w:widowControl/>
              <w:spacing w:line="240" w:lineRule="atLeast"/>
              <w:jc w:val="center"/>
              <w:rPr>
                <w:rFonts w:hAnsi="宋体"/>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12</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料仓</w:t>
            </w:r>
          </w:p>
        </w:tc>
        <w:tc>
          <w:tcPr>
            <w:tcW w:w="1871" w:type="dxa"/>
            <w:vAlign w:val="center"/>
          </w:tcPr>
          <w:p>
            <w:pPr>
              <w:widowControl/>
              <w:snapToGrid w:val="0"/>
              <w:jc w:val="center"/>
              <w:rPr>
                <w:kern w:val="0"/>
                <w:sz w:val="21"/>
                <w:szCs w:val="21"/>
              </w:rPr>
            </w:pPr>
            <w:r>
              <w:rPr>
                <w:kern w:val="0"/>
                <w:sz w:val="21"/>
                <w:szCs w:val="21"/>
              </w:rPr>
              <w:t>1m</w:t>
            </w:r>
            <w:r>
              <w:rPr>
                <w:kern w:val="0"/>
                <w:sz w:val="21"/>
                <w:szCs w:val="21"/>
                <w:vertAlign w:val="superscript"/>
              </w:rPr>
              <w:t>3</w:t>
            </w:r>
          </w:p>
        </w:tc>
        <w:tc>
          <w:tcPr>
            <w:tcW w:w="1123" w:type="dxa"/>
            <w:vAlign w:val="center"/>
          </w:tcPr>
          <w:p>
            <w:pPr>
              <w:widowControl/>
              <w:jc w:val="center"/>
              <w:rPr>
                <w:kern w:val="0"/>
                <w:sz w:val="21"/>
                <w:szCs w:val="21"/>
              </w:rPr>
            </w:pPr>
            <w:r>
              <w:rPr>
                <w:kern w:val="0"/>
                <w:sz w:val="21"/>
                <w:szCs w:val="21"/>
              </w:rPr>
              <w:t>8</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13</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万能粉碎机</w:t>
            </w:r>
          </w:p>
        </w:tc>
        <w:tc>
          <w:tcPr>
            <w:tcW w:w="1871" w:type="dxa"/>
            <w:vAlign w:val="center"/>
          </w:tcPr>
          <w:p>
            <w:pPr>
              <w:widowControl/>
              <w:snapToGrid w:val="0"/>
              <w:jc w:val="center"/>
              <w:rPr>
                <w:kern w:val="0"/>
                <w:sz w:val="21"/>
                <w:szCs w:val="21"/>
              </w:rPr>
            </w:pPr>
            <w:r>
              <w:rPr>
                <w:kern w:val="0"/>
                <w:sz w:val="21"/>
                <w:szCs w:val="21"/>
              </w:rPr>
              <w:t>300KG/h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14</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筛分机</w:t>
            </w:r>
          </w:p>
        </w:tc>
        <w:tc>
          <w:tcPr>
            <w:tcW w:w="1871" w:type="dxa"/>
            <w:vAlign w:val="center"/>
          </w:tcPr>
          <w:p>
            <w:pPr>
              <w:widowControl/>
              <w:snapToGrid w:val="0"/>
              <w:jc w:val="center"/>
              <w:rPr>
                <w:kern w:val="0"/>
                <w:sz w:val="21"/>
                <w:szCs w:val="21"/>
              </w:rPr>
            </w:pPr>
            <w:r>
              <w:rPr>
                <w:kern w:val="0"/>
                <w:sz w:val="21"/>
                <w:szCs w:val="21"/>
              </w:rPr>
              <w:t>300KG/h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15</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真空抽料机</w:t>
            </w:r>
          </w:p>
        </w:tc>
        <w:tc>
          <w:tcPr>
            <w:tcW w:w="1871" w:type="dxa"/>
            <w:vAlign w:val="center"/>
          </w:tcPr>
          <w:p>
            <w:pPr>
              <w:widowControl/>
              <w:snapToGrid w:val="0"/>
              <w:jc w:val="center"/>
              <w:rPr>
                <w:kern w:val="0"/>
                <w:sz w:val="21"/>
                <w:szCs w:val="21"/>
              </w:rPr>
            </w:pPr>
            <w:r>
              <w:rPr>
                <w:kern w:val="0"/>
                <w:sz w:val="21"/>
                <w:szCs w:val="21"/>
              </w:rPr>
              <w:t>ZSL-</w:t>
            </w:r>
            <w:r>
              <w:rPr>
                <w:rFonts w:hint="eastAsia" w:hAnsi="宋体"/>
                <w:kern w:val="0"/>
                <w:sz w:val="21"/>
                <w:szCs w:val="21"/>
              </w:rPr>
              <w:t>Ⅲ</w:t>
            </w:r>
            <w:r>
              <w:rPr>
                <w:kern w:val="0"/>
                <w:sz w:val="21"/>
                <w:szCs w:val="21"/>
              </w:rPr>
              <w:t>-4</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restart"/>
            <w:vAlign w:val="center"/>
          </w:tcPr>
          <w:p>
            <w:pPr>
              <w:widowControl/>
              <w:spacing w:line="240" w:lineRule="atLeast"/>
              <w:jc w:val="center"/>
              <w:rPr>
                <w:color w:val="000000"/>
                <w:kern w:val="0"/>
                <w:sz w:val="21"/>
                <w:szCs w:val="21"/>
              </w:rPr>
            </w:pPr>
            <w:r>
              <w:rPr>
                <w:color w:val="000000"/>
                <w:kern w:val="0"/>
                <w:sz w:val="21"/>
                <w:szCs w:val="21"/>
              </w:rPr>
              <w:t>16</w:t>
            </w:r>
          </w:p>
        </w:tc>
        <w:tc>
          <w:tcPr>
            <w:tcW w:w="2671" w:type="dxa"/>
            <w:vMerge w:val="restart"/>
            <w:vAlign w:val="center"/>
          </w:tcPr>
          <w:p>
            <w:pPr>
              <w:widowControl/>
              <w:snapToGrid w:val="0"/>
              <w:jc w:val="center"/>
              <w:rPr>
                <w:rFonts w:ascii="宋体" w:cs="宋体"/>
                <w:kern w:val="0"/>
                <w:sz w:val="21"/>
                <w:szCs w:val="21"/>
              </w:rPr>
            </w:pPr>
            <w:r>
              <w:rPr>
                <w:rFonts w:hint="eastAsia" w:ascii="宋体" w:hAnsi="宋体" w:cs="宋体"/>
                <w:kern w:val="0"/>
                <w:sz w:val="21"/>
                <w:szCs w:val="21"/>
              </w:rPr>
              <w:t>物料泵</w:t>
            </w:r>
          </w:p>
        </w:tc>
        <w:tc>
          <w:tcPr>
            <w:tcW w:w="1871" w:type="dxa"/>
            <w:vAlign w:val="center"/>
          </w:tcPr>
          <w:p>
            <w:pPr>
              <w:widowControl/>
              <w:snapToGrid w:val="0"/>
              <w:jc w:val="center"/>
              <w:rPr>
                <w:kern w:val="0"/>
                <w:sz w:val="21"/>
                <w:szCs w:val="21"/>
              </w:rPr>
            </w:pPr>
            <w:r>
              <w:rPr>
                <w:kern w:val="0"/>
                <w:sz w:val="21"/>
                <w:szCs w:val="21"/>
              </w:rPr>
              <w:t>10m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10</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continue"/>
            <w:vAlign w:val="center"/>
          </w:tcPr>
          <w:p>
            <w:pPr>
              <w:widowControl/>
              <w:spacing w:line="240" w:lineRule="atLeast"/>
              <w:jc w:val="center"/>
              <w:rPr>
                <w:color w:val="000000"/>
                <w:kern w:val="0"/>
                <w:sz w:val="21"/>
                <w:szCs w:val="21"/>
              </w:rPr>
            </w:pPr>
          </w:p>
        </w:tc>
        <w:tc>
          <w:tcPr>
            <w:tcW w:w="2671" w:type="dxa"/>
            <w:vMerge w:val="continue"/>
            <w:vAlign w:val="center"/>
          </w:tcPr>
          <w:p>
            <w:pPr>
              <w:widowControl/>
              <w:snapToGrid w:val="0"/>
              <w:jc w:val="center"/>
              <w:rPr>
                <w:rFonts w:ascii="宋体" w:cs="宋体"/>
                <w:kern w:val="0"/>
                <w:sz w:val="21"/>
                <w:szCs w:val="21"/>
              </w:rPr>
            </w:pPr>
          </w:p>
        </w:tc>
        <w:tc>
          <w:tcPr>
            <w:tcW w:w="1871" w:type="dxa"/>
            <w:vAlign w:val="center"/>
          </w:tcPr>
          <w:p>
            <w:pPr>
              <w:widowControl/>
              <w:snapToGrid w:val="0"/>
              <w:jc w:val="center"/>
              <w:rPr>
                <w:kern w:val="0"/>
                <w:sz w:val="21"/>
                <w:szCs w:val="21"/>
              </w:rPr>
            </w:pPr>
            <w:r>
              <w:rPr>
                <w:kern w:val="0"/>
                <w:sz w:val="21"/>
                <w:szCs w:val="21"/>
              </w:rPr>
              <w:t>20m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6</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continue"/>
            <w:vAlign w:val="center"/>
          </w:tcPr>
          <w:p>
            <w:pPr>
              <w:widowControl/>
              <w:spacing w:line="240" w:lineRule="atLeast"/>
              <w:jc w:val="center"/>
              <w:rPr>
                <w:color w:val="000000"/>
                <w:kern w:val="0"/>
                <w:sz w:val="21"/>
                <w:szCs w:val="21"/>
              </w:rPr>
            </w:pPr>
          </w:p>
        </w:tc>
        <w:tc>
          <w:tcPr>
            <w:tcW w:w="2671" w:type="dxa"/>
            <w:vMerge w:val="continue"/>
            <w:vAlign w:val="center"/>
          </w:tcPr>
          <w:p>
            <w:pPr>
              <w:widowControl/>
              <w:snapToGrid w:val="0"/>
              <w:jc w:val="center"/>
              <w:rPr>
                <w:rFonts w:ascii="宋体" w:cs="宋体"/>
                <w:kern w:val="0"/>
                <w:sz w:val="21"/>
                <w:szCs w:val="21"/>
              </w:rPr>
            </w:pPr>
          </w:p>
        </w:tc>
        <w:tc>
          <w:tcPr>
            <w:tcW w:w="1871" w:type="dxa"/>
            <w:vAlign w:val="center"/>
          </w:tcPr>
          <w:p>
            <w:pPr>
              <w:widowControl/>
              <w:snapToGrid w:val="0"/>
              <w:jc w:val="center"/>
              <w:rPr>
                <w:kern w:val="0"/>
                <w:sz w:val="21"/>
                <w:szCs w:val="21"/>
              </w:rPr>
            </w:pPr>
            <w:r>
              <w:rPr>
                <w:kern w:val="0"/>
                <w:sz w:val="21"/>
                <w:szCs w:val="21"/>
              </w:rPr>
              <w:t>20m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restart"/>
            <w:vAlign w:val="center"/>
          </w:tcPr>
          <w:p>
            <w:pPr>
              <w:spacing w:line="240" w:lineRule="atLeast"/>
              <w:jc w:val="center"/>
              <w:rPr>
                <w:color w:val="000000"/>
                <w:kern w:val="0"/>
                <w:sz w:val="21"/>
                <w:szCs w:val="21"/>
              </w:rPr>
            </w:pPr>
            <w:r>
              <w:rPr>
                <w:color w:val="000000"/>
                <w:kern w:val="0"/>
                <w:sz w:val="21"/>
                <w:szCs w:val="21"/>
              </w:rPr>
              <w:t>17</w:t>
            </w:r>
          </w:p>
        </w:tc>
        <w:tc>
          <w:tcPr>
            <w:tcW w:w="2671" w:type="dxa"/>
            <w:vMerge w:val="restart"/>
            <w:vAlign w:val="center"/>
          </w:tcPr>
          <w:p>
            <w:pPr>
              <w:widowControl/>
              <w:snapToGrid w:val="0"/>
              <w:jc w:val="center"/>
              <w:rPr>
                <w:rFonts w:ascii="宋体" w:cs="宋体"/>
                <w:kern w:val="0"/>
                <w:sz w:val="21"/>
                <w:szCs w:val="21"/>
              </w:rPr>
            </w:pPr>
            <w:r>
              <w:rPr>
                <w:rFonts w:hint="eastAsia" w:ascii="宋体" w:hAnsi="宋体" w:cs="宋体"/>
                <w:kern w:val="0"/>
                <w:sz w:val="21"/>
                <w:szCs w:val="21"/>
              </w:rPr>
              <w:t>出料泵</w:t>
            </w:r>
          </w:p>
        </w:tc>
        <w:tc>
          <w:tcPr>
            <w:tcW w:w="1871" w:type="dxa"/>
            <w:vAlign w:val="center"/>
          </w:tcPr>
          <w:p>
            <w:pPr>
              <w:widowControl/>
              <w:snapToGrid w:val="0"/>
              <w:jc w:val="center"/>
              <w:rPr>
                <w:kern w:val="0"/>
                <w:sz w:val="21"/>
                <w:szCs w:val="21"/>
              </w:rPr>
            </w:pPr>
            <w:r>
              <w:rPr>
                <w:kern w:val="0"/>
                <w:sz w:val="21"/>
                <w:szCs w:val="21"/>
              </w:rPr>
              <w:t>10m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continue"/>
            <w:vAlign w:val="center"/>
          </w:tcPr>
          <w:p>
            <w:pPr>
              <w:spacing w:line="240" w:lineRule="atLeast"/>
              <w:jc w:val="center"/>
              <w:rPr>
                <w:color w:val="000000"/>
                <w:kern w:val="0"/>
                <w:sz w:val="21"/>
                <w:szCs w:val="21"/>
              </w:rPr>
            </w:pPr>
          </w:p>
        </w:tc>
        <w:tc>
          <w:tcPr>
            <w:tcW w:w="2671" w:type="dxa"/>
            <w:vMerge w:val="continue"/>
            <w:vAlign w:val="center"/>
          </w:tcPr>
          <w:p>
            <w:pPr>
              <w:widowControl/>
              <w:snapToGrid w:val="0"/>
              <w:jc w:val="center"/>
              <w:rPr>
                <w:rFonts w:ascii="宋体" w:cs="宋体"/>
                <w:kern w:val="0"/>
                <w:sz w:val="21"/>
                <w:szCs w:val="21"/>
              </w:rPr>
            </w:pPr>
          </w:p>
        </w:tc>
        <w:tc>
          <w:tcPr>
            <w:tcW w:w="1871" w:type="dxa"/>
            <w:vAlign w:val="center"/>
          </w:tcPr>
          <w:p>
            <w:pPr>
              <w:widowControl/>
              <w:snapToGrid w:val="0"/>
              <w:jc w:val="center"/>
              <w:rPr>
                <w:kern w:val="0"/>
                <w:sz w:val="21"/>
                <w:szCs w:val="21"/>
              </w:rPr>
            </w:pPr>
            <w:r>
              <w:rPr>
                <w:kern w:val="0"/>
                <w:sz w:val="21"/>
                <w:szCs w:val="21"/>
              </w:rPr>
              <w:t>10m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6</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Merge w:val="continue"/>
            <w:vAlign w:val="center"/>
          </w:tcPr>
          <w:p>
            <w:pPr>
              <w:widowControl/>
              <w:spacing w:line="240" w:lineRule="atLeast"/>
              <w:jc w:val="center"/>
              <w:rPr>
                <w:color w:val="000000"/>
                <w:kern w:val="0"/>
                <w:sz w:val="21"/>
                <w:szCs w:val="21"/>
              </w:rPr>
            </w:pPr>
          </w:p>
        </w:tc>
        <w:tc>
          <w:tcPr>
            <w:tcW w:w="2671" w:type="dxa"/>
            <w:vMerge w:val="continue"/>
            <w:vAlign w:val="center"/>
          </w:tcPr>
          <w:p>
            <w:pPr>
              <w:widowControl/>
              <w:snapToGrid w:val="0"/>
              <w:jc w:val="center"/>
              <w:rPr>
                <w:rFonts w:ascii="宋体" w:cs="宋体"/>
                <w:kern w:val="0"/>
                <w:sz w:val="21"/>
                <w:szCs w:val="21"/>
              </w:rPr>
            </w:pPr>
          </w:p>
        </w:tc>
        <w:tc>
          <w:tcPr>
            <w:tcW w:w="1871" w:type="dxa"/>
            <w:vAlign w:val="center"/>
          </w:tcPr>
          <w:p>
            <w:pPr>
              <w:widowControl/>
              <w:snapToGrid w:val="0"/>
              <w:jc w:val="center"/>
              <w:rPr>
                <w:kern w:val="0"/>
                <w:sz w:val="21"/>
                <w:szCs w:val="21"/>
              </w:rPr>
            </w:pPr>
            <w:r>
              <w:rPr>
                <w:kern w:val="0"/>
                <w:sz w:val="21"/>
                <w:szCs w:val="21"/>
              </w:rPr>
              <w:t>10m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18</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转料泵</w:t>
            </w:r>
          </w:p>
        </w:tc>
        <w:tc>
          <w:tcPr>
            <w:tcW w:w="1871" w:type="dxa"/>
            <w:vAlign w:val="center"/>
          </w:tcPr>
          <w:p>
            <w:pPr>
              <w:widowControl/>
              <w:snapToGrid w:val="0"/>
              <w:jc w:val="center"/>
              <w:rPr>
                <w:kern w:val="0"/>
                <w:sz w:val="21"/>
                <w:szCs w:val="21"/>
              </w:rPr>
            </w:pPr>
            <w:r>
              <w:rPr>
                <w:kern w:val="0"/>
                <w:sz w:val="21"/>
                <w:szCs w:val="21"/>
              </w:rPr>
              <w:t>5m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2</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tblHeader/>
        </w:trPr>
        <w:tc>
          <w:tcPr>
            <w:tcW w:w="685" w:type="dxa"/>
            <w:vAlign w:val="center"/>
          </w:tcPr>
          <w:p>
            <w:pPr>
              <w:widowControl/>
              <w:spacing w:line="240" w:lineRule="atLeast"/>
              <w:jc w:val="center"/>
              <w:rPr>
                <w:color w:val="000000"/>
                <w:kern w:val="0"/>
                <w:sz w:val="21"/>
                <w:szCs w:val="21"/>
              </w:rPr>
            </w:pPr>
            <w:r>
              <w:rPr>
                <w:color w:val="000000"/>
                <w:kern w:val="0"/>
                <w:sz w:val="21"/>
                <w:szCs w:val="21"/>
              </w:rPr>
              <w:t>19</w:t>
            </w:r>
          </w:p>
        </w:tc>
        <w:tc>
          <w:tcPr>
            <w:tcW w:w="2671" w:type="dxa"/>
            <w:vAlign w:val="center"/>
          </w:tcPr>
          <w:p>
            <w:pPr>
              <w:widowControl/>
              <w:snapToGrid w:val="0"/>
              <w:jc w:val="center"/>
              <w:rPr>
                <w:rFonts w:ascii="宋体" w:cs="宋体"/>
                <w:kern w:val="0"/>
                <w:sz w:val="21"/>
                <w:szCs w:val="21"/>
              </w:rPr>
            </w:pPr>
            <w:r>
              <w:rPr>
                <w:rFonts w:hint="eastAsia" w:ascii="宋体" w:hAnsi="宋体" w:cs="宋体"/>
                <w:kern w:val="0"/>
                <w:sz w:val="21"/>
                <w:szCs w:val="21"/>
              </w:rPr>
              <w:t>热水泵</w:t>
            </w:r>
          </w:p>
        </w:tc>
        <w:tc>
          <w:tcPr>
            <w:tcW w:w="1871" w:type="dxa"/>
            <w:vAlign w:val="center"/>
          </w:tcPr>
          <w:p>
            <w:pPr>
              <w:widowControl/>
              <w:snapToGrid w:val="0"/>
              <w:jc w:val="center"/>
              <w:rPr>
                <w:kern w:val="0"/>
                <w:sz w:val="21"/>
                <w:szCs w:val="21"/>
              </w:rPr>
            </w:pPr>
            <w:r>
              <w:rPr>
                <w:kern w:val="0"/>
                <w:sz w:val="21"/>
                <w:szCs w:val="21"/>
              </w:rPr>
              <w:t>30m</w:t>
            </w:r>
            <w:r>
              <w:rPr>
                <w:kern w:val="0"/>
                <w:sz w:val="21"/>
                <w:szCs w:val="21"/>
                <w:vertAlign w:val="superscript"/>
              </w:rPr>
              <w:t>3</w:t>
            </w:r>
            <w:r>
              <w:rPr>
                <w:kern w:val="0"/>
                <w:sz w:val="21"/>
                <w:szCs w:val="21"/>
              </w:rPr>
              <w:t>/h</w:t>
            </w:r>
          </w:p>
        </w:tc>
        <w:tc>
          <w:tcPr>
            <w:tcW w:w="1123" w:type="dxa"/>
            <w:vAlign w:val="center"/>
          </w:tcPr>
          <w:p>
            <w:pPr>
              <w:widowControl/>
              <w:jc w:val="center"/>
              <w:rPr>
                <w:kern w:val="0"/>
                <w:sz w:val="21"/>
                <w:szCs w:val="21"/>
              </w:rPr>
            </w:pPr>
            <w:r>
              <w:rPr>
                <w:kern w:val="0"/>
                <w:sz w:val="21"/>
                <w:szCs w:val="21"/>
              </w:rPr>
              <w:t>4</w:t>
            </w:r>
          </w:p>
        </w:tc>
        <w:tc>
          <w:tcPr>
            <w:tcW w:w="1434" w:type="dxa"/>
            <w:vAlign w:val="center"/>
          </w:tcPr>
          <w:p>
            <w:pPr>
              <w:widowControl/>
              <w:spacing w:line="240" w:lineRule="atLeast"/>
              <w:jc w:val="center"/>
              <w:rPr>
                <w:color w:val="000000"/>
                <w:kern w:val="0"/>
                <w:sz w:val="21"/>
                <w:szCs w:val="21"/>
              </w:rPr>
            </w:pPr>
            <w:r>
              <w:rPr>
                <w:rFonts w:hint="eastAsia" w:hAnsi="宋体"/>
                <w:color w:val="000000"/>
                <w:kern w:val="0"/>
                <w:sz w:val="21"/>
                <w:szCs w:val="21"/>
              </w:rPr>
              <w:t>台</w:t>
            </w:r>
          </w:p>
        </w:tc>
        <w:tc>
          <w:tcPr>
            <w:tcW w:w="1432" w:type="dxa"/>
            <w:vAlign w:val="center"/>
          </w:tcPr>
          <w:p>
            <w:pPr>
              <w:widowControl/>
              <w:spacing w:line="240" w:lineRule="atLeast"/>
              <w:jc w:val="center"/>
              <w:rPr>
                <w:rFonts w:hAnsi="宋体"/>
                <w:color w:val="000000"/>
                <w:kern w:val="0"/>
                <w:sz w:val="21"/>
                <w:szCs w:val="21"/>
              </w:rPr>
            </w:pPr>
            <w:r>
              <w:rPr>
                <w:rFonts w:hint="eastAsia" w:hAnsi="宋体"/>
                <w:kern w:val="0"/>
                <w:sz w:val="21"/>
                <w:szCs w:val="21"/>
              </w:rPr>
              <w:t>新建车间内</w:t>
            </w:r>
          </w:p>
        </w:tc>
      </w:tr>
    </w:tbl>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left"/>
        <w:textAlignment w:val="auto"/>
        <w:outlineLvl w:val="9"/>
        <w:rPr>
          <w:b/>
        </w:rPr>
      </w:pPr>
      <w:r>
        <w:rPr>
          <w:rFonts w:hint="eastAsia" w:ascii="宋体" w:hAnsi="宋体" w:cs="宋体"/>
        </w:rPr>
        <w:t>本项目最终产品为</w:t>
      </w:r>
      <w:r>
        <w:rPr>
          <w:rFonts w:hint="eastAsia"/>
        </w:rPr>
        <w:t>年产</w:t>
      </w:r>
      <w:r>
        <w:t>600</w:t>
      </w:r>
      <w:r>
        <w:rPr>
          <w:rFonts w:hint="eastAsia"/>
        </w:rPr>
        <w:t>吨抗氧化剂</w:t>
      </w:r>
      <w:r>
        <w:t>TBHQ</w:t>
      </w:r>
      <w:r>
        <w:rPr>
          <w:rFonts w:hint="eastAsia"/>
        </w:rPr>
        <w:t>，</w:t>
      </w:r>
      <w:r>
        <w:rPr>
          <w:rFonts w:hint="eastAsia"/>
          <w:bCs/>
          <w:kern w:val="0"/>
        </w:rPr>
        <w:t>项目工程建设情况调查表见表</w:t>
      </w:r>
      <w:r>
        <w:rPr>
          <w:bCs/>
          <w:kern w:val="0"/>
        </w:rPr>
        <w:t>3-2</w:t>
      </w:r>
      <w:r>
        <w:rPr>
          <w:rFonts w:hint="eastAsia"/>
          <w:bCs/>
          <w:kern w:val="0"/>
          <w:lang w:eastAsia="zh-CN"/>
        </w:rPr>
        <w:t>和表</w:t>
      </w:r>
      <w:r>
        <w:rPr>
          <w:rFonts w:hint="eastAsia"/>
          <w:bCs/>
          <w:kern w:val="0"/>
          <w:lang w:val="en-US" w:eastAsia="zh-CN"/>
        </w:rPr>
        <w:t>3-3</w:t>
      </w:r>
      <w:r>
        <w:rPr>
          <w:rFonts w:hint="eastAsia"/>
          <w:bCs/>
          <w:kern w:val="0"/>
        </w:rPr>
        <w:t>，项目四至示意图见图</w:t>
      </w:r>
      <w:r>
        <w:rPr>
          <w:bCs/>
          <w:kern w:val="0"/>
        </w:rPr>
        <w:t>3-1</w:t>
      </w:r>
      <w:r>
        <w:rPr>
          <w:rFonts w:hint="eastAsia"/>
          <w:bCs/>
          <w:kern w:val="0"/>
        </w:rPr>
        <w:t>，项目厂区雨污管网图和监测点位置见图</w:t>
      </w:r>
      <w:r>
        <w:rPr>
          <w:bCs/>
          <w:kern w:val="0"/>
        </w:rPr>
        <w:t>3-2</w:t>
      </w:r>
      <w:r>
        <w:rPr>
          <w:rFonts w:hint="eastAsia"/>
          <w:bCs/>
          <w:kern w:val="0"/>
        </w:rPr>
        <w:t>。</w:t>
      </w: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rFonts w:hint="eastAsia"/>
          <w:b/>
          <w:bCs/>
        </w:rPr>
      </w:pPr>
    </w:p>
    <w:p>
      <w:pPr>
        <w:spacing w:line="360" w:lineRule="auto"/>
        <w:jc w:val="center"/>
        <w:rPr>
          <w:b/>
          <w:bCs/>
        </w:rPr>
      </w:pPr>
      <w:r>
        <w:rPr>
          <w:rFonts w:hint="eastAsia"/>
          <w:b/>
          <w:bCs/>
        </w:rPr>
        <w:t>表</w:t>
      </w:r>
      <w:r>
        <w:rPr>
          <w:b/>
          <w:bCs/>
        </w:rPr>
        <w:t xml:space="preserve">3-2   </w:t>
      </w:r>
      <w:r>
        <w:rPr>
          <w:rFonts w:hint="eastAsia"/>
          <w:b/>
          <w:bCs/>
        </w:rPr>
        <w:t>工</w:t>
      </w:r>
      <w:r>
        <w:rPr>
          <w:rFonts w:hint="eastAsia" w:cs="宋体"/>
          <w:b/>
        </w:rPr>
        <w:t>程建设情况调查表</w:t>
      </w:r>
    </w:p>
    <w:tbl>
      <w:tblPr>
        <w:tblStyle w:val="47"/>
        <w:tblW w:w="10866" w:type="dxa"/>
        <w:jc w:val="center"/>
        <w:tblInd w:w="-1512" w:type="dxa"/>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1335"/>
        <w:gridCol w:w="1110"/>
        <w:gridCol w:w="2205"/>
        <w:gridCol w:w="1110"/>
        <w:gridCol w:w="2325"/>
        <w:gridCol w:w="1593"/>
      </w:tblGrid>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blHeader/>
          <w:jc w:val="center"/>
        </w:trPr>
        <w:tc>
          <w:tcPr>
            <w:tcW w:w="1188" w:type="dxa"/>
            <w:tcBorders>
              <w:top w:val="single" w:color="auto" w:sz="18" w:space="0"/>
            </w:tcBorders>
            <w:vAlign w:val="center"/>
          </w:tcPr>
          <w:p>
            <w:pPr>
              <w:ind w:left="-2"/>
              <w:jc w:val="center"/>
              <w:rPr>
                <w:rFonts w:cs="宋体"/>
                <w:b/>
                <w:sz w:val="21"/>
                <w:szCs w:val="21"/>
              </w:rPr>
            </w:pPr>
            <w:r>
              <w:rPr>
                <w:rFonts w:hint="eastAsia" w:cs="宋体"/>
                <w:b/>
                <w:sz w:val="21"/>
                <w:szCs w:val="21"/>
              </w:rPr>
              <w:t>组成</w:t>
            </w:r>
          </w:p>
        </w:tc>
        <w:tc>
          <w:tcPr>
            <w:tcW w:w="1335" w:type="dxa"/>
            <w:tcBorders>
              <w:top w:val="single" w:color="auto" w:sz="18" w:space="0"/>
            </w:tcBorders>
            <w:vAlign w:val="center"/>
          </w:tcPr>
          <w:p>
            <w:pPr>
              <w:ind w:left="-2"/>
              <w:jc w:val="center"/>
              <w:rPr>
                <w:rFonts w:cs="宋体"/>
                <w:b/>
                <w:sz w:val="21"/>
                <w:szCs w:val="21"/>
              </w:rPr>
            </w:pPr>
            <w:r>
              <w:rPr>
                <w:rFonts w:hint="eastAsia" w:cs="宋体"/>
                <w:b/>
                <w:sz w:val="21"/>
                <w:szCs w:val="21"/>
              </w:rPr>
              <w:t>工程内容</w:t>
            </w:r>
          </w:p>
        </w:tc>
        <w:tc>
          <w:tcPr>
            <w:tcW w:w="3315" w:type="dxa"/>
            <w:gridSpan w:val="2"/>
            <w:tcBorders>
              <w:top w:val="single" w:color="auto" w:sz="18" w:space="0"/>
            </w:tcBorders>
            <w:vAlign w:val="center"/>
          </w:tcPr>
          <w:p>
            <w:pPr>
              <w:ind w:left="-2"/>
              <w:jc w:val="center"/>
              <w:rPr>
                <w:rFonts w:hint="eastAsia" w:eastAsia="宋体" w:cs="宋体"/>
                <w:b/>
                <w:sz w:val="21"/>
                <w:szCs w:val="21"/>
                <w:lang w:eastAsia="zh-CN"/>
              </w:rPr>
            </w:pPr>
            <w:r>
              <w:rPr>
                <w:rFonts w:hint="eastAsia" w:cs="宋体"/>
                <w:b/>
                <w:sz w:val="21"/>
                <w:szCs w:val="21"/>
                <w:lang w:eastAsia="zh-CN"/>
              </w:rPr>
              <w:t>环评预估情况</w:t>
            </w:r>
          </w:p>
        </w:tc>
        <w:tc>
          <w:tcPr>
            <w:tcW w:w="3435" w:type="dxa"/>
            <w:gridSpan w:val="2"/>
            <w:tcBorders>
              <w:top w:val="single" w:color="auto" w:sz="18" w:space="0"/>
            </w:tcBorders>
            <w:vAlign w:val="center"/>
          </w:tcPr>
          <w:p>
            <w:pPr>
              <w:ind w:left="-2"/>
              <w:jc w:val="center"/>
              <w:rPr>
                <w:rFonts w:cs="宋体"/>
                <w:sz w:val="21"/>
                <w:szCs w:val="21"/>
              </w:rPr>
            </w:pPr>
            <w:r>
              <w:rPr>
                <w:rFonts w:hint="eastAsia" w:cs="宋体"/>
                <w:b/>
                <w:bCs/>
                <w:kern w:val="0"/>
                <w:sz w:val="21"/>
                <w:szCs w:val="21"/>
              </w:rPr>
              <w:t>实际</w:t>
            </w:r>
            <w:r>
              <w:rPr>
                <w:rFonts w:hint="eastAsia" w:cs="宋体"/>
                <w:b/>
                <w:bCs/>
                <w:kern w:val="0"/>
                <w:sz w:val="21"/>
                <w:szCs w:val="21"/>
                <w:lang w:eastAsia="zh-CN"/>
              </w:rPr>
              <w:t>建设</w:t>
            </w:r>
            <w:r>
              <w:rPr>
                <w:rFonts w:hint="eastAsia" w:cs="宋体"/>
                <w:b/>
                <w:bCs/>
                <w:kern w:val="0"/>
                <w:sz w:val="21"/>
                <w:szCs w:val="21"/>
              </w:rPr>
              <w:t>情况</w:t>
            </w:r>
          </w:p>
        </w:tc>
        <w:tc>
          <w:tcPr>
            <w:tcW w:w="1593" w:type="dxa"/>
            <w:tcBorders>
              <w:top w:val="single" w:color="auto" w:sz="18" w:space="0"/>
            </w:tcBorders>
            <w:vAlign w:val="center"/>
          </w:tcPr>
          <w:p>
            <w:pPr>
              <w:ind w:left="-2"/>
              <w:jc w:val="center"/>
              <w:rPr>
                <w:rFonts w:hint="eastAsia" w:eastAsia="宋体" w:cs="宋体"/>
                <w:b/>
                <w:bCs/>
                <w:kern w:val="0"/>
                <w:sz w:val="21"/>
                <w:szCs w:val="21"/>
                <w:lang w:eastAsia="zh-CN"/>
              </w:rPr>
            </w:pPr>
            <w:r>
              <w:rPr>
                <w:rFonts w:hint="eastAsia" w:cs="宋体"/>
                <w:b/>
                <w:bCs/>
                <w:kern w:val="0"/>
                <w:sz w:val="21"/>
                <w:szCs w:val="21"/>
                <w:lang w:eastAsia="zh-CN"/>
              </w:rPr>
              <w:t>备注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blHeader/>
          <w:jc w:val="center"/>
        </w:trPr>
        <w:tc>
          <w:tcPr>
            <w:tcW w:w="1188" w:type="dxa"/>
            <w:vAlign w:val="center"/>
          </w:tcPr>
          <w:p>
            <w:pPr>
              <w:ind w:left="-2"/>
              <w:jc w:val="center"/>
              <w:rPr>
                <w:rFonts w:cs="宋体"/>
                <w:b/>
                <w:sz w:val="21"/>
                <w:szCs w:val="21"/>
              </w:rPr>
            </w:pPr>
            <w:r>
              <w:rPr>
                <w:rFonts w:hint="eastAsia" w:cs="宋体"/>
                <w:b/>
                <w:sz w:val="21"/>
                <w:szCs w:val="21"/>
              </w:rPr>
              <w:t>位置</w:t>
            </w:r>
          </w:p>
        </w:tc>
        <w:tc>
          <w:tcPr>
            <w:tcW w:w="1335" w:type="dxa"/>
            <w:vAlign w:val="center"/>
          </w:tcPr>
          <w:p>
            <w:pPr>
              <w:ind w:left="-2"/>
              <w:jc w:val="center"/>
              <w:rPr>
                <w:rFonts w:cs="宋体"/>
                <w:b/>
                <w:sz w:val="21"/>
                <w:szCs w:val="21"/>
              </w:rPr>
            </w:pPr>
            <w:r>
              <w:rPr>
                <w:rFonts w:hint="eastAsia" w:cs="宋体"/>
                <w:bCs/>
                <w:sz w:val="21"/>
                <w:szCs w:val="21"/>
              </w:rPr>
              <w:t>建设地址</w:t>
            </w:r>
          </w:p>
        </w:tc>
        <w:tc>
          <w:tcPr>
            <w:tcW w:w="3315" w:type="dxa"/>
            <w:gridSpan w:val="2"/>
            <w:vAlign w:val="center"/>
          </w:tcPr>
          <w:p>
            <w:pPr>
              <w:ind w:left="-2"/>
              <w:jc w:val="center"/>
              <w:rPr>
                <w:rFonts w:cs="宋体"/>
                <w:b/>
                <w:sz w:val="21"/>
                <w:szCs w:val="21"/>
              </w:rPr>
            </w:pPr>
            <w:r>
              <w:rPr>
                <w:rFonts w:hint="eastAsia"/>
                <w:sz w:val="21"/>
                <w:szCs w:val="21"/>
              </w:rPr>
              <w:t>韶关市翁源县京珠高速翁城进出口引道南侧</w:t>
            </w:r>
            <w:r>
              <w:rPr>
                <w:sz w:val="21"/>
                <w:szCs w:val="21"/>
              </w:rPr>
              <w:t>250</w:t>
            </w:r>
            <w:r>
              <w:rPr>
                <w:rFonts w:hint="eastAsia"/>
                <w:sz w:val="21"/>
                <w:szCs w:val="21"/>
              </w:rPr>
              <w:t>米</w:t>
            </w:r>
          </w:p>
        </w:tc>
        <w:tc>
          <w:tcPr>
            <w:tcW w:w="3435" w:type="dxa"/>
            <w:gridSpan w:val="2"/>
            <w:vAlign w:val="center"/>
          </w:tcPr>
          <w:p>
            <w:pPr>
              <w:ind w:left="-2"/>
              <w:jc w:val="center"/>
              <w:rPr>
                <w:rFonts w:cs="宋体"/>
                <w:b/>
                <w:bCs/>
                <w:kern w:val="0"/>
                <w:sz w:val="21"/>
                <w:szCs w:val="21"/>
              </w:rPr>
            </w:pPr>
            <w:r>
              <w:rPr>
                <w:rFonts w:hint="eastAsia"/>
                <w:sz w:val="21"/>
                <w:szCs w:val="21"/>
              </w:rPr>
              <w:t>韶关市翁源县京珠高速翁城进出口引道南侧</w:t>
            </w:r>
            <w:r>
              <w:rPr>
                <w:sz w:val="21"/>
                <w:szCs w:val="21"/>
              </w:rPr>
              <w:t>250</w:t>
            </w:r>
            <w:r>
              <w:rPr>
                <w:rFonts w:hint="eastAsia"/>
                <w:sz w:val="21"/>
                <w:szCs w:val="21"/>
              </w:rPr>
              <w:t>米</w:t>
            </w:r>
          </w:p>
        </w:tc>
        <w:tc>
          <w:tcPr>
            <w:tcW w:w="1593" w:type="dxa"/>
            <w:vAlign w:val="center"/>
          </w:tcPr>
          <w:p>
            <w:pPr>
              <w:ind w:left="-2"/>
              <w:jc w:val="center"/>
              <w:rPr>
                <w:rFonts w:hint="eastAsia" w:eastAsia="宋体" w:cs="宋体"/>
                <w:b/>
                <w:bCs/>
                <w:kern w:val="0"/>
                <w:sz w:val="21"/>
                <w:szCs w:val="21"/>
                <w:lang w:eastAsia="zh-CN"/>
              </w:rPr>
            </w:pPr>
            <w:r>
              <w:rPr>
                <w:rFonts w:hint="eastAsia" w:cs="宋体"/>
                <w:b w:val="0"/>
                <w:bCs w:val="0"/>
                <w:kern w:val="0"/>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blHeader/>
          <w:jc w:val="center"/>
        </w:trPr>
        <w:tc>
          <w:tcPr>
            <w:tcW w:w="1188" w:type="dxa"/>
            <w:vMerge w:val="restart"/>
            <w:vAlign w:val="center"/>
          </w:tcPr>
          <w:p>
            <w:pPr>
              <w:ind w:left="-2"/>
              <w:jc w:val="center"/>
              <w:rPr>
                <w:rFonts w:cs="宋体"/>
                <w:b/>
                <w:sz w:val="21"/>
                <w:szCs w:val="21"/>
              </w:rPr>
            </w:pPr>
            <w:r>
              <w:rPr>
                <w:rFonts w:hint="eastAsia" w:cs="宋体"/>
                <w:b/>
                <w:sz w:val="21"/>
                <w:szCs w:val="21"/>
              </w:rPr>
              <w:t>投资</w:t>
            </w:r>
          </w:p>
        </w:tc>
        <w:tc>
          <w:tcPr>
            <w:tcW w:w="1335" w:type="dxa"/>
            <w:vAlign w:val="center"/>
          </w:tcPr>
          <w:p>
            <w:pPr>
              <w:ind w:left="-2"/>
              <w:jc w:val="center"/>
              <w:rPr>
                <w:rFonts w:cs="宋体"/>
                <w:bCs/>
                <w:sz w:val="21"/>
                <w:szCs w:val="21"/>
              </w:rPr>
            </w:pPr>
            <w:r>
              <w:rPr>
                <w:rFonts w:hint="eastAsia" w:cs="宋体"/>
                <w:bCs/>
                <w:sz w:val="21"/>
                <w:szCs w:val="21"/>
              </w:rPr>
              <w:t>项目投资</w:t>
            </w:r>
          </w:p>
        </w:tc>
        <w:tc>
          <w:tcPr>
            <w:tcW w:w="3315" w:type="dxa"/>
            <w:gridSpan w:val="2"/>
            <w:vAlign w:val="center"/>
          </w:tcPr>
          <w:p>
            <w:pPr>
              <w:ind w:left="-2"/>
              <w:jc w:val="center"/>
              <w:rPr>
                <w:rFonts w:cs="宋体"/>
                <w:bCs/>
                <w:sz w:val="21"/>
                <w:szCs w:val="21"/>
              </w:rPr>
            </w:pPr>
            <w:r>
              <w:rPr>
                <w:rFonts w:cs="宋体"/>
                <w:bCs/>
                <w:sz w:val="21"/>
                <w:szCs w:val="21"/>
              </w:rPr>
              <w:t>3000</w:t>
            </w:r>
            <w:r>
              <w:rPr>
                <w:rFonts w:hint="eastAsia" w:cs="宋体"/>
                <w:bCs/>
                <w:sz w:val="21"/>
                <w:szCs w:val="21"/>
              </w:rPr>
              <w:t>万元</w:t>
            </w:r>
          </w:p>
        </w:tc>
        <w:tc>
          <w:tcPr>
            <w:tcW w:w="3435" w:type="dxa"/>
            <w:gridSpan w:val="2"/>
            <w:vAlign w:val="center"/>
          </w:tcPr>
          <w:p>
            <w:pPr>
              <w:ind w:left="-2" w:leftChars="0"/>
              <w:jc w:val="center"/>
              <w:rPr>
                <w:rFonts w:cs="宋体"/>
                <w:b/>
                <w:bCs/>
                <w:kern w:val="0"/>
                <w:sz w:val="21"/>
                <w:szCs w:val="21"/>
              </w:rPr>
            </w:pPr>
            <w:r>
              <w:rPr>
                <w:rFonts w:cs="宋体"/>
                <w:bCs/>
                <w:sz w:val="21"/>
                <w:szCs w:val="21"/>
              </w:rPr>
              <w:t>3000</w:t>
            </w:r>
            <w:r>
              <w:rPr>
                <w:rFonts w:hint="eastAsia" w:cs="宋体"/>
                <w:bCs/>
                <w:sz w:val="21"/>
                <w:szCs w:val="21"/>
              </w:rPr>
              <w:t>万元</w:t>
            </w:r>
          </w:p>
        </w:tc>
        <w:tc>
          <w:tcPr>
            <w:tcW w:w="1593" w:type="dxa"/>
            <w:vAlign w:val="center"/>
          </w:tcPr>
          <w:p>
            <w:pPr>
              <w:ind w:left="-2"/>
              <w:jc w:val="center"/>
              <w:rPr>
                <w:rFonts w:hint="eastAsia" w:cs="宋体"/>
                <w:b/>
                <w:bCs/>
                <w:kern w:val="0"/>
                <w:sz w:val="21"/>
                <w:szCs w:val="21"/>
              </w:rPr>
            </w:pPr>
            <w:r>
              <w:rPr>
                <w:rFonts w:hint="eastAsia" w:cs="宋体"/>
                <w:b w:val="0"/>
                <w:bCs w:val="0"/>
                <w:kern w:val="0"/>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blHeader/>
          <w:jc w:val="center"/>
        </w:trPr>
        <w:tc>
          <w:tcPr>
            <w:tcW w:w="1188" w:type="dxa"/>
            <w:vMerge w:val="continue"/>
            <w:vAlign w:val="center"/>
          </w:tcPr>
          <w:p>
            <w:pPr>
              <w:ind w:left="-2"/>
              <w:jc w:val="center"/>
              <w:rPr>
                <w:rFonts w:cs="宋体"/>
                <w:b/>
                <w:sz w:val="21"/>
                <w:szCs w:val="21"/>
              </w:rPr>
            </w:pPr>
          </w:p>
        </w:tc>
        <w:tc>
          <w:tcPr>
            <w:tcW w:w="1335" w:type="dxa"/>
            <w:vAlign w:val="center"/>
          </w:tcPr>
          <w:p>
            <w:pPr>
              <w:ind w:left="-2"/>
              <w:jc w:val="center"/>
              <w:rPr>
                <w:rFonts w:cs="宋体"/>
                <w:bCs/>
                <w:sz w:val="21"/>
                <w:szCs w:val="21"/>
              </w:rPr>
            </w:pPr>
            <w:r>
              <w:rPr>
                <w:rFonts w:hint="eastAsia" w:cs="宋体"/>
                <w:bCs/>
                <w:sz w:val="21"/>
                <w:szCs w:val="21"/>
              </w:rPr>
              <w:t>环保投资</w:t>
            </w:r>
          </w:p>
        </w:tc>
        <w:tc>
          <w:tcPr>
            <w:tcW w:w="3315" w:type="dxa"/>
            <w:gridSpan w:val="2"/>
            <w:vAlign w:val="center"/>
          </w:tcPr>
          <w:p>
            <w:pPr>
              <w:ind w:left="-2"/>
              <w:jc w:val="center"/>
              <w:rPr>
                <w:rFonts w:cs="宋体"/>
                <w:bCs/>
                <w:sz w:val="21"/>
                <w:szCs w:val="21"/>
              </w:rPr>
            </w:pPr>
            <w:r>
              <w:rPr>
                <w:rFonts w:cs="宋体"/>
                <w:bCs/>
                <w:sz w:val="21"/>
                <w:szCs w:val="21"/>
              </w:rPr>
              <w:t>200</w:t>
            </w:r>
            <w:r>
              <w:rPr>
                <w:rFonts w:hint="eastAsia" w:cs="宋体"/>
                <w:bCs/>
                <w:sz w:val="21"/>
                <w:szCs w:val="21"/>
              </w:rPr>
              <w:t>万元</w:t>
            </w:r>
          </w:p>
        </w:tc>
        <w:tc>
          <w:tcPr>
            <w:tcW w:w="3435" w:type="dxa"/>
            <w:gridSpan w:val="2"/>
            <w:vAlign w:val="center"/>
          </w:tcPr>
          <w:p>
            <w:pPr>
              <w:ind w:left="-2" w:leftChars="0"/>
              <w:jc w:val="center"/>
              <w:rPr>
                <w:rFonts w:cs="宋体"/>
                <w:b/>
                <w:bCs/>
                <w:kern w:val="0"/>
                <w:sz w:val="21"/>
                <w:szCs w:val="21"/>
              </w:rPr>
            </w:pPr>
            <w:r>
              <w:rPr>
                <w:rFonts w:cs="宋体"/>
                <w:bCs/>
                <w:sz w:val="21"/>
                <w:szCs w:val="21"/>
              </w:rPr>
              <w:t>200</w:t>
            </w:r>
            <w:r>
              <w:rPr>
                <w:rFonts w:hint="eastAsia" w:cs="宋体"/>
                <w:bCs/>
                <w:sz w:val="21"/>
                <w:szCs w:val="21"/>
              </w:rPr>
              <w:t>万元</w:t>
            </w:r>
          </w:p>
        </w:tc>
        <w:tc>
          <w:tcPr>
            <w:tcW w:w="1593" w:type="dxa"/>
            <w:vAlign w:val="center"/>
          </w:tcPr>
          <w:p>
            <w:pPr>
              <w:ind w:left="-2"/>
              <w:jc w:val="center"/>
              <w:rPr>
                <w:rFonts w:hint="eastAsia" w:cs="宋体"/>
                <w:b/>
                <w:bCs/>
                <w:kern w:val="0"/>
                <w:sz w:val="21"/>
                <w:szCs w:val="21"/>
              </w:rPr>
            </w:pPr>
            <w:r>
              <w:rPr>
                <w:rFonts w:hint="eastAsia" w:cs="宋体"/>
                <w:b w:val="0"/>
                <w:bCs w:val="0"/>
                <w:kern w:val="0"/>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Align w:val="center"/>
          </w:tcPr>
          <w:p>
            <w:pPr>
              <w:ind w:left="-2"/>
              <w:jc w:val="center"/>
              <w:rPr>
                <w:rFonts w:cs="宋体"/>
                <w:b/>
                <w:sz w:val="21"/>
                <w:szCs w:val="21"/>
              </w:rPr>
            </w:pPr>
            <w:r>
              <w:rPr>
                <w:rFonts w:hint="eastAsia" w:cs="宋体"/>
                <w:b/>
                <w:sz w:val="21"/>
                <w:szCs w:val="21"/>
              </w:rPr>
              <w:t>主体工程</w:t>
            </w:r>
          </w:p>
        </w:tc>
        <w:tc>
          <w:tcPr>
            <w:tcW w:w="1335" w:type="dxa"/>
            <w:vAlign w:val="center"/>
          </w:tcPr>
          <w:p>
            <w:pPr>
              <w:ind w:left="-2"/>
              <w:jc w:val="center"/>
              <w:rPr>
                <w:rFonts w:cs="宋体"/>
                <w:sz w:val="21"/>
                <w:szCs w:val="21"/>
              </w:rPr>
            </w:pPr>
            <w:r>
              <w:rPr>
                <w:rFonts w:hint="eastAsia" w:cs="宋体"/>
                <w:sz w:val="21"/>
                <w:szCs w:val="21"/>
              </w:rPr>
              <w:t>生产车间</w:t>
            </w:r>
          </w:p>
        </w:tc>
        <w:tc>
          <w:tcPr>
            <w:tcW w:w="3315" w:type="dxa"/>
            <w:gridSpan w:val="2"/>
            <w:vAlign w:val="center"/>
          </w:tcPr>
          <w:p>
            <w:pPr>
              <w:ind w:left="-2"/>
              <w:jc w:val="center"/>
              <w:rPr>
                <w:rFonts w:cs="宋体"/>
                <w:sz w:val="21"/>
                <w:szCs w:val="21"/>
              </w:rPr>
            </w:pPr>
            <w:r>
              <w:rPr>
                <w:rFonts w:hint="eastAsia" w:cs="宋体"/>
                <w:sz w:val="21"/>
                <w:szCs w:val="21"/>
              </w:rPr>
              <w:t>新建三层生产车间，占地面积</w:t>
            </w:r>
            <w:r>
              <w:rPr>
                <w:rFonts w:cs="宋体"/>
                <w:sz w:val="21"/>
                <w:szCs w:val="21"/>
              </w:rPr>
              <w:t>2007.65m</w:t>
            </w:r>
            <w:r>
              <w:rPr>
                <w:rFonts w:cs="宋体"/>
                <w:sz w:val="21"/>
                <w:szCs w:val="21"/>
                <w:vertAlign w:val="superscript"/>
              </w:rPr>
              <w:t>2</w:t>
            </w:r>
            <w:r>
              <w:rPr>
                <w:rFonts w:hint="eastAsia" w:cs="宋体"/>
                <w:sz w:val="21"/>
                <w:szCs w:val="21"/>
              </w:rPr>
              <w:t>，建筑面积</w:t>
            </w:r>
            <w:r>
              <w:rPr>
                <w:rFonts w:cs="宋体"/>
                <w:sz w:val="21"/>
                <w:szCs w:val="21"/>
              </w:rPr>
              <w:t>4055.22m</w:t>
            </w:r>
            <w:r>
              <w:rPr>
                <w:rFonts w:cs="宋体"/>
                <w:sz w:val="21"/>
                <w:szCs w:val="21"/>
                <w:vertAlign w:val="superscript"/>
              </w:rPr>
              <w:t>2</w:t>
            </w:r>
          </w:p>
        </w:tc>
        <w:tc>
          <w:tcPr>
            <w:tcW w:w="3435" w:type="dxa"/>
            <w:gridSpan w:val="2"/>
            <w:vAlign w:val="center"/>
          </w:tcPr>
          <w:p>
            <w:pPr>
              <w:jc w:val="center"/>
              <w:rPr>
                <w:rFonts w:cs="宋体"/>
                <w:sz w:val="21"/>
                <w:szCs w:val="21"/>
                <w:highlight w:val="yellow"/>
              </w:rPr>
            </w:pPr>
            <w:r>
              <w:rPr>
                <w:rFonts w:hint="eastAsia" w:cs="宋体"/>
                <w:sz w:val="21"/>
                <w:szCs w:val="21"/>
              </w:rPr>
              <w:t>新建三层生产车间，占地面积</w:t>
            </w:r>
            <w:r>
              <w:rPr>
                <w:rFonts w:cs="宋体"/>
                <w:sz w:val="21"/>
                <w:szCs w:val="21"/>
              </w:rPr>
              <w:t>2007.65m</w:t>
            </w:r>
            <w:r>
              <w:rPr>
                <w:rFonts w:cs="宋体"/>
                <w:sz w:val="21"/>
                <w:szCs w:val="21"/>
                <w:vertAlign w:val="superscript"/>
              </w:rPr>
              <w:t>2</w:t>
            </w:r>
            <w:r>
              <w:rPr>
                <w:rFonts w:hint="eastAsia" w:cs="宋体"/>
                <w:sz w:val="21"/>
                <w:szCs w:val="21"/>
              </w:rPr>
              <w:t>，建筑面积</w:t>
            </w:r>
            <w:r>
              <w:rPr>
                <w:rFonts w:cs="宋体"/>
                <w:sz w:val="21"/>
                <w:szCs w:val="21"/>
              </w:rPr>
              <w:t>4055.22m</w:t>
            </w:r>
            <w:r>
              <w:rPr>
                <w:rFonts w:cs="宋体"/>
                <w:sz w:val="21"/>
                <w:szCs w:val="21"/>
                <w:vertAlign w:val="superscript"/>
              </w:rPr>
              <w:t>2</w:t>
            </w:r>
          </w:p>
        </w:tc>
        <w:tc>
          <w:tcPr>
            <w:tcW w:w="1593" w:type="dxa"/>
            <w:vAlign w:val="center"/>
          </w:tcPr>
          <w:p>
            <w:pPr>
              <w:jc w:val="center"/>
              <w:rPr>
                <w:rFonts w:hint="eastAsia" w:eastAsia="宋体" w:cs="宋体"/>
                <w:b/>
                <w:sz w:val="21"/>
                <w:szCs w:val="21"/>
                <w:lang w:eastAsia="zh-CN"/>
              </w:rPr>
            </w:pPr>
            <w:r>
              <w:rPr>
                <w:rFonts w:hint="eastAsia" w:cs="宋体"/>
                <w:b w:val="0"/>
                <w:bCs w:val="0"/>
                <w:kern w:val="0"/>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restart"/>
            <w:vAlign w:val="center"/>
          </w:tcPr>
          <w:p>
            <w:pPr>
              <w:ind w:left="-2"/>
              <w:jc w:val="center"/>
              <w:rPr>
                <w:rFonts w:cs="宋体"/>
                <w:b/>
                <w:sz w:val="21"/>
                <w:szCs w:val="21"/>
              </w:rPr>
            </w:pPr>
            <w:r>
              <w:rPr>
                <w:rFonts w:hint="eastAsia" w:cs="宋体"/>
                <w:b/>
                <w:sz w:val="21"/>
                <w:szCs w:val="21"/>
              </w:rPr>
              <w:t>辅助工程</w:t>
            </w:r>
          </w:p>
        </w:tc>
        <w:tc>
          <w:tcPr>
            <w:tcW w:w="1335" w:type="dxa"/>
            <w:vAlign w:val="center"/>
          </w:tcPr>
          <w:p>
            <w:pPr>
              <w:jc w:val="center"/>
              <w:rPr>
                <w:rFonts w:cs="宋体"/>
                <w:sz w:val="21"/>
                <w:szCs w:val="21"/>
              </w:rPr>
            </w:pPr>
            <w:r>
              <w:rPr>
                <w:rFonts w:hint="eastAsia"/>
                <w:sz w:val="21"/>
                <w:szCs w:val="21"/>
              </w:rPr>
              <w:t>固体原料仓库</w:t>
            </w:r>
          </w:p>
        </w:tc>
        <w:tc>
          <w:tcPr>
            <w:tcW w:w="3315" w:type="dxa"/>
            <w:gridSpan w:val="2"/>
            <w:vAlign w:val="center"/>
          </w:tcPr>
          <w:p>
            <w:pPr>
              <w:ind w:left="-2"/>
              <w:jc w:val="center"/>
              <w:rPr>
                <w:rFonts w:cs="宋体"/>
                <w:sz w:val="21"/>
                <w:szCs w:val="21"/>
              </w:rPr>
            </w:pPr>
            <w:r>
              <w:rPr>
                <w:rFonts w:hint="eastAsia" w:cs="宋体"/>
                <w:sz w:val="21"/>
                <w:szCs w:val="21"/>
              </w:rPr>
              <w:t>依托原有工程固体原料仓库</w:t>
            </w:r>
            <w:r>
              <w:rPr>
                <w:rFonts w:hint="eastAsia" w:cs="宋体"/>
                <w:sz w:val="21"/>
                <w:szCs w:val="21"/>
                <w:lang w:eastAsia="zh-CN"/>
              </w:rPr>
              <w:t>，厂区北面，一层建筑，建筑面积</w:t>
            </w:r>
            <w:r>
              <w:rPr>
                <w:rFonts w:hint="eastAsia" w:cs="宋体"/>
                <w:sz w:val="21"/>
                <w:szCs w:val="21"/>
                <w:lang w:val="en-US" w:eastAsia="zh-CN"/>
              </w:rPr>
              <w:t>1488</w:t>
            </w:r>
            <w:r>
              <w:rPr>
                <w:rFonts w:cs="宋体"/>
                <w:sz w:val="21"/>
                <w:szCs w:val="21"/>
              </w:rPr>
              <w:t>m</w:t>
            </w:r>
            <w:r>
              <w:rPr>
                <w:rFonts w:cs="宋体"/>
                <w:sz w:val="21"/>
                <w:szCs w:val="21"/>
                <w:vertAlign w:val="superscript"/>
              </w:rPr>
              <w:t>2</w:t>
            </w:r>
          </w:p>
        </w:tc>
        <w:tc>
          <w:tcPr>
            <w:tcW w:w="3435" w:type="dxa"/>
            <w:gridSpan w:val="2"/>
            <w:vAlign w:val="center"/>
          </w:tcPr>
          <w:p>
            <w:pPr>
              <w:jc w:val="center"/>
              <w:rPr>
                <w:rFonts w:cs="宋体"/>
                <w:sz w:val="21"/>
                <w:szCs w:val="21"/>
              </w:rPr>
            </w:pPr>
            <w:r>
              <w:rPr>
                <w:rFonts w:hint="eastAsia" w:cs="宋体"/>
                <w:sz w:val="21"/>
                <w:szCs w:val="21"/>
              </w:rPr>
              <w:t>依托原有工程固体原料仓库</w:t>
            </w:r>
            <w:r>
              <w:rPr>
                <w:rFonts w:hint="eastAsia" w:cs="宋体"/>
                <w:sz w:val="21"/>
                <w:szCs w:val="21"/>
                <w:lang w:eastAsia="zh-CN"/>
              </w:rPr>
              <w:t>，厂区北面，一层建筑，建筑面积</w:t>
            </w:r>
            <w:r>
              <w:rPr>
                <w:rFonts w:hint="eastAsia" w:cs="宋体"/>
                <w:sz w:val="21"/>
                <w:szCs w:val="21"/>
                <w:lang w:val="en-US" w:eastAsia="zh-CN"/>
              </w:rPr>
              <w:t>1488</w:t>
            </w:r>
            <w:r>
              <w:rPr>
                <w:rFonts w:cs="宋体"/>
                <w:sz w:val="21"/>
                <w:szCs w:val="21"/>
              </w:rPr>
              <w:t>m</w:t>
            </w:r>
            <w:r>
              <w:rPr>
                <w:rFonts w:cs="宋体"/>
                <w:sz w:val="21"/>
                <w:szCs w:val="21"/>
                <w:vertAlign w:val="superscript"/>
              </w:rPr>
              <w:t>2</w:t>
            </w:r>
          </w:p>
        </w:tc>
        <w:tc>
          <w:tcPr>
            <w:tcW w:w="1593" w:type="dxa"/>
            <w:vAlign w:val="center"/>
          </w:tcPr>
          <w:p>
            <w:pPr>
              <w:jc w:val="center"/>
              <w:rPr>
                <w:rFonts w:hint="eastAsia" w:eastAsia="宋体" w:cs="宋体"/>
                <w:b/>
                <w:sz w:val="21"/>
                <w:szCs w:val="21"/>
                <w:lang w:eastAsia="zh-CN"/>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b/>
                <w:sz w:val="21"/>
                <w:szCs w:val="21"/>
              </w:rPr>
            </w:pPr>
          </w:p>
        </w:tc>
        <w:tc>
          <w:tcPr>
            <w:tcW w:w="1335" w:type="dxa"/>
            <w:vAlign w:val="center"/>
          </w:tcPr>
          <w:p>
            <w:pPr>
              <w:jc w:val="center"/>
              <w:rPr>
                <w:rFonts w:cs="宋体"/>
                <w:sz w:val="21"/>
                <w:szCs w:val="21"/>
              </w:rPr>
            </w:pPr>
            <w:r>
              <w:rPr>
                <w:rFonts w:hint="eastAsia"/>
                <w:sz w:val="21"/>
                <w:szCs w:val="21"/>
              </w:rPr>
              <w:t>成品仓库</w:t>
            </w:r>
          </w:p>
        </w:tc>
        <w:tc>
          <w:tcPr>
            <w:tcW w:w="3315" w:type="dxa"/>
            <w:gridSpan w:val="2"/>
            <w:vAlign w:val="center"/>
          </w:tcPr>
          <w:p>
            <w:pPr>
              <w:ind w:left="-2"/>
              <w:jc w:val="center"/>
              <w:rPr>
                <w:rFonts w:cs="宋体"/>
                <w:sz w:val="21"/>
                <w:szCs w:val="21"/>
              </w:rPr>
            </w:pPr>
            <w:r>
              <w:rPr>
                <w:rFonts w:hint="eastAsia" w:cs="宋体"/>
                <w:sz w:val="21"/>
                <w:szCs w:val="21"/>
              </w:rPr>
              <w:t>依托原有工程成品仓库，</w:t>
            </w:r>
            <w:r>
              <w:rPr>
                <w:rFonts w:hint="eastAsia" w:cs="宋体"/>
                <w:sz w:val="21"/>
                <w:szCs w:val="21"/>
                <w:lang w:eastAsia="zh-CN"/>
              </w:rPr>
              <w:t>厂区北面，一层建筑，建筑面积</w:t>
            </w:r>
            <w:r>
              <w:rPr>
                <w:rFonts w:hint="eastAsia" w:cs="宋体"/>
                <w:sz w:val="21"/>
                <w:szCs w:val="21"/>
                <w:lang w:val="en-US" w:eastAsia="zh-CN"/>
              </w:rPr>
              <w:t>540</w:t>
            </w:r>
            <w:r>
              <w:rPr>
                <w:rFonts w:cs="宋体"/>
                <w:sz w:val="21"/>
                <w:szCs w:val="21"/>
              </w:rPr>
              <w:t>m</w:t>
            </w:r>
            <w:r>
              <w:rPr>
                <w:rFonts w:cs="宋体"/>
                <w:sz w:val="21"/>
                <w:szCs w:val="21"/>
                <w:vertAlign w:val="superscript"/>
              </w:rPr>
              <w:t>2</w:t>
            </w:r>
          </w:p>
        </w:tc>
        <w:tc>
          <w:tcPr>
            <w:tcW w:w="3435" w:type="dxa"/>
            <w:gridSpan w:val="2"/>
            <w:vAlign w:val="center"/>
          </w:tcPr>
          <w:p>
            <w:pPr>
              <w:jc w:val="center"/>
              <w:rPr>
                <w:rFonts w:cs="宋体"/>
                <w:b/>
                <w:sz w:val="21"/>
                <w:szCs w:val="21"/>
              </w:rPr>
            </w:pPr>
            <w:r>
              <w:rPr>
                <w:rFonts w:hint="eastAsia" w:cs="宋体"/>
                <w:sz w:val="21"/>
                <w:szCs w:val="21"/>
              </w:rPr>
              <w:t>依托原有工程成品仓库，</w:t>
            </w:r>
            <w:r>
              <w:rPr>
                <w:rFonts w:hint="eastAsia" w:cs="宋体"/>
                <w:sz w:val="21"/>
                <w:szCs w:val="21"/>
                <w:lang w:eastAsia="zh-CN"/>
              </w:rPr>
              <w:t>厂区北面，一层建筑，建筑面积</w:t>
            </w:r>
            <w:r>
              <w:rPr>
                <w:rFonts w:hint="eastAsia" w:cs="宋体"/>
                <w:sz w:val="21"/>
                <w:szCs w:val="21"/>
                <w:lang w:val="en-US" w:eastAsia="zh-CN"/>
              </w:rPr>
              <w:t>540</w:t>
            </w:r>
            <w:r>
              <w:rPr>
                <w:rFonts w:cs="宋体"/>
                <w:sz w:val="21"/>
                <w:szCs w:val="21"/>
              </w:rPr>
              <w:t>m</w:t>
            </w:r>
            <w:r>
              <w:rPr>
                <w:rFonts w:cs="宋体"/>
                <w:sz w:val="21"/>
                <w:szCs w:val="21"/>
                <w:vertAlign w:val="superscript"/>
              </w:rPr>
              <w:t>2</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b/>
                <w:sz w:val="21"/>
                <w:szCs w:val="21"/>
              </w:rPr>
            </w:pPr>
          </w:p>
        </w:tc>
        <w:tc>
          <w:tcPr>
            <w:tcW w:w="1335" w:type="dxa"/>
            <w:vAlign w:val="center"/>
          </w:tcPr>
          <w:p>
            <w:pPr>
              <w:jc w:val="center"/>
              <w:rPr>
                <w:rFonts w:cs="宋体"/>
                <w:sz w:val="21"/>
                <w:szCs w:val="21"/>
              </w:rPr>
            </w:pPr>
            <w:r>
              <w:rPr>
                <w:rFonts w:hint="eastAsia"/>
                <w:sz w:val="21"/>
                <w:szCs w:val="21"/>
              </w:rPr>
              <w:t>罐区</w:t>
            </w:r>
          </w:p>
        </w:tc>
        <w:tc>
          <w:tcPr>
            <w:tcW w:w="3315" w:type="dxa"/>
            <w:gridSpan w:val="2"/>
            <w:vAlign w:val="center"/>
          </w:tcPr>
          <w:p>
            <w:pPr>
              <w:ind w:left="-2"/>
              <w:jc w:val="center"/>
              <w:rPr>
                <w:rFonts w:cs="宋体"/>
                <w:sz w:val="21"/>
                <w:szCs w:val="21"/>
              </w:rPr>
            </w:pPr>
            <w:r>
              <w:rPr>
                <w:rFonts w:hint="eastAsia" w:cs="宋体"/>
                <w:sz w:val="21"/>
                <w:szCs w:val="21"/>
              </w:rPr>
              <w:t>依托原有工程罐区位置，新增</w:t>
            </w:r>
            <w:r>
              <w:rPr>
                <w:rFonts w:cs="宋体"/>
                <w:sz w:val="21"/>
                <w:szCs w:val="21"/>
              </w:rPr>
              <w:t>4</w:t>
            </w:r>
            <w:r>
              <w:rPr>
                <w:rFonts w:hint="eastAsia" w:cs="宋体"/>
                <w:sz w:val="21"/>
                <w:szCs w:val="21"/>
              </w:rPr>
              <w:t>个储罐</w:t>
            </w:r>
          </w:p>
        </w:tc>
        <w:tc>
          <w:tcPr>
            <w:tcW w:w="3435" w:type="dxa"/>
            <w:gridSpan w:val="2"/>
            <w:vAlign w:val="center"/>
          </w:tcPr>
          <w:p>
            <w:pPr>
              <w:jc w:val="center"/>
              <w:rPr>
                <w:rFonts w:cs="宋体"/>
                <w:b/>
                <w:sz w:val="21"/>
                <w:szCs w:val="21"/>
              </w:rPr>
            </w:pPr>
            <w:r>
              <w:rPr>
                <w:rFonts w:hint="eastAsia" w:cs="宋体"/>
                <w:sz w:val="21"/>
                <w:szCs w:val="21"/>
              </w:rPr>
              <w:t>依托原有工程罐区位置，新增</w:t>
            </w:r>
            <w:r>
              <w:rPr>
                <w:rFonts w:cs="宋体"/>
                <w:sz w:val="21"/>
                <w:szCs w:val="21"/>
              </w:rPr>
              <w:t>4</w:t>
            </w:r>
            <w:r>
              <w:rPr>
                <w:rFonts w:hint="eastAsia" w:cs="宋体"/>
                <w:sz w:val="21"/>
                <w:szCs w:val="21"/>
              </w:rPr>
              <w:t>个储罐</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b/>
                <w:sz w:val="21"/>
                <w:szCs w:val="21"/>
              </w:rPr>
            </w:pPr>
          </w:p>
        </w:tc>
        <w:tc>
          <w:tcPr>
            <w:tcW w:w="1335" w:type="dxa"/>
            <w:vAlign w:val="center"/>
          </w:tcPr>
          <w:p>
            <w:pPr>
              <w:jc w:val="center"/>
              <w:rPr>
                <w:rFonts w:cs="宋体"/>
                <w:sz w:val="21"/>
                <w:szCs w:val="21"/>
              </w:rPr>
            </w:pPr>
            <w:r>
              <w:rPr>
                <w:rFonts w:hint="eastAsia"/>
                <w:sz w:val="21"/>
                <w:szCs w:val="21"/>
              </w:rPr>
              <w:t>锅炉房</w:t>
            </w:r>
          </w:p>
        </w:tc>
        <w:tc>
          <w:tcPr>
            <w:tcW w:w="3315" w:type="dxa"/>
            <w:gridSpan w:val="2"/>
            <w:vAlign w:val="center"/>
          </w:tcPr>
          <w:p>
            <w:pPr>
              <w:ind w:left="-2"/>
              <w:jc w:val="center"/>
              <w:rPr>
                <w:rFonts w:cs="宋体"/>
                <w:sz w:val="21"/>
                <w:szCs w:val="21"/>
              </w:rPr>
            </w:pPr>
            <w:r>
              <w:rPr>
                <w:rFonts w:hint="eastAsia" w:cs="宋体"/>
                <w:sz w:val="21"/>
                <w:szCs w:val="21"/>
              </w:rPr>
              <w:t>依托原有工程锅炉房</w:t>
            </w:r>
          </w:p>
        </w:tc>
        <w:tc>
          <w:tcPr>
            <w:tcW w:w="3435" w:type="dxa"/>
            <w:gridSpan w:val="2"/>
            <w:vAlign w:val="center"/>
          </w:tcPr>
          <w:p>
            <w:pPr>
              <w:jc w:val="center"/>
              <w:rPr>
                <w:rFonts w:cs="宋体"/>
                <w:b/>
                <w:sz w:val="21"/>
                <w:szCs w:val="21"/>
              </w:rPr>
            </w:pPr>
            <w:r>
              <w:rPr>
                <w:rFonts w:hint="eastAsia" w:cs="宋体"/>
                <w:sz w:val="21"/>
                <w:szCs w:val="21"/>
              </w:rPr>
              <w:t>依托原有工程锅炉房</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b/>
                <w:sz w:val="21"/>
                <w:szCs w:val="21"/>
              </w:rPr>
            </w:pPr>
          </w:p>
        </w:tc>
        <w:tc>
          <w:tcPr>
            <w:tcW w:w="1335" w:type="dxa"/>
            <w:vAlign w:val="center"/>
          </w:tcPr>
          <w:p>
            <w:pPr>
              <w:jc w:val="center"/>
              <w:rPr>
                <w:rFonts w:cs="宋体"/>
                <w:sz w:val="21"/>
                <w:szCs w:val="21"/>
              </w:rPr>
            </w:pPr>
            <w:r>
              <w:rPr>
                <w:rFonts w:hint="eastAsia"/>
                <w:sz w:val="21"/>
                <w:szCs w:val="21"/>
              </w:rPr>
              <w:t>煤棚</w:t>
            </w:r>
          </w:p>
        </w:tc>
        <w:tc>
          <w:tcPr>
            <w:tcW w:w="3315" w:type="dxa"/>
            <w:gridSpan w:val="2"/>
            <w:vAlign w:val="center"/>
          </w:tcPr>
          <w:p>
            <w:pPr>
              <w:ind w:left="-2"/>
              <w:jc w:val="center"/>
              <w:rPr>
                <w:rFonts w:cs="宋体"/>
                <w:sz w:val="21"/>
                <w:szCs w:val="21"/>
              </w:rPr>
            </w:pPr>
            <w:r>
              <w:rPr>
                <w:rFonts w:hint="eastAsia" w:cs="宋体"/>
                <w:sz w:val="21"/>
                <w:szCs w:val="21"/>
              </w:rPr>
              <w:t>依托原有工程堆煤场</w:t>
            </w:r>
          </w:p>
        </w:tc>
        <w:tc>
          <w:tcPr>
            <w:tcW w:w="3435" w:type="dxa"/>
            <w:gridSpan w:val="2"/>
            <w:vAlign w:val="center"/>
          </w:tcPr>
          <w:p>
            <w:pPr>
              <w:jc w:val="center"/>
              <w:rPr>
                <w:rFonts w:cs="宋体"/>
                <w:b/>
                <w:sz w:val="21"/>
                <w:szCs w:val="21"/>
              </w:rPr>
            </w:pPr>
            <w:r>
              <w:rPr>
                <w:rFonts w:hint="eastAsia" w:cs="宋体"/>
                <w:sz w:val="21"/>
                <w:szCs w:val="21"/>
              </w:rPr>
              <w:t>依托原有工程堆煤场</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Align w:val="center"/>
          </w:tcPr>
          <w:p>
            <w:pPr>
              <w:ind w:left="-2"/>
              <w:jc w:val="center"/>
              <w:rPr>
                <w:rFonts w:cs="宋体"/>
                <w:b/>
                <w:sz w:val="21"/>
                <w:szCs w:val="21"/>
              </w:rPr>
            </w:pPr>
            <w:r>
              <w:rPr>
                <w:rFonts w:hint="eastAsia" w:cs="宋体"/>
                <w:b/>
                <w:sz w:val="21"/>
                <w:szCs w:val="21"/>
              </w:rPr>
              <w:t>公用工程</w:t>
            </w:r>
          </w:p>
        </w:tc>
        <w:tc>
          <w:tcPr>
            <w:tcW w:w="1335" w:type="dxa"/>
            <w:vAlign w:val="center"/>
          </w:tcPr>
          <w:p>
            <w:pPr>
              <w:widowControl/>
              <w:autoSpaceDE w:val="0"/>
              <w:autoSpaceDN w:val="0"/>
              <w:adjustRightInd w:val="0"/>
              <w:jc w:val="center"/>
              <w:textAlignment w:val="baseline"/>
              <w:rPr>
                <w:rFonts w:cs="宋体"/>
                <w:kern w:val="0"/>
                <w:sz w:val="21"/>
                <w:szCs w:val="21"/>
              </w:rPr>
            </w:pPr>
            <w:r>
              <w:rPr>
                <w:rFonts w:hint="eastAsia" w:cs="宋体"/>
                <w:kern w:val="0"/>
                <w:sz w:val="21"/>
                <w:szCs w:val="21"/>
              </w:rPr>
              <w:t>供水供电</w:t>
            </w:r>
          </w:p>
        </w:tc>
        <w:tc>
          <w:tcPr>
            <w:tcW w:w="3315" w:type="dxa"/>
            <w:gridSpan w:val="2"/>
            <w:vAlign w:val="center"/>
          </w:tcPr>
          <w:p>
            <w:pPr>
              <w:widowControl/>
              <w:autoSpaceDE w:val="0"/>
              <w:autoSpaceDN w:val="0"/>
              <w:adjustRightInd w:val="0"/>
              <w:jc w:val="center"/>
              <w:textAlignment w:val="baseline"/>
              <w:rPr>
                <w:rFonts w:cs="宋体"/>
                <w:kern w:val="0"/>
                <w:sz w:val="21"/>
                <w:szCs w:val="21"/>
              </w:rPr>
            </w:pPr>
            <w:r>
              <w:rPr>
                <w:rFonts w:hint="eastAsia" w:cs="宋体"/>
                <w:kern w:val="0"/>
                <w:sz w:val="21"/>
                <w:szCs w:val="21"/>
              </w:rPr>
              <w:t>依托原有供水供电设施</w:t>
            </w:r>
          </w:p>
        </w:tc>
        <w:tc>
          <w:tcPr>
            <w:tcW w:w="3435" w:type="dxa"/>
            <w:gridSpan w:val="2"/>
            <w:vAlign w:val="center"/>
          </w:tcPr>
          <w:p>
            <w:pPr>
              <w:widowControl/>
              <w:autoSpaceDE w:val="0"/>
              <w:autoSpaceDN w:val="0"/>
              <w:adjustRightInd w:val="0"/>
              <w:jc w:val="center"/>
              <w:textAlignment w:val="baseline"/>
              <w:rPr>
                <w:rFonts w:cs="宋体"/>
                <w:kern w:val="0"/>
                <w:sz w:val="21"/>
                <w:szCs w:val="21"/>
              </w:rPr>
            </w:pPr>
            <w:r>
              <w:rPr>
                <w:rFonts w:hint="eastAsia" w:cs="宋体"/>
                <w:kern w:val="0"/>
                <w:sz w:val="21"/>
                <w:szCs w:val="21"/>
              </w:rPr>
              <w:t>依托原有供水供电设施</w:t>
            </w:r>
          </w:p>
        </w:tc>
        <w:tc>
          <w:tcPr>
            <w:tcW w:w="1593" w:type="dxa"/>
            <w:vAlign w:val="center"/>
          </w:tcPr>
          <w:p>
            <w:pPr>
              <w:widowControl/>
              <w:autoSpaceDE w:val="0"/>
              <w:autoSpaceDN w:val="0"/>
              <w:adjustRightInd w:val="0"/>
              <w:jc w:val="center"/>
              <w:textAlignment w:val="baseline"/>
              <w:rPr>
                <w:rFonts w:hint="eastAsia" w:cs="宋体"/>
                <w:b/>
                <w:kern w:val="0"/>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5" w:hRule="atLeast"/>
          <w:jc w:val="center"/>
        </w:trPr>
        <w:tc>
          <w:tcPr>
            <w:tcW w:w="1188" w:type="dxa"/>
            <w:vMerge w:val="restart"/>
            <w:vAlign w:val="center"/>
          </w:tcPr>
          <w:p>
            <w:pPr>
              <w:ind w:left="-2"/>
              <w:jc w:val="center"/>
              <w:rPr>
                <w:rFonts w:cs="宋体"/>
                <w:b/>
                <w:sz w:val="21"/>
                <w:szCs w:val="21"/>
              </w:rPr>
            </w:pPr>
            <w:r>
              <w:rPr>
                <w:rFonts w:hint="eastAsia" w:cs="宋体"/>
                <w:b/>
                <w:sz w:val="21"/>
                <w:szCs w:val="21"/>
              </w:rPr>
              <w:t>环保工程</w:t>
            </w:r>
          </w:p>
        </w:tc>
        <w:tc>
          <w:tcPr>
            <w:tcW w:w="1335" w:type="dxa"/>
            <w:vAlign w:val="center"/>
          </w:tcPr>
          <w:p>
            <w:pPr>
              <w:ind w:left="-2"/>
              <w:jc w:val="center"/>
              <w:rPr>
                <w:rFonts w:cs="宋体"/>
                <w:sz w:val="21"/>
                <w:szCs w:val="21"/>
              </w:rPr>
            </w:pPr>
            <w:r>
              <w:rPr>
                <w:rFonts w:hint="eastAsia" w:cs="宋体"/>
                <w:sz w:val="21"/>
                <w:szCs w:val="21"/>
              </w:rPr>
              <w:t>废水处理设施</w:t>
            </w:r>
          </w:p>
        </w:tc>
        <w:tc>
          <w:tcPr>
            <w:tcW w:w="3315" w:type="dxa"/>
            <w:gridSpan w:val="2"/>
            <w:vAlign w:val="center"/>
          </w:tcPr>
          <w:p>
            <w:pPr>
              <w:ind w:left="-2"/>
              <w:jc w:val="center"/>
              <w:rPr>
                <w:rFonts w:cs="宋体"/>
                <w:sz w:val="21"/>
                <w:szCs w:val="21"/>
              </w:rPr>
            </w:pPr>
            <w:r>
              <w:rPr>
                <w:rFonts w:hint="eastAsia" w:hAnsi="宋体"/>
                <w:sz w:val="21"/>
                <w:szCs w:val="21"/>
              </w:rPr>
              <w:t>依托原有污水处理站</w:t>
            </w:r>
          </w:p>
        </w:tc>
        <w:tc>
          <w:tcPr>
            <w:tcW w:w="3435" w:type="dxa"/>
            <w:gridSpan w:val="2"/>
            <w:vAlign w:val="center"/>
          </w:tcPr>
          <w:p>
            <w:pPr>
              <w:ind w:left="-2"/>
              <w:jc w:val="center"/>
              <w:rPr>
                <w:rFonts w:cs="宋体"/>
                <w:sz w:val="21"/>
                <w:szCs w:val="21"/>
              </w:rPr>
            </w:pPr>
            <w:r>
              <w:rPr>
                <w:rFonts w:hint="eastAsia" w:hAnsi="宋体"/>
                <w:sz w:val="21"/>
                <w:szCs w:val="21"/>
              </w:rPr>
              <w:t>依托原有污水处理站，增加部分设备，增大处理能力（已通过专家评审验收）</w:t>
            </w:r>
          </w:p>
        </w:tc>
        <w:tc>
          <w:tcPr>
            <w:tcW w:w="1593" w:type="dxa"/>
            <w:vAlign w:val="center"/>
          </w:tcPr>
          <w:p>
            <w:pPr>
              <w:ind w:left="-2"/>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38" w:hRule="atLeast"/>
          <w:jc w:val="center"/>
        </w:trPr>
        <w:tc>
          <w:tcPr>
            <w:tcW w:w="1188" w:type="dxa"/>
            <w:vMerge w:val="continue"/>
            <w:vAlign w:val="center"/>
          </w:tcPr>
          <w:p>
            <w:pPr>
              <w:ind w:left="-2"/>
              <w:jc w:val="center"/>
              <w:rPr>
                <w:rFonts w:cs="宋体"/>
                <w:sz w:val="21"/>
                <w:szCs w:val="21"/>
              </w:rPr>
            </w:pPr>
          </w:p>
        </w:tc>
        <w:tc>
          <w:tcPr>
            <w:tcW w:w="1335" w:type="dxa"/>
            <w:vMerge w:val="restart"/>
            <w:vAlign w:val="center"/>
          </w:tcPr>
          <w:p>
            <w:pPr>
              <w:jc w:val="center"/>
              <w:rPr>
                <w:rFonts w:cs="宋体"/>
                <w:sz w:val="21"/>
                <w:szCs w:val="21"/>
              </w:rPr>
            </w:pPr>
            <w:r>
              <w:rPr>
                <w:rFonts w:hint="eastAsia" w:cs="宋体"/>
                <w:sz w:val="21"/>
                <w:szCs w:val="21"/>
              </w:rPr>
              <w:t>废气处理设施</w:t>
            </w:r>
          </w:p>
        </w:tc>
        <w:tc>
          <w:tcPr>
            <w:tcW w:w="1110" w:type="dxa"/>
            <w:vAlign w:val="center"/>
          </w:tcPr>
          <w:p>
            <w:pPr>
              <w:jc w:val="center"/>
              <w:rPr>
                <w:rFonts w:cs="宋体"/>
                <w:sz w:val="21"/>
                <w:szCs w:val="21"/>
              </w:rPr>
            </w:pPr>
            <w:r>
              <w:rPr>
                <w:rFonts w:hint="eastAsia" w:cs="宋体"/>
                <w:sz w:val="21"/>
                <w:szCs w:val="21"/>
              </w:rPr>
              <w:t>锅炉废气</w:t>
            </w:r>
          </w:p>
        </w:tc>
        <w:tc>
          <w:tcPr>
            <w:tcW w:w="2205" w:type="dxa"/>
            <w:vAlign w:val="center"/>
          </w:tcPr>
          <w:p>
            <w:pPr>
              <w:jc w:val="center"/>
              <w:rPr>
                <w:rFonts w:hAnsi="宋体"/>
                <w:sz w:val="21"/>
                <w:szCs w:val="21"/>
              </w:rPr>
            </w:pPr>
            <w:r>
              <w:rPr>
                <w:rFonts w:hint="eastAsia" w:hAnsi="宋体"/>
                <w:sz w:val="21"/>
                <w:szCs w:val="21"/>
              </w:rPr>
              <w:t>依托原有工程，布袋除尘</w:t>
            </w:r>
            <w:r>
              <w:rPr>
                <w:rFonts w:hAnsi="宋体"/>
                <w:sz w:val="21"/>
                <w:szCs w:val="21"/>
              </w:rPr>
              <w:t>+</w:t>
            </w:r>
            <w:r>
              <w:rPr>
                <w:rFonts w:hint="eastAsia" w:hAnsi="宋体"/>
                <w:sz w:val="21"/>
                <w:szCs w:val="21"/>
              </w:rPr>
              <w:t>麻石水膜（碱液喷淋）处理设施</w:t>
            </w:r>
          </w:p>
        </w:tc>
        <w:tc>
          <w:tcPr>
            <w:tcW w:w="1110" w:type="dxa"/>
            <w:vAlign w:val="center"/>
          </w:tcPr>
          <w:p>
            <w:pPr>
              <w:jc w:val="center"/>
              <w:rPr>
                <w:rFonts w:cs="宋体"/>
                <w:sz w:val="21"/>
                <w:szCs w:val="21"/>
              </w:rPr>
            </w:pPr>
            <w:r>
              <w:rPr>
                <w:rFonts w:hint="eastAsia" w:cs="宋体"/>
                <w:sz w:val="21"/>
                <w:szCs w:val="21"/>
              </w:rPr>
              <w:t>锅炉废气</w:t>
            </w:r>
          </w:p>
        </w:tc>
        <w:tc>
          <w:tcPr>
            <w:tcW w:w="2325" w:type="dxa"/>
            <w:vAlign w:val="center"/>
          </w:tcPr>
          <w:p>
            <w:pPr>
              <w:jc w:val="center"/>
              <w:rPr>
                <w:rFonts w:cs="宋体"/>
                <w:sz w:val="21"/>
                <w:szCs w:val="21"/>
              </w:rPr>
            </w:pPr>
            <w:r>
              <w:rPr>
                <w:rFonts w:hint="eastAsia" w:hAnsi="宋体"/>
                <w:sz w:val="21"/>
                <w:szCs w:val="21"/>
              </w:rPr>
              <w:t>依托原有工程，布袋除尘</w:t>
            </w:r>
            <w:r>
              <w:rPr>
                <w:rFonts w:hAnsi="宋体"/>
                <w:sz w:val="21"/>
                <w:szCs w:val="21"/>
              </w:rPr>
              <w:t>+</w:t>
            </w:r>
            <w:r>
              <w:rPr>
                <w:rFonts w:hint="eastAsia" w:hAnsi="宋体"/>
                <w:sz w:val="21"/>
                <w:szCs w:val="21"/>
              </w:rPr>
              <w:t>麻石水膜（碱液喷淋）处理设施</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38" w:hRule="atLeast"/>
          <w:jc w:val="center"/>
        </w:trPr>
        <w:tc>
          <w:tcPr>
            <w:tcW w:w="1188" w:type="dxa"/>
            <w:vMerge w:val="continue"/>
            <w:vAlign w:val="center"/>
          </w:tcPr>
          <w:p>
            <w:pPr>
              <w:ind w:left="-2"/>
              <w:jc w:val="center"/>
              <w:rPr>
                <w:rFonts w:cs="宋体"/>
                <w:sz w:val="21"/>
                <w:szCs w:val="21"/>
              </w:rPr>
            </w:pPr>
          </w:p>
        </w:tc>
        <w:tc>
          <w:tcPr>
            <w:tcW w:w="1335" w:type="dxa"/>
            <w:vMerge w:val="continue"/>
            <w:vAlign w:val="center"/>
          </w:tcPr>
          <w:p>
            <w:pPr>
              <w:jc w:val="center"/>
              <w:rPr>
                <w:rFonts w:cs="宋体"/>
                <w:sz w:val="21"/>
                <w:szCs w:val="21"/>
              </w:rPr>
            </w:pPr>
          </w:p>
        </w:tc>
        <w:tc>
          <w:tcPr>
            <w:tcW w:w="1110" w:type="dxa"/>
            <w:vAlign w:val="center"/>
          </w:tcPr>
          <w:p>
            <w:pPr>
              <w:jc w:val="center"/>
              <w:rPr>
                <w:rFonts w:hAnsi="宋体"/>
                <w:sz w:val="21"/>
                <w:szCs w:val="21"/>
              </w:rPr>
            </w:pPr>
            <w:r>
              <w:rPr>
                <w:rFonts w:hint="eastAsia" w:hAnsi="宋体"/>
                <w:sz w:val="21"/>
                <w:szCs w:val="21"/>
              </w:rPr>
              <w:t>工艺废气</w:t>
            </w:r>
          </w:p>
        </w:tc>
        <w:tc>
          <w:tcPr>
            <w:tcW w:w="2205" w:type="dxa"/>
            <w:vAlign w:val="center"/>
          </w:tcPr>
          <w:p>
            <w:pPr>
              <w:jc w:val="center"/>
              <w:rPr>
                <w:rFonts w:hAnsi="宋体"/>
                <w:sz w:val="21"/>
                <w:szCs w:val="21"/>
              </w:rPr>
            </w:pPr>
            <w:r>
              <w:rPr>
                <w:rFonts w:hint="eastAsia" w:hAnsi="宋体"/>
                <w:sz w:val="21"/>
                <w:szCs w:val="21"/>
              </w:rPr>
              <w:t>新增水喷淋</w:t>
            </w:r>
            <w:r>
              <w:rPr>
                <w:rFonts w:hAnsi="宋体"/>
                <w:sz w:val="21"/>
                <w:szCs w:val="21"/>
              </w:rPr>
              <w:t>+</w:t>
            </w:r>
            <w:r>
              <w:rPr>
                <w:rFonts w:hint="eastAsia" w:hAnsi="宋体"/>
                <w:sz w:val="21"/>
                <w:szCs w:val="21"/>
              </w:rPr>
              <w:t>活性炭吸附</w:t>
            </w:r>
            <w:r>
              <w:rPr>
                <w:rFonts w:hint="eastAsia" w:hAnsi="宋体"/>
                <w:sz w:val="21"/>
                <w:szCs w:val="21"/>
                <w:lang w:eastAsia="zh-CN"/>
              </w:rPr>
              <w:t>（风机排风）</w:t>
            </w:r>
          </w:p>
        </w:tc>
        <w:tc>
          <w:tcPr>
            <w:tcW w:w="1110" w:type="dxa"/>
            <w:vAlign w:val="center"/>
          </w:tcPr>
          <w:p>
            <w:pPr>
              <w:jc w:val="center"/>
              <w:rPr>
                <w:rFonts w:cs="宋体"/>
                <w:b/>
                <w:sz w:val="21"/>
                <w:szCs w:val="21"/>
              </w:rPr>
            </w:pPr>
            <w:r>
              <w:rPr>
                <w:rFonts w:hint="eastAsia" w:hAnsi="宋体"/>
                <w:sz w:val="21"/>
                <w:szCs w:val="21"/>
              </w:rPr>
              <w:t>工艺废气</w:t>
            </w:r>
          </w:p>
        </w:tc>
        <w:tc>
          <w:tcPr>
            <w:tcW w:w="2325" w:type="dxa"/>
            <w:vAlign w:val="center"/>
          </w:tcPr>
          <w:p>
            <w:pPr>
              <w:jc w:val="center"/>
              <w:rPr>
                <w:rFonts w:cs="宋体"/>
                <w:b/>
                <w:sz w:val="21"/>
                <w:szCs w:val="21"/>
              </w:rPr>
            </w:pPr>
            <w:r>
              <w:rPr>
                <w:rFonts w:hint="eastAsia" w:hAnsi="宋体"/>
                <w:sz w:val="21"/>
                <w:szCs w:val="21"/>
              </w:rPr>
              <w:t>新增水喷淋</w:t>
            </w:r>
            <w:r>
              <w:rPr>
                <w:rFonts w:hAnsi="宋体"/>
                <w:sz w:val="21"/>
                <w:szCs w:val="21"/>
              </w:rPr>
              <w:t>+</w:t>
            </w:r>
            <w:r>
              <w:rPr>
                <w:rFonts w:hint="eastAsia" w:hAnsi="宋体"/>
                <w:sz w:val="21"/>
                <w:szCs w:val="21"/>
              </w:rPr>
              <w:t>活性炭吸附</w:t>
            </w:r>
            <w:r>
              <w:rPr>
                <w:rFonts w:hint="eastAsia" w:hAnsi="宋体"/>
                <w:sz w:val="21"/>
                <w:szCs w:val="21"/>
                <w:lang w:eastAsia="zh-CN"/>
              </w:rPr>
              <w:t>（自然排风）</w:t>
            </w:r>
          </w:p>
        </w:tc>
        <w:tc>
          <w:tcPr>
            <w:tcW w:w="1593" w:type="dxa"/>
            <w:vAlign w:val="center"/>
          </w:tcPr>
          <w:p>
            <w:pPr>
              <w:jc w:val="center"/>
              <w:rPr>
                <w:rFonts w:hint="eastAsia" w:eastAsia="宋体" w:cs="宋体"/>
                <w:b/>
                <w:sz w:val="21"/>
                <w:szCs w:val="21"/>
                <w:lang w:eastAsia="zh-CN"/>
              </w:rPr>
            </w:pPr>
            <w:r>
              <w:rPr>
                <w:rFonts w:hint="eastAsia" w:cs="宋体"/>
                <w:b/>
                <w:sz w:val="21"/>
                <w:szCs w:val="21"/>
                <w:lang w:eastAsia="zh-CN"/>
              </w:rPr>
              <w:t>变动不大</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sz w:val="21"/>
                <w:szCs w:val="21"/>
              </w:rPr>
            </w:pPr>
          </w:p>
        </w:tc>
        <w:tc>
          <w:tcPr>
            <w:tcW w:w="1335" w:type="dxa"/>
            <w:vAlign w:val="center"/>
          </w:tcPr>
          <w:p>
            <w:pPr>
              <w:ind w:left="-2"/>
              <w:jc w:val="center"/>
              <w:rPr>
                <w:rFonts w:cs="宋体"/>
                <w:sz w:val="21"/>
                <w:szCs w:val="21"/>
              </w:rPr>
            </w:pPr>
            <w:r>
              <w:rPr>
                <w:rFonts w:hint="eastAsia" w:cs="宋体"/>
                <w:sz w:val="21"/>
                <w:szCs w:val="21"/>
              </w:rPr>
              <w:t>固体废物污染防治措施</w:t>
            </w:r>
          </w:p>
        </w:tc>
        <w:tc>
          <w:tcPr>
            <w:tcW w:w="3315" w:type="dxa"/>
            <w:gridSpan w:val="2"/>
            <w:vAlign w:val="center"/>
          </w:tcPr>
          <w:p>
            <w:pPr>
              <w:jc w:val="center"/>
              <w:rPr>
                <w:rFonts w:cs="宋体"/>
                <w:sz w:val="21"/>
                <w:szCs w:val="21"/>
              </w:rPr>
            </w:pPr>
            <w:r>
              <w:rPr>
                <w:rFonts w:hint="eastAsia" w:cs="宋体"/>
                <w:sz w:val="21"/>
                <w:szCs w:val="21"/>
              </w:rPr>
              <w:t>依托原有工程防治措施，一般固废堆放在固体废物临时堆场，危险废物暂存在危废暂存间中。</w:t>
            </w:r>
          </w:p>
        </w:tc>
        <w:tc>
          <w:tcPr>
            <w:tcW w:w="3435" w:type="dxa"/>
            <w:gridSpan w:val="2"/>
            <w:vAlign w:val="center"/>
          </w:tcPr>
          <w:p>
            <w:pPr>
              <w:jc w:val="center"/>
              <w:rPr>
                <w:rFonts w:cs="宋体"/>
                <w:sz w:val="21"/>
                <w:szCs w:val="21"/>
              </w:rPr>
            </w:pPr>
            <w:r>
              <w:rPr>
                <w:rFonts w:hint="eastAsia" w:cs="宋体"/>
                <w:sz w:val="21"/>
                <w:szCs w:val="21"/>
              </w:rPr>
              <w:t>依托原有工程防治措施，一般固废堆放在固体废物临时堆场，危险废物暂存在危废暂存间中</w:t>
            </w:r>
          </w:p>
        </w:tc>
        <w:tc>
          <w:tcPr>
            <w:tcW w:w="1593" w:type="dxa"/>
            <w:vAlign w:val="center"/>
          </w:tcPr>
          <w:p>
            <w:pPr>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sz w:val="21"/>
                <w:szCs w:val="21"/>
              </w:rPr>
            </w:pPr>
          </w:p>
        </w:tc>
        <w:tc>
          <w:tcPr>
            <w:tcW w:w="1335" w:type="dxa"/>
            <w:vAlign w:val="center"/>
          </w:tcPr>
          <w:p>
            <w:pPr>
              <w:ind w:left="-2"/>
              <w:jc w:val="center"/>
              <w:rPr>
                <w:rFonts w:cs="宋体"/>
                <w:sz w:val="21"/>
                <w:szCs w:val="21"/>
              </w:rPr>
            </w:pPr>
            <w:r>
              <w:rPr>
                <w:rFonts w:hint="eastAsia" w:cs="宋体"/>
                <w:sz w:val="21"/>
                <w:szCs w:val="21"/>
              </w:rPr>
              <w:t>噪声治理措施</w:t>
            </w:r>
          </w:p>
        </w:tc>
        <w:tc>
          <w:tcPr>
            <w:tcW w:w="3315" w:type="dxa"/>
            <w:gridSpan w:val="2"/>
            <w:vAlign w:val="center"/>
          </w:tcPr>
          <w:p>
            <w:pPr>
              <w:ind w:left="-2"/>
              <w:jc w:val="center"/>
              <w:rPr>
                <w:rFonts w:cs="宋体"/>
                <w:sz w:val="21"/>
                <w:szCs w:val="21"/>
              </w:rPr>
            </w:pPr>
            <w:r>
              <w:rPr>
                <w:rFonts w:hint="eastAsia" w:cs="宋体"/>
                <w:sz w:val="21"/>
                <w:szCs w:val="21"/>
              </w:rPr>
              <w:t>设备隔声及减震、降噪等</w:t>
            </w:r>
          </w:p>
        </w:tc>
        <w:tc>
          <w:tcPr>
            <w:tcW w:w="3435" w:type="dxa"/>
            <w:gridSpan w:val="2"/>
            <w:vAlign w:val="center"/>
          </w:tcPr>
          <w:p>
            <w:pPr>
              <w:ind w:left="-2"/>
              <w:jc w:val="center"/>
              <w:rPr>
                <w:rFonts w:cs="宋体"/>
                <w:sz w:val="21"/>
                <w:szCs w:val="21"/>
              </w:rPr>
            </w:pPr>
            <w:r>
              <w:rPr>
                <w:rFonts w:hint="eastAsia" w:cs="宋体"/>
                <w:sz w:val="21"/>
                <w:szCs w:val="21"/>
              </w:rPr>
              <w:t>设备隔声及减震、降噪等</w:t>
            </w:r>
          </w:p>
        </w:tc>
        <w:tc>
          <w:tcPr>
            <w:tcW w:w="1593" w:type="dxa"/>
            <w:vAlign w:val="center"/>
          </w:tcPr>
          <w:p>
            <w:pPr>
              <w:ind w:left="-2"/>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vAlign w:val="center"/>
          </w:tcPr>
          <w:p>
            <w:pPr>
              <w:ind w:left="-2"/>
              <w:jc w:val="center"/>
              <w:rPr>
                <w:rFonts w:cs="宋体"/>
                <w:sz w:val="21"/>
                <w:szCs w:val="21"/>
              </w:rPr>
            </w:pPr>
          </w:p>
        </w:tc>
        <w:tc>
          <w:tcPr>
            <w:tcW w:w="1335" w:type="dxa"/>
            <w:vAlign w:val="center"/>
          </w:tcPr>
          <w:p>
            <w:pPr>
              <w:ind w:left="-2"/>
              <w:jc w:val="center"/>
              <w:rPr>
                <w:rFonts w:cs="宋体"/>
                <w:sz w:val="21"/>
                <w:szCs w:val="21"/>
              </w:rPr>
            </w:pPr>
            <w:r>
              <w:rPr>
                <w:rFonts w:hint="eastAsia" w:cs="宋体"/>
                <w:sz w:val="21"/>
                <w:szCs w:val="21"/>
              </w:rPr>
              <w:t>事故应急池</w:t>
            </w:r>
          </w:p>
        </w:tc>
        <w:tc>
          <w:tcPr>
            <w:tcW w:w="3315" w:type="dxa"/>
            <w:gridSpan w:val="2"/>
            <w:vAlign w:val="center"/>
          </w:tcPr>
          <w:p>
            <w:pPr>
              <w:ind w:left="-2"/>
              <w:jc w:val="center"/>
              <w:rPr>
                <w:rFonts w:cs="宋体"/>
                <w:sz w:val="21"/>
                <w:szCs w:val="21"/>
              </w:rPr>
            </w:pPr>
            <w:r>
              <w:rPr>
                <w:rFonts w:hint="eastAsia" w:cs="宋体"/>
                <w:sz w:val="21"/>
                <w:szCs w:val="21"/>
              </w:rPr>
              <w:t>依托原有工程，容积</w:t>
            </w:r>
            <w:r>
              <w:rPr>
                <w:rFonts w:cs="宋体"/>
                <w:sz w:val="21"/>
                <w:szCs w:val="21"/>
              </w:rPr>
              <w:t>750m</w:t>
            </w:r>
            <w:r>
              <w:rPr>
                <w:rFonts w:cs="宋体"/>
                <w:sz w:val="21"/>
                <w:szCs w:val="21"/>
                <w:vertAlign w:val="superscript"/>
              </w:rPr>
              <w:t>3</w:t>
            </w:r>
          </w:p>
        </w:tc>
        <w:tc>
          <w:tcPr>
            <w:tcW w:w="3435" w:type="dxa"/>
            <w:gridSpan w:val="2"/>
            <w:vAlign w:val="center"/>
          </w:tcPr>
          <w:p>
            <w:pPr>
              <w:ind w:left="-2" w:leftChars="0"/>
              <w:jc w:val="center"/>
              <w:rPr>
                <w:rFonts w:cs="宋体"/>
                <w:b/>
                <w:sz w:val="21"/>
                <w:szCs w:val="21"/>
              </w:rPr>
            </w:pPr>
            <w:r>
              <w:rPr>
                <w:rFonts w:hint="eastAsia" w:cs="宋体"/>
                <w:sz w:val="21"/>
                <w:szCs w:val="21"/>
              </w:rPr>
              <w:t>依托原有工程，容积</w:t>
            </w:r>
            <w:r>
              <w:rPr>
                <w:rFonts w:cs="宋体"/>
                <w:sz w:val="21"/>
                <w:szCs w:val="21"/>
              </w:rPr>
              <w:t>750m</w:t>
            </w:r>
            <w:r>
              <w:rPr>
                <w:rFonts w:cs="宋体"/>
                <w:sz w:val="21"/>
                <w:szCs w:val="21"/>
                <w:vertAlign w:val="superscript"/>
              </w:rPr>
              <w:t>3</w:t>
            </w:r>
          </w:p>
        </w:tc>
        <w:tc>
          <w:tcPr>
            <w:tcW w:w="1593" w:type="dxa"/>
            <w:vAlign w:val="center"/>
          </w:tcPr>
          <w:p>
            <w:pPr>
              <w:ind w:left="-2"/>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restart"/>
            <w:vAlign w:val="center"/>
          </w:tcPr>
          <w:p>
            <w:pPr>
              <w:ind w:left="-2"/>
              <w:jc w:val="center"/>
              <w:rPr>
                <w:rFonts w:cs="宋体"/>
                <w:b/>
                <w:bCs/>
                <w:sz w:val="21"/>
                <w:szCs w:val="21"/>
              </w:rPr>
            </w:pPr>
            <w:r>
              <w:rPr>
                <w:rFonts w:hint="eastAsia" w:cs="宋体"/>
                <w:b/>
                <w:bCs/>
                <w:sz w:val="21"/>
                <w:szCs w:val="21"/>
              </w:rPr>
              <w:t>工作管理</w:t>
            </w:r>
          </w:p>
        </w:tc>
        <w:tc>
          <w:tcPr>
            <w:tcW w:w="1335" w:type="dxa"/>
            <w:vAlign w:val="center"/>
          </w:tcPr>
          <w:p>
            <w:pPr>
              <w:ind w:left="-2"/>
              <w:jc w:val="center"/>
              <w:rPr>
                <w:rFonts w:cs="宋体"/>
                <w:sz w:val="21"/>
                <w:szCs w:val="21"/>
              </w:rPr>
            </w:pPr>
            <w:r>
              <w:rPr>
                <w:rFonts w:hint="eastAsia" w:cs="宋体"/>
                <w:sz w:val="21"/>
                <w:szCs w:val="21"/>
              </w:rPr>
              <w:t>劳动人员</w:t>
            </w:r>
          </w:p>
        </w:tc>
        <w:tc>
          <w:tcPr>
            <w:tcW w:w="3315" w:type="dxa"/>
            <w:gridSpan w:val="2"/>
            <w:vAlign w:val="center"/>
          </w:tcPr>
          <w:p>
            <w:pPr>
              <w:ind w:left="-2"/>
              <w:jc w:val="center"/>
              <w:rPr>
                <w:rFonts w:cs="宋体"/>
                <w:sz w:val="21"/>
                <w:szCs w:val="21"/>
              </w:rPr>
            </w:pPr>
            <w:r>
              <w:rPr>
                <w:rFonts w:hint="eastAsia" w:cs="宋体"/>
                <w:sz w:val="21"/>
                <w:szCs w:val="21"/>
              </w:rPr>
              <w:t>新增</w:t>
            </w:r>
            <w:r>
              <w:rPr>
                <w:rFonts w:cs="宋体"/>
                <w:sz w:val="21"/>
                <w:szCs w:val="21"/>
              </w:rPr>
              <w:t>80</w:t>
            </w:r>
            <w:r>
              <w:rPr>
                <w:rFonts w:hint="eastAsia" w:cs="宋体"/>
                <w:sz w:val="21"/>
                <w:szCs w:val="21"/>
              </w:rPr>
              <w:t>人</w:t>
            </w:r>
          </w:p>
        </w:tc>
        <w:tc>
          <w:tcPr>
            <w:tcW w:w="3435" w:type="dxa"/>
            <w:gridSpan w:val="2"/>
            <w:vAlign w:val="center"/>
          </w:tcPr>
          <w:p>
            <w:pPr>
              <w:ind w:left="-2" w:leftChars="0"/>
              <w:jc w:val="center"/>
              <w:rPr>
                <w:rFonts w:cs="宋体"/>
                <w:b/>
                <w:sz w:val="21"/>
                <w:szCs w:val="21"/>
              </w:rPr>
            </w:pPr>
            <w:r>
              <w:rPr>
                <w:rFonts w:hint="eastAsia" w:cs="宋体"/>
                <w:sz w:val="21"/>
                <w:szCs w:val="21"/>
              </w:rPr>
              <w:t>新增</w:t>
            </w:r>
            <w:r>
              <w:rPr>
                <w:rFonts w:cs="宋体"/>
                <w:sz w:val="21"/>
                <w:szCs w:val="21"/>
              </w:rPr>
              <w:t>80</w:t>
            </w:r>
            <w:r>
              <w:rPr>
                <w:rFonts w:hint="eastAsia" w:cs="宋体"/>
                <w:sz w:val="21"/>
                <w:szCs w:val="21"/>
              </w:rPr>
              <w:t>人</w:t>
            </w:r>
          </w:p>
        </w:tc>
        <w:tc>
          <w:tcPr>
            <w:tcW w:w="1593" w:type="dxa"/>
            <w:vAlign w:val="center"/>
          </w:tcPr>
          <w:p>
            <w:pPr>
              <w:ind w:left="-2"/>
              <w:jc w:val="center"/>
              <w:rPr>
                <w:rFonts w:hint="eastAsia" w:cs="宋体"/>
                <w:b/>
                <w:sz w:val="21"/>
                <w:szCs w:val="21"/>
              </w:rPr>
            </w:pPr>
            <w:r>
              <w:rPr>
                <w:rFonts w:hint="eastAsia" w:cs="宋体"/>
                <w:b w:val="0"/>
                <w:bCs/>
                <w:sz w:val="21"/>
                <w:szCs w:val="21"/>
                <w:lang w:eastAsia="zh-CN"/>
              </w:rPr>
              <w:t>无变动</w:t>
            </w:r>
          </w:p>
        </w:tc>
      </w:tr>
      <w:tr>
        <w:tblPrEx>
          <w:tblBorders>
            <w:top w:val="single" w:color="auto" w:sz="18" w:space="0"/>
            <w:left w:val="none" w:color="auto" w:sz="0" w:space="0"/>
            <w:bottom w:val="single" w:color="auto" w:sz="18"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1188" w:type="dxa"/>
            <w:vMerge w:val="continue"/>
            <w:tcBorders>
              <w:bottom w:val="single" w:color="auto" w:sz="18" w:space="0"/>
            </w:tcBorders>
            <w:vAlign w:val="center"/>
          </w:tcPr>
          <w:p>
            <w:pPr>
              <w:ind w:left="-2"/>
              <w:jc w:val="center"/>
              <w:rPr>
                <w:rFonts w:cs="宋体"/>
                <w:sz w:val="21"/>
                <w:szCs w:val="21"/>
              </w:rPr>
            </w:pPr>
          </w:p>
        </w:tc>
        <w:tc>
          <w:tcPr>
            <w:tcW w:w="1335" w:type="dxa"/>
            <w:tcBorders>
              <w:bottom w:val="single" w:color="auto" w:sz="18" w:space="0"/>
            </w:tcBorders>
            <w:vAlign w:val="center"/>
          </w:tcPr>
          <w:p>
            <w:pPr>
              <w:ind w:left="-2"/>
              <w:jc w:val="center"/>
              <w:rPr>
                <w:rFonts w:cs="宋体"/>
                <w:sz w:val="21"/>
                <w:szCs w:val="21"/>
              </w:rPr>
            </w:pPr>
            <w:r>
              <w:rPr>
                <w:rFonts w:hint="eastAsia" w:cs="宋体"/>
                <w:sz w:val="21"/>
                <w:szCs w:val="21"/>
              </w:rPr>
              <w:t>工作制度</w:t>
            </w:r>
          </w:p>
        </w:tc>
        <w:tc>
          <w:tcPr>
            <w:tcW w:w="3315" w:type="dxa"/>
            <w:gridSpan w:val="2"/>
            <w:tcBorders>
              <w:bottom w:val="single" w:color="auto" w:sz="18" w:space="0"/>
            </w:tcBorders>
            <w:vAlign w:val="center"/>
          </w:tcPr>
          <w:p>
            <w:pPr>
              <w:ind w:left="-2"/>
              <w:jc w:val="center"/>
              <w:rPr>
                <w:rFonts w:cs="宋体"/>
                <w:sz w:val="21"/>
                <w:szCs w:val="21"/>
              </w:rPr>
            </w:pPr>
            <w:r>
              <w:rPr>
                <w:rFonts w:hint="eastAsia" w:cs="宋体"/>
                <w:sz w:val="21"/>
                <w:szCs w:val="21"/>
              </w:rPr>
              <w:t>一天三班，每班</w:t>
            </w:r>
            <w:r>
              <w:rPr>
                <w:rFonts w:cs="宋体"/>
                <w:sz w:val="21"/>
                <w:szCs w:val="21"/>
              </w:rPr>
              <w:t>8</w:t>
            </w:r>
            <w:r>
              <w:rPr>
                <w:rFonts w:hint="eastAsia" w:cs="宋体"/>
                <w:sz w:val="21"/>
                <w:szCs w:val="21"/>
              </w:rPr>
              <w:t>小时工作制，年工作</w:t>
            </w:r>
            <w:r>
              <w:rPr>
                <w:rFonts w:cs="宋体"/>
                <w:sz w:val="21"/>
                <w:szCs w:val="21"/>
              </w:rPr>
              <w:t>300</w:t>
            </w:r>
            <w:r>
              <w:rPr>
                <w:rFonts w:hint="eastAsia" w:cs="宋体"/>
                <w:sz w:val="21"/>
                <w:szCs w:val="21"/>
              </w:rPr>
              <w:t>天</w:t>
            </w:r>
          </w:p>
        </w:tc>
        <w:tc>
          <w:tcPr>
            <w:tcW w:w="3435" w:type="dxa"/>
            <w:gridSpan w:val="2"/>
            <w:tcBorders>
              <w:bottom w:val="single" w:color="auto" w:sz="18" w:space="0"/>
            </w:tcBorders>
            <w:vAlign w:val="center"/>
          </w:tcPr>
          <w:p>
            <w:pPr>
              <w:ind w:left="-2" w:leftChars="0"/>
              <w:jc w:val="center"/>
              <w:rPr>
                <w:rFonts w:cs="宋体"/>
                <w:b/>
                <w:sz w:val="21"/>
                <w:szCs w:val="21"/>
              </w:rPr>
            </w:pPr>
            <w:r>
              <w:rPr>
                <w:rFonts w:hint="eastAsia" w:cs="宋体"/>
                <w:sz w:val="21"/>
                <w:szCs w:val="21"/>
              </w:rPr>
              <w:t>一天三班，每班</w:t>
            </w:r>
            <w:r>
              <w:rPr>
                <w:rFonts w:cs="宋体"/>
                <w:sz w:val="21"/>
                <w:szCs w:val="21"/>
              </w:rPr>
              <w:t>8</w:t>
            </w:r>
            <w:r>
              <w:rPr>
                <w:rFonts w:hint="eastAsia" w:cs="宋体"/>
                <w:sz w:val="21"/>
                <w:szCs w:val="21"/>
              </w:rPr>
              <w:t>小时工作制，年工作</w:t>
            </w:r>
            <w:r>
              <w:rPr>
                <w:rFonts w:cs="宋体"/>
                <w:sz w:val="21"/>
                <w:szCs w:val="21"/>
              </w:rPr>
              <w:t>300</w:t>
            </w:r>
            <w:r>
              <w:rPr>
                <w:rFonts w:hint="eastAsia" w:cs="宋体"/>
                <w:sz w:val="21"/>
                <w:szCs w:val="21"/>
              </w:rPr>
              <w:t>天</w:t>
            </w:r>
          </w:p>
        </w:tc>
        <w:tc>
          <w:tcPr>
            <w:tcW w:w="1593" w:type="dxa"/>
            <w:tcBorders>
              <w:bottom w:val="single" w:color="auto" w:sz="18" w:space="0"/>
            </w:tcBorders>
            <w:vAlign w:val="center"/>
          </w:tcPr>
          <w:p>
            <w:pPr>
              <w:ind w:left="-2"/>
              <w:jc w:val="center"/>
              <w:rPr>
                <w:rFonts w:hint="eastAsia" w:cs="宋体"/>
                <w:b/>
                <w:sz w:val="21"/>
                <w:szCs w:val="21"/>
              </w:rPr>
            </w:pPr>
            <w:r>
              <w:rPr>
                <w:rFonts w:hint="eastAsia" w:cs="宋体"/>
                <w:b w:val="0"/>
                <w:bCs/>
                <w:sz w:val="21"/>
                <w:szCs w:val="21"/>
                <w:lang w:eastAsia="zh-CN"/>
              </w:rPr>
              <w:t>无变动</w:t>
            </w:r>
          </w:p>
        </w:tc>
      </w:tr>
    </w:tbl>
    <w:p>
      <w:pPr>
        <w:autoSpaceDE w:val="0"/>
        <w:autoSpaceDN w:val="0"/>
        <w:jc w:val="center"/>
        <w:rPr>
          <w:rFonts w:hint="eastAsia"/>
          <w:b/>
          <w:bCs/>
          <w:sz w:val="24"/>
          <w:szCs w:val="24"/>
          <w:lang w:val="en-US" w:eastAsia="zh-CN"/>
        </w:rPr>
      </w:pPr>
      <w:r>
        <w:rPr>
          <w:rFonts w:hint="eastAsia"/>
          <w:b/>
          <w:bCs/>
          <w:sz w:val="24"/>
          <w:szCs w:val="24"/>
          <w:lang w:eastAsia="zh-CN"/>
        </w:rPr>
        <w:t>表</w:t>
      </w:r>
      <w:r>
        <w:rPr>
          <w:rFonts w:hint="eastAsia"/>
          <w:b/>
          <w:bCs/>
          <w:sz w:val="24"/>
          <w:szCs w:val="24"/>
          <w:lang w:val="en-US" w:eastAsia="zh-CN"/>
        </w:rPr>
        <w:t>3-3  变动项目一览表</w:t>
      </w:r>
    </w:p>
    <w:tbl>
      <w:tblPr>
        <w:tblStyle w:val="48"/>
        <w:tblW w:w="10883" w:type="dxa"/>
        <w:tblInd w:w="-82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00"/>
        <w:gridCol w:w="4783"/>
        <w:gridCol w:w="49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0" w:type="dxa"/>
          </w:tcPr>
          <w:p>
            <w:pPr>
              <w:autoSpaceDE w:val="0"/>
              <w:autoSpaceDN w:val="0"/>
              <w:jc w:val="center"/>
              <w:rPr>
                <w:rFonts w:hint="eastAsia"/>
                <w:b/>
                <w:bCs/>
                <w:sz w:val="24"/>
                <w:szCs w:val="24"/>
                <w:vertAlign w:val="baseline"/>
                <w:lang w:val="en-US" w:eastAsia="zh-CN"/>
              </w:rPr>
            </w:pPr>
            <w:r>
              <w:rPr>
                <w:rFonts w:hint="eastAsia"/>
                <w:b/>
                <w:bCs/>
                <w:sz w:val="24"/>
                <w:szCs w:val="24"/>
                <w:lang w:val="en-US" w:eastAsia="zh-CN"/>
              </w:rPr>
              <w:t>序号</w:t>
            </w:r>
          </w:p>
        </w:tc>
        <w:tc>
          <w:tcPr>
            <w:tcW w:w="4783" w:type="dxa"/>
          </w:tcPr>
          <w:p>
            <w:pPr>
              <w:autoSpaceDE w:val="0"/>
              <w:autoSpaceDN w:val="0"/>
              <w:jc w:val="center"/>
              <w:rPr>
                <w:rFonts w:hint="eastAsia"/>
                <w:b/>
                <w:bCs/>
                <w:sz w:val="24"/>
                <w:szCs w:val="24"/>
                <w:vertAlign w:val="baseline"/>
                <w:lang w:val="en-US" w:eastAsia="zh-CN"/>
              </w:rPr>
            </w:pPr>
            <w:r>
              <w:rPr>
                <w:rFonts w:hint="eastAsia"/>
                <w:b/>
                <w:bCs/>
                <w:sz w:val="24"/>
                <w:szCs w:val="24"/>
                <w:vertAlign w:val="baseline"/>
                <w:lang w:val="en-US" w:eastAsia="zh-CN"/>
              </w:rPr>
              <w:t>环评预测情况</w:t>
            </w:r>
          </w:p>
        </w:tc>
        <w:tc>
          <w:tcPr>
            <w:tcW w:w="4900" w:type="dxa"/>
          </w:tcPr>
          <w:p>
            <w:pPr>
              <w:autoSpaceDE w:val="0"/>
              <w:autoSpaceDN w:val="0"/>
              <w:jc w:val="center"/>
              <w:rPr>
                <w:rFonts w:hint="eastAsia"/>
                <w:b/>
                <w:bCs/>
                <w:sz w:val="24"/>
                <w:szCs w:val="24"/>
                <w:vertAlign w:val="baseline"/>
                <w:lang w:val="en-US" w:eastAsia="zh-CN"/>
              </w:rPr>
            </w:pPr>
            <w:r>
              <w:rPr>
                <w:rFonts w:hint="eastAsia"/>
                <w:b/>
                <w:bCs/>
                <w:sz w:val="24"/>
                <w:szCs w:val="24"/>
                <w:vertAlign w:val="baseline"/>
                <w:lang w:val="en-US" w:eastAsia="zh-CN"/>
              </w:rPr>
              <w:t>实际建设情况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00" w:type="dxa"/>
            <w:vAlign w:val="center"/>
          </w:tcPr>
          <w:p>
            <w:pPr>
              <w:autoSpaceDE w:val="0"/>
              <w:autoSpaceDN w:val="0"/>
              <w:jc w:val="center"/>
              <w:rPr>
                <w:rFonts w:hint="eastAsia"/>
                <w:sz w:val="24"/>
                <w:szCs w:val="24"/>
                <w:vertAlign w:val="baseline"/>
                <w:lang w:val="en-US" w:eastAsia="zh-CN"/>
              </w:rPr>
            </w:pPr>
            <w:r>
              <w:rPr>
                <w:rFonts w:hint="eastAsia"/>
                <w:sz w:val="24"/>
                <w:szCs w:val="24"/>
                <w:vertAlign w:val="baseline"/>
                <w:lang w:val="en-US" w:eastAsia="zh-CN"/>
              </w:rPr>
              <w:t>1</w:t>
            </w:r>
          </w:p>
        </w:tc>
        <w:tc>
          <w:tcPr>
            <w:tcW w:w="4783" w:type="dxa"/>
            <w:vAlign w:val="center"/>
          </w:tcPr>
          <w:p>
            <w:pPr>
              <w:autoSpaceDE w:val="0"/>
              <w:autoSpaceDN w:val="0"/>
              <w:jc w:val="center"/>
              <w:rPr>
                <w:rFonts w:hint="eastAsia"/>
                <w:sz w:val="24"/>
                <w:szCs w:val="24"/>
                <w:vertAlign w:val="baseline"/>
                <w:lang w:val="en-US" w:eastAsia="zh-CN"/>
              </w:rPr>
            </w:pPr>
            <w:r>
              <w:rPr>
                <w:rFonts w:hint="eastAsia"/>
                <w:sz w:val="24"/>
                <w:szCs w:val="24"/>
                <w:vertAlign w:val="baseline"/>
                <w:lang w:val="en-US" w:eastAsia="zh-CN"/>
              </w:rPr>
              <w:t>车间废气经收集后由风机强制排入治理设施处理，并通往15米高排气筒排放</w:t>
            </w:r>
          </w:p>
        </w:tc>
        <w:tc>
          <w:tcPr>
            <w:tcW w:w="4900" w:type="dxa"/>
            <w:vAlign w:val="center"/>
          </w:tcPr>
          <w:p>
            <w:pPr>
              <w:autoSpaceDE w:val="0"/>
              <w:autoSpaceDN w:val="0"/>
              <w:jc w:val="center"/>
              <w:rPr>
                <w:rFonts w:hint="eastAsia"/>
                <w:sz w:val="24"/>
                <w:szCs w:val="24"/>
                <w:vertAlign w:val="baseline"/>
                <w:lang w:val="en-US" w:eastAsia="zh-CN"/>
              </w:rPr>
            </w:pPr>
            <w:r>
              <w:rPr>
                <w:rFonts w:hint="eastAsia"/>
                <w:sz w:val="24"/>
                <w:szCs w:val="24"/>
                <w:vertAlign w:val="baseline"/>
                <w:lang w:val="en-US" w:eastAsia="zh-CN"/>
              </w:rPr>
              <w:t>车间废气在一个密闭的反应釜中产生，并经冷凝器冷凝后通往废气治理设施处理，处理后通往15米高排气筒排放。无风机，属于自然排风。</w:t>
            </w:r>
          </w:p>
        </w:tc>
      </w:tr>
    </w:tbl>
    <w:p>
      <w:pPr>
        <w:autoSpaceDE w:val="0"/>
        <w:autoSpaceDN w:val="0"/>
        <w:jc w:val="center"/>
        <w:rPr>
          <w:rFonts w:hint="eastAsia"/>
          <w:sz w:val="22"/>
          <w:szCs w:val="22"/>
          <w:lang w:val="en-US" w:eastAsia="zh-CN"/>
        </w:rPr>
      </w:pPr>
    </w:p>
    <w:p>
      <w:pPr>
        <w:autoSpaceDE w:val="0"/>
        <w:autoSpaceDN w:val="0"/>
        <w:jc w:val="center"/>
        <w:rPr>
          <w:sz w:val="22"/>
          <w:szCs w:val="22"/>
        </w:rPr>
      </w:pPr>
    </w:p>
    <w:p>
      <w:pPr>
        <w:autoSpaceDE w:val="0"/>
        <w:autoSpaceDN w:val="0"/>
        <w:rPr>
          <w:sz w:val="22"/>
          <w:szCs w:val="22"/>
        </w:rPr>
        <w:sectPr>
          <w:pgSz w:w="11906" w:h="16838"/>
          <w:pgMar w:top="1080" w:right="1440" w:bottom="1080" w:left="1440" w:header="851" w:footer="992" w:gutter="0"/>
          <w:pgNumType w:fmt="decimal" w:start="1"/>
          <w:cols w:space="425" w:num="1"/>
          <w:docGrid w:type="lines" w:linePitch="312" w:charSpace="0"/>
        </w:sectPr>
      </w:pPr>
    </w:p>
    <w:p>
      <w:pPr>
        <w:autoSpaceDE w:val="0"/>
        <w:autoSpaceDN w:val="0"/>
        <w:jc w:val="both"/>
        <w:rPr>
          <w:color w:val="000000"/>
        </w:rPr>
      </w:pPr>
      <w:r>
        <w:rPr>
          <w:color w:val="000000"/>
        </w:rPr>
        <w:drawing>
          <wp:inline distT="0" distB="0" distL="114300" distR="114300">
            <wp:extent cx="5248275" cy="4895850"/>
            <wp:effectExtent l="0" t="0" r="9525" b="0"/>
            <wp:docPr id="5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1"/>
                    <pic:cNvPicPr>
                      <a:picLocks noChangeAspect="1"/>
                    </pic:cNvPicPr>
                  </pic:nvPicPr>
                  <pic:blipFill>
                    <a:blip r:embed="rId9"/>
                    <a:stretch>
                      <a:fillRect/>
                    </a:stretch>
                  </pic:blipFill>
                  <pic:spPr>
                    <a:xfrm>
                      <a:off x="0" y="0"/>
                      <a:ext cx="5248275" cy="4895850"/>
                    </a:xfrm>
                    <a:prstGeom prst="rect">
                      <a:avLst/>
                    </a:prstGeom>
                    <a:noFill/>
                    <a:ln w="9525">
                      <a:noFill/>
                    </a:ln>
                  </pic:spPr>
                </pic:pic>
              </a:graphicData>
            </a:graphic>
          </wp:inline>
        </w:drawing>
      </w:r>
    </w:p>
    <w:p>
      <w:pPr>
        <w:autoSpaceDE w:val="0"/>
        <w:autoSpaceDN w:val="0"/>
        <w:jc w:val="center"/>
        <w:rPr>
          <w:color w:val="000000"/>
        </w:rPr>
      </w:pPr>
    </w:p>
    <w:p>
      <w:pPr>
        <w:autoSpaceDE w:val="0"/>
        <w:autoSpaceDN w:val="0"/>
        <w:jc w:val="center"/>
      </w:pPr>
      <w:r>
        <w:rPr>
          <w:rFonts w:hint="eastAsia"/>
        </w:rPr>
        <w:t>图</w:t>
      </w:r>
      <w:r>
        <w:t xml:space="preserve">3-1 </w:t>
      </w:r>
      <w:r>
        <w:rPr>
          <w:rFonts w:hint="eastAsia"/>
        </w:rPr>
        <w:t>本项目四至示意图</w:t>
      </w:r>
    </w:p>
    <w:p>
      <w:pPr>
        <w:autoSpaceDE w:val="0"/>
        <w:autoSpaceDN w:val="0"/>
        <w:jc w:val="center"/>
        <w:rPr>
          <w:color w:val="000000"/>
        </w:rPr>
        <w:sectPr>
          <w:pgSz w:w="11906" w:h="16838"/>
          <w:pgMar w:top="1440" w:right="1800" w:bottom="1440" w:left="1800" w:header="851" w:footer="992" w:gutter="0"/>
          <w:pgNumType w:fmt="decimal"/>
          <w:cols w:space="425" w:num="1"/>
          <w:docGrid w:type="lines" w:linePitch="312" w:charSpace="0"/>
        </w:sectPr>
      </w:pPr>
    </w:p>
    <w:p>
      <w:pPr>
        <w:autoSpaceDE w:val="0"/>
        <w:autoSpaceDN w:val="0"/>
        <w:rPr>
          <w:sz w:val="22"/>
          <w:szCs w:val="22"/>
        </w:rPr>
      </w:pPr>
      <w:r>
        <mc:AlternateContent>
          <mc:Choice Requires="wps">
            <w:drawing>
              <wp:anchor distT="0" distB="0" distL="114300" distR="114300" simplePos="0" relativeHeight="251646976" behindDoc="0" locked="0" layoutInCell="1" allowOverlap="1">
                <wp:simplePos x="0" y="0"/>
                <wp:positionH relativeFrom="column">
                  <wp:posOffset>8098790</wp:posOffset>
                </wp:positionH>
                <wp:positionV relativeFrom="paragraph">
                  <wp:posOffset>-19685</wp:posOffset>
                </wp:positionV>
                <wp:extent cx="155575" cy="151765"/>
                <wp:effectExtent l="7620" t="10160" r="8255" b="9525"/>
                <wp:wrapNone/>
                <wp:docPr id="8" name="自选图形 5"/>
                <wp:cNvGraphicFramePr/>
                <a:graphic xmlns:a="http://schemas.openxmlformats.org/drawingml/2006/main">
                  <a:graphicData uri="http://schemas.microsoft.com/office/word/2010/wordprocessingShape">
                    <wps:wsp>
                      <wps:cNvSpPr/>
                      <wps:spPr>
                        <a:xfrm>
                          <a:off x="0" y="0"/>
                          <a:ext cx="155575" cy="151765"/>
                        </a:xfrm>
                        <a:prstGeom prst="triangle">
                          <a:avLst>
                            <a:gd name="adj" fmla="val 50000"/>
                          </a:avLst>
                        </a:prstGeom>
                        <a:solidFill>
                          <a:srgbClr val="000000"/>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5" o:spid="_x0000_s1026" o:spt="5" type="#_x0000_t5" style="position:absolute;left:0pt;margin-left:637.7pt;margin-top:-1.55pt;height:11.95pt;width:12.25pt;z-index:251646976;mso-width-relative:page;mso-height-relative:page;" fillcolor="#000000" filled="t" stroked="t" coordsize="21600,21600" o:gfxdata="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N6r/XNkAAAALAQAADwAAAAAAAAABACAAAAAiAAAAZHJzL2Rvd25y&#10;ZXYueG1sUEsBAhQAFAAAAAgAh07iQOcOnUb9AQAABQQAAA4AAAAAAAAAAQAgAAAAKAEAAGRycy9l&#10;Mm9Eb2MueG1sUEsFBgAAAAAGAAYAWQEAAJcFAAAAAA==&#10;" adj="10800">
                <v:fill on="t" focussize="0,0"/>
                <v:stroke color="#000000" joinstyle="miter"/>
                <v:imagedata o:title=""/>
                <o:lock v:ext="edit" aspectratio="f"/>
              </v:shape>
            </w:pict>
          </mc:Fallback>
        </mc:AlternateContent>
      </w:r>
      <w:r>
        <mc:AlternateContent>
          <mc:Choice Requires="wps">
            <w:drawing>
              <wp:anchor distT="0" distB="0" distL="114300" distR="114300" simplePos="0" relativeHeight="251644928" behindDoc="0" locked="0" layoutInCell="1" allowOverlap="1">
                <wp:simplePos x="0" y="0"/>
                <wp:positionH relativeFrom="column">
                  <wp:posOffset>8609965</wp:posOffset>
                </wp:positionH>
                <wp:positionV relativeFrom="paragraph">
                  <wp:posOffset>-222250</wp:posOffset>
                </wp:positionV>
                <wp:extent cx="322580" cy="369570"/>
                <wp:effectExtent l="4445" t="4445" r="15875" b="6985"/>
                <wp:wrapNone/>
                <wp:docPr id="6" name="文本框 6"/>
                <wp:cNvGraphicFramePr/>
                <a:graphic xmlns:a="http://schemas.openxmlformats.org/drawingml/2006/main">
                  <a:graphicData uri="http://schemas.microsoft.com/office/word/2010/wordprocessingShape">
                    <wps:wsp>
                      <wps:cNvSpPr txBox="1"/>
                      <wps:spPr>
                        <a:xfrm>
                          <a:off x="0" y="0"/>
                          <a:ext cx="322580" cy="369570"/>
                        </a:xfrm>
                        <a:prstGeom prst="rect">
                          <a:avLst/>
                        </a:prstGeom>
                        <a:solidFill>
                          <a:srgbClr val="FFFFFF"/>
                        </a:solidFill>
                        <a:ln w="9525" cap="flat" cmpd="sng">
                          <a:solidFill>
                            <a:srgbClr val="FFFFFF"/>
                          </a:solidFill>
                          <a:prstDash val="solid"/>
                          <a:miter/>
                          <a:headEnd type="none" w="med" len="med"/>
                          <a:tailEnd type="none" w="med" len="med"/>
                        </a:ln>
                      </wps:spPr>
                      <wps:txbx>
                        <w:txbxContent>
                          <w:p>
                            <w:r>
                              <w:t>N</w:t>
                            </w:r>
                          </w:p>
                        </w:txbxContent>
                      </wps:txbx>
                      <wps:bodyPr upright="1"/>
                    </wps:wsp>
                  </a:graphicData>
                </a:graphic>
              </wp:anchor>
            </w:drawing>
          </mc:Choice>
          <mc:Fallback>
            <w:pict>
              <v:shape id="_x0000_s1026" o:spid="_x0000_s1026" o:spt="202" type="#_x0000_t202" style="position:absolute;left:0pt;margin-left:677.95pt;margin-top:-17.5pt;height:29.1pt;width:25.4pt;z-index:251644928;mso-width-relative:page;mso-height-relative:page;" fillcolor="#FFFFFF" filled="t" stroked="t" coordsize="21600,21600" o:gfxdata="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HHrRq9kAAAAMAQAADwAAAAAAAAABACAAAAAiAAAAZHJzL2Rvd25yZXYueG1sUEsBAhQAFAAA&#10;AAgAh07iQAfabQHuAQAA5wMAAA4AAAAAAAAAAQAgAAAAKAEAAGRycy9lMm9Eb2MueG1sUEsFBgAA&#10;AAAGAAYAWQEAAIgFAAAAAA==&#10;">
                <v:fill on="t" focussize="0,0"/>
                <v:stroke color="#FFFFFF" joinstyle="miter"/>
                <v:imagedata o:title=""/>
                <o:lock v:ext="edit" aspectratio="f"/>
                <v:textbox>
                  <w:txbxContent>
                    <w:p>
                      <w:r>
                        <w:t>N</w:t>
                      </w:r>
                    </w:p>
                  </w:txbxContent>
                </v:textbox>
              </v:shape>
            </w:pict>
          </mc:Fallback>
        </mc:AlternateContent>
      </w:r>
      <w:r>
        <mc:AlternateContent>
          <mc:Choice Requires="wps">
            <w:drawing>
              <wp:anchor distT="0" distB="0" distL="114300" distR="114300" simplePos="0" relativeHeight="251643904" behindDoc="0" locked="0" layoutInCell="1" allowOverlap="1">
                <wp:simplePos x="0" y="0"/>
                <wp:positionH relativeFrom="column">
                  <wp:posOffset>8499475</wp:posOffset>
                </wp:positionH>
                <wp:positionV relativeFrom="paragraph">
                  <wp:posOffset>148590</wp:posOffset>
                </wp:positionV>
                <wp:extent cx="342900" cy="552450"/>
                <wp:effectExtent l="0" t="0" r="19050" b="19050"/>
                <wp:wrapNone/>
                <wp:docPr id="5" name="自选图形 7"/>
                <wp:cNvGraphicFramePr/>
                <a:graphic xmlns:a="http://schemas.openxmlformats.org/drawingml/2006/main">
                  <a:graphicData uri="http://schemas.microsoft.com/office/word/2010/wordprocessingShape">
                    <wps:wsp>
                      <wps:cNvCnPr/>
                      <wps:spPr>
                        <a:xfrm flipH="1" flipV="1">
                          <a:off x="0" y="0"/>
                          <a:ext cx="342900" cy="55245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7" o:spid="_x0000_s1026" o:spt="32" type="#_x0000_t32" style="position:absolute;left:0pt;flip:x y;margin-left:669.25pt;margin-top:11.7pt;height:43.5pt;width:27pt;z-index:251643904;mso-width-relative:page;mso-height-relative:page;" filled="f" stroked="t" coordsize="21600,21600" o:gfxdata="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DrNcnfZAAAADAEAAA8AAAAAAAAAAQAgAAAAIgAAAGRycy9kb3ducmV2LnhtbFBLAQIU&#10;ABQAAAAIAIdO4kCczFCi8gEAALEDAAAOAAAAAAAAAAEAIAAAACgBAABkcnMvZTJvRG9jLnhtbFBL&#10;BQYAAAAABgAGAFkBAACMBQA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1652096" behindDoc="0" locked="0" layoutInCell="1" allowOverlap="1">
                <wp:simplePos x="0" y="0"/>
                <wp:positionH relativeFrom="column">
                  <wp:posOffset>2094865</wp:posOffset>
                </wp:positionH>
                <wp:positionV relativeFrom="paragraph">
                  <wp:posOffset>-132080</wp:posOffset>
                </wp:positionV>
                <wp:extent cx="1225550" cy="660400"/>
                <wp:effectExtent l="76200" t="5080" r="12700" b="134620"/>
                <wp:wrapNone/>
                <wp:docPr id="13" name="自选图形 8"/>
                <wp:cNvGraphicFramePr/>
                <a:graphic xmlns:a="http://schemas.openxmlformats.org/drawingml/2006/main">
                  <a:graphicData uri="http://schemas.microsoft.com/office/word/2010/wordprocessingShape">
                    <wps:wsp>
                      <wps:cNvSpPr/>
                      <wps:spPr>
                        <a:xfrm>
                          <a:off x="0" y="0"/>
                          <a:ext cx="1225550" cy="660400"/>
                        </a:xfrm>
                        <a:prstGeom prst="wedgeEllipseCallout">
                          <a:avLst>
                            <a:gd name="adj1" fmla="val -54870"/>
                            <a:gd name="adj2" fmla="val 67019"/>
                          </a:avLst>
                        </a:prstGeom>
                        <a:solidFill>
                          <a:srgbClr val="FFFFFF"/>
                        </a:solidFill>
                        <a:ln w="9525" cap="flat" cmpd="sng">
                          <a:solidFill>
                            <a:srgbClr val="000000"/>
                          </a:solidFill>
                          <a:prstDash val="solid"/>
                          <a:miter/>
                          <a:headEnd type="none" w="med" len="med"/>
                          <a:tailEnd type="none" w="med" len="med"/>
                        </a:ln>
                      </wps:spPr>
                      <wps:txbx>
                        <w:txbxContent>
                          <w:p>
                            <w:r>
                              <w:rPr>
                                <w:rFonts w:hint="eastAsia"/>
                                <w:sz w:val="15"/>
                                <w:szCs w:val="15"/>
                              </w:rPr>
                              <w:t>接园区市政污水排水管网</w:t>
                            </w:r>
                          </w:p>
                        </w:txbxContent>
                      </wps:txbx>
                      <wps:bodyPr upright="1"/>
                    </wps:wsp>
                  </a:graphicData>
                </a:graphic>
              </wp:anchor>
            </w:drawing>
          </mc:Choice>
          <mc:Fallback>
            <w:pict>
              <v:shape id="自选图形 8" o:spid="_x0000_s1026" o:spt="63" type="#_x0000_t63" style="position:absolute;left:0pt;margin-left:164.95pt;margin-top:-10.4pt;height:52pt;width:96.5pt;z-index:251652096;mso-width-relative:page;mso-height-relative:page;" fillcolor="#FFFFFF" filled="t" stroked="t" coordsize="21600,21600" o:gfxdata="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3&#10;YcBr2gAAAAoBAAAPAAAAAAAAAAEAIAAAACIAAABkcnMvZG93bnJldi54bWxQSwECFAAUAAAACACH&#10;TuJAVRvIACICAABDBAAADgAAAAAAAAABACAAAAApAQAAZHJzL2Uyb0RvYy54bWxQSwUGAAAAAAYA&#10;BgBZAQAAvQUAAAAA&#10;" adj="-1052,25276">
                <v:fill on="t" focussize="0,0"/>
                <v:stroke color="#000000" joinstyle="miter"/>
                <v:imagedata o:title=""/>
                <o:lock v:ext="edit" aspectratio="f"/>
                <v:textbox>
                  <w:txbxContent>
                    <w:p>
                      <w:r>
                        <w:rPr>
                          <w:rFonts w:hint="eastAsia"/>
                          <w:sz w:val="15"/>
                          <w:szCs w:val="15"/>
                        </w:rPr>
                        <w:t>接园区市政污水排水管网</w:t>
                      </w:r>
                    </w:p>
                  </w:txbxContent>
                </v:textbox>
              </v:shape>
            </w:pict>
          </mc:Fallback>
        </mc:AlternateContent>
      </w:r>
      <w:r>
        <mc:AlternateContent>
          <mc:Choice Requires="wps">
            <w:drawing>
              <wp:anchor distT="0" distB="0" distL="114300" distR="114300" simplePos="0" relativeHeight="251657216" behindDoc="0" locked="0" layoutInCell="1" allowOverlap="1">
                <wp:simplePos x="0" y="0"/>
                <wp:positionH relativeFrom="column">
                  <wp:posOffset>975360</wp:posOffset>
                </wp:positionH>
                <wp:positionV relativeFrom="paragraph">
                  <wp:posOffset>-349885</wp:posOffset>
                </wp:positionV>
                <wp:extent cx="1092835" cy="833120"/>
                <wp:effectExtent l="4445" t="5080" r="7620" b="190500"/>
                <wp:wrapNone/>
                <wp:docPr id="18" name="自选图形 9"/>
                <wp:cNvGraphicFramePr/>
                <a:graphic xmlns:a="http://schemas.openxmlformats.org/drawingml/2006/main">
                  <a:graphicData uri="http://schemas.microsoft.com/office/word/2010/wordprocessingShape">
                    <wps:wsp>
                      <wps:cNvSpPr/>
                      <wps:spPr>
                        <a:xfrm>
                          <a:off x="0" y="0"/>
                          <a:ext cx="1092835" cy="833120"/>
                        </a:xfrm>
                        <a:prstGeom prst="wedgeEllipseCallout">
                          <a:avLst>
                            <a:gd name="adj1" fmla="val -39134"/>
                            <a:gd name="adj2" fmla="val 70505"/>
                          </a:avLst>
                        </a:prstGeom>
                        <a:solidFill>
                          <a:srgbClr val="FFFFFF"/>
                        </a:solidFill>
                        <a:ln w="9525" cap="flat" cmpd="sng">
                          <a:solidFill>
                            <a:srgbClr val="000000"/>
                          </a:solidFill>
                          <a:prstDash val="solid"/>
                          <a:miter/>
                          <a:headEnd type="none" w="med" len="med"/>
                          <a:tailEnd type="none" w="med" len="med"/>
                        </a:ln>
                      </wps:spPr>
                      <wps:txbx>
                        <w:txbxContent>
                          <w:p>
                            <w:pPr>
                              <w:rPr>
                                <w:sz w:val="15"/>
                                <w:szCs w:val="15"/>
                              </w:rPr>
                            </w:pPr>
                            <w:r>
                              <w:rPr>
                                <w:rFonts w:hint="eastAsia"/>
                                <w:sz w:val="15"/>
                                <w:szCs w:val="15"/>
                              </w:rPr>
                              <w:t>接园区市政雨水排水管网</w:t>
                            </w:r>
                          </w:p>
                        </w:txbxContent>
                      </wps:txbx>
                      <wps:bodyPr upright="1"/>
                    </wps:wsp>
                  </a:graphicData>
                </a:graphic>
              </wp:anchor>
            </w:drawing>
          </mc:Choice>
          <mc:Fallback>
            <w:pict>
              <v:shape id="自选图形 9" o:spid="_x0000_s1026" o:spt="63" type="#_x0000_t63" style="position:absolute;left:0pt;margin-left:76.8pt;margin-top:-27.55pt;height:65.6pt;width:86.05pt;z-index:251657216;mso-width-relative:page;mso-height-relative:page;" fillcolor="#FFFFFF" filled="t" stroked="t" coordsize="21600,21600" o:gfxdata="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" adj="2347,26029">
                <v:fill on="t" focussize="0,0"/>
                <v:stroke color="#000000" joinstyle="miter"/>
                <v:imagedata o:title=""/>
                <o:lock v:ext="edit" aspectratio="f"/>
                <v:textbox>
                  <w:txbxContent>
                    <w:p>
                      <w:pPr>
                        <w:rPr>
                          <w:sz w:val="15"/>
                          <w:szCs w:val="15"/>
                        </w:rPr>
                      </w:pPr>
                      <w:r>
                        <w:rPr>
                          <w:rFonts w:hint="eastAsia"/>
                          <w:sz w:val="15"/>
                          <w:szCs w:val="15"/>
                        </w:rPr>
                        <w:t>接园区市政雨水排水管网</w:t>
                      </w:r>
                    </w:p>
                  </w:txbxContent>
                </v:textbox>
              </v:shape>
            </w:pict>
          </mc:Fallback>
        </mc:AlternateContent>
      </w:r>
    </w:p>
    <w:p>
      <w:pPr>
        <w:autoSpaceDE w:val="0"/>
        <w:autoSpaceDN w:val="0"/>
        <w:rPr>
          <w:b/>
        </w:rPr>
      </w:pPr>
      <w:r>
        <mc:AlternateContent>
          <mc:Choice Requires="wps">
            <w:drawing>
              <wp:anchor distT="0" distB="0" distL="114300" distR="114300" simplePos="0" relativeHeight="251650048" behindDoc="0" locked="0" layoutInCell="1" allowOverlap="1">
                <wp:simplePos x="0" y="0"/>
                <wp:positionH relativeFrom="column">
                  <wp:posOffset>3842385</wp:posOffset>
                </wp:positionH>
                <wp:positionV relativeFrom="paragraph">
                  <wp:posOffset>3388995</wp:posOffset>
                </wp:positionV>
                <wp:extent cx="155575" cy="126365"/>
                <wp:effectExtent l="4445" t="4445" r="11430" b="21590"/>
                <wp:wrapNone/>
                <wp:docPr id="11" name="自选图形 14"/>
                <wp:cNvGraphicFramePr/>
                <a:graphic xmlns:a="http://schemas.openxmlformats.org/drawingml/2006/main">
                  <a:graphicData uri="http://schemas.microsoft.com/office/word/2010/wordprocessingShape">
                    <wps:wsp>
                      <wps:cNvSpPr/>
                      <wps:spPr>
                        <a:xfrm>
                          <a:off x="0" y="0"/>
                          <a:ext cx="155575" cy="126365"/>
                        </a:xfrm>
                        <a:custGeom>
                          <a:avLst/>
                          <a:gdLst>
                            <a:gd name="txL" fmla="*/ 3163 w 21600"/>
                            <a:gd name="txT" fmla="*/ 3163 h 21600"/>
                            <a:gd name="txR" fmla="*/ 18437 w 21600"/>
                            <a:gd name="txB" fmla="*/ 18437 h 21600"/>
                          </a:gdLst>
                          <a:ahLst/>
                          <a:cxnLst>
                            <a:cxn ang="270">
                              <a:pos x="10800" y="0"/>
                            </a:cxn>
                            <a:cxn ang="270">
                              <a:pos x="3163" y="3163"/>
                            </a:cxn>
                            <a:cxn ang="180">
                              <a:pos x="0" y="10800"/>
                            </a:cxn>
                            <a:cxn ang="90">
                              <a:pos x="3163" y="18437"/>
                            </a:cxn>
                            <a:cxn ang="90">
                              <a:pos x="10800" y="21600"/>
                            </a:cxn>
                            <a:cxn ang="90">
                              <a:pos x="18437" y="18437"/>
                            </a:cxn>
                            <a:cxn ang="0">
                              <a:pos x="21600" y="10800"/>
                            </a:cxn>
                            <a:cxn ang="270">
                              <a:pos x="18437" y="3163"/>
                            </a:cxn>
                          </a:cxnLst>
                          <a:rect l="txL" t="txT" r="txR" b="txB"/>
                          <a:pathLst>
                            <a:path w="21600" h="21600">
                              <a:moveTo>
                                <a:pt x="0" y="10800"/>
                              </a:moveTo>
                              <a:arcTo wR="10800" hR="10800" stAng="10800000" swAng="5400000"/>
                              <a:arcTo wR="10800" hR="10800" stAng="-5400000" swAng="5400000"/>
                              <a:arcTo wR="10800" hR="10800" stAng="0" swAng="5400000"/>
                              <a:arcTo wR="10800" hR="10800" stAng="5400000" swAng="5400000"/>
                              <a:close/>
                              <a:moveTo>
                                <a:pt x="5400" y="10800"/>
                              </a:moveTo>
                              <a:arcTo wR="5400" hR="5400" stAng="10800000" swAng="-5400000"/>
                              <a:arcTo wR="5400" hR="5400" stAng="5400000" swAng="-5400000"/>
                              <a:arcTo wR="5400" hR="5400" stAng="0" swAng="-5400000"/>
                              <a:arcTo wR="5400" hR="5400" stAng="-5400000" swAng="-5400000"/>
                              <a:close/>
                            </a:path>
                          </a:pathLst>
                        </a:cu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4" o:spid="_x0000_s1026" o:spt="100" style="position:absolute;left:0pt;margin-left:302.55pt;margin-top:266.85pt;height:9.95pt;width:12.25pt;z-index:251650048;mso-width-relative:page;mso-height-relative:page;" fillcolor="#FFFFFF" filled="t" stroked="t" coordsize="21600,21600" o:gfxdata="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" path="m0,10800c0,4835,4835,0,10800,0c16765,0,21600,4835,21600,10800c21600,16765,16765,21600,10800,21600c4835,21600,0,16765,0,10800xm5400,10800c5400,13782,7818,16200,10800,16200c13782,16200,16200,13782,16200,10800c16200,7818,13782,5400,10800,5400c7818,5400,5400,7818,5400,10800xe">
                <v:path o:connectlocs="10800,0;3163,3163;0,10800;3163,18437;10800,21600;18437,18437;21600,10800;18437,3163" o:connectangles="0,0,0,0,0,0,0,0"/>
                <v:fill on="t" focussize="0,0"/>
                <v:stroke color="#000000" joinstyle="round"/>
                <v:imagedata o:title=""/>
                <o:lock v:ext="edit" aspectratio="f"/>
              </v:shape>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5279390</wp:posOffset>
                </wp:positionH>
                <wp:positionV relativeFrom="paragraph">
                  <wp:posOffset>2814320</wp:posOffset>
                </wp:positionV>
                <wp:extent cx="133350" cy="123825"/>
                <wp:effectExtent l="5080" t="5080" r="13970" b="4445"/>
                <wp:wrapNone/>
                <wp:docPr id="48" name="矩形 10"/>
                <wp:cNvGraphicFramePr/>
                <a:graphic xmlns:a="http://schemas.openxmlformats.org/drawingml/2006/main">
                  <a:graphicData uri="http://schemas.microsoft.com/office/word/2010/wordprocessingShape">
                    <wps:wsp>
                      <wps:cNvSpPr/>
                      <wps:spPr>
                        <a:xfrm>
                          <a:off x="0" y="0"/>
                          <a:ext cx="133350" cy="123825"/>
                        </a:xfrm>
                        <a:prstGeom prst="rect">
                          <a:avLst/>
                        </a:prstGeom>
                        <a:solidFill>
                          <a:srgbClr val="4F81BD"/>
                        </a:solidFill>
                        <a:ln w="9525" cap="flat" cmpd="sng">
                          <a:solidFill>
                            <a:srgbClr val="000000"/>
                          </a:solidFill>
                          <a:prstDash val="solid"/>
                          <a:miter/>
                          <a:headEnd type="none" w="med" len="med"/>
                          <a:tailEnd type="none" w="med" len="med"/>
                        </a:ln>
                      </wps:spPr>
                      <wps:bodyPr upright="1"/>
                    </wps:wsp>
                  </a:graphicData>
                </a:graphic>
              </wp:anchor>
            </w:drawing>
          </mc:Choice>
          <mc:Fallback>
            <w:pict>
              <v:rect id="矩形 10" o:spid="_x0000_s1026" o:spt="1" style="position:absolute;left:0pt;margin-left:415.7pt;margin-top:221.6pt;height:9.75pt;width:10.5pt;z-index:251663360;mso-width-relative:page;mso-height-relative:page;" fillcolor="#4F81BD" filled="t" stroked="t" coordsize="21600,21600" o:gfxdata="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mFfRo2AAAAAsB&#10;AAAPAAAAAAAAAAEAIAAAACIAAABkcnMvZG93bnJldi54bWxQSwECFAAUAAAACACHTuJALwc4suIB&#10;AADRAwAADgAAAAAAAAABACAAAAAnAQAAZHJzL2Uyb0RvYy54bWxQSwUGAAAAAAYABgBZAQAAewUA&#10;AAAA&#10;">
                <v:fill on="t" focussize="0,0"/>
                <v:stroke color="#000000" joinstyle="miter"/>
                <v:imagedata o:title=""/>
                <o:lock v:ext="edit" aspectratio="f"/>
              </v:rect>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1360805</wp:posOffset>
                </wp:positionH>
                <wp:positionV relativeFrom="paragraph">
                  <wp:posOffset>885190</wp:posOffset>
                </wp:positionV>
                <wp:extent cx="638175" cy="314325"/>
                <wp:effectExtent l="4445" t="4445" r="5080" b="5080"/>
                <wp:wrapNone/>
                <wp:docPr id="45" name="矩形 11"/>
                <wp:cNvGraphicFramePr/>
                <a:graphic xmlns:a="http://schemas.openxmlformats.org/drawingml/2006/main">
                  <a:graphicData uri="http://schemas.microsoft.com/office/word/2010/wordprocessingShape">
                    <wps:wsp>
                      <wps:cNvSpPr/>
                      <wps:spPr>
                        <a:xfrm>
                          <a:off x="0" y="0"/>
                          <a:ext cx="638175" cy="3143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sz w:val="15"/>
                                <w:szCs w:val="15"/>
                              </w:rPr>
                            </w:pPr>
                            <w:r>
                              <w:rPr>
                                <w:rFonts w:hint="eastAsia"/>
                                <w:sz w:val="11"/>
                                <w:szCs w:val="11"/>
                              </w:rPr>
                              <w:t>废水处理站</w:t>
                            </w:r>
                          </w:p>
                        </w:txbxContent>
                      </wps:txbx>
                      <wps:bodyPr upright="1"/>
                    </wps:wsp>
                  </a:graphicData>
                </a:graphic>
              </wp:anchor>
            </w:drawing>
          </mc:Choice>
          <mc:Fallback>
            <w:pict>
              <v:rect id="矩形 11" o:spid="_x0000_s1026" o:spt="1" style="position:absolute;left:0pt;margin-left:107.15pt;margin-top:69.7pt;height:24.75pt;width:50.25pt;z-index:251660288;mso-width-relative:page;mso-height-relative:page;" fillcolor="#FFFFFF" filled="t" stroked="t" coordsize="21600,21600" o:gfxdata="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JgeJ/Z&#10;AAAACwEAAA8AAAAAAAAAAQAgAAAAIgAAAGRycy9kb3ducmV2LnhtbFBLAQIUABQAAAAIAIdO4kAY&#10;geN/5gEAANwDAAAOAAAAAAAAAAEAIAAAACgBAABkcnMvZTJvRG9jLnhtbFBLBQYAAAAABgAGAFkB&#10;AACABQAAAAA=&#10;">
                <v:fill on="t" focussize="0,0"/>
                <v:stroke color="#000000" joinstyle="miter"/>
                <v:imagedata o:title=""/>
                <o:lock v:ext="edit" aspectratio="f"/>
                <v:textbox>
                  <w:txbxContent>
                    <w:p>
                      <w:pPr>
                        <w:rPr>
                          <w:sz w:val="15"/>
                          <w:szCs w:val="15"/>
                        </w:rPr>
                      </w:pPr>
                      <w:r>
                        <w:rPr>
                          <w:rFonts w:hint="eastAsia"/>
                          <w:sz w:val="11"/>
                          <w:szCs w:val="11"/>
                        </w:rPr>
                        <w:t>废水处理站</w:t>
                      </w:r>
                    </w:p>
                  </w:txbxContent>
                </v:textbox>
              </v:rect>
            </w:pict>
          </mc:Fallback>
        </mc:AlternateContent>
      </w:r>
      <w:r>
        <mc:AlternateContent>
          <mc:Choice Requires="wps">
            <w:drawing>
              <wp:anchor distT="0" distB="0" distL="114300" distR="114300" simplePos="0" relativeHeight="251659264" behindDoc="0" locked="0" layoutInCell="1" allowOverlap="1">
                <wp:simplePos x="0" y="0"/>
                <wp:positionH relativeFrom="column">
                  <wp:posOffset>1696720</wp:posOffset>
                </wp:positionH>
                <wp:positionV relativeFrom="paragraph">
                  <wp:posOffset>606425</wp:posOffset>
                </wp:positionV>
                <wp:extent cx="238125" cy="228600"/>
                <wp:effectExtent l="4445" t="4445" r="5080" b="14605"/>
                <wp:wrapNone/>
                <wp:docPr id="44" name="矩形 12"/>
                <wp:cNvGraphicFramePr/>
                <a:graphic xmlns:a="http://schemas.openxmlformats.org/drawingml/2006/main">
                  <a:graphicData uri="http://schemas.microsoft.com/office/word/2010/wordprocessingShape">
                    <wps:wsp>
                      <wps:cNvSpPr/>
                      <wps:spPr>
                        <a:xfrm>
                          <a:off x="0" y="0"/>
                          <a:ext cx="238125" cy="228600"/>
                        </a:xfrm>
                        <a:prstGeom prst="rect">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rect id="矩形 12" o:spid="_x0000_s1026" o:spt="1" style="position:absolute;left:0pt;margin-left:133.6pt;margin-top:47.75pt;height:18pt;width:18.75pt;z-index:251659264;mso-width-relative:page;mso-height-relative:page;" fillcolor="#FFFFFF" filled="t" stroked="t" coordsize="21600,21600" o:gfxdata="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IRl+nfYAAAA&#10;CgEAAA8AAAAAAAAAAQAgAAAAIgAAAGRycy9kb3ducmV2LnhtbFBLAQIUABQAAAAIAIdO4kDk7w6N&#10;5AEAANEDAAAOAAAAAAAAAAEAIAAAACcBAABkcnMvZTJvRG9jLnhtbFBLBQYAAAAABgAGAFkBAAB9&#10;BQAAAAA=&#10;">
                <v:fill on="t" focussize="0,0"/>
                <v:stroke color="#000000" joinstyle="miter"/>
                <v:imagedata o:title=""/>
                <o:lock v:ext="edit" aspectratio="f"/>
              </v:rect>
            </w:pict>
          </mc:Fallback>
        </mc:AlternateContent>
      </w:r>
      <w:r>
        <mc:AlternateContent>
          <mc:Choice Requires="wps">
            <w:drawing>
              <wp:anchor distT="0" distB="0" distL="114300" distR="114300" simplePos="0" relativeHeight="251658240" behindDoc="0" locked="0" layoutInCell="1" allowOverlap="1">
                <wp:simplePos x="0" y="0"/>
                <wp:positionH relativeFrom="column">
                  <wp:posOffset>1391920</wp:posOffset>
                </wp:positionH>
                <wp:positionV relativeFrom="paragraph">
                  <wp:posOffset>596900</wp:posOffset>
                </wp:positionV>
                <wp:extent cx="276225" cy="247650"/>
                <wp:effectExtent l="4445" t="4445" r="5080" b="14605"/>
                <wp:wrapNone/>
                <wp:docPr id="19" name="矩形 13"/>
                <wp:cNvGraphicFramePr/>
                <a:graphic xmlns:a="http://schemas.openxmlformats.org/drawingml/2006/main">
                  <a:graphicData uri="http://schemas.microsoft.com/office/word/2010/wordprocessingShape">
                    <wps:wsp>
                      <wps:cNvSpPr/>
                      <wps:spPr>
                        <a:xfrm>
                          <a:off x="0" y="0"/>
                          <a:ext cx="276225" cy="247650"/>
                        </a:xfrm>
                        <a:prstGeom prst="rect">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rect id="矩形 13" o:spid="_x0000_s1026" o:spt="1" style="position:absolute;left:0pt;margin-left:109.6pt;margin-top:47pt;height:19.5pt;width:21.75pt;z-index:251658240;mso-width-relative:page;mso-height-relative:page;" fillcolor="#FFFFFF" filled="t" stroked="t" coordsize="21600,21600" o:gfxdata="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w+kloNgAAAAK&#10;AQAADwAAAAAAAAABACAAAAAiAAAAZHJzL2Rvd25yZXYueG1sUEsBAhQAFAAAAAgAh07iQMC2jF/j&#10;AQAA0QMAAA4AAAAAAAAAAQAgAAAAJwEAAGRycy9lMm9Eb2MueG1sUEsFBgAAAAAGAAYAWQEAAHwF&#10;AAAAAA==&#10;">
                <v:fill on="t" focussize="0,0"/>
                <v:stroke color="#000000" joinstyle="miter"/>
                <v:imagedata o:title=""/>
                <o:lock v:ext="edit" aspectratio="f"/>
              </v:rect>
            </w:pict>
          </mc:Fallback>
        </mc:AlternateContent>
      </w:r>
      <w:r>
        <mc:AlternateContent>
          <mc:Choice Requires="wps">
            <w:drawing>
              <wp:anchor distT="0" distB="0" distL="114300" distR="114300" simplePos="0" relativeHeight="251655168" behindDoc="0" locked="0" layoutInCell="1" allowOverlap="1">
                <wp:simplePos x="0" y="0"/>
                <wp:positionH relativeFrom="column">
                  <wp:posOffset>2332990</wp:posOffset>
                </wp:positionH>
                <wp:positionV relativeFrom="paragraph">
                  <wp:posOffset>2802255</wp:posOffset>
                </wp:positionV>
                <wp:extent cx="155575" cy="126365"/>
                <wp:effectExtent l="4445" t="4445" r="11430" b="21590"/>
                <wp:wrapNone/>
                <wp:docPr id="16" name="自选图形 15"/>
                <wp:cNvGraphicFramePr/>
                <a:graphic xmlns:a="http://schemas.openxmlformats.org/drawingml/2006/main">
                  <a:graphicData uri="http://schemas.microsoft.com/office/word/2010/wordprocessingShape">
                    <wps:wsp>
                      <wps:cNvSpPr/>
                      <wps:spPr>
                        <a:xfrm>
                          <a:off x="0" y="0"/>
                          <a:ext cx="155575" cy="126365"/>
                        </a:xfrm>
                        <a:custGeom>
                          <a:avLst/>
                          <a:gdLst>
                            <a:gd name="txL" fmla="*/ 3163 w 21600"/>
                            <a:gd name="txT" fmla="*/ 3163 h 21600"/>
                            <a:gd name="txR" fmla="*/ 18437 w 21600"/>
                            <a:gd name="txB" fmla="*/ 18437 h 21600"/>
                          </a:gdLst>
                          <a:ahLst/>
                          <a:cxnLst>
                            <a:cxn ang="270">
                              <a:pos x="10800" y="0"/>
                            </a:cxn>
                            <a:cxn ang="270">
                              <a:pos x="3163" y="3163"/>
                            </a:cxn>
                            <a:cxn ang="180">
                              <a:pos x="0" y="10800"/>
                            </a:cxn>
                            <a:cxn ang="90">
                              <a:pos x="3163" y="18437"/>
                            </a:cxn>
                            <a:cxn ang="90">
                              <a:pos x="10800" y="21600"/>
                            </a:cxn>
                            <a:cxn ang="90">
                              <a:pos x="18437" y="18437"/>
                            </a:cxn>
                            <a:cxn ang="0">
                              <a:pos x="21600" y="10800"/>
                            </a:cxn>
                            <a:cxn ang="270">
                              <a:pos x="18437" y="3163"/>
                            </a:cxn>
                          </a:cxnLst>
                          <a:rect l="txL" t="txT" r="txR" b="txB"/>
                          <a:pathLst>
                            <a:path w="21600" h="21600">
                              <a:moveTo>
                                <a:pt x="0" y="10800"/>
                              </a:moveTo>
                              <a:arcTo wR="10800" hR="10800" stAng="10800000" swAng="5400000"/>
                              <a:arcTo wR="10800" hR="10800" stAng="-5400000" swAng="5400000"/>
                              <a:arcTo wR="10800" hR="10800" stAng="0" swAng="5400000"/>
                              <a:arcTo wR="10800" hR="10800" stAng="5400000" swAng="5400000"/>
                              <a:close/>
                              <a:moveTo>
                                <a:pt x="5400" y="10800"/>
                              </a:moveTo>
                              <a:arcTo wR="5400" hR="5400" stAng="10800000" swAng="-5400000"/>
                              <a:arcTo wR="5400" hR="5400" stAng="5400000" swAng="-5400000"/>
                              <a:arcTo wR="5400" hR="5400" stAng="0" swAng="-5400000"/>
                              <a:arcTo wR="5400" hR="5400" stAng="-5400000" swAng="-5400000"/>
                              <a:close/>
                            </a:path>
                          </a:pathLst>
                        </a:custGeom>
                        <a:solidFill>
                          <a:srgbClr val="FFFFFF"/>
                        </a:solidFill>
                        <a:ln w="9525" cap="flat" cmpd="sng">
                          <a:solidFill>
                            <a:srgbClr val="000000"/>
                          </a:solidFill>
                          <a:prstDash val="solid"/>
                          <a:headEnd type="none" w="med" len="med"/>
                          <a:tailEnd type="none" w="med" len="med"/>
                        </a:ln>
                      </wps:spPr>
                      <wps:bodyPr upright="1"/>
                    </wps:wsp>
                  </a:graphicData>
                </a:graphic>
              </wp:anchor>
            </w:drawing>
          </mc:Choice>
          <mc:Fallback>
            <w:pict>
              <v:shape id="自选图形 15" o:spid="_x0000_s1026" o:spt="100" style="position:absolute;left:0pt;margin-left:183.7pt;margin-top:220.65pt;height:9.95pt;width:12.25pt;z-index:251655168;mso-width-relative:page;mso-height-relative:page;" fillcolor="#FFFFFF" filled="t" stroked="t" coordsize="21600,21600" o:gfxdata="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" path="m0,10800c0,4835,4835,0,10800,0c16765,0,21600,4835,21600,10800c21600,16765,16765,21600,10800,21600c4835,21600,0,16765,0,10800xm5400,10800c5400,13782,7818,16200,10800,16200c13782,16200,16200,13782,16200,10800c16200,7818,13782,5400,10800,5400c7818,5400,5400,7818,5400,10800xe">
                <v:path o:connectlocs="10800,0;3163,3163;0,10800;3163,18437;10800,21600;18437,18437;21600,10800;18437,3163" o:connectangles="0,0,0,0,0,0,0,0"/>
                <v:fill on="t" focussize="0,0"/>
                <v:stroke color="#000000" joinstyle="round"/>
                <v:imagedata o:title=""/>
                <o:lock v:ext="edit" aspectratio="f"/>
              </v:shape>
            </w:pict>
          </mc:Fallback>
        </mc:AlternateContent>
      </w:r>
      <w:r>
        <mc:AlternateContent>
          <mc:Choice Requires="wps">
            <w:drawing>
              <wp:anchor distT="0" distB="0" distL="114300" distR="114300" simplePos="0" relativeHeight="251641856" behindDoc="0" locked="0" layoutInCell="1" allowOverlap="1">
                <wp:simplePos x="0" y="0"/>
                <wp:positionH relativeFrom="column">
                  <wp:posOffset>7875905</wp:posOffset>
                </wp:positionH>
                <wp:positionV relativeFrom="paragraph">
                  <wp:posOffset>4505960</wp:posOffset>
                </wp:positionV>
                <wp:extent cx="564515" cy="9525"/>
                <wp:effectExtent l="0" t="36830" r="6985" b="29845"/>
                <wp:wrapNone/>
                <wp:docPr id="3" name="自选图形 16"/>
                <wp:cNvGraphicFramePr/>
                <a:graphic xmlns:a="http://schemas.openxmlformats.org/drawingml/2006/main">
                  <a:graphicData uri="http://schemas.microsoft.com/office/word/2010/wordprocessingShape">
                    <wps:wsp>
                      <wps:cNvCnPr/>
                      <wps:spPr>
                        <a:xfrm flipV="1">
                          <a:off x="0" y="0"/>
                          <a:ext cx="564515" cy="9525"/>
                        </a:xfrm>
                        <a:prstGeom prst="straightConnector1">
                          <a:avLst/>
                        </a:prstGeom>
                        <a:ln w="9525" cap="flat" cmpd="sng">
                          <a:solidFill>
                            <a:srgbClr val="C00000"/>
                          </a:solidFill>
                          <a:prstDash val="solid"/>
                          <a:headEnd type="none" w="med" len="med"/>
                          <a:tailEnd type="triangle" w="med" len="med"/>
                        </a:ln>
                      </wps:spPr>
                      <wps:bodyPr/>
                    </wps:wsp>
                  </a:graphicData>
                </a:graphic>
              </wp:anchor>
            </w:drawing>
          </mc:Choice>
          <mc:Fallback>
            <w:pict>
              <v:shape id="自选图形 16" o:spid="_x0000_s1026" o:spt="32" type="#_x0000_t32" style="position:absolute;left:0pt;flip:y;margin-left:620.15pt;margin-top:354.8pt;height:0.75pt;width:44.45pt;z-index:251641856;mso-width-relative:page;mso-height-relative:page;" filled="f" stroked="t" coordsize="21600,21600" o:gfxdata="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MzztHHY&#10;AAAADQEAAA8AAAAAAAAAAQAgAAAAIgAAAGRycy9kb3ducmV2LnhtbFBLAQIUABQAAAAIAIdO4kDT&#10;VdPn5wEAAKYDAAAOAAAAAAAAAAEAIAAAACcBAABkcnMvZTJvRG9jLnhtbFBLBQYAAAAABgAGAFkB&#10;AACABQAAAAA=&#10;">
                <v:fill on="f" focussize="0,0"/>
                <v:stroke color="#C00000" joinstyle="round" endarrow="block"/>
                <v:imagedata o:title=""/>
                <o:lock v:ext="edit" aspectratio="f"/>
              </v:shape>
            </w:pict>
          </mc:Fallback>
        </mc:AlternateContent>
      </w:r>
      <w:r>
        <mc:AlternateContent>
          <mc:Choice Requires="wps">
            <w:drawing>
              <wp:anchor distT="0" distB="0" distL="114300" distR="114300" simplePos="0" relativeHeight="251640832" behindDoc="0" locked="0" layoutInCell="1" allowOverlap="1">
                <wp:simplePos x="0" y="0"/>
                <wp:positionH relativeFrom="column">
                  <wp:posOffset>7931150</wp:posOffset>
                </wp:positionH>
                <wp:positionV relativeFrom="paragraph">
                  <wp:posOffset>4296410</wp:posOffset>
                </wp:positionV>
                <wp:extent cx="510540" cy="0"/>
                <wp:effectExtent l="0" t="38100" r="3810" b="38100"/>
                <wp:wrapNone/>
                <wp:docPr id="2" name="自选图形 17"/>
                <wp:cNvGraphicFramePr/>
                <a:graphic xmlns:a="http://schemas.openxmlformats.org/drawingml/2006/main">
                  <a:graphicData uri="http://schemas.microsoft.com/office/word/2010/wordprocessingShape">
                    <wps:wsp>
                      <wps:cNvCnPr/>
                      <wps:spPr>
                        <a:xfrm>
                          <a:off x="0" y="0"/>
                          <a:ext cx="51054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自选图形 17" o:spid="_x0000_s1026" o:spt="32" type="#_x0000_t32" style="position:absolute;left:0pt;margin-left:624.5pt;margin-top:338.3pt;height:0pt;width:40.2pt;z-index:251640832;mso-width-relative:page;mso-height-relative:page;" filled="f" stroked="t" coordsize="21600,21600" o:gfxdata="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A5NNNg2gAAAA0B&#10;AAAPAAAAAAAAAAEAIAAAACIAAABkcnMvZG93bnJldi54bWxQSwECFAAUAAAACACHTuJAbKY69eAB&#10;AACZAwAADgAAAAAAAAABACAAAAApAQAAZHJzL2Uyb0RvYy54bWxQSwUGAAAAAAYABgBZAQAAewUA&#10;AAAA&#10;">
                <v:fill on="f" focussize="0,0"/>
                <v:stroke color="#000000" joinstyle="round" endarrow="block"/>
                <v:imagedata o:title=""/>
                <o:lock v:ext="edit" aspectratio="f"/>
              </v:shape>
            </w:pict>
          </mc:Fallback>
        </mc:AlternateContent>
      </w:r>
      <w:r>
        <mc:AlternateContent>
          <mc:Choice Requires="wps">
            <w:drawing>
              <wp:anchor distT="0" distB="0" distL="114300" distR="114300" simplePos="0" relativeHeight="251649024" behindDoc="0" locked="0" layoutInCell="1" allowOverlap="1">
                <wp:simplePos x="0" y="0"/>
                <wp:positionH relativeFrom="column">
                  <wp:posOffset>495935</wp:posOffset>
                </wp:positionH>
                <wp:positionV relativeFrom="paragraph">
                  <wp:posOffset>27305</wp:posOffset>
                </wp:positionV>
                <wp:extent cx="155575" cy="151765"/>
                <wp:effectExtent l="7620" t="10160" r="8255" b="9525"/>
                <wp:wrapNone/>
                <wp:docPr id="10" name="自选图形 18"/>
                <wp:cNvGraphicFramePr/>
                <a:graphic xmlns:a="http://schemas.openxmlformats.org/drawingml/2006/main">
                  <a:graphicData uri="http://schemas.microsoft.com/office/word/2010/wordprocessingShape">
                    <wps:wsp>
                      <wps:cNvSpPr/>
                      <wps:spPr>
                        <a:xfrm>
                          <a:off x="0" y="0"/>
                          <a:ext cx="155575" cy="151765"/>
                        </a:xfrm>
                        <a:prstGeom prst="triangle">
                          <a:avLst>
                            <a:gd name="adj" fmla="val 50000"/>
                          </a:avLst>
                        </a:prstGeom>
                        <a:solidFill>
                          <a:srgbClr val="000000"/>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18" o:spid="_x0000_s1026" o:spt="5" type="#_x0000_t5" style="position:absolute;left:0pt;margin-left:39.05pt;margin-top:2.15pt;height:11.95pt;width:12.25pt;z-index:251649024;mso-width-relative:page;mso-height-relative:page;" fillcolor="#000000" filled="t" stroked="t" coordsize="21600,21600" o:gfxdata="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CxP/WJ1QAAAAcBAAAPAAAAAAAAAAEAIAAAACIAAABkcnMvZG93bnJldi54&#10;bWxQSwECFAAUAAAACACHTuJAIHnE2/0BAAAHBAAADgAAAAAAAAABACAAAAAkAQAAZHJzL2Uyb0Rv&#10;Yy54bWxQSwUGAAAAAAYABgBZAQAAkwUAAAAA&#10;" adj="10800">
                <v:fill on="t" focussize="0,0"/>
                <v:stroke color="#000000" joinstyle="miter"/>
                <v:imagedata o:title=""/>
                <o:lock v:ext="edit" aspectratio="f"/>
              </v:shape>
            </w:pict>
          </mc:Fallback>
        </mc:AlternateContent>
      </w:r>
      <w:r>
        <mc:AlternateContent>
          <mc:Choice Requires="wps">
            <w:drawing>
              <wp:anchor distT="0" distB="0" distL="114300" distR="114300" simplePos="0" relativeHeight="251648000" behindDoc="0" locked="0" layoutInCell="1" allowOverlap="1">
                <wp:simplePos x="0" y="0"/>
                <wp:positionH relativeFrom="column">
                  <wp:posOffset>7981950</wp:posOffset>
                </wp:positionH>
                <wp:positionV relativeFrom="paragraph">
                  <wp:posOffset>3359785</wp:posOffset>
                </wp:positionV>
                <wp:extent cx="155575" cy="151765"/>
                <wp:effectExtent l="7620" t="10160" r="8255" b="9525"/>
                <wp:wrapNone/>
                <wp:docPr id="9" name="自选图形 19"/>
                <wp:cNvGraphicFramePr/>
                <a:graphic xmlns:a="http://schemas.openxmlformats.org/drawingml/2006/main">
                  <a:graphicData uri="http://schemas.microsoft.com/office/word/2010/wordprocessingShape">
                    <wps:wsp>
                      <wps:cNvSpPr/>
                      <wps:spPr>
                        <a:xfrm>
                          <a:off x="0" y="0"/>
                          <a:ext cx="155575" cy="151765"/>
                        </a:xfrm>
                        <a:prstGeom prst="triangle">
                          <a:avLst>
                            <a:gd name="adj" fmla="val 50000"/>
                          </a:avLst>
                        </a:prstGeom>
                        <a:solidFill>
                          <a:srgbClr val="000000"/>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19" o:spid="_x0000_s1026" o:spt="5" type="#_x0000_t5" style="position:absolute;left:0pt;margin-left:628.5pt;margin-top:264.55pt;height:11.95pt;width:12.25pt;z-index:251648000;mso-width-relative:page;mso-height-relative:page;" fillcolor="#000000" filled="t" stroked="t" coordsize="21600,21600" o:gfxdata="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E2VzcvaAAAADQEAAA8AAAAAAAAAAQAgAAAAIgAAAGRycy9kb3du&#10;cmV2LnhtbFBLAQIUABQAAAAIAIdO4kBbKkKD/QEAAAYEAAAOAAAAAAAAAAEAIAAAACkBAABkcnMv&#10;ZTJvRG9jLnhtbFBLBQYAAAAABgAGAFkBAACYBQAAAAA=&#10;" adj="10800">
                <v:fill on="t" focussize="0,0"/>
                <v:stroke color="#000000" joinstyle="miter"/>
                <v:imagedata o:title=""/>
                <o:lock v:ext="edit" aspectratio="f"/>
              </v:shape>
            </w:pict>
          </mc:Fallback>
        </mc:AlternateContent>
      </w:r>
      <w:r>
        <mc:AlternateContent>
          <mc:Choice Requires="wps">
            <w:drawing>
              <wp:anchor distT="0" distB="0" distL="114300" distR="114300" simplePos="0" relativeHeight="251645952" behindDoc="0" locked="0" layoutInCell="1" allowOverlap="1">
                <wp:simplePos x="0" y="0"/>
                <wp:positionH relativeFrom="column">
                  <wp:posOffset>607060</wp:posOffset>
                </wp:positionH>
                <wp:positionV relativeFrom="paragraph">
                  <wp:posOffset>4318000</wp:posOffset>
                </wp:positionV>
                <wp:extent cx="155575" cy="151765"/>
                <wp:effectExtent l="7620" t="10160" r="8255" b="9525"/>
                <wp:wrapNone/>
                <wp:docPr id="7" name="自选图形 20"/>
                <wp:cNvGraphicFramePr/>
                <a:graphic xmlns:a="http://schemas.openxmlformats.org/drawingml/2006/main">
                  <a:graphicData uri="http://schemas.microsoft.com/office/word/2010/wordprocessingShape">
                    <wps:wsp>
                      <wps:cNvSpPr/>
                      <wps:spPr>
                        <a:xfrm>
                          <a:off x="0" y="0"/>
                          <a:ext cx="155575" cy="151765"/>
                        </a:xfrm>
                        <a:prstGeom prst="triangle">
                          <a:avLst>
                            <a:gd name="adj" fmla="val 50000"/>
                          </a:avLst>
                        </a:prstGeom>
                        <a:solidFill>
                          <a:srgbClr val="000000"/>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20" o:spid="_x0000_s1026" o:spt="5" type="#_x0000_t5" style="position:absolute;left:0pt;margin-left:47.8pt;margin-top:340pt;height:11.95pt;width:12.25pt;z-index:251645952;mso-width-relative:page;mso-height-relative:page;" fillcolor="#000000" filled="t" stroked="t" coordsize="21600,21600" o:gfxdata="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l2tCrYAAAACgEAAA8AAAAAAAAAAQAgAAAAIgAAAGRycy9kb3ducmV2&#10;LnhtbFBLAQIUABQAAAAIAIdO4kD4u46z/AEAAAYEAAAOAAAAAAAAAAEAIAAAACcBAABkcnMvZTJv&#10;RG9jLnhtbFBLBQYAAAAABgAGAFkBAACVBQAAAAA=&#10;" adj="10800">
                <v:fill on="t" focussize="0,0"/>
                <v:stroke color="#000000" joinstyle="miter"/>
                <v:imagedata o:title=""/>
                <o:lock v:ext="edit" aspectratio="f"/>
              </v:shape>
            </w:pict>
          </mc:Fallback>
        </mc:AlternateContent>
      </w:r>
      <w:r>
        <mc:AlternateContent>
          <mc:Choice Requires="wps">
            <w:drawing>
              <wp:anchor distT="0" distB="0" distL="114300" distR="114300" simplePos="0" relativeHeight="251651072" behindDoc="0" locked="0" layoutInCell="1" allowOverlap="1">
                <wp:simplePos x="0" y="0"/>
                <wp:positionH relativeFrom="column">
                  <wp:posOffset>1958340</wp:posOffset>
                </wp:positionH>
                <wp:positionV relativeFrom="paragraph">
                  <wp:posOffset>729615</wp:posOffset>
                </wp:positionV>
                <wp:extent cx="90805" cy="116840"/>
                <wp:effectExtent l="11430" t="20320" r="12065" b="15240"/>
                <wp:wrapNone/>
                <wp:docPr id="12" name="自选图形 21"/>
                <wp:cNvGraphicFramePr/>
                <a:graphic xmlns:a="http://schemas.openxmlformats.org/drawingml/2006/main">
                  <a:graphicData uri="http://schemas.microsoft.com/office/word/2010/wordprocessingShape">
                    <wps:wsp>
                      <wps:cNvSpPr/>
                      <wps:spPr>
                        <a:xfrm>
                          <a:off x="0" y="0"/>
                          <a:ext cx="90805" cy="116840"/>
                        </a:xfrm>
                        <a:prstGeom prst="star5">
                          <a:avLst/>
                        </a:prstGeom>
                        <a:solidFill>
                          <a:srgbClr val="000000"/>
                        </a:solidFill>
                        <a:ln w="9525" cap="flat" cmpd="sng">
                          <a:solidFill>
                            <a:srgbClr val="000000"/>
                          </a:solidFill>
                          <a:prstDash val="solid"/>
                          <a:miter/>
                          <a:headEnd type="none" w="med" len="med"/>
                          <a:tailEnd type="none" w="med" len="med"/>
                        </a:ln>
                      </wps:spPr>
                      <wps:bodyPr upright="1"/>
                    </wps:wsp>
                  </a:graphicData>
                </a:graphic>
              </wp:anchor>
            </w:drawing>
          </mc:Choice>
          <mc:Fallback>
            <w:pict>
              <v:shape id="自选图形 21" o:spid="_x0000_s1026" style="position:absolute;left:0pt;margin-left:154.2pt;margin-top:57.45pt;height:9.2pt;width:7.15pt;z-index:251651072;mso-width-relative:page;mso-height-relative:page;" fillcolor="#000000" filled="t" stroked="t" coordsize="90805,116840" o:gfxdata="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" path="m0,44628l34684,44629,45402,0,56120,44629,90804,44628,62744,72210,73462,116839,45402,89257,17342,116839,28060,72210xe">
                <v:path o:connectlocs="45402,0;0,44628;17342,116839;73462,116839;90804,44628" o:connectangles="247,164,82,82,0"/>
                <v:fill on="t" focussize="0,0"/>
                <v:stroke color="#000000" joinstyle="miter"/>
                <v:imagedata o:title=""/>
                <o:lock v:ext="edit" aspectratio="f"/>
              </v:shape>
            </w:pict>
          </mc:Fallback>
        </mc:AlternateContent>
      </w:r>
      <w:r>
        <mc:AlternateContent>
          <mc:Choice Requires="wps">
            <w:drawing>
              <wp:anchor distT="0" distB="0" distL="114300" distR="114300" simplePos="0" relativeHeight="251639808" behindDoc="0" locked="0" layoutInCell="1" allowOverlap="1">
                <wp:simplePos x="0" y="0"/>
                <wp:positionH relativeFrom="column">
                  <wp:posOffset>6698615</wp:posOffset>
                </wp:positionH>
                <wp:positionV relativeFrom="paragraph">
                  <wp:posOffset>3557270</wp:posOffset>
                </wp:positionV>
                <wp:extent cx="2247265" cy="1586230"/>
                <wp:effectExtent l="5080" t="5080" r="14605" b="8890"/>
                <wp:wrapNone/>
                <wp:docPr id="1" name="文本框 22"/>
                <wp:cNvGraphicFramePr/>
                <a:graphic xmlns:a="http://schemas.openxmlformats.org/drawingml/2006/main">
                  <a:graphicData uri="http://schemas.microsoft.com/office/word/2010/wordprocessingShape">
                    <wps:wsp>
                      <wps:cNvSpPr txBox="1"/>
                      <wps:spPr>
                        <a:xfrm>
                          <a:off x="0" y="0"/>
                          <a:ext cx="2247265" cy="158623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rPr>
                                <w:rFonts w:ascii="宋体"/>
                                <w:sz w:val="21"/>
                                <w:szCs w:val="21"/>
                              </w:rPr>
                            </w:pPr>
                            <w:r>
                              <w:rPr>
                                <w:rFonts w:hint="eastAsia" w:ascii="宋体" w:hAnsi="宋体"/>
                                <w:sz w:val="21"/>
                                <w:szCs w:val="21"/>
                              </w:rPr>
                              <w:t>★</w:t>
                            </w:r>
                            <w:r>
                              <w:rPr>
                                <w:rFonts w:ascii="宋体" w:hAnsi="宋体"/>
                                <w:sz w:val="21"/>
                                <w:szCs w:val="21"/>
                              </w:rPr>
                              <w:t>:</w:t>
                            </w:r>
                            <w:r>
                              <w:rPr>
                                <w:rFonts w:hint="eastAsia" w:ascii="宋体" w:hAnsi="宋体"/>
                                <w:sz w:val="21"/>
                                <w:szCs w:val="21"/>
                              </w:rPr>
                              <w:t>废水监测点</w:t>
                            </w:r>
                          </w:p>
                          <w:p>
                            <w:pPr>
                              <w:rPr>
                                <w:rFonts w:ascii="宋体"/>
                                <w:sz w:val="21"/>
                                <w:szCs w:val="21"/>
                              </w:rPr>
                            </w:pPr>
                            <w:r>
                              <w:rPr>
                                <w:rFonts w:hint="eastAsia" w:ascii="宋体" w:hAnsi="宋体"/>
                                <w:sz w:val="21"/>
                                <w:szCs w:val="21"/>
                              </w:rPr>
                              <w:t>◎</w:t>
                            </w:r>
                            <w:r>
                              <w:rPr>
                                <w:rFonts w:ascii="宋体" w:hAnsi="宋体"/>
                                <w:sz w:val="21"/>
                                <w:szCs w:val="21"/>
                              </w:rPr>
                              <w:t>:</w:t>
                            </w:r>
                            <w:r>
                              <w:rPr>
                                <w:rFonts w:hint="eastAsia" w:ascii="宋体" w:hAnsi="宋体"/>
                                <w:sz w:val="21"/>
                                <w:szCs w:val="21"/>
                              </w:rPr>
                              <w:t>废气监测点</w:t>
                            </w:r>
                          </w:p>
                          <w:p>
                            <w:pPr>
                              <w:rPr>
                                <w:rFonts w:ascii="宋体"/>
                                <w:sz w:val="21"/>
                                <w:szCs w:val="21"/>
                              </w:rPr>
                            </w:pPr>
                            <w:r>
                              <w:rPr>
                                <w:rFonts w:hint="eastAsia" w:ascii="宋体" w:hAnsi="宋体"/>
                                <w:sz w:val="21"/>
                                <w:szCs w:val="21"/>
                              </w:rPr>
                              <w:t>▲：噪声监测点</w:t>
                            </w:r>
                          </w:p>
                          <w:p>
                            <w:pPr>
                              <w:rPr>
                                <w:rFonts w:ascii="宋体"/>
                                <w:sz w:val="21"/>
                                <w:szCs w:val="21"/>
                              </w:rPr>
                            </w:pPr>
                            <w:r>
                              <w:rPr>
                                <w:rFonts w:hint="eastAsia" w:ascii="宋体" w:hAnsi="宋体"/>
                                <w:sz w:val="21"/>
                                <w:szCs w:val="21"/>
                              </w:rPr>
                              <w:t>罐区初期雨水管网</w:t>
                            </w:r>
                          </w:p>
                          <w:p>
                            <w:pPr>
                              <w:rPr>
                                <w:sz w:val="21"/>
                                <w:szCs w:val="21"/>
                              </w:rPr>
                            </w:pPr>
                            <w:r>
                              <w:rPr>
                                <w:rFonts w:hint="eastAsia"/>
                                <w:sz w:val="21"/>
                                <w:szCs w:val="21"/>
                              </w:rPr>
                              <w:t>生活污水管网</w:t>
                            </w:r>
                          </w:p>
                          <w:p>
                            <w:pPr>
                              <w:rPr>
                                <w:sz w:val="21"/>
                                <w:szCs w:val="21"/>
                              </w:rPr>
                            </w:pPr>
                            <w:r>
                              <w:rPr>
                                <w:rFonts w:hint="eastAsia"/>
                                <w:sz w:val="21"/>
                                <w:szCs w:val="21"/>
                              </w:rPr>
                              <w:t>车间废水管网</w:t>
                            </w:r>
                          </w:p>
                          <w:p>
                            <w:pPr>
                              <w:rPr>
                                <w:rFonts w:eastAsia="Times New Roman"/>
                                <w:sz w:val="21"/>
                                <w:szCs w:val="21"/>
                              </w:rPr>
                            </w:pPr>
                            <w:r>
                              <w:rPr>
                                <w:rFonts w:hint="eastAsia"/>
                                <w:sz w:val="21"/>
                                <w:szCs w:val="21"/>
                              </w:rPr>
                              <w:t>雨水管网</w:t>
                            </w:r>
                          </w:p>
                        </w:txbxContent>
                      </wps:txbx>
                      <wps:bodyPr upright="1"/>
                    </wps:wsp>
                  </a:graphicData>
                </a:graphic>
              </wp:anchor>
            </w:drawing>
          </mc:Choice>
          <mc:Fallback>
            <w:pict>
              <v:shape id="文本框 22" o:spid="_x0000_s1026" o:spt="202" type="#_x0000_t202" style="position:absolute;left:0pt;margin-left:527.45pt;margin-top:280.1pt;height:124.9pt;width:176.95pt;z-index:251639808;mso-width-relative:page;mso-height-relative:page;" fillcolor="#FFFFFF" filled="t" stroked="t" coordsize="21600,21600" o:gfxdata="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669dGtoAAAANAQAADwAAAAAAAAABACAAAAAiAAAAZHJzL2Rvd25yZXYueG1sUEsB&#10;AhQAFAAAAAgAh07iQKO46onzAQAA6gMAAA4AAAAAAAAAAQAgAAAAKQEAAGRycy9lMm9Eb2MueG1s&#10;UEsFBgAAAAAGAAYAWQEAAI4FAAAAAA==&#10;">
                <v:fill on="t" focussize="0,0"/>
                <v:stroke color="#000000" joinstyle="miter"/>
                <v:imagedata o:title=""/>
                <o:lock v:ext="edit" aspectratio="f"/>
                <v:textbox>
                  <w:txbxContent>
                    <w:p>
                      <w:pPr>
                        <w:rPr>
                          <w:rFonts w:ascii="宋体"/>
                          <w:sz w:val="21"/>
                          <w:szCs w:val="21"/>
                        </w:rPr>
                      </w:pPr>
                      <w:r>
                        <w:rPr>
                          <w:rFonts w:hint="eastAsia" w:ascii="宋体" w:hAnsi="宋体"/>
                          <w:sz w:val="21"/>
                          <w:szCs w:val="21"/>
                        </w:rPr>
                        <w:t>★</w:t>
                      </w:r>
                      <w:r>
                        <w:rPr>
                          <w:rFonts w:ascii="宋体" w:hAnsi="宋体"/>
                          <w:sz w:val="21"/>
                          <w:szCs w:val="21"/>
                        </w:rPr>
                        <w:t>:</w:t>
                      </w:r>
                      <w:r>
                        <w:rPr>
                          <w:rFonts w:hint="eastAsia" w:ascii="宋体" w:hAnsi="宋体"/>
                          <w:sz w:val="21"/>
                          <w:szCs w:val="21"/>
                        </w:rPr>
                        <w:t>废水监测点</w:t>
                      </w:r>
                    </w:p>
                    <w:p>
                      <w:pPr>
                        <w:rPr>
                          <w:rFonts w:ascii="宋体"/>
                          <w:sz w:val="21"/>
                          <w:szCs w:val="21"/>
                        </w:rPr>
                      </w:pPr>
                      <w:r>
                        <w:rPr>
                          <w:rFonts w:hint="eastAsia" w:ascii="宋体" w:hAnsi="宋体"/>
                          <w:sz w:val="21"/>
                          <w:szCs w:val="21"/>
                        </w:rPr>
                        <w:t>◎</w:t>
                      </w:r>
                      <w:r>
                        <w:rPr>
                          <w:rFonts w:ascii="宋体" w:hAnsi="宋体"/>
                          <w:sz w:val="21"/>
                          <w:szCs w:val="21"/>
                        </w:rPr>
                        <w:t>:</w:t>
                      </w:r>
                      <w:r>
                        <w:rPr>
                          <w:rFonts w:hint="eastAsia" w:ascii="宋体" w:hAnsi="宋体"/>
                          <w:sz w:val="21"/>
                          <w:szCs w:val="21"/>
                        </w:rPr>
                        <w:t>废气监测点</w:t>
                      </w:r>
                    </w:p>
                    <w:p>
                      <w:pPr>
                        <w:rPr>
                          <w:rFonts w:ascii="宋体"/>
                          <w:sz w:val="21"/>
                          <w:szCs w:val="21"/>
                        </w:rPr>
                      </w:pPr>
                      <w:r>
                        <w:rPr>
                          <w:rFonts w:hint="eastAsia" w:ascii="宋体" w:hAnsi="宋体"/>
                          <w:sz w:val="21"/>
                          <w:szCs w:val="21"/>
                        </w:rPr>
                        <w:t>▲：噪声监测点</w:t>
                      </w:r>
                    </w:p>
                    <w:p>
                      <w:pPr>
                        <w:rPr>
                          <w:rFonts w:ascii="宋体"/>
                          <w:sz w:val="21"/>
                          <w:szCs w:val="21"/>
                        </w:rPr>
                      </w:pPr>
                      <w:r>
                        <w:rPr>
                          <w:rFonts w:hint="eastAsia" w:ascii="宋体" w:hAnsi="宋体"/>
                          <w:sz w:val="21"/>
                          <w:szCs w:val="21"/>
                        </w:rPr>
                        <w:t>罐区初期雨水管网</w:t>
                      </w:r>
                    </w:p>
                    <w:p>
                      <w:pPr>
                        <w:rPr>
                          <w:sz w:val="21"/>
                          <w:szCs w:val="21"/>
                        </w:rPr>
                      </w:pPr>
                      <w:r>
                        <w:rPr>
                          <w:rFonts w:hint="eastAsia"/>
                          <w:sz w:val="21"/>
                          <w:szCs w:val="21"/>
                        </w:rPr>
                        <w:t>生活污水管网</w:t>
                      </w:r>
                    </w:p>
                    <w:p>
                      <w:pPr>
                        <w:rPr>
                          <w:sz w:val="21"/>
                          <w:szCs w:val="21"/>
                        </w:rPr>
                      </w:pPr>
                      <w:r>
                        <w:rPr>
                          <w:rFonts w:hint="eastAsia"/>
                          <w:sz w:val="21"/>
                          <w:szCs w:val="21"/>
                        </w:rPr>
                        <w:t>车间废水管网</w:t>
                      </w:r>
                    </w:p>
                    <w:p>
                      <w:pPr>
                        <w:rPr>
                          <w:rFonts w:eastAsia="Times New Roman"/>
                          <w:sz w:val="21"/>
                          <w:szCs w:val="21"/>
                        </w:rPr>
                      </w:pPr>
                      <w:r>
                        <w:rPr>
                          <w:rFonts w:hint="eastAsia"/>
                          <w:sz w:val="21"/>
                          <w:szCs w:val="21"/>
                        </w:rPr>
                        <w:t>雨水管网</w:t>
                      </w:r>
                    </w:p>
                  </w:txbxContent>
                </v:textbox>
              </v:shape>
            </w:pict>
          </mc:Fallback>
        </mc:AlternateContent>
      </w:r>
      <w:r>
        <mc:AlternateContent>
          <mc:Choice Requires="wps">
            <w:drawing>
              <wp:anchor distT="0" distB="0" distL="114300" distR="114300" simplePos="0" relativeHeight="251653120" behindDoc="0" locked="0" layoutInCell="1" allowOverlap="1">
                <wp:simplePos x="0" y="0"/>
                <wp:positionH relativeFrom="column">
                  <wp:posOffset>5623560</wp:posOffset>
                </wp:positionH>
                <wp:positionV relativeFrom="paragraph">
                  <wp:posOffset>2978150</wp:posOffset>
                </wp:positionV>
                <wp:extent cx="709930" cy="651510"/>
                <wp:effectExtent l="240665" t="90170" r="20955" b="20320"/>
                <wp:wrapNone/>
                <wp:docPr id="14" name="自选图形 23"/>
                <wp:cNvGraphicFramePr/>
                <a:graphic xmlns:a="http://schemas.openxmlformats.org/drawingml/2006/main">
                  <a:graphicData uri="http://schemas.microsoft.com/office/word/2010/wordprocessingShape">
                    <wps:wsp>
                      <wps:cNvSpPr/>
                      <wps:spPr>
                        <a:xfrm>
                          <a:off x="0" y="0"/>
                          <a:ext cx="709930" cy="651510"/>
                        </a:xfrm>
                        <a:prstGeom prst="wedgeEllipseCallout">
                          <a:avLst>
                            <a:gd name="adj1" fmla="val -80769"/>
                            <a:gd name="adj2" fmla="val -61403"/>
                          </a:avLst>
                        </a:prstGeom>
                        <a:solidFill>
                          <a:srgbClr val="FFFFFF"/>
                        </a:solidFill>
                        <a:ln w="9525" cap="flat" cmpd="sng">
                          <a:solidFill>
                            <a:srgbClr val="000000"/>
                          </a:solidFill>
                          <a:prstDash val="solid"/>
                          <a:miter/>
                          <a:headEnd type="none" w="med" len="med"/>
                          <a:tailEnd type="none" w="med" len="med"/>
                        </a:ln>
                      </wps:spPr>
                      <wps:txbx>
                        <w:txbxContent>
                          <w:p>
                            <w:r>
                              <w:rPr>
                                <w:rFonts w:hint="eastAsia"/>
                                <w:sz w:val="15"/>
                                <w:szCs w:val="15"/>
                              </w:rPr>
                              <w:t>雨水沉淀池</w:t>
                            </w:r>
                          </w:p>
                        </w:txbxContent>
                      </wps:txbx>
                      <wps:bodyPr upright="1"/>
                    </wps:wsp>
                  </a:graphicData>
                </a:graphic>
              </wp:anchor>
            </w:drawing>
          </mc:Choice>
          <mc:Fallback>
            <w:pict>
              <v:shape id="自选图形 23" o:spid="_x0000_s1026" o:spt="63" type="#_x0000_t63" style="position:absolute;left:0pt;margin-left:442.8pt;margin-top:234.5pt;height:51.3pt;width:55.9pt;z-index:251653120;mso-width-relative:page;mso-height-relative:page;" fillcolor="#FFFFFF" filled="t" stroked="t" coordsize="21600,21600" o:gfxdata="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BQ&#10;oqT92QAAAAsBAAAPAAAAAAAAAAEAIAAAACIAAABkcnMvZG93bnJldi54bWxQSwECFAAUAAAACACH&#10;TuJA4rLbSCMCAABEBAAADgAAAAAAAAABACAAAAAoAQAAZHJzL2Uyb0RvYy54bWxQSwUGAAAAAAYA&#10;BgBZAQAAvQUAAAAA&#10;" adj="-6646,-2463">
                <v:fill on="t" focussize="0,0"/>
                <v:stroke color="#000000" joinstyle="miter"/>
                <v:imagedata o:title=""/>
                <o:lock v:ext="edit" aspectratio="f"/>
                <v:textbox>
                  <w:txbxContent>
                    <w:p>
                      <w:r>
                        <w:rPr>
                          <w:rFonts w:hint="eastAsia"/>
                          <w:sz w:val="15"/>
                          <w:szCs w:val="15"/>
                        </w:rPr>
                        <w:t>雨水沉淀池</w:t>
                      </w:r>
                    </w:p>
                  </w:txbxContent>
                </v:textbox>
              </v:shape>
            </w:pict>
          </mc:Fallback>
        </mc:AlternateContent>
      </w:r>
      <w:r>
        <mc:AlternateContent>
          <mc:Choice Requires="wps">
            <w:drawing>
              <wp:anchor distT="0" distB="0" distL="114300" distR="114300" simplePos="0" relativeHeight="251656192" behindDoc="0" locked="0" layoutInCell="1" allowOverlap="1">
                <wp:simplePos x="0" y="0"/>
                <wp:positionH relativeFrom="column">
                  <wp:posOffset>1521460</wp:posOffset>
                </wp:positionH>
                <wp:positionV relativeFrom="paragraph">
                  <wp:posOffset>3874135</wp:posOffset>
                </wp:positionV>
                <wp:extent cx="1123950" cy="589915"/>
                <wp:effectExtent l="5080" t="372745" r="52070" b="8890"/>
                <wp:wrapNone/>
                <wp:docPr id="17" name="自选图形 24"/>
                <wp:cNvGraphicFramePr/>
                <a:graphic xmlns:a="http://schemas.openxmlformats.org/drawingml/2006/main">
                  <a:graphicData uri="http://schemas.microsoft.com/office/word/2010/wordprocessingShape">
                    <wps:wsp>
                      <wps:cNvSpPr/>
                      <wps:spPr>
                        <a:xfrm>
                          <a:off x="0" y="0"/>
                          <a:ext cx="1123950" cy="589915"/>
                        </a:xfrm>
                        <a:prstGeom prst="wedgeEllipseCallout">
                          <a:avLst>
                            <a:gd name="adj1" fmla="val 51440"/>
                            <a:gd name="adj2" fmla="val -109625"/>
                          </a:avLst>
                        </a:prstGeom>
                        <a:solidFill>
                          <a:srgbClr val="FFFFFF"/>
                        </a:solidFill>
                        <a:ln w="9525" cap="flat" cmpd="sng">
                          <a:solidFill>
                            <a:srgbClr val="000000"/>
                          </a:solidFill>
                          <a:prstDash val="solid"/>
                          <a:miter/>
                          <a:headEnd type="none" w="med" len="med"/>
                          <a:tailEnd type="none" w="med" len="med"/>
                        </a:ln>
                      </wps:spPr>
                      <wps:txbx>
                        <w:txbxContent>
                          <w:p>
                            <w:pPr>
                              <w:rPr>
                                <w:rFonts w:eastAsia="Times New Roman"/>
                              </w:rPr>
                            </w:pPr>
                            <w:r>
                              <w:rPr>
                                <w:rFonts w:hint="eastAsia"/>
                                <w:sz w:val="21"/>
                                <w:szCs w:val="21"/>
                              </w:rPr>
                              <w:t>危废仓</w:t>
                            </w:r>
                          </w:p>
                        </w:txbxContent>
                      </wps:txbx>
                      <wps:bodyPr upright="1"/>
                    </wps:wsp>
                  </a:graphicData>
                </a:graphic>
              </wp:anchor>
            </w:drawing>
          </mc:Choice>
          <mc:Fallback>
            <w:pict>
              <v:shape id="自选图形 24" o:spid="_x0000_s1026" o:spt="63" type="#_x0000_t63" style="position:absolute;left:0pt;margin-left:119.8pt;margin-top:305.05pt;height:46.45pt;width:88.5pt;z-index:251656192;mso-width-relative:page;mso-height-relative:page;" fillcolor="#FFFFFF" filled="t" stroked="t" coordsize="21600,21600" o:gfxdata="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mRsV&#10;kNgAAAALAQAADwAAAAAAAAABACAAAAAiAAAAZHJzL2Rvd25yZXYueG1sUEsBAhQAFAAAAAgAh07i&#10;QERO7PciAgAARQQAAA4AAAAAAAAAAQAgAAAAJwEAAGRycy9lMm9Eb2MueG1sUEsFBgAAAAAGAAYA&#10;WQEAALsFAAAAAA==&#10;" adj="21911,-12879">
                <v:fill on="t" focussize="0,0"/>
                <v:stroke color="#000000" joinstyle="miter"/>
                <v:imagedata o:title=""/>
                <o:lock v:ext="edit" aspectratio="f"/>
                <v:textbox>
                  <w:txbxContent>
                    <w:p>
                      <w:pPr>
                        <w:rPr>
                          <w:rFonts w:eastAsia="Times New Roman"/>
                        </w:rPr>
                      </w:pPr>
                      <w:r>
                        <w:rPr>
                          <w:rFonts w:hint="eastAsia"/>
                          <w:sz w:val="21"/>
                          <w:szCs w:val="21"/>
                        </w:rPr>
                        <w:t>危废仓</w:t>
                      </w:r>
                    </w:p>
                  </w:txbxContent>
                </v:textbox>
              </v:shape>
            </w:pict>
          </mc:Fallback>
        </mc:AlternateContent>
      </w:r>
      <w:r>
        <mc:AlternateContent>
          <mc:Choice Requires="wps">
            <w:drawing>
              <wp:anchor distT="0" distB="0" distL="114300" distR="114300" simplePos="0" relativeHeight="251654144" behindDoc="0" locked="0" layoutInCell="1" allowOverlap="1">
                <wp:simplePos x="0" y="0"/>
                <wp:positionH relativeFrom="column">
                  <wp:posOffset>169545</wp:posOffset>
                </wp:positionH>
                <wp:positionV relativeFrom="paragraph">
                  <wp:posOffset>1187450</wp:posOffset>
                </wp:positionV>
                <wp:extent cx="885190" cy="340360"/>
                <wp:effectExtent l="5080" t="5080" r="367030" b="16510"/>
                <wp:wrapNone/>
                <wp:docPr id="15" name="自选图形 25"/>
                <wp:cNvGraphicFramePr/>
                <a:graphic xmlns:a="http://schemas.openxmlformats.org/drawingml/2006/main">
                  <a:graphicData uri="http://schemas.microsoft.com/office/word/2010/wordprocessingShape">
                    <wps:wsp>
                      <wps:cNvSpPr/>
                      <wps:spPr>
                        <a:xfrm>
                          <a:off x="0" y="0"/>
                          <a:ext cx="885190" cy="340360"/>
                        </a:xfrm>
                        <a:prstGeom prst="wedgeRoundRectCallout">
                          <a:avLst>
                            <a:gd name="adj1" fmla="val 87231"/>
                            <a:gd name="adj2" fmla="val -1491"/>
                            <a:gd name="adj3" fmla="val 16667"/>
                          </a:avLst>
                        </a:prstGeom>
                        <a:solidFill>
                          <a:srgbClr val="FFFFFF"/>
                        </a:solidFill>
                        <a:ln w="9525" cap="flat" cmpd="sng">
                          <a:solidFill>
                            <a:srgbClr val="000000"/>
                          </a:solidFill>
                          <a:prstDash val="solid"/>
                          <a:miter/>
                          <a:headEnd type="none" w="med" len="med"/>
                          <a:tailEnd type="none" w="med" len="med"/>
                        </a:ln>
                      </wps:spPr>
                      <wps:txbx>
                        <w:txbxContent>
                          <w:p>
                            <w:r>
                              <w:rPr>
                                <w:rFonts w:hint="eastAsia"/>
                                <w:sz w:val="15"/>
                                <w:szCs w:val="15"/>
                              </w:rPr>
                              <w:t>事故应急池</w:t>
                            </w:r>
                          </w:p>
                        </w:txbxContent>
                      </wps:txbx>
                      <wps:bodyPr upright="1"/>
                    </wps:wsp>
                  </a:graphicData>
                </a:graphic>
              </wp:anchor>
            </w:drawing>
          </mc:Choice>
          <mc:Fallback>
            <w:pict>
              <v:shape id="自选图形 25" o:spid="_x0000_s1026" o:spt="62" type="#_x0000_t62" style="position:absolute;left:0pt;margin-left:13.35pt;margin-top:93.5pt;height:26.8pt;width:69.7pt;z-index:251654144;mso-width-relative:page;mso-height-relative:page;" fillcolor="#FFFFFF" filled="t" stroked="t" coordsize="21600,21600" o:gfxdata="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E6EtcfXAAAACgEAAA8AAAAAAAAAAQAgAAAAIgAAAGRycy9kb3ducmV2LnhtbFBLAQIU&#10;ABQAAAAIAIdO4kC96pk8LQIAAGgEAAAOAAAAAAAAAAEAIAAAACYBAABkcnMvZTJvRG9jLnhtbFBL&#10;BQYAAAAABgAGAFkBAADFBQAAAAA=&#10;" adj="29642,10478,14400">
                <v:fill on="t" focussize="0,0"/>
                <v:stroke color="#000000" joinstyle="miter"/>
                <v:imagedata o:title=""/>
                <o:lock v:ext="edit" aspectratio="f"/>
                <v:textbox>
                  <w:txbxContent>
                    <w:p>
                      <w:r>
                        <w:rPr>
                          <w:rFonts w:hint="eastAsia"/>
                          <w:sz w:val="15"/>
                          <w:szCs w:val="15"/>
                        </w:rPr>
                        <w:t>事故应急池</w:t>
                      </w:r>
                    </w:p>
                  </w:txbxContent>
                </v:textbox>
              </v:shape>
            </w:pict>
          </mc:Fallback>
        </mc:AlternateContent>
      </w:r>
      <w:r>
        <w:rPr>
          <w:b/>
        </w:rPr>
        <w:drawing>
          <wp:inline distT="0" distB="0" distL="114300" distR="114300">
            <wp:extent cx="8629650" cy="4381500"/>
            <wp:effectExtent l="0" t="0" r="0" b="0"/>
            <wp:docPr id="5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
                    <pic:cNvPicPr>
                      <a:picLocks noChangeAspect="1"/>
                    </pic:cNvPicPr>
                  </pic:nvPicPr>
                  <pic:blipFill>
                    <a:blip r:embed="rId10"/>
                    <a:stretch>
                      <a:fillRect/>
                    </a:stretch>
                  </pic:blipFill>
                  <pic:spPr>
                    <a:xfrm>
                      <a:off x="0" y="0"/>
                      <a:ext cx="8629650" cy="4381500"/>
                    </a:xfrm>
                    <a:prstGeom prst="rect">
                      <a:avLst/>
                    </a:prstGeom>
                    <a:noFill/>
                    <a:ln w="9525">
                      <a:noFill/>
                    </a:ln>
                  </pic:spPr>
                </pic:pic>
              </a:graphicData>
            </a:graphic>
          </wp:inline>
        </w:drawing>
      </w:r>
    </w:p>
    <w:p>
      <w:pPr>
        <w:jc w:val="center"/>
        <w:rPr>
          <w:rFonts w:ascii="宋体"/>
          <w:b/>
        </w:rPr>
      </w:pPr>
      <w:r>
        <mc:AlternateContent>
          <mc:Choice Requires="wps">
            <w:drawing>
              <wp:anchor distT="0" distB="0" distL="114300" distR="114300" simplePos="0" relativeHeight="251642880" behindDoc="0" locked="0" layoutInCell="1" allowOverlap="1">
                <wp:simplePos x="0" y="0"/>
                <wp:positionH relativeFrom="column">
                  <wp:posOffset>7825740</wp:posOffset>
                </wp:positionH>
                <wp:positionV relativeFrom="paragraph">
                  <wp:posOffset>147320</wp:posOffset>
                </wp:positionV>
                <wp:extent cx="642620" cy="10160"/>
                <wp:effectExtent l="0" t="36830" r="5080" b="29210"/>
                <wp:wrapNone/>
                <wp:docPr id="4" name="自选图形 26"/>
                <wp:cNvGraphicFramePr/>
                <a:graphic xmlns:a="http://schemas.openxmlformats.org/drawingml/2006/main">
                  <a:graphicData uri="http://schemas.microsoft.com/office/word/2010/wordprocessingShape">
                    <wps:wsp>
                      <wps:cNvCnPr/>
                      <wps:spPr>
                        <a:xfrm flipV="1">
                          <a:off x="0" y="0"/>
                          <a:ext cx="642620" cy="10160"/>
                        </a:xfrm>
                        <a:prstGeom prst="straightConnector1">
                          <a:avLst/>
                        </a:prstGeom>
                        <a:ln w="12700" cap="flat" cmpd="sng">
                          <a:solidFill>
                            <a:srgbClr val="4F81BD"/>
                          </a:solidFill>
                          <a:prstDash val="solid"/>
                          <a:headEnd type="none" w="med" len="med"/>
                          <a:tailEnd type="triangle" w="med" len="med"/>
                        </a:ln>
                      </wps:spPr>
                      <wps:bodyPr/>
                    </wps:wsp>
                  </a:graphicData>
                </a:graphic>
              </wp:anchor>
            </w:drawing>
          </mc:Choice>
          <mc:Fallback>
            <w:pict>
              <v:shape id="自选图形 26" o:spid="_x0000_s1026" o:spt="32" type="#_x0000_t32" style="position:absolute;left:0pt;flip:y;margin-left:616.2pt;margin-top:11.6pt;height:0.8pt;width:50.6pt;z-index:251642880;mso-width-relative:page;mso-height-relative:page;" filled="f" stroked="t" coordsize="21600,21600" o:gfxdata="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K+YmWzWAAAACwEAAA8AAAAAAAAAAQAgAAAAIgAAAGRycy9kb3ducmV2LnhtbFBLAQIUABQAAAAI&#10;AIdO4kBOFxqU7wEAAKgDAAAOAAAAAAAAAAEAIAAAACUBAABkcnMvZTJvRG9jLnhtbFBLBQYAAAAA&#10;BgAGAFkBAACGBQAAAAA=&#10;">
                <v:fill on="f" focussize="0,0"/>
                <v:stroke weight="1pt" color="#4F81BD" joinstyle="round" endarrow="block"/>
                <v:imagedata o:title=""/>
                <o:lock v:ext="edit" aspectratio="f"/>
              </v:shape>
            </w:pict>
          </mc:Fallback>
        </mc:AlternateContent>
      </w:r>
      <w:r>
        <w:rPr>
          <w:rFonts w:hint="eastAsia" w:eastAsia="黑体"/>
          <w:color w:val="000000"/>
        </w:rPr>
        <w:t>图</w:t>
      </w:r>
      <w:r>
        <w:rPr>
          <w:rFonts w:ascii="宋体" w:hAnsi="宋体"/>
          <w:b/>
        </w:rPr>
        <w:t xml:space="preserve">3-2     </w:t>
      </w:r>
      <w:r>
        <w:rPr>
          <w:rFonts w:hint="eastAsia" w:ascii="宋体" w:hAnsi="宋体"/>
          <w:b/>
        </w:rPr>
        <w:t>厂区平面布置图</w:t>
      </w:r>
    </w:p>
    <w:p>
      <w:pPr>
        <w:autoSpaceDE w:val="0"/>
        <w:autoSpaceDN w:val="0"/>
        <w:rPr>
          <w:b/>
        </w:rPr>
      </w:pPr>
      <w:r>
        <mc:AlternateContent>
          <mc:Choice Requires="wps">
            <w:drawing>
              <wp:anchor distT="0" distB="0" distL="114300" distR="114300" simplePos="0" relativeHeight="251658240" behindDoc="0" locked="0" layoutInCell="1" allowOverlap="1">
                <wp:simplePos x="0" y="0"/>
                <wp:positionH relativeFrom="column">
                  <wp:posOffset>7856855</wp:posOffset>
                </wp:positionH>
                <wp:positionV relativeFrom="paragraph">
                  <wp:posOffset>113030</wp:posOffset>
                </wp:positionV>
                <wp:extent cx="564515" cy="9525"/>
                <wp:effectExtent l="0" t="36830" r="6985" b="29845"/>
                <wp:wrapNone/>
                <wp:docPr id="20" name="自选图形 27"/>
                <wp:cNvGraphicFramePr/>
                <a:graphic xmlns:a="http://schemas.openxmlformats.org/drawingml/2006/main">
                  <a:graphicData uri="http://schemas.microsoft.com/office/word/2010/wordprocessingShape">
                    <wps:wsp>
                      <wps:cNvCnPr/>
                      <wps:spPr>
                        <a:xfrm flipV="1">
                          <a:off x="0" y="0"/>
                          <a:ext cx="564515" cy="9525"/>
                        </a:xfrm>
                        <a:prstGeom prst="straightConnector1">
                          <a:avLst/>
                        </a:prstGeom>
                        <a:ln w="9525" cap="flat" cmpd="sng">
                          <a:solidFill>
                            <a:srgbClr val="C00000"/>
                          </a:solidFill>
                          <a:prstDash val="dashDot"/>
                          <a:headEnd type="none" w="med" len="med"/>
                          <a:tailEnd type="triangle" w="med" len="med"/>
                        </a:ln>
                      </wps:spPr>
                      <wps:bodyPr/>
                    </wps:wsp>
                  </a:graphicData>
                </a:graphic>
              </wp:anchor>
            </w:drawing>
          </mc:Choice>
          <mc:Fallback>
            <w:pict>
              <v:shape id="自选图形 27" o:spid="_x0000_s1026" o:spt="32" type="#_x0000_t32" style="position:absolute;left:0pt;flip:y;margin-left:618.65pt;margin-top:8.9pt;height:0.75pt;width:44.45pt;z-index:251658240;mso-width-relative:page;mso-height-relative:page;" filled="f" stroked="t" coordsize="21600,21600" o:gfxdata="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aOBWONkAAAALAQAADwAAAAAAAAABACAAAAAiAAAAZHJzL2Rvd25yZXYueG1sUEsBAhQAFAAAAAgA&#10;h07iQECrMx/rAQAAqQMAAA4AAAAAAAAAAQAgAAAAKAEAAGRycy9lMm9Eb2MueG1sUEsFBgAAAAAG&#10;AAYAWQEAAIUFAAAAAA==&#10;">
                <v:fill on="f" focussize="0,0"/>
                <v:stroke color="#C00000" joinstyle="round" dashstyle="dashDot" endarrow="block"/>
                <v:imagedata o:title=""/>
                <o:lock v:ext="edit" aspectratio="f"/>
              </v:shape>
            </w:pict>
          </mc:Fallback>
        </mc:AlternateContent>
      </w:r>
    </w:p>
    <w:p>
      <w:pPr>
        <w:rPr>
          <w:rFonts w:ascii="宋体"/>
          <w:b/>
        </w:rPr>
        <w:sectPr>
          <w:pgSz w:w="16838" w:h="11906" w:orient="landscape"/>
          <w:pgMar w:top="1800" w:right="1440" w:bottom="1800" w:left="1440" w:header="851" w:footer="992" w:gutter="0"/>
          <w:pgNumType w:fmt="decimal"/>
          <w:cols w:space="425" w:num="1"/>
          <w:docGrid w:type="lines" w:linePitch="312" w:charSpace="0"/>
        </w:sectPr>
      </w:pPr>
    </w:p>
    <w:p>
      <w:pPr>
        <w:pStyle w:val="4"/>
      </w:pPr>
      <w:bookmarkStart w:id="5" w:name="_Toc29298"/>
      <w:r>
        <w:t>3.2</w:t>
      </w:r>
      <w:r>
        <w:rPr>
          <w:rFonts w:hint="eastAsia"/>
        </w:rPr>
        <w:t>主要原辅材料及燃料</w:t>
      </w:r>
      <w:bookmarkEnd w:id="5"/>
    </w:p>
    <w:p>
      <w:pPr>
        <w:adjustRightInd w:val="0"/>
        <w:spacing w:line="360" w:lineRule="auto"/>
        <w:rPr>
          <w:rFonts w:ascii="??_GB2312"/>
          <w:szCs w:val="28"/>
        </w:rPr>
      </w:pPr>
      <w:r>
        <w:rPr>
          <w:rFonts w:hint="eastAsia" w:ascii="??_GB2312"/>
          <w:szCs w:val="28"/>
        </w:rPr>
        <w:t>项目主要原、辅材料使用情况</w:t>
      </w:r>
      <w:r>
        <w:rPr>
          <w:rFonts w:hint="eastAsia"/>
          <w:szCs w:val="28"/>
        </w:rPr>
        <w:t>见表</w:t>
      </w:r>
      <w:r>
        <w:rPr>
          <w:szCs w:val="28"/>
        </w:rPr>
        <w:t>3-</w:t>
      </w:r>
      <w:r>
        <w:rPr>
          <w:rFonts w:hint="eastAsia"/>
          <w:szCs w:val="28"/>
          <w:lang w:val="en-US" w:eastAsia="zh-CN"/>
        </w:rPr>
        <w:t>4</w:t>
      </w:r>
      <w:r>
        <w:rPr>
          <w:rFonts w:hint="eastAsia"/>
          <w:szCs w:val="28"/>
        </w:rPr>
        <w:t>，</w:t>
      </w:r>
      <w:r>
        <w:rPr>
          <w:rFonts w:hint="eastAsia"/>
          <w:bCs/>
        </w:rPr>
        <w:t>本项目主要原辅材料理化特性见表</w:t>
      </w:r>
      <w:r>
        <w:rPr>
          <w:bCs/>
        </w:rPr>
        <w:t>3-</w:t>
      </w:r>
      <w:r>
        <w:rPr>
          <w:rFonts w:hint="eastAsia"/>
          <w:bCs/>
          <w:lang w:val="en-US" w:eastAsia="zh-CN"/>
        </w:rPr>
        <w:t>5</w:t>
      </w:r>
      <w:r>
        <w:rPr>
          <w:rFonts w:hint="eastAsia"/>
          <w:bCs/>
        </w:rPr>
        <w:t>，燃料主要特性见表</w:t>
      </w:r>
      <w:r>
        <w:rPr>
          <w:bCs/>
        </w:rPr>
        <w:t>3-</w:t>
      </w:r>
      <w:r>
        <w:rPr>
          <w:rFonts w:hint="eastAsia"/>
          <w:bCs/>
          <w:lang w:val="en-US" w:eastAsia="zh-CN"/>
        </w:rPr>
        <w:t>6</w:t>
      </w:r>
      <w:r>
        <w:rPr>
          <w:rFonts w:hint="eastAsia"/>
          <w:bCs/>
        </w:rPr>
        <w:t>。</w:t>
      </w:r>
    </w:p>
    <w:p>
      <w:pPr>
        <w:adjustRightInd w:val="0"/>
        <w:spacing w:line="360" w:lineRule="auto"/>
        <w:ind w:firstLine="482" w:firstLineChars="200"/>
        <w:jc w:val="center"/>
        <w:rPr>
          <w:rFonts w:ascii="??_GB2312"/>
          <w:color w:val="000000"/>
          <w:szCs w:val="28"/>
        </w:rPr>
      </w:pPr>
      <w:r>
        <w:rPr>
          <w:rFonts w:hint="eastAsia"/>
          <w:b/>
        </w:rPr>
        <w:t>表</w:t>
      </w:r>
      <w:r>
        <w:rPr>
          <w:b/>
        </w:rPr>
        <w:t>3-</w:t>
      </w:r>
      <w:r>
        <w:rPr>
          <w:rFonts w:hint="eastAsia"/>
          <w:b/>
          <w:lang w:val="en-US" w:eastAsia="zh-CN"/>
        </w:rPr>
        <w:t>4</w:t>
      </w:r>
      <w:r>
        <w:rPr>
          <w:b/>
        </w:rPr>
        <w:t xml:space="preserve">   </w:t>
      </w:r>
      <w:r>
        <w:rPr>
          <w:rFonts w:hint="eastAsia"/>
          <w:b/>
          <w:color w:val="000000"/>
        </w:rPr>
        <w:t>原料、辅助材料一览表</w:t>
      </w:r>
    </w:p>
    <w:tbl>
      <w:tblPr>
        <w:tblStyle w:val="47"/>
        <w:tblpPr w:leftFromText="180" w:rightFromText="180" w:vertAnchor="text" w:horzAnchor="page" w:tblpXSpec="center" w:tblpY="62"/>
        <w:tblOverlap w:val="never"/>
        <w:tblW w:w="14530"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0"/>
        <w:gridCol w:w="1238"/>
        <w:gridCol w:w="1020"/>
        <w:gridCol w:w="1560"/>
        <w:gridCol w:w="698"/>
        <w:gridCol w:w="1334"/>
        <w:gridCol w:w="1470"/>
        <w:gridCol w:w="1380"/>
        <w:gridCol w:w="1785"/>
        <w:gridCol w:w="2070"/>
        <w:gridCol w:w="115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序号</w:t>
            </w:r>
          </w:p>
        </w:tc>
        <w:tc>
          <w:tcPr>
            <w:tcW w:w="1238"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名称</w:t>
            </w:r>
          </w:p>
        </w:tc>
        <w:tc>
          <w:tcPr>
            <w:tcW w:w="102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纯度</w:t>
            </w:r>
          </w:p>
        </w:tc>
        <w:tc>
          <w:tcPr>
            <w:tcW w:w="156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分子式</w:t>
            </w:r>
          </w:p>
        </w:tc>
        <w:tc>
          <w:tcPr>
            <w:tcW w:w="698" w:type="dxa"/>
            <w:vAlign w:val="center"/>
          </w:tcPr>
          <w:p>
            <w:pPr>
              <w:spacing w:line="240" w:lineRule="exact"/>
              <w:jc w:val="center"/>
            </w:pPr>
            <w:r>
              <w:rPr>
                <w:rFonts w:hint="eastAsia"/>
              </w:rPr>
              <w:t>来源</w:t>
            </w:r>
          </w:p>
        </w:tc>
        <w:tc>
          <w:tcPr>
            <w:tcW w:w="1334" w:type="dxa"/>
            <w:vAlign w:val="center"/>
          </w:tcPr>
          <w:p>
            <w:pPr>
              <w:jc w:val="center"/>
            </w:pPr>
            <w:r>
              <w:rPr>
                <w:rFonts w:hint="eastAsia"/>
              </w:rPr>
              <w:t>贮存方式</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运输方式</w:t>
            </w:r>
          </w:p>
        </w:tc>
        <w:tc>
          <w:tcPr>
            <w:tcW w:w="138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消耗定额</w:t>
            </w:r>
          </w:p>
          <w:p>
            <w:pPr>
              <w:pStyle w:val="14"/>
              <w:spacing w:line="240" w:lineRule="exact"/>
              <w:ind w:firstLine="0"/>
              <w:jc w:val="center"/>
            </w:pPr>
            <w:r>
              <w:rPr>
                <w:rFonts w:hint="eastAsia" w:ascii="Times New Roman" w:hAnsi="Times New Roman" w:cs="Times New Roman"/>
                <w:szCs w:val="24"/>
              </w:rPr>
              <w:t>（</w:t>
            </w:r>
            <w:r>
              <w:rPr>
                <w:rFonts w:ascii="Times New Roman" w:hAnsi="Times New Roman" w:cs="Times New Roman"/>
                <w:szCs w:val="24"/>
              </w:rPr>
              <w:t>t/t</w:t>
            </w:r>
            <w:r>
              <w:rPr>
                <w:rFonts w:hint="eastAsia" w:ascii="Times New Roman" w:hAnsi="Times New Roman" w:cs="Times New Roman"/>
                <w:szCs w:val="24"/>
              </w:rPr>
              <w:t>产品）</w:t>
            </w:r>
          </w:p>
        </w:tc>
        <w:tc>
          <w:tcPr>
            <w:tcW w:w="1785"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设计年使用量（</w:t>
            </w:r>
            <w:r>
              <w:rPr>
                <w:rFonts w:ascii="Times New Roman" w:hAnsi="Times New Roman" w:cs="Times New Roman"/>
                <w:szCs w:val="24"/>
              </w:rPr>
              <w:t>t/a</w:t>
            </w:r>
            <w:r>
              <w:rPr>
                <w:rFonts w:hint="eastAsia" w:ascii="Times New Roman" w:hAnsi="Times New Roman" w:cs="Times New Roman"/>
                <w:szCs w:val="24"/>
              </w:rPr>
              <w:t>）</w:t>
            </w:r>
          </w:p>
        </w:tc>
        <w:tc>
          <w:tcPr>
            <w:tcW w:w="20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调试期间消耗量</w:t>
            </w:r>
          </w:p>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w:t>
            </w:r>
            <w:r>
              <w:rPr>
                <w:rFonts w:ascii="Times New Roman" w:hAnsi="Times New Roman" w:cs="Times New Roman"/>
                <w:szCs w:val="24"/>
              </w:rPr>
              <w:t>t/a</w:t>
            </w:r>
            <w:r>
              <w:rPr>
                <w:rFonts w:hint="eastAsia" w:ascii="Times New Roman" w:hAnsi="Times New Roman" w:cs="Times New Roman"/>
                <w:szCs w:val="24"/>
              </w:rPr>
              <w:t>）</w:t>
            </w:r>
          </w:p>
        </w:tc>
        <w:tc>
          <w:tcPr>
            <w:tcW w:w="1155"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1</w:t>
            </w:r>
          </w:p>
        </w:tc>
        <w:tc>
          <w:tcPr>
            <w:tcW w:w="1238" w:type="dxa"/>
            <w:vAlign w:val="center"/>
          </w:tcPr>
          <w:p>
            <w:pPr>
              <w:jc w:val="center"/>
              <w:rPr>
                <w:color w:val="000000"/>
              </w:rPr>
            </w:pPr>
            <w:r>
              <w:rPr>
                <w:rFonts w:hint="eastAsia"/>
                <w:color w:val="000000"/>
              </w:rPr>
              <w:t>对苯二酚</w:t>
            </w:r>
          </w:p>
        </w:tc>
        <w:tc>
          <w:tcPr>
            <w:tcW w:w="1020" w:type="dxa"/>
            <w:vAlign w:val="center"/>
          </w:tcPr>
          <w:p>
            <w:pPr>
              <w:jc w:val="center"/>
              <w:rPr>
                <w:color w:val="000000"/>
              </w:rPr>
            </w:pPr>
            <w:r>
              <w:rPr>
                <w:color w:val="000000"/>
              </w:rPr>
              <w:t>99.5%</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C</w:t>
            </w:r>
            <w:r>
              <w:rPr>
                <w:rFonts w:ascii="Times New Roman" w:hAnsi="Times New Roman" w:cs="Times New Roman"/>
                <w:szCs w:val="24"/>
                <w:vertAlign w:val="subscript"/>
              </w:rPr>
              <w:t>6</w:t>
            </w:r>
            <w:r>
              <w:rPr>
                <w:rFonts w:ascii="Times New Roman" w:hAnsi="Times New Roman" w:cs="Times New Roman"/>
                <w:szCs w:val="24"/>
              </w:rPr>
              <w:t>H</w:t>
            </w:r>
            <w:r>
              <w:rPr>
                <w:rFonts w:ascii="Times New Roman" w:hAnsi="Times New Roman" w:cs="Times New Roman"/>
                <w:szCs w:val="24"/>
                <w:vertAlign w:val="subscript"/>
              </w:rPr>
              <w:t>4</w:t>
            </w:r>
            <w:r>
              <w:rPr>
                <w:rFonts w:hint="eastAsia" w:ascii="Times New Roman" w:hAnsi="Times New Roman" w:cs="Times New Roman"/>
                <w:szCs w:val="24"/>
              </w:rPr>
              <w:t>（</w:t>
            </w:r>
            <w:r>
              <w:rPr>
                <w:rFonts w:ascii="Times New Roman" w:hAnsi="Times New Roman" w:cs="Times New Roman"/>
                <w:szCs w:val="24"/>
              </w:rPr>
              <w:t>OH</w:t>
            </w:r>
            <w:r>
              <w:rPr>
                <w:rFonts w:hint="eastAsia" w:ascii="Times New Roman" w:hAnsi="Times New Roman" w:cs="Times New Roman"/>
                <w:szCs w:val="24"/>
              </w:rPr>
              <w:t>）</w:t>
            </w:r>
            <w:r>
              <w:rPr>
                <w:rFonts w:ascii="Times New Roman" w:hAnsi="Times New Roman" w:cs="Times New Roman"/>
                <w:szCs w:val="24"/>
                <w:vertAlign w:val="subscript"/>
              </w:rPr>
              <w:t>2</w:t>
            </w:r>
          </w:p>
        </w:tc>
        <w:tc>
          <w:tcPr>
            <w:tcW w:w="698" w:type="dxa"/>
            <w:vAlign w:val="center"/>
          </w:tcPr>
          <w:p>
            <w:pPr>
              <w:jc w:val="center"/>
              <w:rPr>
                <w:color w:val="000000"/>
              </w:rPr>
            </w:pPr>
            <w:r>
              <w:rPr>
                <w:rFonts w:hint="eastAsia"/>
                <w:color w:val="000000"/>
              </w:rPr>
              <w:t>进口</w:t>
            </w:r>
          </w:p>
        </w:tc>
        <w:tc>
          <w:tcPr>
            <w:tcW w:w="1334" w:type="dxa"/>
            <w:vAlign w:val="center"/>
          </w:tcPr>
          <w:p>
            <w:pPr>
              <w:jc w:val="center"/>
            </w:pPr>
            <w:r>
              <w:rPr>
                <w:rFonts w:hint="eastAsia"/>
              </w:rPr>
              <w:t>袋装</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汽车</w:t>
            </w:r>
          </w:p>
        </w:tc>
        <w:tc>
          <w:tcPr>
            <w:tcW w:w="1380" w:type="dxa"/>
            <w:vAlign w:val="center"/>
          </w:tcPr>
          <w:p>
            <w:pPr>
              <w:pStyle w:val="14"/>
              <w:spacing w:line="240" w:lineRule="exact"/>
              <w:ind w:firstLine="0"/>
              <w:jc w:val="center"/>
            </w:pPr>
            <w:r>
              <w:rPr>
                <w:rFonts w:ascii="Times New Roman" w:hAnsi="Times New Roman" w:cs="Times New Roman"/>
                <w:szCs w:val="24"/>
              </w:rPr>
              <w:t>0.71</w:t>
            </w:r>
          </w:p>
        </w:tc>
        <w:tc>
          <w:tcPr>
            <w:tcW w:w="1785" w:type="dxa"/>
            <w:vAlign w:val="center"/>
          </w:tcPr>
          <w:p>
            <w:pPr>
              <w:jc w:val="center"/>
            </w:pPr>
            <w:r>
              <w:t>424.8</w:t>
            </w:r>
          </w:p>
        </w:tc>
        <w:tc>
          <w:tcPr>
            <w:tcW w:w="2070" w:type="dxa"/>
            <w:vAlign w:val="center"/>
          </w:tcPr>
          <w:p>
            <w:pPr>
              <w:jc w:val="center"/>
            </w:pPr>
            <w:r>
              <w:t>424.8</w:t>
            </w:r>
          </w:p>
        </w:tc>
        <w:tc>
          <w:tcPr>
            <w:tcW w:w="1155" w:type="dxa"/>
            <w:vAlign w:val="center"/>
          </w:tcPr>
          <w:p>
            <w:pPr>
              <w:pStyle w:val="14"/>
              <w:spacing w:line="240" w:lineRule="exact"/>
              <w:ind w:firstLine="0"/>
              <w:jc w:val="center"/>
              <w:rPr>
                <w:rFonts w:ascii="Times New Roman" w:hAnsi="Times New Roman"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2</w:t>
            </w:r>
          </w:p>
        </w:tc>
        <w:tc>
          <w:tcPr>
            <w:tcW w:w="1238" w:type="dxa"/>
            <w:vAlign w:val="center"/>
          </w:tcPr>
          <w:p>
            <w:pPr>
              <w:jc w:val="center"/>
              <w:rPr>
                <w:color w:val="000000"/>
              </w:rPr>
            </w:pPr>
            <w:r>
              <w:rPr>
                <w:rFonts w:hint="eastAsia"/>
                <w:color w:val="000000"/>
              </w:rPr>
              <w:t>叔丁醇</w:t>
            </w:r>
          </w:p>
        </w:tc>
        <w:tc>
          <w:tcPr>
            <w:tcW w:w="1020" w:type="dxa"/>
            <w:vAlign w:val="center"/>
          </w:tcPr>
          <w:p>
            <w:pPr>
              <w:jc w:val="center"/>
              <w:rPr>
                <w:color w:val="000000"/>
              </w:rPr>
            </w:pPr>
            <w:r>
              <w:rPr>
                <w:color w:val="000000"/>
              </w:rPr>
              <w:t>85%</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C</w:t>
            </w:r>
            <w:r>
              <w:rPr>
                <w:rFonts w:ascii="Times New Roman" w:hAnsi="Times New Roman" w:cs="Times New Roman"/>
                <w:szCs w:val="24"/>
                <w:vertAlign w:val="subscript"/>
              </w:rPr>
              <w:t>4</w:t>
            </w:r>
            <w:r>
              <w:rPr>
                <w:rFonts w:ascii="Times New Roman" w:hAnsi="Times New Roman" w:cs="Times New Roman"/>
                <w:szCs w:val="24"/>
              </w:rPr>
              <w:t>H</w:t>
            </w:r>
            <w:r>
              <w:rPr>
                <w:rFonts w:ascii="Times New Roman" w:hAnsi="Times New Roman" w:cs="Times New Roman"/>
                <w:szCs w:val="24"/>
                <w:vertAlign w:val="subscript"/>
              </w:rPr>
              <w:t>10</w:t>
            </w:r>
            <w:r>
              <w:rPr>
                <w:rFonts w:ascii="Times New Roman" w:hAnsi="Times New Roman" w:cs="Times New Roman"/>
                <w:szCs w:val="24"/>
              </w:rPr>
              <w:t>O</w:t>
            </w:r>
          </w:p>
        </w:tc>
        <w:tc>
          <w:tcPr>
            <w:tcW w:w="698" w:type="dxa"/>
            <w:vAlign w:val="center"/>
          </w:tcPr>
          <w:p>
            <w:pPr>
              <w:jc w:val="center"/>
              <w:rPr>
                <w:color w:val="000000"/>
              </w:rPr>
            </w:pPr>
            <w:r>
              <w:rPr>
                <w:rFonts w:hint="eastAsia"/>
                <w:color w:val="000000"/>
              </w:rPr>
              <w:t>广东</w:t>
            </w:r>
          </w:p>
        </w:tc>
        <w:tc>
          <w:tcPr>
            <w:tcW w:w="1334" w:type="dxa"/>
            <w:vAlign w:val="center"/>
          </w:tcPr>
          <w:p>
            <w:pPr>
              <w:jc w:val="center"/>
            </w:pPr>
            <w:r>
              <w:rPr>
                <w:rFonts w:hint="eastAsia"/>
              </w:rPr>
              <w:t>储罐</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槽车</w:t>
            </w:r>
          </w:p>
        </w:tc>
        <w:tc>
          <w:tcPr>
            <w:tcW w:w="1380" w:type="dxa"/>
            <w:vAlign w:val="center"/>
          </w:tcPr>
          <w:p>
            <w:pPr>
              <w:pStyle w:val="14"/>
              <w:spacing w:line="240" w:lineRule="exact"/>
              <w:ind w:firstLine="0"/>
              <w:jc w:val="center"/>
            </w:pPr>
            <w:r>
              <w:rPr>
                <w:rFonts w:ascii="Times New Roman" w:hAnsi="Times New Roman" w:cs="Times New Roman"/>
                <w:szCs w:val="24"/>
              </w:rPr>
              <w:t>0.60</w:t>
            </w:r>
          </w:p>
        </w:tc>
        <w:tc>
          <w:tcPr>
            <w:tcW w:w="1785" w:type="dxa"/>
            <w:vAlign w:val="center"/>
          </w:tcPr>
          <w:p>
            <w:pPr>
              <w:jc w:val="center"/>
              <w:rPr>
                <w:color w:val="FF0000"/>
              </w:rPr>
            </w:pPr>
            <w:r>
              <w:t>362.8</w:t>
            </w:r>
          </w:p>
        </w:tc>
        <w:tc>
          <w:tcPr>
            <w:tcW w:w="2070" w:type="dxa"/>
            <w:vAlign w:val="center"/>
          </w:tcPr>
          <w:p>
            <w:pPr>
              <w:jc w:val="center"/>
            </w:pPr>
            <w:r>
              <w:t>362.8</w:t>
            </w:r>
          </w:p>
        </w:tc>
        <w:tc>
          <w:tcPr>
            <w:tcW w:w="1155" w:type="dxa"/>
            <w:vAlign w:val="center"/>
          </w:tcPr>
          <w:p>
            <w:pPr>
              <w:pStyle w:val="14"/>
              <w:spacing w:line="240" w:lineRule="exact"/>
              <w:ind w:firstLine="0"/>
              <w:jc w:val="center"/>
              <w:rPr>
                <w:rFonts w:ascii="Times New Roman" w:hAnsi="Times New Roman"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3</w:t>
            </w:r>
          </w:p>
        </w:tc>
        <w:tc>
          <w:tcPr>
            <w:tcW w:w="1238" w:type="dxa"/>
            <w:vAlign w:val="center"/>
          </w:tcPr>
          <w:p>
            <w:pPr>
              <w:jc w:val="center"/>
            </w:pPr>
            <w:r>
              <w:rPr>
                <w:rFonts w:hint="eastAsia"/>
              </w:rPr>
              <w:t>二甲苯</w:t>
            </w:r>
          </w:p>
        </w:tc>
        <w:tc>
          <w:tcPr>
            <w:tcW w:w="1020" w:type="dxa"/>
            <w:vAlign w:val="center"/>
          </w:tcPr>
          <w:p>
            <w:pPr>
              <w:jc w:val="center"/>
              <w:rPr>
                <w:color w:val="000000"/>
              </w:rPr>
            </w:pPr>
            <w:r>
              <w:rPr>
                <w:color w:val="000000"/>
              </w:rPr>
              <w:t>99%</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C</w:t>
            </w:r>
            <w:r>
              <w:rPr>
                <w:rFonts w:ascii="Times New Roman" w:hAnsi="Times New Roman" w:cs="Times New Roman"/>
                <w:szCs w:val="24"/>
                <w:vertAlign w:val="subscript"/>
              </w:rPr>
              <w:t>8</w:t>
            </w:r>
            <w:r>
              <w:rPr>
                <w:rFonts w:ascii="Times New Roman" w:hAnsi="Times New Roman" w:cs="Times New Roman"/>
                <w:szCs w:val="24"/>
              </w:rPr>
              <w:t>H</w:t>
            </w:r>
            <w:r>
              <w:rPr>
                <w:rFonts w:ascii="Times New Roman" w:hAnsi="Times New Roman" w:cs="Times New Roman"/>
                <w:szCs w:val="24"/>
                <w:vertAlign w:val="subscript"/>
              </w:rPr>
              <w:t>10</w:t>
            </w:r>
          </w:p>
        </w:tc>
        <w:tc>
          <w:tcPr>
            <w:tcW w:w="698" w:type="dxa"/>
            <w:vAlign w:val="center"/>
          </w:tcPr>
          <w:p>
            <w:pPr>
              <w:jc w:val="center"/>
              <w:rPr>
                <w:color w:val="000000"/>
              </w:rPr>
            </w:pPr>
            <w:r>
              <w:rPr>
                <w:rFonts w:hint="eastAsia"/>
                <w:color w:val="000000"/>
              </w:rPr>
              <w:t>广东</w:t>
            </w:r>
          </w:p>
        </w:tc>
        <w:tc>
          <w:tcPr>
            <w:tcW w:w="1334" w:type="dxa"/>
            <w:vAlign w:val="center"/>
          </w:tcPr>
          <w:p>
            <w:pPr>
              <w:jc w:val="center"/>
            </w:pPr>
            <w:r>
              <w:rPr>
                <w:rFonts w:hint="eastAsia"/>
              </w:rPr>
              <w:t>储罐</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槽车</w:t>
            </w:r>
          </w:p>
        </w:tc>
        <w:tc>
          <w:tcPr>
            <w:tcW w:w="1380" w:type="dxa"/>
            <w:vAlign w:val="center"/>
          </w:tcPr>
          <w:p>
            <w:pPr>
              <w:pStyle w:val="14"/>
              <w:spacing w:line="240" w:lineRule="exact"/>
              <w:ind w:firstLine="0"/>
              <w:jc w:val="center"/>
            </w:pPr>
            <w:r>
              <w:rPr>
                <w:rFonts w:ascii="Times New Roman" w:hAnsi="Times New Roman" w:cs="Times New Roman"/>
                <w:szCs w:val="24"/>
              </w:rPr>
              <w:t>0.02</w:t>
            </w:r>
          </w:p>
        </w:tc>
        <w:tc>
          <w:tcPr>
            <w:tcW w:w="1785" w:type="dxa"/>
            <w:vAlign w:val="center"/>
          </w:tcPr>
          <w:p>
            <w:pPr>
              <w:jc w:val="center"/>
              <w:rPr>
                <w:color w:val="FF0000"/>
              </w:rPr>
            </w:pPr>
            <w:r>
              <w:t>10</w:t>
            </w:r>
          </w:p>
        </w:tc>
        <w:tc>
          <w:tcPr>
            <w:tcW w:w="2070" w:type="dxa"/>
            <w:vAlign w:val="center"/>
          </w:tcPr>
          <w:p>
            <w:pPr>
              <w:jc w:val="center"/>
            </w:pPr>
            <w:r>
              <w:t>10</w:t>
            </w:r>
          </w:p>
        </w:tc>
        <w:tc>
          <w:tcPr>
            <w:tcW w:w="1155" w:type="dxa"/>
            <w:vAlign w:val="center"/>
          </w:tcPr>
          <w:p>
            <w:pPr>
              <w:pStyle w:val="14"/>
              <w:spacing w:line="240" w:lineRule="exact"/>
              <w:ind w:firstLine="0"/>
              <w:jc w:val="center"/>
              <w:rPr>
                <w:rFonts w:ascii="Times New Roman" w:hAnsi="Times New Roman"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4</w:t>
            </w:r>
          </w:p>
        </w:tc>
        <w:tc>
          <w:tcPr>
            <w:tcW w:w="1238" w:type="dxa"/>
            <w:vAlign w:val="center"/>
          </w:tcPr>
          <w:p>
            <w:pPr>
              <w:jc w:val="center"/>
              <w:rPr>
                <w:color w:val="000000"/>
              </w:rPr>
            </w:pPr>
            <w:r>
              <w:rPr>
                <w:rFonts w:hint="eastAsia"/>
                <w:color w:val="000000"/>
              </w:rPr>
              <w:t>磷酸</w:t>
            </w:r>
          </w:p>
        </w:tc>
        <w:tc>
          <w:tcPr>
            <w:tcW w:w="1020" w:type="dxa"/>
            <w:vAlign w:val="center"/>
          </w:tcPr>
          <w:p>
            <w:pPr>
              <w:jc w:val="center"/>
              <w:rPr>
                <w:color w:val="000000"/>
              </w:rPr>
            </w:pPr>
            <w:r>
              <w:rPr>
                <w:color w:val="000000"/>
              </w:rPr>
              <w:t>85%</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H</w:t>
            </w:r>
            <w:r>
              <w:rPr>
                <w:rFonts w:ascii="Times New Roman" w:hAnsi="Times New Roman" w:cs="Times New Roman"/>
                <w:szCs w:val="24"/>
                <w:vertAlign w:val="subscript"/>
              </w:rPr>
              <w:t>3</w:t>
            </w:r>
            <w:r>
              <w:rPr>
                <w:rFonts w:ascii="Times New Roman" w:hAnsi="Times New Roman" w:cs="Times New Roman"/>
                <w:szCs w:val="24"/>
              </w:rPr>
              <w:t>PO</w:t>
            </w:r>
            <w:r>
              <w:rPr>
                <w:rFonts w:ascii="Times New Roman" w:hAnsi="Times New Roman" w:cs="Times New Roman"/>
                <w:szCs w:val="24"/>
                <w:vertAlign w:val="subscript"/>
              </w:rPr>
              <w:t>4</w:t>
            </w:r>
          </w:p>
        </w:tc>
        <w:tc>
          <w:tcPr>
            <w:tcW w:w="698" w:type="dxa"/>
            <w:vAlign w:val="center"/>
          </w:tcPr>
          <w:p>
            <w:pPr>
              <w:jc w:val="center"/>
              <w:rPr>
                <w:color w:val="000000"/>
              </w:rPr>
            </w:pPr>
            <w:r>
              <w:rPr>
                <w:rFonts w:hint="eastAsia"/>
                <w:color w:val="000000"/>
              </w:rPr>
              <w:t>江苏</w:t>
            </w:r>
          </w:p>
        </w:tc>
        <w:tc>
          <w:tcPr>
            <w:tcW w:w="1334" w:type="dxa"/>
            <w:vAlign w:val="center"/>
          </w:tcPr>
          <w:p>
            <w:pPr>
              <w:jc w:val="center"/>
            </w:pPr>
            <w:r>
              <w:rPr>
                <w:rFonts w:hint="eastAsia"/>
              </w:rPr>
              <w:t>储罐</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槽车</w:t>
            </w:r>
          </w:p>
        </w:tc>
        <w:tc>
          <w:tcPr>
            <w:tcW w:w="1380" w:type="dxa"/>
            <w:vAlign w:val="center"/>
          </w:tcPr>
          <w:p>
            <w:pPr>
              <w:pStyle w:val="14"/>
              <w:spacing w:line="240" w:lineRule="exact"/>
              <w:ind w:firstLine="0"/>
              <w:jc w:val="center"/>
            </w:pPr>
            <w:r>
              <w:rPr>
                <w:rFonts w:ascii="Times New Roman" w:hAnsi="Times New Roman" w:cs="Times New Roman"/>
                <w:szCs w:val="24"/>
              </w:rPr>
              <w:t>0.10</w:t>
            </w:r>
          </w:p>
        </w:tc>
        <w:tc>
          <w:tcPr>
            <w:tcW w:w="1785" w:type="dxa"/>
            <w:vAlign w:val="center"/>
          </w:tcPr>
          <w:p>
            <w:pPr>
              <w:jc w:val="center"/>
              <w:rPr>
                <w:color w:val="FF0000"/>
              </w:rPr>
            </w:pPr>
            <w:r>
              <w:t>60</w:t>
            </w:r>
          </w:p>
        </w:tc>
        <w:tc>
          <w:tcPr>
            <w:tcW w:w="2070" w:type="dxa"/>
            <w:vAlign w:val="center"/>
          </w:tcPr>
          <w:p>
            <w:pPr>
              <w:jc w:val="center"/>
            </w:pPr>
            <w:r>
              <w:t>60</w:t>
            </w:r>
          </w:p>
        </w:tc>
        <w:tc>
          <w:tcPr>
            <w:tcW w:w="1155" w:type="dxa"/>
            <w:vAlign w:val="center"/>
          </w:tcPr>
          <w:p>
            <w:pPr>
              <w:pStyle w:val="14"/>
              <w:spacing w:line="240" w:lineRule="exact"/>
              <w:ind w:firstLine="0"/>
              <w:jc w:val="center"/>
              <w:rPr>
                <w:rFonts w:ascii="Times New Roman" w:hAnsi="Times New Roman"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5</w:t>
            </w:r>
          </w:p>
        </w:tc>
        <w:tc>
          <w:tcPr>
            <w:tcW w:w="1238" w:type="dxa"/>
            <w:vAlign w:val="center"/>
          </w:tcPr>
          <w:p>
            <w:pPr>
              <w:jc w:val="center"/>
              <w:rPr>
                <w:color w:val="000000"/>
              </w:rPr>
            </w:pPr>
            <w:r>
              <w:rPr>
                <w:rFonts w:hint="eastAsia"/>
                <w:color w:val="000000"/>
              </w:rPr>
              <w:t>氢氧化钙</w:t>
            </w:r>
          </w:p>
        </w:tc>
        <w:tc>
          <w:tcPr>
            <w:tcW w:w="1020" w:type="dxa"/>
            <w:vAlign w:val="center"/>
          </w:tcPr>
          <w:p>
            <w:pPr>
              <w:jc w:val="center"/>
              <w:rPr>
                <w:color w:val="000000"/>
              </w:rPr>
            </w:pPr>
            <w:r>
              <w:rPr>
                <w:color w:val="000000"/>
              </w:rPr>
              <w:t>95%</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Ca</w:t>
            </w:r>
            <w:r>
              <w:rPr>
                <w:rFonts w:hint="eastAsia" w:ascii="Times New Roman" w:hAnsi="Times New Roman" w:cs="Times New Roman"/>
                <w:szCs w:val="24"/>
              </w:rPr>
              <w:t>（</w:t>
            </w:r>
            <w:r>
              <w:rPr>
                <w:rFonts w:ascii="Times New Roman" w:hAnsi="Times New Roman" w:cs="Times New Roman"/>
                <w:szCs w:val="24"/>
              </w:rPr>
              <w:t>OH</w:t>
            </w:r>
            <w:r>
              <w:rPr>
                <w:rFonts w:hint="eastAsia" w:ascii="Times New Roman" w:hAnsi="Times New Roman" w:cs="Times New Roman"/>
                <w:szCs w:val="24"/>
              </w:rPr>
              <w:t>）</w:t>
            </w:r>
            <w:r>
              <w:rPr>
                <w:rFonts w:ascii="Times New Roman" w:hAnsi="Times New Roman" w:cs="Times New Roman"/>
                <w:szCs w:val="24"/>
                <w:vertAlign w:val="subscript"/>
              </w:rPr>
              <w:t>2</w:t>
            </w:r>
          </w:p>
        </w:tc>
        <w:tc>
          <w:tcPr>
            <w:tcW w:w="698" w:type="dxa"/>
            <w:vAlign w:val="center"/>
          </w:tcPr>
          <w:p>
            <w:pPr>
              <w:jc w:val="center"/>
              <w:rPr>
                <w:color w:val="000000"/>
              </w:rPr>
            </w:pPr>
            <w:r>
              <w:rPr>
                <w:rFonts w:hint="eastAsia"/>
                <w:color w:val="000000"/>
              </w:rPr>
              <w:t>湖南</w:t>
            </w:r>
          </w:p>
        </w:tc>
        <w:tc>
          <w:tcPr>
            <w:tcW w:w="1334" w:type="dxa"/>
            <w:vAlign w:val="center"/>
          </w:tcPr>
          <w:p>
            <w:pPr>
              <w:jc w:val="center"/>
            </w:pPr>
            <w:r>
              <w:rPr>
                <w:rFonts w:hint="eastAsia"/>
              </w:rPr>
              <w:t>袋装</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汽车</w:t>
            </w:r>
          </w:p>
        </w:tc>
        <w:tc>
          <w:tcPr>
            <w:tcW w:w="1380" w:type="dxa"/>
            <w:vAlign w:val="center"/>
          </w:tcPr>
          <w:p>
            <w:pPr>
              <w:pStyle w:val="14"/>
              <w:spacing w:line="240" w:lineRule="exact"/>
              <w:ind w:firstLine="0"/>
              <w:jc w:val="center"/>
            </w:pPr>
            <w:r>
              <w:rPr>
                <w:rFonts w:ascii="Times New Roman" w:hAnsi="Times New Roman" w:cs="Times New Roman"/>
                <w:szCs w:val="24"/>
              </w:rPr>
              <w:t>0.04</w:t>
            </w:r>
          </w:p>
        </w:tc>
        <w:tc>
          <w:tcPr>
            <w:tcW w:w="1785" w:type="dxa"/>
            <w:vAlign w:val="center"/>
          </w:tcPr>
          <w:p>
            <w:pPr>
              <w:jc w:val="center"/>
            </w:pPr>
            <w:r>
              <w:t>22.6</w:t>
            </w:r>
          </w:p>
        </w:tc>
        <w:tc>
          <w:tcPr>
            <w:tcW w:w="2070" w:type="dxa"/>
            <w:vAlign w:val="center"/>
          </w:tcPr>
          <w:p>
            <w:pPr>
              <w:jc w:val="center"/>
            </w:pPr>
            <w:r>
              <w:t>22.6</w:t>
            </w:r>
          </w:p>
        </w:tc>
        <w:tc>
          <w:tcPr>
            <w:tcW w:w="1155" w:type="dxa"/>
            <w:vAlign w:val="center"/>
          </w:tcPr>
          <w:p>
            <w:pPr>
              <w:pStyle w:val="14"/>
              <w:spacing w:line="240" w:lineRule="exact"/>
              <w:ind w:firstLine="0"/>
              <w:jc w:val="center"/>
              <w:rPr>
                <w:rFonts w:ascii="Times New Roman" w:hAnsi="Times New Roman" w:cs="Times New Roman"/>
                <w:color w:val="FF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6</w:t>
            </w:r>
          </w:p>
        </w:tc>
        <w:tc>
          <w:tcPr>
            <w:tcW w:w="1238" w:type="dxa"/>
            <w:vAlign w:val="center"/>
          </w:tcPr>
          <w:p>
            <w:pPr>
              <w:jc w:val="center"/>
              <w:rPr>
                <w:color w:val="000000"/>
              </w:rPr>
            </w:pPr>
            <w:r>
              <w:rPr>
                <w:rFonts w:hint="eastAsia"/>
                <w:color w:val="000000"/>
              </w:rPr>
              <w:t>食用酒精</w:t>
            </w:r>
          </w:p>
        </w:tc>
        <w:tc>
          <w:tcPr>
            <w:tcW w:w="1020" w:type="dxa"/>
            <w:vAlign w:val="center"/>
          </w:tcPr>
          <w:p>
            <w:pPr>
              <w:jc w:val="center"/>
              <w:rPr>
                <w:color w:val="000000"/>
              </w:rPr>
            </w:pPr>
            <w:r>
              <w:rPr>
                <w:color w:val="000000"/>
              </w:rPr>
              <w:t>95%</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C</w:t>
            </w:r>
            <w:r>
              <w:rPr>
                <w:rFonts w:ascii="Times New Roman" w:hAnsi="Times New Roman" w:cs="Times New Roman"/>
                <w:szCs w:val="24"/>
                <w:vertAlign w:val="subscript"/>
              </w:rPr>
              <w:t>2</w:t>
            </w:r>
            <w:r>
              <w:rPr>
                <w:rFonts w:ascii="Times New Roman" w:hAnsi="Times New Roman" w:cs="Times New Roman"/>
                <w:szCs w:val="24"/>
              </w:rPr>
              <w:t>H</w:t>
            </w:r>
            <w:r>
              <w:rPr>
                <w:rFonts w:ascii="Times New Roman" w:hAnsi="Times New Roman" w:cs="Times New Roman"/>
                <w:szCs w:val="24"/>
                <w:vertAlign w:val="subscript"/>
              </w:rPr>
              <w:t>6</w:t>
            </w:r>
            <w:r>
              <w:rPr>
                <w:rFonts w:ascii="Times New Roman" w:hAnsi="Times New Roman" w:cs="Times New Roman"/>
                <w:szCs w:val="24"/>
              </w:rPr>
              <w:t>O</w:t>
            </w:r>
          </w:p>
        </w:tc>
        <w:tc>
          <w:tcPr>
            <w:tcW w:w="698" w:type="dxa"/>
            <w:vAlign w:val="center"/>
          </w:tcPr>
          <w:p>
            <w:pPr>
              <w:jc w:val="center"/>
              <w:rPr>
                <w:color w:val="000000"/>
              </w:rPr>
            </w:pPr>
            <w:r>
              <w:rPr>
                <w:rFonts w:hint="eastAsia"/>
                <w:color w:val="000000"/>
              </w:rPr>
              <w:t>广西</w:t>
            </w:r>
          </w:p>
        </w:tc>
        <w:tc>
          <w:tcPr>
            <w:tcW w:w="1334" w:type="dxa"/>
            <w:vAlign w:val="center"/>
          </w:tcPr>
          <w:p>
            <w:pPr>
              <w:jc w:val="center"/>
            </w:pPr>
            <w:r>
              <w:rPr>
                <w:rFonts w:hint="eastAsia"/>
              </w:rPr>
              <w:t>储罐</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槽车</w:t>
            </w:r>
          </w:p>
        </w:tc>
        <w:tc>
          <w:tcPr>
            <w:tcW w:w="1380" w:type="dxa"/>
            <w:vAlign w:val="center"/>
          </w:tcPr>
          <w:p>
            <w:pPr>
              <w:pStyle w:val="14"/>
              <w:spacing w:line="240" w:lineRule="exact"/>
              <w:ind w:firstLine="0"/>
              <w:jc w:val="center"/>
            </w:pPr>
            <w:r>
              <w:rPr>
                <w:rFonts w:ascii="Times New Roman" w:hAnsi="Times New Roman" w:cs="Times New Roman"/>
                <w:szCs w:val="24"/>
              </w:rPr>
              <w:t>0.10</w:t>
            </w:r>
          </w:p>
        </w:tc>
        <w:tc>
          <w:tcPr>
            <w:tcW w:w="1785" w:type="dxa"/>
            <w:vAlign w:val="center"/>
          </w:tcPr>
          <w:p>
            <w:pPr>
              <w:jc w:val="center"/>
            </w:pPr>
            <w:r>
              <w:t>60</w:t>
            </w:r>
          </w:p>
        </w:tc>
        <w:tc>
          <w:tcPr>
            <w:tcW w:w="2070" w:type="dxa"/>
            <w:vAlign w:val="center"/>
          </w:tcPr>
          <w:p>
            <w:pPr>
              <w:jc w:val="center"/>
            </w:pPr>
            <w:r>
              <w:t>60</w:t>
            </w:r>
          </w:p>
        </w:tc>
        <w:tc>
          <w:tcPr>
            <w:tcW w:w="1155" w:type="dxa"/>
            <w:vAlign w:val="center"/>
          </w:tcPr>
          <w:p>
            <w:pPr>
              <w:pStyle w:val="14"/>
              <w:spacing w:line="240" w:lineRule="exact"/>
              <w:ind w:firstLine="0"/>
              <w:jc w:val="center"/>
              <w:rPr>
                <w:rFonts w:ascii="Times New Roman" w:hAnsi="Times New Roman" w:cs="Times New Roman"/>
                <w:color w:val="FF0000"/>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jc w:val="center"/>
        </w:trPr>
        <w:tc>
          <w:tcPr>
            <w:tcW w:w="82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7</w:t>
            </w:r>
          </w:p>
        </w:tc>
        <w:tc>
          <w:tcPr>
            <w:tcW w:w="1238" w:type="dxa"/>
            <w:vAlign w:val="center"/>
          </w:tcPr>
          <w:p>
            <w:pPr>
              <w:jc w:val="center"/>
              <w:rPr>
                <w:color w:val="000000"/>
              </w:rPr>
            </w:pPr>
            <w:r>
              <w:rPr>
                <w:rFonts w:hint="eastAsia"/>
                <w:color w:val="000000"/>
              </w:rPr>
              <w:t>煤</w:t>
            </w:r>
          </w:p>
        </w:tc>
        <w:tc>
          <w:tcPr>
            <w:tcW w:w="1020" w:type="dxa"/>
            <w:vAlign w:val="center"/>
          </w:tcPr>
          <w:p>
            <w:pPr>
              <w:jc w:val="center"/>
              <w:rPr>
                <w:color w:val="000000"/>
              </w:rPr>
            </w:pPr>
            <w:r>
              <w:rPr>
                <w:color w:val="000000"/>
              </w:rPr>
              <w:t>/</w:t>
            </w:r>
          </w:p>
        </w:tc>
        <w:tc>
          <w:tcPr>
            <w:tcW w:w="156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w:t>
            </w:r>
          </w:p>
        </w:tc>
        <w:tc>
          <w:tcPr>
            <w:tcW w:w="698" w:type="dxa"/>
            <w:vAlign w:val="center"/>
          </w:tcPr>
          <w:p>
            <w:pPr>
              <w:jc w:val="center"/>
              <w:rPr>
                <w:color w:val="000000"/>
              </w:rPr>
            </w:pPr>
            <w:r>
              <w:rPr>
                <w:rFonts w:hint="eastAsia"/>
                <w:color w:val="000000"/>
              </w:rPr>
              <w:t>广东</w:t>
            </w:r>
          </w:p>
        </w:tc>
        <w:tc>
          <w:tcPr>
            <w:tcW w:w="1334" w:type="dxa"/>
            <w:vAlign w:val="center"/>
          </w:tcPr>
          <w:p>
            <w:pPr>
              <w:jc w:val="center"/>
            </w:pPr>
            <w:r>
              <w:rPr>
                <w:rFonts w:hint="eastAsia"/>
              </w:rPr>
              <w:t>堆场</w:t>
            </w:r>
          </w:p>
        </w:tc>
        <w:tc>
          <w:tcPr>
            <w:tcW w:w="1470" w:type="dxa"/>
            <w:vAlign w:val="center"/>
          </w:tcPr>
          <w:p>
            <w:pPr>
              <w:pStyle w:val="14"/>
              <w:spacing w:line="240" w:lineRule="exact"/>
              <w:ind w:firstLine="0"/>
              <w:jc w:val="center"/>
              <w:rPr>
                <w:rFonts w:ascii="Times New Roman" w:hAnsi="Times New Roman" w:cs="Times New Roman"/>
                <w:szCs w:val="24"/>
              </w:rPr>
            </w:pPr>
            <w:r>
              <w:rPr>
                <w:rFonts w:hint="eastAsia" w:ascii="Times New Roman" w:hAnsi="Times New Roman" w:cs="Times New Roman"/>
                <w:szCs w:val="24"/>
              </w:rPr>
              <w:t>汽车</w:t>
            </w:r>
          </w:p>
        </w:tc>
        <w:tc>
          <w:tcPr>
            <w:tcW w:w="1380" w:type="dxa"/>
            <w:vAlign w:val="center"/>
          </w:tcPr>
          <w:p>
            <w:pPr>
              <w:pStyle w:val="14"/>
              <w:spacing w:line="240" w:lineRule="exact"/>
              <w:ind w:firstLine="0"/>
              <w:jc w:val="center"/>
              <w:rPr>
                <w:rFonts w:ascii="Times New Roman" w:hAnsi="Times New Roman" w:cs="Times New Roman"/>
                <w:szCs w:val="24"/>
              </w:rPr>
            </w:pPr>
            <w:r>
              <w:rPr>
                <w:rFonts w:ascii="Times New Roman" w:hAnsi="Times New Roman" w:cs="Times New Roman"/>
                <w:szCs w:val="24"/>
              </w:rPr>
              <w:t>/</w:t>
            </w:r>
          </w:p>
        </w:tc>
        <w:tc>
          <w:tcPr>
            <w:tcW w:w="1785" w:type="dxa"/>
            <w:vAlign w:val="center"/>
          </w:tcPr>
          <w:p>
            <w:pPr>
              <w:jc w:val="center"/>
            </w:pPr>
            <w:r>
              <w:t>2880</w:t>
            </w:r>
          </w:p>
        </w:tc>
        <w:tc>
          <w:tcPr>
            <w:tcW w:w="2070" w:type="dxa"/>
            <w:vAlign w:val="center"/>
          </w:tcPr>
          <w:p>
            <w:pPr>
              <w:jc w:val="center"/>
            </w:pPr>
            <w:r>
              <w:t>2880</w:t>
            </w:r>
          </w:p>
        </w:tc>
        <w:tc>
          <w:tcPr>
            <w:tcW w:w="1155" w:type="dxa"/>
            <w:vAlign w:val="center"/>
          </w:tcPr>
          <w:p>
            <w:pPr>
              <w:pStyle w:val="14"/>
              <w:spacing w:line="240" w:lineRule="exact"/>
              <w:ind w:firstLine="0"/>
              <w:jc w:val="center"/>
              <w:rPr>
                <w:rFonts w:ascii="Times New Roman" w:hAnsi="Times New Roman" w:cs="Times New Roman"/>
                <w:color w:val="FF0000"/>
                <w:szCs w:val="24"/>
              </w:rPr>
            </w:pPr>
          </w:p>
        </w:tc>
      </w:tr>
    </w:tbl>
    <w:p>
      <w:pPr>
        <w:pStyle w:val="14"/>
        <w:spacing w:line="240" w:lineRule="auto"/>
        <w:ind w:firstLine="0"/>
        <w:jc w:val="center"/>
        <w:rPr>
          <w:b/>
          <w:color w:val="000000"/>
        </w:rPr>
      </w:pPr>
    </w:p>
    <w:p>
      <w:pPr>
        <w:pStyle w:val="14"/>
        <w:spacing w:line="240" w:lineRule="auto"/>
        <w:ind w:firstLine="0"/>
        <w:jc w:val="center"/>
        <w:rPr>
          <w:b/>
          <w:color w:val="000000"/>
        </w:rPr>
      </w:pPr>
    </w:p>
    <w:p>
      <w:pPr>
        <w:pStyle w:val="14"/>
        <w:spacing w:line="240" w:lineRule="auto"/>
        <w:ind w:firstLine="0"/>
        <w:jc w:val="center"/>
        <w:rPr>
          <w:b/>
          <w:color w:val="000000"/>
        </w:rPr>
      </w:pPr>
      <w:r>
        <w:rPr>
          <w:rFonts w:hint="eastAsia"/>
          <w:b/>
          <w:color w:val="000000"/>
        </w:rPr>
        <w:t>表</w:t>
      </w:r>
      <w:r>
        <w:rPr>
          <w:b/>
          <w:color w:val="000000"/>
        </w:rPr>
        <w:t>3-</w:t>
      </w:r>
      <w:r>
        <w:rPr>
          <w:rFonts w:hint="eastAsia"/>
          <w:b/>
          <w:color w:val="000000"/>
          <w:lang w:val="en-US" w:eastAsia="zh-CN"/>
        </w:rPr>
        <w:t>5</w:t>
      </w:r>
      <w:r>
        <w:rPr>
          <w:b/>
          <w:color w:val="000000"/>
        </w:rPr>
        <w:t xml:space="preserve">  </w:t>
      </w:r>
      <w:r>
        <w:rPr>
          <w:rFonts w:hint="eastAsia"/>
          <w:bCs/>
          <w:szCs w:val="24"/>
        </w:rPr>
        <w:t>主要原辅材料理化特性</w:t>
      </w:r>
    </w:p>
    <w:tbl>
      <w:tblPr>
        <w:tblStyle w:val="47"/>
        <w:tblpPr w:leftFromText="180" w:rightFromText="180" w:vertAnchor="text" w:horzAnchor="page" w:tblpX="1488" w:tblpY="310"/>
        <w:tblOverlap w:val="never"/>
        <w:tblW w:w="1404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7"/>
        <w:gridCol w:w="1417"/>
        <w:gridCol w:w="2249"/>
        <w:gridCol w:w="1121"/>
        <w:gridCol w:w="1131"/>
        <w:gridCol w:w="842"/>
        <w:gridCol w:w="851"/>
        <w:gridCol w:w="992"/>
        <w:gridCol w:w="992"/>
        <w:gridCol w:w="1132"/>
        <w:gridCol w:w="1135"/>
        <w:gridCol w:w="12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blHeader/>
        </w:trPr>
        <w:tc>
          <w:tcPr>
            <w:tcW w:w="897" w:type="dxa"/>
            <w:vMerge w:val="restart"/>
            <w:vAlign w:val="center"/>
          </w:tcPr>
          <w:p>
            <w:pPr>
              <w:snapToGrid w:val="0"/>
              <w:jc w:val="center"/>
              <w:rPr>
                <w:bCs/>
              </w:rPr>
            </w:pPr>
            <w:r>
              <w:rPr>
                <w:rFonts w:hint="eastAsia"/>
                <w:bCs/>
              </w:rPr>
              <w:t>序号</w:t>
            </w:r>
          </w:p>
        </w:tc>
        <w:tc>
          <w:tcPr>
            <w:tcW w:w="1417" w:type="dxa"/>
            <w:vMerge w:val="restart"/>
            <w:vAlign w:val="center"/>
          </w:tcPr>
          <w:p>
            <w:pPr>
              <w:snapToGrid w:val="0"/>
              <w:jc w:val="center"/>
              <w:rPr>
                <w:bCs/>
              </w:rPr>
            </w:pPr>
            <w:r>
              <w:rPr>
                <w:rFonts w:hint="eastAsia"/>
                <w:bCs/>
              </w:rPr>
              <w:t>名称</w:t>
            </w:r>
          </w:p>
        </w:tc>
        <w:tc>
          <w:tcPr>
            <w:tcW w:w="2249" w:type="dxa"/>
            <w:vMerge w:val="restart"/>
            <w:vAlign w:val="center"/>
          </w:tcPr>
          <w:p>
            <w:pPr>
              <w:snapToGrid w:val="0"/>
              <w:jc w:val="center"/>
              <w:rPr>
                <w:bCs/>
              </w:rPr>
            </w:pPr>
            <w:r>
              <w:rPr>
                <w:rFonts w:hint="eastAsia"/>
                <w:bCs/>
              </w:rPr>
              <w:t>外观与性状</w:t>
            </w:r>
          </w:p>
        </w:tc>
        <w:tc>
          <w:tcPr>
            <w:tcW w:w="1121" w:type="dxa"/>
            <w:vMerge w:val="restart"/>
            <w:vAlign w:val="center"/>
          </w:tcPr>
          <w:p>
            <w:pPr>
              <w:snapToGrid w:val="0"/>
              <w:jc w:val="center"/>
              <w:rPr>
                <w:bCs/>
              </w:rPr>
            </w:pPr>
            <w:r>
              <w:rPr>
                <w:bCs/>
              </w:rPr>
              <w:t>CAS</w:t>
            </w:r>
            <w:r>
              <w:rPr>
                <w:rFonts w:hint="eastAsia"/>
                <w:bCs/>
              </w:rPr>
              <w:t>编号</w:t>
            </w:r>
          </w:p>
        </w:tc>
        <w:tc>
          <w:tcPr>
            <w:tcW w:w="1131" w:type="dxa"/>
            <w:vMerge w:val="restart"/>
            <w:vAlign w:val="center"/>
          </w:tcPr>
          <w:p>
            <w:pPr>
              <w:snapToGrid w:val="0"/>
              <w:jc w:val="center"/>
              <w:rPr>
                <w:bCs/>
              </w:rPr>
            </w:pPr>
            <w:r>
              <w:rPr>
                <w:rFonts w:hint="eastAsia"/>
                <w:bCs/>
              </w:rPr>
              <w:t>相对密度水</w:t>
            </w:r>
            <w:r>
              <w:rPr>
                <w:bCs/>
              </w:rPr>
              <w:t xml:space="preserve">=1 </w:t>
            </w:r>
          </w:p>
        </w:tc>
        <w:tc>
          <w:tcPr>
            <w:tcW w:w="842" w:type="dxa"/>
            <w:vMerge w:val="restart"/>
            <w:vAlign w:val="center"/>
          </w:tcPr>
          <w:p>
            <w:pPr>
              <w:snapToGrid w:val="0"/>
              <w:jc w:val="center"/>
              <w:rPr>
                <w:bCs/>
              </w:rPr>
            </w:pPr>
            <w:r>
              <w:rPr>
                <w:rFonts w:hint="eastAsia"/>
                <w:bCs/>
              </w:rPr>
              <w:t>熔点（</w:t>
            </w:r>
            <w:r>
              <w:rPr>
                <w:bCs/>
              </w:rPr>
              <w:t>℃</w:t>
            </w:r>
            <w:r>
              <w:rPr>
                <w:rFonts w:hint="eastAsia"/>
                <w:bCs/>
              </w:rPr>
              <w:t>）</w:t>
            </w:r>
          </w:p>
        </w:tc>
        <w:tc>
          <w:tcPr>
            <w:tcW w:w="851" w:type="dxa"/>
            <w:vMerge w:val="restart"/>
            <w:vAlign w:val="center"/>
          </w:tcPr>
          <w:p>
            <w:pPr>
              <w:snapToGrid w:val="0"/>
              <w:jc w:val="center"/>
              <w:rPr>
                <w:bCs/>
              </w:rPr>
            </w:pPr>
            <w:r>
              <w:rPr>
                <w:rFonts w:hint="eastAsia"/>
                <w:bCs/>
              </w:rPr>
              <w:t>沸点（</w:t>
            </w:r>
            <w:r>
              <w:rPr>
                <w:bCs/>
              </w:rPr>
              <w:t>℃</w:t>
            </w:r>
            <w:r>
              <w:rPr>
                <w:rFonts w:hint="eastAsia"/>
                <w:bCs/>
              </w:rPr>
              <w:t>）</w:t>
            </w:r>
          </w:p>
        </w:tc>
        <w:tc>
          <w:tcPr>
            <w:tcW w:w="992" w:type="dxa"/>
            <w:vMerge w:val="restart"/>
            <w:vAlign w:val="center"/>
          </w:tcPr>
          <w:p>
            <w:pPr>
              <w:snapToGrid w:val="0"/>
              <w:jc w:val="center"/>
              <w:rPr>
                <w:bCs/>
              </w:rPr>
            </w:pPr>
            <w:r>
              <w:rPr>
                <w:rFonts w:hint="eastAsia"/>
                <w:bCs/>
              </w:rPr>
              <w:t>闪点（</w:t>
            </w:r>
            <w:r>
              <w:rPr>
                <w:bCs/>
              </w:rPr>
              <w:t>℃</w:t>
            </w:r>
            <w:r>
              <w:rPr>
                <w:rFonts w:hint="eastAsia"/>
                <w:bCs/>
              </w:rPr>
              <w:t>）</w:t>
            </w:r>
          </w:p>
        </w:tc>
        <w:tc>
          <w:tcPr>
            <w:tcW w:w="992" w:type="dxa"/>
            <w:vMerge w:val="restart"/>
            <w:vAlign w:val="center"/>
          </w:tcPr>
          <w:p>
            <w:pPr>
              <w:snapToGrid w:val="0"/>
              <w:jc w:val="center"/>
              <w:rPr>
                <w:bCs/>
              </w:rPr>
            </w:pPr>
            <w:r>
              <w:rPr>
                <w:rFonts w:hint="eastAsia"/>
                <w:bCs/>
              </w:rPr>
              <w:t>引燃温度（</w:t>
            </w:r>
            <w:r>
              <w:rPr>
                <w:bCs/>
              </w:rPr>
              <w:t>℃</w:t>
            </w:r>
            <w:r>
              <w:rPr>
                <w:rFonts w:hint="eastAsia"/>
                <w:bCs/>
              </w:rPr>
              <w:t>）</w:t>
            </w:r>
          </w:p>
        </w:tc>
        <w:tc>
          <w:tcPr>
            <w:tcW w:w="2267" w:type="dxa"/>
            <w:gridSpan w:val="2"/>
            <w:vAlign w:val="center"/>
          </w:tcPr>
          <w:p>
            <w:pPr>
              <w:snapToGrid w:val="0"/>
              <w:jc w:val="center"/>
              <w:rPr>
                <w:bCs/>
              </w:rPr>
            </w:pPr>
            <w:r>
              <w:rPr>
                <w:rFonts w:hint="eastAsia"/>
                <w:bCs/>
              </w:rPr>
              <w:t>爆炸（</w:t>
            </w:r>
            <w:r>
              <w:rPr>
                <w:bCs/>
              </w:rPr>
              <w:t>VV</w:t>
            </w:r>
            <w:r>
              <w:rPr>
                <w:rFonts w:hint="eastAsia"/>
                <w:bCs/>
              </w:rPr>
              <w:t>）</w:t>
            </w:r>
            <w:r>
              <w:rPr>
                <w:bCs/>
              </w:rPr>
              <w:t>%</w:t>
            </w:r>
          </w:p>
        </w:tc>
        <w:tc>
          <w:tcPr>
            <w:tcW w:w="1290" w:type="dxa"/>
            <w:vMerge w:val="restart"/>
            <w:vAlign w:val="center"/>
          </w:tcPr>
          <w:p>
            <w:pPr>
              <w:snapToGrid w:val="0"/>
              <w:jc w:val="center"/>
              <w:rPr>
                <w:bCs/>
              </w:rPr>
            </w:pPr>
            <w:r>
              <w:rPr>
                <w:rFonts w:hint="eastAsia"/>
                <w:bCs/>
              </w:rPr>
              <w:t>燃烧热（</w:t>
            </w:r>
            <w:r>
              <w:rPr>
                <w:bCs/>
              </w:rPr>
              <w:t>Kj/kg</w:t>
            </w:r>
            <w:r>
              <w:rPr>
                <w:rFonts w:hint="eastAsia"/>
                <w:bC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4" w:hRule="exact"/>
          <w:tblHeader/>
        </w:trPr>
        <w:tc>
          <w:tcPr>
            <w:tcW w:w="897" w:type="dxa"/>
            <w:vMerge w:val="continue"/>
            <w:vAlign w:val="center"/>
          </w:tcPr>
          <w:p>
            <w:pPr>
              <w:snapToGrid w:val="0"/>
              <w:jc w:val="center"/>
            </w:pPr>
          </w:p>
        </w:tc>
        <w:tc>
          <w:tcPr>
            <w:tcW w:w="1417" w:type="dxa"/>
            <w:vMerge w:val="continue"/>
            <w:vAlign w:val="center"/>
          </w:tcPr>
          <w:p>
            <w:pPr>
              <w:snapToGrid w:val="0"/>
              <w:jc w:val="center"/>
            </w:pPr>
          </w:p>
        </w:tc>
        <w:tc>
          <w:tcPr>
            <w:tcW w:w="2249" w:type="dxa"/>
            <w:vMerge w:val="continue"/>
            <w:vAlign w:val="center"/>
          </w:tcPr>
          <w:p>
            <w:pPr>
              <w:snapToGrid w:val="0"/>
              <w:jc w:val="center"/>
            </w:pPr>
          </w:p>
        </w:tc>
        <w:tc>
          <w:tcPr>
            <w:tcW w:w="1121" w:type="dxa"/>
            <w:vMerge w:val="continue"/>
            <w:vAlign w:val="center"/>
          </w:tcPr>
          <w:p>
            <w:pPr>
              <w:snapToGrid w:val="0"/>
              <w:jc w:val="center"/>
            </w:pPr>
          </w:p>
        </w:tc>
        <w:tc>
          <w:tcPr>
            <w:tcW w:w="1131" w:type="dxa"/>
            <w:vMerge w:val="continue"/>
            <w:vAlign w:val="center"/>
          </w:tcPr>
          <w:p>
            <w:pPr>
              <w:snapToGrid w:val="0"/>
              <w:jc w:val="center"/>
            </w:pPr>
          </w:p>
        </w:tc>
        <w:tc>
          <w:tcPr>
            <w:tcW w:w="842" w:type="dxa"/>
            <w:vMerge w:val="continue"/>
            <w:vAlign w:val="center"/>
          </w:tcPr>
          <w:p>
            <w:pPr>
              <w:snapToGrid w:val="0"/>
              <w:jc w:val="center"/>
            </w:pPr>
          </w:p>
        </w:tc>
        <w:tc>
          <w:tcPr>
            <w:tcW w:w="851" w:type="dxa"/>
            <w:vMerge w:val="continue"/>
            <w:vAlign w:val="center"/>
          </w:tcPr>
          <w:p>
            <w:pPr>
              <w:snapToGrid w:val="0"/>
              <w:jc w:val="center"/>
            </w:pPr>
          </w:p>
        </w:tc>
        <w:tc>
          <w:tcPr>
            <w:tcW w:w="992" w:type="dxa"/>
            <w:vMerge w:val="continue"/>
            <w:vAlign w:val="center"/>
          </w:tcPr>
          <w:p>
            <w:pPr>
              <w:snapToGrid w:val="0"/>
              <w:jc w:val="center"/>
            </w:pPr>
          </w:p>
        </w:tc>
        <w:tc>
          <w:tcPr>
            <w:tcW w:w="992" w:type="dxa"/>
            <w:vMerge w:val="continue"/>
            <w:vAlign w:val="center"/>
          </w:tcPr>
          <w:p>
            <w:pPr>
              <w:snapToGrid w:val="0"/>
              <w:jc w:val="center"/>
            </w:pPr>
          </w:p>
        </w:tc>
        <w:tc>
          <w:tcPr>
            <w:tcW w:w="1132" w:type="dxa"/>
            <w:vAlign w:val="center"/>
          </w:tcPr>
          <w:p>
            <w:pPr>
              <w:snapToGrid w:val="0"/>
              <w:jc w:val="center"/>
              <w:rPr>
                <w:bCs/>
              </w:rPr>
            </w:pPr>
            <w:r>
              <w:rPr>
                <w:rFonts w:hint="eastAsia"/>
                <w:bCs/>
              </w:rPr>
              <w:t>下限</w:t>
            </w:r>
          </w:p>
        </w:tc>
        <w:tc>
          <w:tcPr>
            <w:tcW w:w="1135" w:type="dxa"/>
            <w:vAlign w:val="center"/>
          </w:tcPr>
          <w:p>
            <w:pPr>
              <w:snapToGrid w:val="0"/>
              <w:jc w:val="center"/>
              <w:rPr>
                <w:bCs/>
              </w:rPr>
            </w:pPr>
            <w:r>
              <w:rPr>
                <w:rFonts w:hint="eastAsia"/>
                <w:bCs/>
              </w:rPr>
              <w:t>上限</w:t>
            </w:r>
          </w:p>
        </w:tc>
        <w:tc>
          <w:tcPr>
            <w:tcW w:w="1290" w:type="dxa"/>
            <w:vMerge w:val="continue"/>
            <w:vAlign w:val="center"/>
          </w:tcPr>
          <w:p>
            <w:pPr>
              <w:snapToGrid w:val="0"/>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rPr>
        <w:tc>
          <w:tcPr>
            <w:tcW w:w="897" w:type="dxa"/>
            <w:vAlign w:val="center"/>
          </w:tcPr>
          <w:p>
            <w:pPr>
              <w:snapToGrid w:val="0"/>
              <w:jc w:val="center"/>
            </w:pPr>
            <w:r>
              <w:t>1</w:t>
            </w:r>
          </w:p>
        </w:tc>
        <w:tc>
          <w:tcPr>
            <w:tcW w:w="1417" w:type="dxa"/>
            <w:vAlign w:val="center"/>
          </w:tcPr>
          <w:p>
            <w:pPr>
              <w:snapToGrid w:val="0"/>
              <w:jc w:val="center"/>
              <w:rPr>
                <w:kern w:val="0"/>
              </w:rPr>
            </w:pPr>
            <w:r>
              <w:rPr>
                <w:rFonts w:hint="eastAsia"/>
                <w:kern w:val="0"/>
              </w:rPr>
              <w:t>对苯二酚</w:t>
            </w:r>
          </w:p>
        </w:tc>
        <w:tc>
          <w:tcPr>
            <w:tcW w:w="2249" w:type="dxa"/>
            <w:vAlign w:val="center"/>
          </w:tcPr>
          <w:p>
            <w:pPr>
              <w:snapToGrid w:val="0"/>
              <w:jc w:val="center"/>
            </w:pPr>
            <w:r>
              <w:rPr>
                <w:rFonts w:hint="eastAsia"/>
              </w:rPr>
              <w:t>白色针晶，见光变色</w:t>
            </w:r>
          </w:p>
        </w:tc>
        <w:tc>
          <w:tcPr>
            <w:tcW w:w="1121" w:type="dxa"/>
            <w:vAlign w:val="center"/>
          </w:tcPr>
          <w:p>
            <w:pPr>
              <w:snapToGrid w:val="0"/>
              <w:jc w:val="center"/>
            </w:pPr>
            <w:r>
              <w:t>123-31-9</w:t>
            </w:r>
          </w:p>
        </w:tc>
        <w:tc>
          <w:tcPr>
            <w:tcW w:w="1131" w:type="dxa"/>
            <w:vAlign w:val="center"/>
          </w:tcPr>
          <w:p>
            <w:pPr>
              <w:snapToGrid w:val="0"/>
              <w:jc w:val="center"/>
            </w:pPr>
            <w:r>
              <w:t>1.33</w:t>
            </w:r>
          </w:p>
        </w:tc>
        <w:tc>
          <w:tcPr>
            <w:tcW w:w="842" w:type="dxa"/>
            <w:vAlign w:val="center"/>
          </w:tcPr>
          <w:p>
            <w:pPr>
              <w:snapToGrid w:val="0"/>
              <w:jc w:val="center"/>
            </w:pPr>
            <w:r>
              <w:t>172</w:t>
            </w:r>
          </w:p>
        </w:tc>
        <w:tc>
          <w:tcPr>
            <w:tcW w:w="851" w:type="dxa"/>
            <w:vAlign w:val="center"/>
          </w:tcPr>
          <w:p>
            <w:pPr>
              <w:snapToGrid w:val="0"/>
              <w:jc w:val="center"/>
            </w:pPr>
            <w:r>
              <w:t>287</w:t>
            </w:r>
          </w:p>
        </w:tc>
        <w:tc>
          <w:tcPr>
            <w:tcW w:w="992" w:type="dxa"/>
            <w:vAlign w:val="center"/>
          </w:tcPr>
          <w:p>
            <w:pPr>
              <w:snapToGrid w:val="0"/>
              <w:jc w:val="center"/>
            </w:pPr>
            <w:r>
              <w:t>165</w:t>
            </w:r>
          </w:p>
        </w:tc>
        <w:tc>
          <w:tcPr>
            <w:tcW w:w="992" w:type="dxa"/>
            <w:vAlign w:val="center"/>
          </w:tcPr>
          <w:p>
            <w:pPr>
              <w:snapToGrid w:val="0"/>
              <w:jc w:val="center"/>
            </w:pPr>
            <w:r>
              <w:t>/</w:t>
            </w:r>
          </w:p>
        </w:tc>
        <w:tc>
          <w:tcPr>
            <w:tcW w:w="1132" w:type="dxa"/>
            <w:vAlign w:val="center"/>
          </w:tcPr>
          <w:p>
            <w:pPr>
              <w:snapToGrid w:val="0"/>
              <w:jc w:val="center"/>
            </w:pPr>
            <w:r>
              <w:t>/</w:t>
            </w:r>
          </w:p>
        </w:tc>
        <w:tc>
          <w:tcPr>
            <w:tcW w:w="1135" w:type="dxa"/>
            <w:vAlign w:val="center"/>
          </w:tcPr>
          <w:p>
            <w:pPr>
              <w:snapToGrid w:val="0"/>
              <w:jc w:val="center"/>
            </w:pPr>
            <w:r>
              <w:t>/</w:t>
            </w:r>
          </w:p>
        </w:tc>
        <w:tc>
          <w:tcPr>
            <w:tcW w:w="1290" w:type="dxa"/>
            <w:vAlign w:val="center"/>
          </w:tcPr>
          <w:p>
            <w:pPr>
              <w:snapToGrid w:val="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rPr>
        <w:tc>
          <w:tcPr>
            <w:tcW w:w="897" w:type="dxa"/>
            <w:vAlign w:val="center"/>
          </w:tcPr>
          <w:p>
            <w:pPr>
              <w:snapToGrid w:val="0"/>
              <w:jc w:val="center"/>
            </w:pPr>
            <w:r>
              <w:t>2</w:t>
            </w:r>
          </w:p>
        </w:tc>
        <w:tc>
          <w:tcPr>
            <w:tcW w:w="1417" w:type="dxa"/>
            <w:vAlign w:val="center"/>
          </w:tcPr>
          <w:p>
            <w:pPr>
              <w:snapToGrid w:val="0"/>
              <w:jc w:val="center"/>
              <w:rPr>
                <w:kern w:val="0"/>
              </w:rPr>
            </w:pPr>
            <w:r>
              <w:rPr>
                <w:rFonts w:hint="eastAsia"/>
                <w:kern w:val="0"/>
              </w:rPr>
              <w:t>叔丁醇</w:t>
            </w:r>
          </w:p>
        </w:tc>
        <w:tc>
          <w:tcPr>
            <w:tcW w:w="2249" w:type="dxa"/>
            <w:vAlign w:val="center"/>
          </w:tcPr>
          <w:p>
            <w:pPr>
              <w:snapToGrid w:val="0"/>
              <w:jc w:val="center"/>
            </w:pPr>
            <w:r>
              <w:rPr>
                <w:rFonts w:hint="eastAsia"/>
              </w:rPr>
              <w:t>无色结晶，易过冷</w:t>
            </w:r>
          </w:p>
        </w:tc>
        <w:tc>
          <w:tcPr>
            <w:tcW w:w="1121" w:type="dxa"/>
            <w:vAlign w:val="center"/>
          </w:tcPr>
          <w:p>
            <w:pPr>
              <w:snapToGrid w:val="0"/>
              <w:jc w:val="center"/>
            </w:pPr>
            <w:r>
              <w:t>75-65-0</w:t>
            </w:r>
          </w:p>
        </w:tc>
        <w:tc>
          <w:tcPr>
            <w:tcW w:w="1131" w:type="dxa"/>
            <w:vAlign w:val="center"/>
          </w:tcPr>
          <w:p>
            <w:pPr>
              <w:snapToGrid w:val="0"/>
              <w:jc w:val="center"/>
            </w:pPr>
            <w:r>
              <w:t>0.775</w:t>
            </w:r>
          </w:p>
        </w:tc>
        <w:tc>
          <w:tcPr>
            <w:tcW w:w="842" w:type="dxa"/>
            <w:vAlign w:val="center"/>
          </w:tcPr>
          <w:p>
            <w:pPr>
              <w:snapToGrid w:val="0"/>
              <w:jc w:val="center"/>
            </w:pPr>
            <w:r>
              <w:t>25.7</w:t>
            </w:r>
          </w:p>
        </w:tc>
        <w:tc>
          <w:tcPr>
            <w:tcW w:w="851" w:type="dxa"/>
            <w:vAlign w:val="center"/>
          </w:tcPr>
          <w:p>
            <w:pPr>
              <w:snapToGrid w:val="0"/>
              <w:jc w:val="center"/>
            </w:pPr>
            <w:r>
              <w:t>82.42</w:t>
            </w:r>
          </w:p>
        </w:tc>
        <w:tc>
          <w:tcPr>
            <w:tcW w:w="992" w:type="dxa"/>
            <w:vAlign w:val="center"/>
          </w:tcPr>
          <w:p>
            <w:pPr>
              <w:snapToGrid w:val="0"/>
              <w:jc w:val="center"/>
            </w:pPr>
            <w:r>
              <w:t>11</w:t>
            </w:r>
            <w:r>
              <w:rPr>
                <w:rFonts w:hint="eastAsia"/>
              </w:rPr>
              <w:t>（开口）</w:t>
            </w:r>
          </w:p>
        </w:tc>
        <w:tc>
          <w:tcPr>
            <w:tcW w:w="992" w:type="dxa"/>
            <w:vAlign w:val="center"/>
          </w:tcPr>
          <w:p>
            <w:pPr>
              <w:snapToGrid w:val="0"/>
              <w:jc w:val="center"/>
            </w:pPr>
            <w:r>
              <w:t>/</w:t>
            </w:r>
          </w:p>
        </w:tc>
        <w:tc>
          <w:tcPr>
            <w:tcW w:w="1132" w:type="dxa"/>
            <w:vAlign w:val="center"/>
          </w:tcPr>
          <w:p>
            <w:pPr>
              <w:snapToGrid w:val="0"/>
              <w:jc w:val="center"/>
            </w:pPr>
            <w:r>
              <w:t>2.35</w:t>
            </w:r>
          </w:p>
        </w:tc>
        <w:tc>
          <w:tcPr>
            <w:tcW w:w="1135" w:type="dxa"/>
            <w:vAlign w:val="center"/>
          </w:tcPr>
          <w:p>
            <w:pPr>
              <w:snapToGrid w:val="0"/>
              <w:jc w:val="center"/>
            </w:pPr>
            <w:r>
              <w:t>8</w:t>
            </w:r>
          </w:p>
        </w:tc>
        <w:tc>
          <w:tcPr>
            <w:tcW w:w="1290" w:type="dxa"/>
            <w:vAlign w:val="center"/>
          </w:tcPr>
          <w:p>
            <w:pPr>
              <w:snapToGrid w:val="0"/>
              <w:jc w:val="center"/>
            </w:pPr>
            <w:r>
              <w:t>35540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rPr>
        <w:tc>
          <w:tcPr>
            <w:tcW w:w="897" w:type="dxa"/>
            <w:vAlign w:val="center"/>
          </w:tcPr>
          <w:p>
            <w:pPr>
              <w:snapToGrid w:val="0"/>
              <w:jc w:val="center"/>
            </w:pPr>
            <w:r>
              <w:t>3</w:t>
            </w:r>
          </w:p>
        </w:tc>
        <w:tc>
          <w:tcPr>
            <w:tcW w:w="1417" w:type="dxa"/>
            <w:vAlign w:val="center"/>
          </w:tcPr>
          <w:p>
            <w:pPr>
              <w:snapToGrid w:val="0"/>
              <w:jc w:val="center"/>
              <w:rPr>
                <w:kern w:val="0"/>
              </w:rPr>
            </w:pPr>
            <w:r>
              <w:rPr>
                <w:rFonts w:hint="eastAsia"/>
                <w:kern w:val="0"/>
              </w:rPr>
              <w:t>二甲苯</w:t>
            </w:r>
          </w:p>
        </w:tc>
        <w:tc>
          <w:tcPr>
            <w:tcW w:w="2249" w:type="dxa"/>
            <w:vAlign w:val="center"/>
          </w:tcPr>
          <w:p>
            <w:pPr>
              <w:snapToGrid w:val="0"/>
              <w:jc w:val="center"/>
            </w:pPr>
            <w:r>
              <w:rPr>
                <w:rFonts w:hint="eastAsia"/>
              </w:rPr>
              <w:t>无色透明液体</w:t>
            </w:r>
          </w:p>
        </w:tc>
        <w:tc>
          <w:tcPr>
            <w:tcW w:w="1121" w:type="dxa"/>
            <w:vAlign w:val="center"/>
          </w:tcPr>
          <w:p>
            <w:pPr>
              <w:snapToGrid w:val="0"/>
              <w:jc w:val="center"/>
            </w:pPr>
            <w:r>
              <w:t>106-42-3</w:t>
            </w:r>
          </w:p>
        </w:tc>
        <w:tc>
          <w:tcPr>
            <w:tcW w:w="1131" w:type="dxa"/>
            <w:vAlign w:val="center"/>
          </w:tcPr>
          <w:p>
            <w:pPr>
              <w:snapToGrid w:val="0"/>
              <w:jc w:val="center"/>
            </w:pPr>
            <w:r>
              <w:t>0.86</w:t>
            </w:r>
          </w:p>
        </w:tc>
        <w:tc>
          <w:tcPr>
            <w:tcW w:w="842" w:type="dxa"/>
            <w:vAlign w:val="center"/>
          </w:tcPr>
          <w:p>
            <w:pPr>
              <w:snapToGrid w:val="0"/>
              <w:jc w:val="center"/>
            </w:pPr>
            <w:r>
              <w:t>13.2</w:t>
            </w:r>
          </w:p>
        </w:tc>
        <w:tc>
          <w:tcPr>
            <w:tcW w:w="851" w:type="dxa"/>
            <w:vAlign w:val="center"/>
          </w:tcPr>
          <w:p>
            <w:pPr>
              <w:snapToGrid w:val="0"/>
              <w:jc w:val="center"/>
            </w:pPr>
            <w:r>
              <w:t>138.36</w:t>
            </w:r>
          </w:p>
        </w:tc>
        <w:tc>
          <w:tcPr>
            <w:tcW w:w="992" w:type="dxa"/>
            <w:vAlign w:val="center"/>
          </w:tcPr>
          <w:p>
            <w:pPr>
              <w:snapToGrid w:val="0"/>
              <w:jc w:val="center"/>
            </w:pPr>
            <w:r>
              <w:t>29</w:t>
            </w:r>
          </w:p>
        </w:tc>
        <w:tc>
          <w:tcPr>
            <w:tcW w:w="992" w:type="dxa"/>
            <w:vAlign w:val="center"/>
          </w:tcPr>
          <w:p>
            <w:pPr>
              <w:snapToGrid w:val="0"/>
              <w:jc w:val="center"/>
            </w:pPr>
            <w:r>
              <w:t>/</w:t>
            </w:r>
          </w:p>
        </w:tc>
        <w:tc>
          <w:tcPr>
            <w:tcW w:w="1132" w:type="dxa"/>
            <w:vAlign w:val="center"/>
          </w:tcPr>
          <w:p>
            <w:pPr>
              <w:snapToGrid w:val="0"/>
              <w:jc w:val="center"/>
            </w:pPr>
            <w:r>
              <w:t>1</w:t>
            </w:r>
          </w:p>
        </w:tc>
        <w:tc>
          <w:tcPr>
            <w:tcW w:w="1135" w:type="dxa"/>
            <w:vAlign w:val="center"/>
          </w:tcPr>
          <w:p>
            <w:pPr>
              <w:snapToGrid w:val="0"/>
              <w:jc w:val="center"/>
            </w:pPr>
            <w:r>
              <w:t>7</w:t>
            </w:r>
          </w:p>
        </w:tc>
        <w:tc>
          <w:tcPr>
            <w:tcW w:w="1290" w:type="dxa"/>
            <w:vAlign w:val="center"/>
          </w:tcPr>
          <w:p>
            <w:pPr>
              <w:snapToGrid w:val="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88" w:hRule="exact"/>
        </w:trPr>
        <w:tc>
          <w:tcPr>
            <w:tcW w:w="897" w:type="dxa"/>
            <w:vAlign w:val="center"/>
          </w:tcPr>
          <w:p>
            <w:pPr>
              <w:snapToGrid w:val="0"/>
              <w:jc w:val="center"/>
            </w:pPr>
            <w:r>
              <w:t>4</w:t>
            </w:r>
          </w:p>
        </w:tc>
        <w:tc>
          <w:tcPr>
            <w:tcW w:w="1417" w:type="dxa"/>
            <w:vAlign w:val="center"/>
          </w:tcPr>
          <w:p>
            <w:pPr>
              <w:snapToGrid w:val="0"/>
              <w:jc w:val="center"/>
              <w:rPr>
                <w:kern w:val="0"/>
              </w:rPr>
            </w:pPr>
            <w:r>
              <w:rPr>
                <w:rFonts w:hint="eastAsia"/>
                <w:kern w:val="0"/>
              </w:rPr>
              <w:t>磷酸</w:t>
            </w:r>
          </w:p>
        </w:tc>
        <w:tc>
          <w:tcPr>
            <w:tcW w:w="2249" w:type="dxa"/>
            <w:vAlign w:val="center"/>
          </w:tcPr>
          <w:p>
            <w:pPr>
              <w:snapToGrid w:val="0"/>
              <w:jc w:val="center"/>
            </w:pPr>
            <w:r>
              <w:rPr>
                <w:rFonts w:hint="eastAsia"/>
              </w:rPr>
              <w:t>白色固体，大于</w:t>
            </w:r>
            <w:r>
              <w:t>42℃</w:t>
            </w:r>
            <w:r>
              <w:rPr>
                <w:rFonts w:hint="eastAsia"/>
              </w:rPr>
              <w:t>时为无色粘稠液体</w:t>
            </w:r>
          </w:p>
        </w:tc>
        <w:tc>
          <w:tcPr>
            <w:tcW w:w="1121" w:type="dxa"/>
            <w:vAlign w:val="center"/>
          </w:tcPr>
          <w:p>
            <w:pPr>
              <w:snapToGrid w:val="0"/>
              <w:jc w:val="center"/>
            </w:pPr>
            <w:r>
              <w:t>7664-38-2</w:t>
            </w:r>
          </w:p>
        </w:tc>
        <w:tc>
          <w:tcPr>
            <w:tcW w:w="1131" w:type="dxa"/>
            <w:vAlign w:val="center"/>
          </w:tcPr>
          <w:p>
            <w:pPr>
              <w:snapToGrid w:val="0"/>
              <w:jc w:val="center"/>
            </w:pPr>
            <w:r>
              <w:t>/</w:t>
            </w:r>
          </w:p>
        </w:tc>
        <w:tc>
          <w:tcPr>
            <w:tcW w:w="842" w:type="dxa"/>
            <w:vAlign w:val="center"/>
          </w:tcPr>
          <w:p>
            <w:pPr>
              <w:snapToGrid w:val="0"/>
              <w:jc w:val="center"/>
            </w:pPr>
            <w:r>
              <w:t>42.35</w:t>
            </w:r>
          </w:p>
        </w:tc>
        <w:tc>
          <w:tcPr>
            <w:tcW w:w="851" w:type="dxa"/>
            <w:vAlign w:val="center"/>
          </w:tcPr>
          <w:p>
            <w:pPr>
              <w:snapToGrid w:val="0"/>
              <w:jc w:val="center"/>
            </w:pPr>
            <w:r>
              <w:t>158</w:t>
            </w:r>
          </w:p>
        </w:tc>
        <w:tc>
          <w:tcPr>
            <w:tcW w:w="992" w:type="dxa"/>
            <w:vAlign w:val="center"/>
          </w:tcPr>
          <w:p>
            <w:pPr>
              <w:snapToGrid w:val="0"/>
              <w:jc w:val="center"/>
            </w:pPr>
            <w:r>
              <w:t>/</w:t>
            </w:r>
          </w:p>
        </w:tc>
        <w:tc>
          <w:tcPr>
            <w:tcW w:w="992" w:type="dxa"/>
            <w:vAlign w:val="center"/>
          </w:tcPr>
          <w:p>
            <w:pPr>
              <w:snapToGrid w:val="0"/>
              <w:jc w:val="center"/>
            </w:pPr>
            <w:r>
              <w:t>/</w:t>
            </w:r>
          </w:p>
        </w:tc>
        <w:tc>
          <w:tcPr>
            <w:tcW w:w="1132" w:type="dxa"/>
            <w:vAlign w:val="center"/>
          </w:tcPr>
          <w:p>
            <w:pPr>
              <w:snapToGrid w:val="0"/>
              <w:jc w:val="center"/>
            </w:pPr>
            <w:r>
              <w:t>/</w:t>
            </w:r>
          </w:p>
        </w:tc>
        <w:tc>
          <w:tcPr>
            <w:tcW w:w="1135" w:type="dxa"/>
            <w:vAlign w:val="center"/>
          </w:tcPr>
          <w:p>
            <w:pPr>
              <w:snapToGrid w:val="0"/>
              <w:jc w:val="center"/>
            </w:pPr>
            <w:r>
              <w:t>/</w:t>
            </w:r>
          </w:p>
        </w:tc>
        <w:tc>
          <w:tcPr>
            <w:tcW w:w="1290" w:type="dxa"/>
            <w:vAlign w:val="center"/>
          </w:tcPr>
          <w:p>
            <w:pPr>
              <w:snapToGrid w:val="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rPr>
        <w:tc>
          <w:tcPr>
            <w:tcW w:w="897" w:type="dxa"/>
            <w:vAlign w:val="center"/>
          </w:tcPr>
          <w:p>
            <w:pPr>
              <w:snapToGrid w:val="0"/>
              <w:jc w:val="center"/>
            </w:pPr>
            <w:r>
              <w:t>5</w:t>
            </w:r>
          </w:p>
        </w:tc>
        <w:tc>
          <w:tcPr>
            <w:tcW w:w="1417" w:type="dxa"/>
            <w:vAlign w:val="center"/>
          </w:tcPr>
          <w:p>
            <w:pPr>
              <w:snapToGrid w:val="0"/>
              <w:jc w:val="center"/>
              <w:rPr>
                <w:kern w:val="0"/>
              </w:rPr>
            </w:pPr>
            <w:r>
              <w:rPr>
                <w:rFonts w:hint="eastAsia"/>
                <w:kern w:val="0"/>
              </w:rPr>
              <w:t>氢氧化钙</w:t>
            </w:r>
          </w:p>
        </w:tc>
        <w:tc>
          <w:tcPr>
            <w:tcW w:w="2249" w:type="dxa"/>
            <w:vAlign w:val="center"/>
          </w:tcPr>
          <w:p>
            <w:pPr>
              <w:snapToGrid w:val="0"/>
              <w:jc w:val="center"/>
            </w:pPr>
            <w:r>
              <w:t xml:space="preserve"> </w:t>
            </w:r>
            <w:r>
              <w:rPr>
                <w:rFonts w:hint="eastAsia"/>
              </w:rPr>
              <w:t>白色粉末状固体</w:t>
            </w:r>
          </w:p>
        </w:tc>
        <w:tc>
          <w:tcPr>
            <w:tcW w:w="1121" w:type="dxa"/>
            <w:vAlign w:val="center"/>
          </w:tcPr>
          <w:p>
            <w:pPr>
              <w:snapToGrid w:val="0"/>
              <w:jc w:val="center"/>
            </w:pPr>
            <w:r>
              <w:t>1305-62-0</w:t>
            </w:r>
          </w:p>
        </w:tc>
        <w:tc>
          <w:tcPr>
            <w:tcW w:w="1131" w:type="dxa"/>
            <w:vAlign w:val="center"/>
          </w:tcPr>
          <w:p>
            <w:pPr>
              <w:snapToGrid w:val="0"/>
              <w:jc w:val="center"/>
            </w:pPr>
            <w:r>
              <w:t>2.211</w:t>
            </w:r>
            <w:r>
              <w:rPr>
                <w:rFonts w:hint="eastAsia"/>
              </w:rPr>
              <w:t>（固体密度）</w:t>
            </w:r>
          </w:p>
        </w:tc>
        <w:tc>
          <w:tcPr>
            <w:tcW w:w="842" w:type="dxa"/>
            <w:vAlign w:val="center"/>
          </w:tcPr>
          <w:p>
            <w:pPr>
              <w:snapToGrid w:val="0"/>
              <w:jc w:val="center"/>
            </w:pPr>
            <w:r>
              <w:t>/</w:t>
            </w:r>
          </w:p>
        </w:tc>
        <w:tc>
          <w:tcPr>
            <w:tcW w:w="851" w:type="dxa"/>
            <w:vAlign w:val="center"/>
          </w:tcPr>
          <w:p>
            <w:pPr>
              <w:snapToGrid w:val="0"/>
              <w:jc w:val="center"/>
            </w:pPr>
            <w:r>
              <w:t>/</w:t>
            </w:r>
          </w:p>
        </w:tc>
        <w:tc>
          <w:tcPr>
            <w:tcW w:w="992" w:type="dxa"/>
            <w:vAlign w:val="center"/>
          </w:tcPr>
          <w:p>
            <w:pPr>
              <w:snapToGrid w:val="0"/>
              <w:jc w:val="center"/>
            </w:pPr>
            <w:r>
              <w:t>/</w:t>
            </w:r>
          </w:p>
        </w:tc>
        <w:tc>
          <w:tcPr>
            <w:tcW w:w="992" w:type="dxa"/>
            <w:vAlign w:val="center"/>
          </w:tcPr>
          <w:p>
            <w:pPr>
              <w:snapToGrid w:val="0"/>
              <w:jc w:val="center"/>
            </w:pPr>
            <w:r>
              <w:t>/</w:t>
            </w:r>
          </w:p>
        </w:tc>
        <w:tc>
          <w:tcPr>
            <w:tcW w:w="1132" w:type="dxa"/>
            <w:vAlign w:val="center"/>
          </w:tcPr>
          <w:p>
            <w:pPr>
              <w:snapToGrid w:val="0"/>
              <w:jc w:val="center"/>
            </w:pPr>
            <w:r>
              <w:t>/</w:t>
            </w:r>
          </w:p>
        </w:tc>
        <w:tc>
          <w:tcPr>
            <w:tcW w:w="1135" w:type="dxa"/>
            <w:vAlign w:val="center"/>
          </w:tcPr>
          <w:p>
            <w:pPr>
              <w:snapToGrid w:val="0"/>
              <w:jc w:val="center"/>
            </w:pPr>
            <w:r>
              <w:t>/</w:t>
            </w:r>
          </w:p>
        </w:tc>
        <w:tc>
          <w:tcPr>
            <w:tcW w:w="1290" w:type="dxa"/>
            <w:vAlign w:val="center"/>
          </w:tcPr>
          <w:p>
            <w:pPr>
              <w:snapToGrid w:val="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94" w:hRule="exact"/>
        </w:trPr>
        <w:tc>
          <w:tcPr>
            <w:tcW w:w="897" w:type="dxa"/>
            <w:vAlign w:val="center"/>
          </w:tcPr>
          <w:p>
            <w:pPr>
              <w:snapToGrid w:val="0"/>
              <w:jc w:val="center"/>
            </w:pPr>
            <w:r>
              <w:t>6</w:t>
            </w:r>
          </w:p>
        </w:tc>
        <w:tc>
          <w:tcPr>
            <w:tcW w:w="1417" w:type="dxa"/>
            <w:vAlign w:val="center"/>
          </w:tcPr>
          <w:p>
            <w:pPr>
              <w:adjustRightInd w:val="0"/>
              <w:snapToGrid w:val="0"/>
              <w:jc w:val="center"/>
            </w:pPr>
            <w:r>
              <w:rPr>
                <w:rFonts w:hint="eastAsia"/>
              </w:rPr>
              <w:t>食用酒精</w:t>
            </w:r>
          </w:p>
        </w:tc>
        <w:tc>
          <w:tcPr>
            <w:tcW w:w="11735" w:type="dxa"/>
            <w:gridSpan w:val="10"/>
            <w:vAlign w:val="center"/>
          </w:tcPr>
          <w:p>
            <w:pPr>
              <w:snapToGrid w:val="0"/>
            </w:pPr>
            <w:r>
              <w:rPr>
                <w:rFonts w:hint="eastAsia"/>
              </w:rPr>
              <w:t>食用酒精使用</w:t>
            </w:r>
            <w:r>
              <w:fldChar w:fldCharType="begin"/>
            </w:r>
            <w:r>
              <w:instrText xml:space="preserve"> HYPERLINK "http://baike.baidu.com/subview/251850/8036792.htm" \t "_blank" </w:instrText>
            </w:r>
            <w:r>
              <w:fldChar w:fldCharType="separate"/>
            </w:r>
            <w:r>
              <w:rPr>
                <w:rStyle w:val="46"/>
                <w:rFonts w:hint="eastAsia"/>
                <w:color w:val="auto"/>
                <w:u w:val="none"/>
              </w:rPr>
              <w:t>粮食</w:t>
            </w:r>
            <w:r>
              <w:rPr>
                <w:rStyle w:val="46"/>
                <w:rFonts w:hint="eastAsia"/>
                <w:color w:val="auto"/>
                <w:u w:val="none"/>
              </w:rPr>
              <w:fldChar w:fldCharType="end"/>
            </w:r>
            <w:r>
              <w:rPr>
                <w:rFonts w:hint="eastAsia"/>
              </w:rPr>
              <w:t>和</w:t>
            </w:r>
            <w:r>
              <w:fldChar w:fldCharType="begin"/>
            </w:r>
            <w:r>
              <w:instrText xml:space="preserve"> HYPERLINK "http://baike.baidu.com/view/35997.htm" \t "_blank" </w:instrText>
            </w:r>
            <w:r>
              <w:fldChar w:fldCharType="separate"/>
            </w:r>
            <w:r>
              <w:rPr>
                <w:rStyle w:val="46"/>
                <w:rFonts w:hint="eastAsia"/>
                <w:color w:val="auto"/>
                <w:u w:val="none"/>
              </w:rPr>
              <w:t>酵母菌</w:t>
            </w:r>
            <w:r>
              <w:rPr>
                <w:rStyle w:val="46"/>
                <w:rFonts w:hint="eastAsia"/>
                <w:color w:val="auto"/>
                <w:u w:val="none"/>
              </w:rPr>
              <w:fldChar w:fldCharType="end"/>
            </w:r>
            <w:r>
              <w:rPr>
                <w:rFonts w:hint="eastAsia"/>
              </w:rPr>
              <w:t>在发酵罐里经过</w:t>
            </w:r>
            <w:r>
              <w:fldChar w:fldCharType="begin"/>
            </w:r>
            <w:r>
              <w:instrText xml:space="preserve"> HYPERLINK "http://baike.baidu.com/view/35695.htm" \t "_blank" </w:instrText>
            </w:r>
            <w:r>
              <w:fldChar w:fldCharType="separate"/>
            </w:r>
            <w:r>
              <w:rPr>
                <w:rStyle w:val="46"/>
                <w:rFonts w:hint="eastAsia"/>
                <w:color w:val="auto"/>
                <w:u w:val="none"/>
              </w:rPr>
              <w:t>发酵</w:t>
            </w:r>
            <w:r>
              <w:rPr>
                <w:rStyle w:val="46"/>
                <w:rFonts w:hint="eastAsia"/>
                <w:color w:val="auto"/>
                <w:u w:val="none"/>
              </w:rPr>
              <w:fldChar w:fldCharType="end"/>
            </w:r>
            <w:r>
              <w:rPr>
                <w:rFonts w:hint="eastAsia"/>
              </w:rPr>
              <w:t>后，经过</w:t>
            </w:r>
            <w:r>
              <w:fldChar w:fldCharType="begin"/>
            </w:r>
            <w:r>
              <w:instrText xml:space="preserve"> HYPERLINK "http://baike.baidu.com/view/480303.htm" \t "_blank" </w:instrText>
            </w:r>
            <w:r>
              <w:fldChar w:fldCharType="separate"/>
            </w:r>
            <w:r>
              <w:rPr>
                <w:rStyle w:val="46"/>
                <w:rFonts w:hint="eastAsia"/>
                <w:color w:val="auto"/>
                <w:u w:val="none"/>
              </w:rPr>
              <w:t>过滤</w:t>
            </w:r>
            <w:r>
              <w:rPr>
                <w:rStyle w:val="46"/>
                <w:rFonts w:hint="eastAsia"/>
                <w:color w:val="auto"/>
                <w:u w:val="none"/>
              </w:rPr>
              <w:fldChar w:fldCharType="end"/>
            </w:r>
            <w:r>
              <w:rPr>
                <w:rFonts w:hint="eastAsia"/>
              </w:rPr>
              <w:t>、</w:t>
            </w:r>
            <w:r>
              <w:fldChar w:fldCharType="begin"/>
            </w:r>
            <w:r>
              <w:instrText xml:space="preserve"> HYPERLINK "http://baike.baidu.com/view/637410.htm" \t "_blank" </w:instrText>
            </w:r>
            <w:r>
              <w:fldChar w:fldCharType="separate"/>
            </w:r>
            <w:r>
              <w:rPr>
                <w:rStyle w:val="46"/>
                <w:rFonts w:hint="eastAsia"/>
                <w:color w:val="auto"/>
                <w:u w:val="none"/>
              </w:rPr>
              <w:t>精馏</w:t>
            </w:r>
            <w:r>
              <w:rPr>
                <w:rStyle w:val="46"/>
                <w:rFonts w:hint="eastAsia"/>
                <w:color w:val="auto"/>
                <w:u w:val="none"/>
              </w:rPr>
              <w:fldChar w:fldCharType="end"/>
            </w:r>
            <w:r>
              <w:rPr>
                <w:rFonts w:hint="eastAsia"/>
              </w:rPr>
              <w:t>来得到的产品，通常为</w:t>
            </w:r>
            <w:r>
              <w:fldChar w:fldCharType="begin"/>
            </w:r>
            <w:r>
              <w:instrText xml:space="preserve"> HYPERLINK "http://baike.baidu.com/view/3010.htm" \t "_blank" </w:instrText>
            </w:r>
            <w:r>
              <w:fldChar w:fldCharType="separate"/>
            </w:r>
            <w:r>
              <w:rPr>
                <w:rStyle w:val="46"/>
                <w:rFonts w:hint="eastAsia"/>
                <w:color w:val="auto"/>
                <w:u w:val="none"/>
              </w:rPr>
              <w:t>乙醇</w:t>
            </w:r>
            <w:r>
              <w:rPr>
                <w:rStyle w:val="46"/>
                <w:rFonts w:hint="eastAsia"/>
                <w:color w:val="auto"/>
                <w:u w:val="none"/>
              </w:rPr>
              <w:fldChar w:fldCharType="end"/>
            </w:r>
            <w:r>
              <w:rPr>
                <w:rFonts w:hint="eastAsia"/>
              </w:rPr>
              <w:t>的</w:t>
            </w:r>
            <w:r>
              <w:fldChar w:fldCharType="begin"/>
            </w:r>
            <w:r>
              <w:instrText xml:space="preserve"> HYPERLINK "http://baike.baidu.com/view/292159.htm" \t "_blank" </w:instrText>
            </w:r>
            <w:r>
              <w:fldChar w:fldCharType="separate"/>
            </w:r>
            <w:r>
              <w:rPr>
                <w:rStyle w:val="46"/>
                <w:rFonts w:hint="eastAsia"/>
                <w:color w:val="auto"/>
                <w:u w:val="none"/>
              </w:rPr>
              <w:t>水溶液</w:t>
            </w:r>
            <w:r>
              <w:rPr>
                <w:rStyle w:val="46"/>
                <w:rFonts w:hint="eastAsia"/>
                <w:color w:val="auto"/>
                <w:u w:val="none"/>
              </w:rPr>
              <w:fldChar w:fldCharType="end"/>
            </w:r>
            <w:r>
              <w:rPr>
                <w:rFonts w:hint="eastAsia"/>
              </w:rPr>
              <w:t>，或者说是水和乙醇的互溶体。食用酒精的度数是不确定的，通常食用酒精的纯度为</w:t>
            </w:r>
            <w:r>
              <w:t>95%</w:t>
            </w:r>
            <w:r>
              <w:rPr>
                <w:rFonts w:hint="eastAsia"/>
              </w:rPr>
              <w:t>。</w:t>
            </w:r>
          </w:p>
        </w:tc>
      </w:tr>
    </w:tbl>
    <w:p/>
    <w:p>
      <w:pPr>
        <w:tabs>
          <w:tab w:val="left" w:pos="6334"/>
        </w:tabs>
        <w:jc w:val="center"/>
        <w:rPr>
          <w:bCs/>
        </w:rPr>
      </w:pPr>
      <w:r>
        <w:rPr>
          <w:rFonts w:hint="eastAsia"/>
          <w:b/>
          <w:color w:val="000000"/>
        </w:rPr>
        <w:t>表</w:t>
      </w:r>
      <w:r>
        <w:rPr>
          <w:b/>
          <w:color w:val="000000"/>
        </w:rPr>
        <w:t>3-</w:t>
      </w:r>
      <w:r>
        <w:rPr>
          <w:rFonts w:hint="eastAsia"/>
          <w:b/>
          <w:color w:val="000000"/>
          <w:lang w:val="en-US" w:eastAsia="zh-CN"/>
        </w:rPr>
        <w:t>6</w:t>
      </w:r>
      <w:r>
        <w:rPr>
          <w:b/>
          <w:color w:val="000000"/>
        </w:rPr>
        <w:t xml:space="preserve">    </w:t>
      </w:r>
      <w:r>
        <w:rPr>
          <w:rFonts w:hint="eastAsia"/>
          <w:bCs/>
        </w:rPr>
        <w:t>燃料主要特性</w:t>
      </w:r>
    </w:p>
    <w:tbl>
      <w:tblPr>
        <w:tblStyle w:val="47"/>
        <w:tblW w:w="1414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4"/>
        <w:gridCol w:w="2424"/>
        <w:gridCol w:w="2424"/>
        <w:gridCol w:w="2424"/>
        <w:gridCol w:w="2424"/>
        <w:gridCol w:w="24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24" w:type="dxa"/>
          </w:tcPr>
          <w:p>
            <w:pPr>
              <w:tabs>
                <w:tab w:val="left" w:pos="6334"/>
              </w:tabs>
              <w:jc w:val="center"/>
              <w:rPr>
                <w:bCs/>
              </w:rPr>
            </w:pPr>
          </w:p>
        </w:tc>
        <w:tc>
          <w:tcPr>
            <w:tcW w:w="2424" w:type="dxa"/>
          </w:tcPr>
          <w:p>
            <w:pPr>
              <w:tabs>
                <w:tab w:val="left" w:pos="6334"/>
              </w:tabs>
              <w:jc w:val="center"/>
              <w:rPr>
                <w:bCs/>
              </w:rPr>
            </w:pPr>
            <w:r>
              <w:rPr>
                <w:rFonts w:hint="eastAsia"/>
                <w:bCs/>
              </w:rPr>
              <w:t>燃料名称</w:t>
            </w:r>
          </w:p>
        </w:tc>
        <w:tc>
          <w:tcPr>
            <w:tcW w:w="2424" w:type="dxa"/>
          </w:tcPr>
          <w:p>
            <w:pPr>
              <w:tabs>
                <w:tab w:val="left" w:pos="6334"/>
              </w:tabs>
              <w:jc w:val="center"/>
              <w:rPr>
                <w:bCs/>
              </w:rPr>
            </w:pPr>
            <w:r>
              <w:rPr>
                <w:rFonts w:hint="eastAsia"/>
                <w:bCs/>
              </w:rPr>
              <w:t>灰分（</w:t>
            </w:r>
            <w:r>
              <w:rPr>
                <w:bCs/>
              </w:rPr>
              <w:t>%</w:t>
            </w:r>
            <w:r>
              <w:rPr>
                <w:rFonts w:hint="eastAsia"/>
                <w:bCs/>
              </w:rPr>
              <w:t>）</w:t>
            </w:r>
          </w:p>
        </w:tc>
        <w:tc>
          <w:tcPr>
            <w:tcW w:w="2424" w:type="dxa"/>
          </w:tcPr>
          <w:p>
            <w:pPr>
              <w:tabs>
                <w:tab w:val="left" w:pos="6334"/>
              </w:tabs>
              <w:jc w:val="center"/>
              <w:rPr>
                <w:bCs/>
              </w:rPr>
            </w:pPr>
            <w:r>
              <w:rPr>
                <w:rFonts w:hint="eastAsia"/>
                <w:bCs/>
              </w:rPr>
              <w:t>硫分（</w:t>
            </w:r>
            <w:r>
              <w:rPr>
                <w:bCs/>
              </w:rPr>
              <w:t>%</w:t>
            </w:r>
            <w:r>
              <w:rPr>
                <w:rFonts w:hint="eastAsia"/>
                <w:bCs/>
              </w:rPr>
              <w:t>）</w:t>
            </w:r>
          </w:p>
        </w:tc>
        <w:tc>
          <w:tcPr>
            <w:tcW w:w="2424" w:type="dxa"/>
          </w:tcPr>
          <w:p>
            <w:pPr>
              <w:tabs>
                <w:tab w:val="left" w:pos="6334"/>
              </w:tabs>
              <w:jc w:val="center"/>
              <w:rPr>
                <w:bCs/>
              </w:rPr>
            </w:pPr>
            <w:r>
              <w:rPr>
                <w:rFonts w:hint="eastAsia"/>
                <w:bCs/>
              </w:rPr>
              <w:t>氮分（</w:t>
            </w:r>
            <w:r>
              <w:rPr>
                <w:bCs/>
              </w:rPr>
              <w:t>%</w:t>
            </w:r>
            <w:r>
              <w:rPr>
                <w:rFonts w:hint="eastAsia"/>
                <w:bCs/>
              </w:rPr>
              <w:t>）</w:t>
            </w:r>
          </w:p>
        </w:tc>
        <w:tc>
          <w:tcPr>
            <w:tcW w:w="2427" w:type="dxa"/>
          </w:tcPr>
          <w:p>
            <w:pPr>
              <w:tabs>
                <w:tab w:val="left" w:pos="6334"/>
              </w:tabs>
              <w:jc w:val="center"/>
              <w:rPr>
                <w:bCs/>
              </w:rPr>
            </w:pPr>
            <w:r>
              <w:rPr>
                <w:rFonts w:hint="eastAsia"/>
                <w:bCs/>
              </w:rPr>
              <w:t>热值</w:t>
            </w:r>
            <w:r>
              <w:rPr>
                <w:sz w:val="21"/>
                <w:szCs w:val="21"/>
              </w:rPr>
              <w:t>(Kcal/kg)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24" w:type="dxa"/>
          </w:tcPr>
          <w:p>
            <w:pPr>
              <w:tabs>
                <w:tab w:val="left" w:pos="6334"/>
              </w:tabs>
              <w:jc w:val="center"/>
              <w:rPr>
                <w:bCs/>
              </w:rPr>
            </w:pPr>
            <w:r>
              <w:rPr>
                <w:rFonts w:hint="eastAsia"/>
                <w:bCs/>
              </w:rPr>
              <w:t>环评设计值</w:t>
            </w:r>
          </w:p>
        </w:tc>
        <w:tc>
          <w:tcPr>
            <w:tcW w:w="2424" w:type="dxa"/>
          </w:tcPr>
          <w:p>
            <w:pPr>
              <w:tabs>
                <w:tab w:val="left" w:pos="6334"/>
              </w:tabs>
              <w:jc w:val="center"/>
              <w:rPr>
                <w:bCs/>
              </w:rPr>
            </w:pPr>
            <w:r>
              <w:rPr>
                <w:rFonts w:hint="eastAsia"/>
                <w:bCs/>
              </w:rPr>
              <w:t>煤</w:t>
            </w:r>
          </w:p>
        </w:tc>
        <w:tc>
          <w:tcPr>
            <w:tcW w:w="2424" w:type="dxa"/>
          </w:tcPr>
          <w:p>
            <w:pPr>
              <w:tabs>
                <w:tab w:val="left" w:pos="6334"/>
              </w:tabs>
              <w:jc w:val="center"/>
              <w:rPr>
                <w:bCs/>
              </w:rPr>
            </w:pPr>
            <w:r>
              <w:rPr>
                <w:bCs/>
              </w:rPr>
              <w:t>13</w:t>
            </w:r>
          </w:p>
        </w:tc>
        <w:tc>
          <w:tcPr>
            <w:tcW w:w="2424" w:type="dxa"/>
          </w:tcPr>
          <w:p>
            <w:pPr>
              <w:tabs>
                <w:tab w:val="left" w:pos="6334"/>
              </w:tabs>
              <w:jc w:val="center"/>
              <w:rPr>
                <w:bCs/>
              </w:rPr>
            </w:pPr>
            <w:r>
              <w:rPr>
                <w:bCs/>
              </w:rPr>
              <w:t>0.58</w:t>
            </w:r>
          </w:p>
        </w:tc>
        <w:tc>
          <w:tcPr>
            <w:tcW w:w="2424" w:type="dxa"/>
          </w:tcPr>
          <w:p>
            <w:pPr>
              <w:tabs>
                <w:tab w:val="left" w:pos="6334"/>
              </w:tabs>
              <w:jc w:val="center"/>
              <w:rPr>
                <w:bCs/>
              </w:rPr>
            </w:pPr>
            <w:r>
              <w:rPr>
                <w:bCs/>
              </w:rPr>
              <w:t>0.15</w:t>
            </w:r>
          </w:p>
        </w:tc>
        <w:tc>
          <w:tcPr>
            <w:tcW w:w="2427" w:type="dxa"/>
          </w:tcPr>
          <w:p>
            <w:pPr>
              <w:tabs>
                <w:tab w:val="left" w:pos="6334"/>
              </w:tabs>
              <w:jc w:val="center"/>
              <w:rPr>
                <w:bCs/>
              </w:rPr>
            </w:pPr>
            <w:r>
              <w:rPr>
                <w:bCs/>
              </w:rPr>
              <w:t>5500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24" w:type="dxa"/>
          </w:tcPr>
          <w:p>
            <w:pPr>
              <w:tabs>
                <w:tab w:val="left" w:pos="6334"/>
              </w:tabs>
              <w:jc w:val="center"/>
              <w:rPr>
                <w:bCs/>
              </w:rPr>
            </w:pPr>
            <w:r>
              <w:rPr>
                <w:rFonts w:hint="eastAsia"/>
                <w:bCs/>
              </w:rPr>
              <w:t>实际检测值</w:t>
            </w:r>
          </w:p>
        </w:tc>
        <w:tc>
          <w:tcPr>
            <w:tcW w:w="2424" w:type="dxa"/>
          </w:tcPr>
          <w:p>
            <w:pPr>
              <w:tabs>
                <w:tab w:val="left" w:pos="6334"/>
              </w:tabs>
              <w:jc w:val="center"/>
              <w:rPr>
                <w:bCs/>
              </w:rPr>
            </w:pPr>
            <w:r>
              <w:rPr>
                <w:rFonts w:hint="eastAsia"/>
                <w:bCs/>
              </w:rPr>
              <w:t>煤</w:t>
            </w:r>
          </w:p>
        </w:tc>
        <w:tc>
          <w:tcPr>
            <w:tcW w:w="2424" w:type="dxa"/>
          </w:tcPr>
          <w:p>
            <w:pPr>
              <w:tabs>
                <w:tab w:val="left" w:pos="6334"/>
              </w:tabs>
              <w:jc w:val="center"/>
              <w:rPr>
                <w:bCs/>
              </w:rPr>
            </w:pPr>
            <w:r>
              <w:rPr>
                <w:bCs/>
              </w:rPr>
              <w:t>11</w:t>
            </w:r>
          </w:p>
        </w:tc>
        <w:tc>
          <w:tcPr>
            <w:tcW w:w="2424" w:type="dxa"/>
          </w:tcPr>
          <w:p>
            <w:pPr>
              <w:tabs>
                <w:tab w:val="left" w:pos="6334"/>
              </w:tabs>
              <w:jc w:val="center"/>
              <w:rPr>
                <w:bCs/>
              </w:rPr>
            </w:pPr>
            <w:r>
              <w:rPr>
                <w:bCs/>
              </w:rPr>
              <w:t>0.56</w:t>
            </w:r>
          </w:p>
        </w:tc>
        <w:tc>
          <w:tcPr>
            <w:tcW w:w="2424" w:type="dxa"/>
          </w:tcPr>
          <w:p>
            <w:pPr>
              <w:tabs>
                <w:tab w:val="left" w:pos="6334"/>
              </w:tabs>
              <w:jc w:val="center"/>
              <w:rPr>
                <w:bCs/>
              </w:rPr>
            </w:pPr>
            <w:r>
              <w:rPr>
                <w:bCs/>
              </w:rPr>
              <w:t>0.15</w:t>
            </w:r>
          </w:p>
        </w:tc>
        <w:tc>
          <w:tcPr>
            <w:tcW w:w="2427" w:type="dxa"/>
          </w:tcPr>
          <w:p>
            <w:pPr>
              <w:tabs>
                <w:tab w:val="left" w:pos="6334"/>
              </w:tabs>
              <w:jc w:val="center"/>
              <w:rPr>
                <w:bCs/>
              </w:rPr>
            </w:pPr>
            <w:r>
              <w:rPr>
                <w:bCs/>
              </w:rPr>
              <w:t>5222</w:t>
            </w:r>
          </w:p>
        </w:tc>
      </w:tr>
    </w:tbl>
    <w:p>
      <w:pPr>
        <w:tabs>
          <w:tab w:val="left" w:pos="6334"/>
        </w:tabs>
        <w:rPr>
          <w:bCs/>
          <w:color w:val="000000"/>
        </w:rPr>
        <w:sectPr>
          <w:pgSz w:w="16838" w:h="11906" w:orient="landscape"/>
          <w:pgMar w:top="1080" w:right="1440" w:bottom="1080" w:left="1440" w:header="851" w:footer="992" w:gutter="0"/>
          <w:pgNumType w:fmt="decimal"/>
          <w:cols w:space="425" w:num="1"/>
          <w:docGrid w:type="lines" w:linePitch="312" w:charSpace="0"/>
        </w:sectPr>
      </w:pPr>
      <w:r>
        <w:rPr>
          <w:rFonts w:hint="eastAsia"/>
          <w:bCs/>
          <w:color w:val="000000"/>
        </w:rPr>
        <w:t>详见附件</w:t>
      </w:r>
      <w:r>
        <w:rPr>
          <w:bCs/>
          <w:color w:val="000000"/>
        </w:rPr>
        <w:t>9</w:t>
      </w:r>
      <w:r>
        <w:rPr>
          <w:rFonts w:hint="eastAsia"/>
          <w:bCs/>
          <w:color w:val="000000"/>
        </w:rPr>
        <w:t>煤的检测报告</w:t>
      </w:r>
    </w:p>
    <w:p>
      <w:pPr>
        <w:pStyle w:val="4"/>
        <w:numPr>
          <w:ilvl w:val="0"/>
          <w:numId w:val="2"/>
        </w:numPr>
        <w:tabs>
          <w:tab w:val="left" w:pos="268"/>
        </w:tabs>
      </w:pPr>
      <w:bookmarkStart w:id="6" w:name="_Toc15491"/>
      <w:r>
        <w:t xml:space="preserve">3 </w:t>
      </w:r>
      <w:r>
        <w:rPr>
          <w:rFonts w:hint="eastAsia"/>
        </w:rPr>
        <w:t>水平衡</w:t>
      </w:r>
      <w:bookmarkEnd w:id="6"/>
    </w:p>
    <w:p>
      <w:pPr>
        <w:pStyle w:val="14"/>
        <w:spacing w:line="360" w:lineRule="auto"/>
        <w:ind w:firstLine="0"/>
        <w:rPr>
          <w:rFonts w:ascii="Times New Roman" w:hAnsi="Times New Roman" w:cs="Times New Roman"/>
          <w:szCs w:val="24"/>
        </w:rPr>
      </w:pPr>
      <w:r>
        <w:rPr>
          <w:rFonts w:hint="eastAsia"/>
        </w:rPr>
        <w:t>本项目</w:t>
      </w:r>
      <w:r>
        <w:rPr>
          <w:rFonts w:hint="eastAsia" w:ascii="Times New Roman" w:hAnsi="Times New Roman" w:cs="Times New Roman"/>
          <w:szCs w:val="24"/>
        </w:rPr>
        <w:t>水平衡见表</w:t>
      </w:r>
      <w:r>
        <w:rPr>
          <w:rFonts w:ascii="Times New Roman" w:hAnsi="Times New Roman" w:cs="Times New Roman"/>
          <w:szCs w:val="24"/>
        </w:rPr>
        <w:t>3-</w:t>
      </w:r>
      <w:r>
        <w:rPr>
          <w:rFonts w:hint="eastAsia" w:ascii="Times New Roman" w:hAnsi="Times New Roman" w:cs="Times New Roman"/>
          <w:szCs w:val="24"/>
          <w:lang w:val="en-US" w:eastAsia="zh-CN"/>
        </w:rPr>
        <w:t>7</w:t>
      </w:r>
      <w:r>
        <w:rPr>
          <w:rFonts w:hint="eastAsia" w:ascii="Times New Roman" w:hAnsi="Times New Roman" w:cs="Times New Roman"/>
          <w:szCs w:val="24"/>
        </w:rPr>
        <w:t>、图</w:t>
      </w:r>
      <w:r>
        <w:rPr>
          <w:rFonts w:ascii="Times New Roman" w:hAnsi="Times New Roman" w:cs="Times New Roman"/>
          <w:szCs w:val="24"/>
        </w:rPr>
        <w:t>3-3</w:t>
      </w:r>
      <w:r>
        <w:rPr>
          <w:rFonts w:hint="eastAsia" w:ascii="Times New Roman" w:hAnsi="Times New Roman" w:cs="Times New Roman"/>
          <w:szCs w:val="24"/>
        </w:rPr>
        <w:t>。</w:t>
      </w:r>
    </w:p>
    <w:p>
      <w:pPr>
        <w:pStyle w:val="14"/>
        <w:spacing w:line="240" w:lineRule="auto"/>
        <w:ind w:firstLine="0"/>
        <w:jc w:val="center"/>
        <w:rPr>
          <w:b/>
          <w:szCs w:val="24"/>
        </w:rPr>
      </w:pPr>
      <w:r>
        <w:rPr>
          <w:rFonts w:hint="eastAsia"/>
          <w:b/>
          <w:szCs w:val="24"/>
        </w:rPr>
        <w:t>表</w:t>
      </w:r>
      <w:r>
        <w:rPr>
          <w:b/>
          <w:szCs w:val="24"/>
        </w:rPr>
        <w:t>3-</w:t>
      </w:r>
      <w:r>
        <w:rPr>
          <w:rFonts w:hint="eastAsia"/>
          <w:b/>
          <w:szCs w:val="24"/>
          <w:lang w:val="en-US" w:eastAsia="zh-CN"/>
        </w:rPr>
        <w:t>7</w:t>
      </w:r>
      <w:r>
        <w:rPr>
          <w:b/>
          <w:szCs w:val="24"/>
        </w:rPr>
        <w:t xml:space="preserve">    </w:t>
      </w:r>
      <w:r>
        <w:rPr>
          <w:rFonts w:hint="eastAsia"/>
          <w:b/>
          <w:szCs w:val="24"/>
        </w:rPr>
        <w:t>建设项目水平衡表（单位：</w:t>
      </w:r>
      <w:r>
        <w:rPr>
          <w:b/>
          <w:szCs w:val="24"/>
        </w:rPr>
        <w:t>m</w:t>
      </w:r>
      <w:r>
        <w:rPr>
          <w:b/>
          <w:szCs w:val="24"/>
          <w:vertAlign w:val="superscript"/>
        </w:rPr>
        <w:t>3</w:t>
      </w:r>
      <w:r>
        <w:rPr>
          <w:b/>
          <w:szCs w:val="24"/>
        </w:rPr>
        <w:t>/d</w:t>
      </w:r>
      <w:r>
        <w:rPr>
          <w:rFonts w:hint="eastAsia"/>
          <w:b/>
          <w:szCs w:val="24"/>
        </w:rPr>
        <w:t>）</w:t>
      </w:r>
    </w:p>
    <w:tbl>
      <w:tblPr>
        <w:tblStyle w:val="47"/>
        <w:tblW w:w="8706" w:type="dxa"/>
        <w:jc w:val="center"/>
        <w:tblInd w:w="-1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1231"/>
        <w:gridCol w:w="1276"/>
        <w:gridCol w:w="1513"/>
        <w:gridCol w:w="1428"/>
        <w:gridCol w:w="117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tcBorders>
              <w:tl2br w:val="single" w:color="auto" w:sz="4" w:space="0"/>
            </w:tcBorders>
            <w:vAlign w:val="center"/>
          </w:tcPr>
          <w:p>
            <w:pPr>
              <w:autoSpaceDE w:val="0"/>
              <w:autoSpaceDN w:val="0"/>
              <w:adjustRightInd w:val="0"/>
              <w:snapToGrid w:val="0"/>
              <w:jc w:val="right"/>
              <w:rPr>
                <w:bCs/>
                <w:sz w:val="21"/>
                <w:szCs w:val="21"/>
              </w:rPr>
            </w:pPr>
            <w:r>
              <w:rPr>
                <w:rFonts w:hint="eastAsia"/>
                <w:bCs/>
                <w:sz w:val="21"/>
                <w:szCs w:val="21"/>
              </w:rPr>
              <w:t>组成</w:t>
            </w:r>
          </w:p>
          <w:p>
            <w:pPr>
              <w:autoSpaceDE w:val="0"/>
              <w:autoSpaceDN w:val="0"/>
              <w:adjustRightInd w:val="0"/>
              <w:snapToGrid w:val="0"/>
              <w:jc w:val="left"/>
              <w:rPr>
                <w:bCs/>
                <w:sz w:val="21"/>
                <w:szCs w:val="21"/>
              </w:rPr>
            </w:pPr>
            <w:r>
              <w:rPr>
                <w:rFonts w:hint="eastAsia"/>
                <w:bCs/>
                <w:sz w:val="21"/>
                <w:szCs w:val="21"/>
              </w:rPr>
              <w:t>工序</w:t>
            </w:r>
          </w:p>
        </w:tc>
        <w:tc>
          <w:tcPr>
            <w:tcW w:w="1231" w:type="dxa"/>
            <w:vAlign w:val="center"/>
          </w:tcPr>
          <w:p>
            <w:pPr>
              <w:autoSpaceDE w:val="0"/>
              <w:autoSpaceDN w:val="0"/>
              <w:adjustRightInd w:val="0"/>
              <w:snapToGrid w:val="0"/>
              <w:jc w:val="center"/>
              <w:rPr>
                <w:bCs/>
                <w:sz w:val="21"/>
                <w:szCs w:val="21"/>
              </w:rPr>
            </w:pPr>
            <w:r>
              <w:rPr>
                <w:rFonts w:hint="eastAsia"/>
                <w:bCs/>
                <w:sz w:val="21"/>
                <w:szCs w:val="21"/>
              </w:rPr>
              <w:t>总用水</w:t>
            </w:r>
          </w:p>
        </w:tc>
        <w:tc>
          <w:tcPr>
            <w:tcW w:w="1276" w:type="dxa"/>
            <w:vAlign w:val="center"/>
          </w:tcPr>
          <w:p>
            <w:pPr>
              <w:autoSpaceDE w:val="0"/>
              <w:autoSpaceDN w:val="0"/>
              <w:adjustRightInd w:val="0"/>
              <w:snapToGrid w:val="0"/>
              <w:jc w:val="center"/>
              <w:rPr>
                <w:bCs/>
                <w:sz w:val="21"/>
                <w:szCs w:val="21"/>
              </w:rPr>
            </w:pPr>
            <w:r>
              <w:rPr>
                <w:rFonts w:hint="eastAsia"/>
                <w:bCs/>
                <w:sz w:val="21"/>
                <w:szCs w:val="21"/>
              </w:rPr>
              <w:t>新鲜水</w:t>
            </w:r>
          </w:p>
        </w:tc>
        <w:tc>
          <w:tcPr>
            <w:tcW w:w="1513" w:type="dxa"/>
            <w:vAlign w:val="center"/>
          </w:tcPr>
          <w:p>
            <w:pPr>
              <w:autoSpaceDE w:val="0"/>
              <w:autoSpaceDN w:val="0"/>
              <w:adjustRightInd w:val="0"/>
              <w:snapToGrid w:val="0"/>
              <w:jc w:val="center"/>
              <w:rPr>
                <w:bCs/>
                <w:sz w:val="21"/>
                <w:szCs w:val="21"/>
              </w:rPr>
            </w:pPr>
            <w:r>
              <w:rPr>
                <w:rFonts w:hint="eastAsia"/>
                <w:bCs/>
                <w:sz w:val="21"/>
                <w:szCs w:val="21"/>
              </w:rPr>
              <w:t>循环水</w:t>
            </w:r>
          </w:p>
        </w:tc>
        <w:tc>
          <w:tcPr>
            <w:tcW w:w="1428" w:type="dxa"/>
            <w:vAlign w:val="center"/>
          </w:tcPr>
          <w:p>
            <w:pPr>
              <w:autoSpaceDE w:val="0"/>
              <w:autoSpaceDN w:val="0"/>
              <w:adjustRightInd w:val="0"/>
              <w:snapToGrid w:val="0"/>
              <w:jc w:val="center"/>
              <w:rPr>
                <w:bCs/>
                <w:sz w:val="21"/>
                <w:szCs w:val="21"/>
              </w:rPr>
            </w:pPr>
            <w:r>
              <w:rPr>
                <w:rFonts w:hint="eastAsia"/>
                <w:bCs/>
                <w:sz w:val="21"/>
                <w:szCs w:val="21"/>
              </w:rPr>
              <w:t>消耗量</w:t>
            </w:r>
          </w:p>
        </w:tc>
        <w:tc>
          <w:tcPr>
            <w:tcW w:w="1170" w:type="dxa"/>
            <w:vAlign w:val="center"/>
          </w:tcPr>
          <w:p>
            <w:pPr>
              <w:autoSpaceDE w:val="0"/>
              <w:autoSpaceDN w:val="0"/>
              <w:adjustRightInd w:val="0"/>
              <w:snapToGrid w:val="0"/>
              <w:jc w:val="center"/>
              <w:rPr>
                <w:bCs/>
                <w:sz w:val="21"/>
                <w:szCs w:val="21"/>
              </w:rPr>
            </w:pPr>
            <w:r>
              <w:rPr>
                <w:rFonts w:hint="eastAsia"/>
                <w:bCs/>
                <w:sz w:val="21"/>
                <w:szCs w:val="21"/>
              </w:rPr>
              <w:t>排放量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烷基化反应生成水</w:t>
            </w:r>
          </w:p>
        </w:tc>
        <w:tc>
          <w:tcPr>
            <w:tcW w:w="1231" w:type="dxa"/>
            <w:vAlign w:val="center"/>
          </w:tcPr>
          <w:p>
            <w:pPr>
              <w:widowControl/>
              <w:adjustRightInd w:val="0"/>
              <w:snapToGrid w:val="0"/>
              <w:jc w:val="center"/>
              <w:rPr>
                <w:kern w:val="0"/>
                <w:sz w:val="21"/>
                <w:szCs w:val="21"/>
              </w:rPr>
            </w:pPr>
            <w:r>
              <w:rPr>
                <w:kern w:val="0"/>
                <w:sz w:val="21"/>
                <w:szCs w:val="21"/>
              </w:rPr>
              <w:t>/</w:t>
            </w:r>
          </w:p>
        </w:tc>
        <w:tc>
          <w:tcPr>
            <w:tcW w:w="1276" w:type="dxa"/>
            <w:vAlign w:val="center"/>
          </w:tcPr>
          <w:p>
            <w:pPr>
              <w:widowControl/>
              <w:adjustRightInd w:val="0"/>
              <w:snapToGrid w:val="0"/>
              <w:jc w:val="center"/>
              <w:rPr>
                <w:kern w:val="0"/>
                <w:sz w:val="21"/>
                <w:szCs w:val="21"/>
              </w:rPr>
            </w:pPr>
            <w:r>
              <w:rPr>
                <w:kern w:val="0"/>
                <w:sz w:val="21"/>
                <w:szCs w:val="21"/>
              </w:rPr>
              <w:t>/</w:t>
            </w:r>
          </w:p>
        </w:tc>
        <w:tc>
          <w:tcPr>
            <w:tcW w:w="1513" w:type="dxa"/>
            <w:vAlign w:val="center"/>
          </w:tcPr>
          <w:p>
            <w:pPr>
              <w:widowControl/>
              <w:adjustRightInd w:val="0"/>
              <w:snapToGrid w:val="0"/>
              <w:jc w:val="center"/>
              <w:rPr>
                <w:kern w:val="0"/>
                <w:sz w:val="21"/>
                <w:szCs w:val="21"/>
              </w:rPr>
            </w:pPr>
            <w:r>
              <w:rPr>
                <w:kern w:val="0"/>
                <w:sz w:val="21"/>
                <w:szCs w:val="21"/>
              </w:rPr>
              <w:t>/</w:t>
            </w:r>
          </w:p>
        </w:tc>
        <w:tc>
          <w:tcPr>
            <w:tcW w:w="1428" w:type="dxa"/>
            <w:vAlign w:val="center"/>
          </w:tcPr>
          <w:p>
            <w:pPr>
              <w:widowControl/>
              <w:adjustRightInd w:val="0"/>
              <w:snapToGrid w:val="0"/>
              <w:jc w:val="center"/>
              <w:rPr>
                <w:kern w:val="0"/>
                <w:sz w:val="21"/>
                <w:szCs w:val="21"/>
              </w:rPr>
            </w:pPr>
            <w:r>
              <w:rPr>
                <w:kern w:val="0"/>
                <w:sz w:val="21"/>
                <w:szCs w:val="21"/>
              </w:rPr>
              <w:t>/</w:t>
            </w:r>
          </w:p>
        </w:tc>
        <w:tc>
          <w:tcPr>
            <w:tcW w:w="1170" w:type="dxa"/>
            <w:vAlign w:val="center"/>
          </w:tcPr>
          <w:p>
            <w:pPr>
              <w:widowControl/>
              <w:adjustRightInd w:val="0"/>
              <w:snapToGrid w:val="0"/>
              <w:jc w:val="center"/>
              <w:rPr>
                <w:kern w:val="0"/>
                <w:sz w:val="21"/>
                <w:szCs w:val="21"/>
              </w:rPr>
            </w:pPr>
            <w:r>
              <w:rPr>
                <w:kern w:val="0"/>
                <w:sz w:val="21"/>
                <w:szCs w:val="21"/>
              </w:rPr>
              <w:t>0.51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水提纯废水</w:t>
            </w:r>
          </w:p>
        </w:tc>
        <w:tc>
          <w:tcPr>
            <w:tcW w:w="1231" w:type="dxa"/>
            <w:vAlign w:val="center"/>
          </w:tcPr>
          <w:p>
            <w:pPr>
              <w:widowControl/>
              <w:adjustRightInd w:val="0"/>
              <w:snapToGrid w:val="0"/>
              <w:jc w:val="center"/>
              <w:rPr>
                <w:kern w:val="0"/>
                <w:sz w:val="21"/>
                <w:szCs w:val="21"/>
              </w:rPr>
            </w:pPr>
            <w:r>
              <w:rPr>
                <w:kern w:val="0"/>
                <w:sz w:val="21"/>
                <w:szCs w:val="21"/>
              </w:rPr>
              <w:t>/</w:t>
            </w:r>
          </w:p>
        </w:tc>
        <w:tc>
          <w:tcPr>
            <w:tcW w:w="1276" w:type="dxa"/>
            <w:vAlign w:val="center"/>
          </w:tcPr>
          <w:p>
            <w:pPr>
              <w:widowControl/>
              <w:adjustRightInd w:val="0"/>
              <w:snapToGrid w:val="0"/>
              <w:jc w:val="center"/>
              <w:rPr>
                <w:kern w:val="0"/>
                <w:sz w:val="21"/>
                <w:szCs w:val="21"/>
              </w:rPr>
            </w:pPr>
            <w:r>
              <w:rPr>
                <w:kern w:val="0"/>
                <w:sz w:val="21"/>
                <w:szCs w:val="21"/>
              </w:rPr>
              <w:t>/</w:t>
            </w:r>
          </w:p>
        </w:tc>
        <w:tc>
          <w:tcPr>
            <w:tcW w:w="1513" w:type="dxa"/>
            <w:vAlign w:val="center"/>
          </w:tcPr>
          <w:p>
            <w:pPr>
              <w:widowControl/>
              <w:adjustRightInd w:val="0"/>
              <w:snapToGrid w:val="0"/>
              <w:jc w:val="center"/>
              <w:rPr>
                <w:kern w:val="0"/>
                <w:sz w:val="21"/>
                <w:szCs w:val="21"/>
              </w:rPr>
            </w:pPr>
            <w:r>
              <w:rPr>
                <w:kern w:val="0"/>
                <w:sz w:val="21"/>
                <w:szCs w:val="21"/>
              </w:rPr>
              <w:t>/</w:t>
            </w:r>
          </w:p>
        </w:tc>
        <w:tc>
          <w:tcPr>
            <w:tcW w:w="1428" w:type="dxa"/>
            <w:vAlign w:val="center"/>
          </w:tcPr>
          <w:p>
            <w:pPr>
              <w:widowControl/>
              <w:adjustRightInd w:val="0"/>
              <w:snapToGrid w:val="0"/>
              <w:jc w:val="center"/>
              <w:rPr>
                <w:kern w:val="0"/>
                <w:sz w:val="21"/>
                <w:szCs w:val="21"/>
              </w:rPr>
            </w:pPr>
            <w:r>
              <w:rPr>
                <w:kern w:val="0"/>
                <w:sz w:val="21"/>
                <w:szCs w:val="21"/>
              </w:rPr>
              <w:t>/</w:t>
            </w:r>
          </w:p>
        </w:tc>
        <w:tc>
          <w:tcPr>
            <w:tcW w:w="1170" w:type="dxa"/>
            <w:vAlign w:val="center"/>
          </w:tcPr>
          <w:p>
            <w:pPr>
              <w:widowControl/>
              <w:adjustRightInd w:val="0"/>
              <w:snapToGrid w:val="0"/>
              <w:jc w:val="center"/>
              <w:rPr>
                <w:kern w:val="0"/>
                <w:sz w:val="21"/>
                <w:szCs w:val="21"/>
              </w:rPr>
            </w:pPr>
            <w:r>
              <w:rPr>
                <w:kern w:val="0"/>
                <w:sz w:val="21"/>
                <w:szCs w:val="21"/>
              </w:rPr>
              <w:t>1.53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纯水制备用水</w:t>
            </w:r>
          </w:p>
        </w:tc>
        <w:tc>
          <w:tcPr>
            <w:tcW w:w="1231" w:type="dxa"/>
            <w:vAlign w:val="center"/>
          </w:tcPr>
          <w:p>
            <w:pPr>
              <w:widowControl/>
              <w:adjustRightInd w:val="0"/>
              <w:snapToGrid w:val="0"/>
              <w:jc w:val="center"/>
              <w:rPr>
                <w:kern w:val="0"/>
                <w:sz w:val="21"/>
                <w:szCs w:val="21"/>
              </w:rPr>
            </w:pPr>
            <w:r>
              <w:rPr>
                <w:kern w:val="0"/>
                <w:sz w:val="21"/>
                <w:szCs w:val="21"/>
              </w:rPr>
              <w:t>1.61</w:t>
            </w:r>
          </w:p>
        </w:tc>
        <w:tc>
          <w:tcPr>
            <w:tcW w:w="1276" w:type="dxa"/>
            <w:vAlign w:val="center"/>
          </w:tcPr>
          <w:p>
            <w:pPr>
              <w:widowControl/>
              <w:adjustRightInd w:val="0"/>
              <w:snapToGrid w:val="0"/>
              <w:jc w:val="center"/>
              <w:rPr>
                <w:kern w:val="0"/>
                <w:sz w:val="21"/>
                <w:szCs w:val="21"/>
              </w:rPr>
            </w:pPr>
            <w:r>
              <w:rPr>
                <w:kern w:val="0"/>
                <w:sz w:val="21"/>
                <w:szCs w:val="21"/>
              </w:rPr>
              <w:t>1.61</w:t>
            </w:r>
          </w:p>
        </w:tc>
        <w:tc>
          <w:tcPr>
            <w:tcW w:w="1513" w:type="dxa"/>
            <w:vAlign w:val="center"/>
          </w:tcPr>
          <w:p>
            <w:pPr>
              <w:widowControl/>
              <w:adjustRightInd w:val="0"/>
              <w:snapToGrid w:val="0"/>
              <w:jc w:val="center"/>
              <w:rPr>
                <w:kern w:val="0"/>
                <w:sz w:val="21"/>
                <w:szCs w:val="21"/>
              </w:rPr>
            </w:pPr>
            <w:r>
              <w:rPr>
                <w:kern w:val="0"/>
                <w:sz w:val="21"/>
                <w:szCs w:val="21"/>
              </w:rPr>
              <w:t>0.08</w:t>
            </w:r>
            <w:r>
              <w:rPr>
                <w:rFonts w:hint="eastAsia"/>
                <w:kern w:val="0"/>
                <w:sz w:val="21"/>
                <w:szCs w:val="21"/>
              </w:rPr>
              <w:t>（洁净下水）</w:t>
            </w:r>
          </w:p>
        </w:tc>
        <w:tc>
          <w:tcPr>
            <w:tcW w:w="1428" w:type="dxa"/>
            <w:vAlign w:val="center"/>
          </w:tcPr>
          <w:p>
            <w:pPr>
              <w:widowControl/>
              <w:adjustRightInd w:val="0"/>
              <w:snapToGrid w:val="0"/>
              <w:jc w:val="center"/>
              <w:rPr>
                <w:kern w:val="0"/>
                <w:sz w:val="21"/>
                <w:szCs w:val="21"/>
              </w:rPr>
            </w:pPr>
            <w:r>
              <w:rPr>
                <w:kern w:val="0"/>
                <w:sz w:val="21"/>
                <w:szCs w:val="21"/>
              </w:rPr>
              <w:t>1.53</w:t>
            </w:r>
            <w:r>
              <w:rPr>
                <w:rFonts w:hint="eastAsia"/>
                <w:kern w:val="0"/>
                <w:sz w:val="21"/>
                <w:szCs w:val="21"/>
              </w:rPr>
              <w:t>（用于工艺用水）</w:t>
            </w:r>
          </w:p>
        </w:tc>
        <w:tc>
          <w:tcPr>
            <w:tcW w:w="1170" w:type="dxa"/>
            <w:vAlign w:val="center"/>
          </w:tcPr>
          <w:p>
            <w:pPr>
              <w:widowControl/>
              <w:adjustRightInd w:val="0"/>
              <w:snapToGrid w:val="0"/>
              <w:jc w:val="center"/>
              <w:rPr>
                <w:kern w:val="0"/>
                <w:sz w:val="21"/>
                <w:szCs w:val="21"/>
              </w:rPr>
            </w:pPr>
            <w:r>
              <w:rPr>
                <w:kern w:val="0"/>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软水制备用水</w:t>
            </w:r>
          </w:p>
        </w:tc>
        <w:tc>
          <w:tcPr>
            <w:tcW w:w="1231" w:type="dxa"/>
            <w:vAlign w:val="center"/>
          </w:tcPr>
          <w:p>
            <w:pPr>
              <w:widowControl/>
              <w:adjustRightInd w:val="0"/>
              <w:snapToGrid w:val="0"/>
              <w:jc w:val="center"/>
              <w:rPr>
                <w:kern w:val="0"/>
                <w:sz w:val="21"/>
                <w:szCs w:val="21"/>
              </w:rPr>
            </w:pPr>
            <w:r>
              <w:rPr>
                <w:kern w:val="0"/>
                <w:sz w:val="21"/>
                <w:szCs w:val="21"/>
              </w:rPr>
              <w:t>15.79</w:t>
            </w:r>
          </w:p>
        </w:tc>
        <w:tc>
          <w:tcPr>
            <w:tcW w:w="1276" w:type="dxa"/>
            <w:vAlign w:val="center"/>
          </w:tcPr>
          <w:p>
            <w:pPr>
              <w:widowControl/>
              <w:adjustRightInd w:val="0"/>
              <w:snapToGrid w:val="0"/>
              <w:jc w:val="center"/>
              <w:rPr>
                <w:kern w:val="0"/>
                <w:sz w:val="21"/>
                <w:szCs w:val="21"/>
              </w:rPr>
            </w:pPr>
            <w:r>
              <w:rPr>
                <w:kern w:val="0"/>
                <w:sz w:val="21"/>
                <w:szCs w:val="21"/>
              </w:rPr>
              <w:t>15.79</w:t>
            </w:r>
          </w:p>
        </w:tc>
        <w:tc>
          <w:tcPr>
            <w:tcW w:w="1513" w:type="dxa"/>
            <w:vAlign w:val="center"/>
          </w:tcPr>
          <w:p>
            <w:pPr>
              <w:widowControl/>
              <w:adjustRightInd w:val="0"/>
              <w:snapToGrid w:val="0"/>
              <w:jc w:val="center"/>
              <w:rPr>
                <w:kern w:val="0"/>
                <w:sz w:val="21"/>
                <w:szCs w:val="21"/>
              </w:rPr>
            </w:pPr>
            <w:r>
              <w:rPr>
                <w:kern w:val="0"/>
                <w:sz w:val="21"/>
                <w:szCs w:val="21"/>
              </w:rPr>
              <w:t>0.79</w:t>
            </w:r>
            <w:r>
              <w:rPr>
                <w:rFonts w:hint="eastAsia"/>
                <w:kern w:val="0"/>
                <w:sz w:val="21"/>
                <w:szCs w:val="21"/>
              </w:rPr>
              <w:t>（洁净下水）</w:t>
            </w:r>
          </w:p>
        </w:tc>
        <w:tc>
          <w:tcPr>
            <w:tcW w:w="1428" w:type="dxa"/>
            <w:vAlign w:val="center"/>
          </w:tcPr>
          <w:p>
            <w:pPr>
              <w:widowControl/>
              <w:adjustRightInd w:val="0"/>
              <w:snapToGrid w:val="0"/>
              <w:jc w:val="center"/>
              <w:rPr>
                <w:kern w:val="0"/>
                <w:sz w:val="21"/>
                <w:szCs w:val="21"/>
              </w:rPr>
            </w:pPr>
            <w:r>
              <w:rPr>
                <w:kern w:val="0"/>
                <w:sz w:val="21"/>
                <w:szCs w:val="21"/>
              </w:rPr>
              <w:t>15</w:t>
            </w:r>
            <w:r>
              <w:rPr>
                <w:rFonts w:hint="eastAsia"/>
                <w:kern w:val="0"/>
                <w:sz w:val="21"/>
                <w:szCs w:val="21"/>
              </w:rPr>
              <w:t>（锅炉消耗）</w:t>
            </w:r>
          </w:p>
        </w:tc>
        <w:tc>
          <w:tcPr>
            <w:tcW w:w="1170" w:type="dxa"/>
            <w:vAlign w:val="center"/>
          </w:tcPr>
          <w:p>
            <w:pPr>
              <w:widowControl/>
              <w:adjustRightInd w:val="0"/>
              <w:snapToGrid w:val="0"/>
              <w:jc w:val="center"/>
              <w:rPr>
                <w:kern w:val="0"/>
                <w:sz w:val="21"/>
                <w:szCs w:val="21"/>
              </w:rPr>
            </w:pPr>
            <w:r>
              <w:rPr>
                <w:kern w:val="0"/>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车间清洗用水</w:t>
            </w:r>
          </w:p>
        </w:tc>
        <w:tc>
          <w:tcPr>
            <w:tcW w:w="1231" w:type="dxa"/>
            <w:vAlign w:val="center"/>
          </w:tcPr>
          <w:p>
            <w:pPr>
              <w:widowControl/>
              <w:adjustRightInd w:val="0"/>
              <w:snapToGrid w:val="0"/>
              <w:jc w:val="center"/>
              <w:rPr>
                <w:kern w:val="0"/>
                <w:sz w:val="21"/>
                <w:szCs w:val="21"/>
              </w:rPr>
            </w:pPr>
            <w:r>
              <w:rPr>
                <w:kern w:val="0"/>
                <w:sz w:val="21"/>
                <w:szCs w:val="21"/>
              </w:rPr>
              <w:t>20.74</w:t>
            </w:r>
          </w:p>
        </w:tc>
        <w:tc>
          <w:tcPr>
            <w:tcW w:w="1276" w:type="dxa"/>
            <w:vAlign w:val="center"/>
          </w:tcPr>
          <w:p>
            <w:pPr>
              <w:widowControl/>
              <w:adjustRightInd w:val="0"/>
              <w:snapToGrid w:val="0"/>
              <w:jc w:val="center"/>
              <w:rPr>
                <w:kern w:val="0"/>
                <w:sz w:val="21"/>
                <w:szCs w:val="21"/>
              </w:rPr>
            </w:pPr>
            <w:r>
              <w:rPr>
                <w:kern w:val="0"/>
                <w:sz w:val="21"/>
                <w:szCs w:val="21"/>
              </w:rPr>
              <w:t>19.87</w:t>
            </w:r>
          </w:p>
        </w:tc>
        <w:tc>
          <w:tcPr>
            <w:tcW w:w="1513" w:type="dxa"/>
            <w:vAlign w:val="center"/>
          </w:tcPr>
          <w:p>
            <w:pPr>
              <w:widowControl/>
              <w:adjustRightInd w:val="0"/>
              <w:snapToGrid w:val="0"/>
              <w:jc w:val="center"/>
              <w:rPr>
                <w:kern w:val="0"/>
                <w:sz w:val="21"/>
                <w:szCs w:val="21"/>
              </w:rPr>
            </w:pPr>
            <w:r>
              <w:rPr>
                <w:kern w:val="0"/>
                <w:sz w:val="21"/>
                <w:szCs w:val="21"/>
              </w:rPr>
              <w:t>0</w:t>
            </w:r>
          </w:p>
        </w:tc>
        <w:tc>
          <w:tcPr>
            <w:tcW w:w="1428" w:type="dxa"/>
            <w:vAlign w:val="center"/>
          </w:tcPr>
          <w:p>
            <w:pPr>
              <w:widowControl/>
              <w:adjustRightInd w:val="0"/>
              <w:snapToGrid w:val="0"/>
              <w:jc w:val="center"/>
              <w:rPr>
                <w:kern w:val="0"/>
                <w:sz w:val="21"/>
                <w:szCs w:val="21"/>
                <w:highlight w:val="yellow"/>
              </w:rPr>
            </w:pPr>
            <w:r>
              <w:rPr>
                <w:kern w:val="0"/>
                <w:sz w:val="21"/>
                <w:szCs w:val="21"/>
              </w:rPr>
              <w:t>2.07</w:t>
            </w:r>
          </w:p>
        </w:tc>
        <w:tc>
          <w:tcPr>
            <w:tcW w:w="1170" w:type="dxa"/>
            <w:vAlign w:val="center"/>
          </w:tcPr>
          <w:p>
            <w:pPr>
              <w:widowControl/>
              <w:adjustRightInd w:val="0"/>
              <w:snapToGrid w:val="0"/>
              <w:jc w:val="center"/>
              <w:rPr>
                <w:kern w:val="0"/>
                <w:sz w:val="21"/>
                <w:szCs w:val="21"/>
              </w:rPr>
            </w:pPr>
            <w:r>
              <w:rPr>
                <w:kern w:val="0"/>
                <w:sz w:val="21"/>
                <w:szCs w:val="21"/>
              </w:rPr>
              <w:t>18.67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车间喷淋用水</w:t>
            </w:r>
          </w:p>
        </w:tc>
        <w:tc>
          <w:tcPr>
            <w:tcW w:w="1231" w:type="dxa"/>
            <w:vAlign w:val="center"/>
          </w:tcPr>
          <w:p>
            <w:pPr>
              <w:widowControl/>
              <w:adjustRightInd w:val="0"/>
              <w:snapToGrid w:val="0"/>
              <w:jc w:val="center"/>
              <w:rPr>
                <w:kern w:val="0"/>
                <w:sz w:val="21"/>
                <w:szCs w:val="21"/>
              </w:rPr>
            </w:pPr>
            <w:r>
              <w:rPr>
                <w:kern w:val="0"/>
                <w:sz w:val="21"/>
                <w:szCs w:val="21"/>
              </w:rPr>
              <w:t>28.89</w:t>
            </w:r>
          </w:p>
        </w:tc>
        <w:tc>
          <w:tcPr>
            <w:tcW w:w="1276" w:type="dxa"/>
            <w:vAlign w:val="center"/>
          </w:tcPr>
          <w:p>
            <w:pPr>
              <w:widowControl/>
              <w:adjustRightInd w:val="0"/>
              <w:snapToGrid w:val="0"/>
              <w:jc w:val="center"/>
              <w:rPr>
                <w:kern w:val="0"/>
                <w:sz w:val="21"/>
                <w:szCs w:val="21"/>
              </w:rPr>
            </w:pPr>
            <w:r>
              <w:rPr>
                <w:kern w:val="0"/>
                <w:sz w:val="21"/>
                <w:szCs w:val="21"/>
              </w:rPr>
              <w:t>28.89</w:t>
            </w:r>
          </w:p>
        </w:tc>
        <w:tc>
          <w:tcPr>
            <w:tcW w:w="1513" w:type="dxa"/>
            <w:vAlign w:val="center"/>
          </w:tcPr>
          <w:p>
            <w:pPr>
              <w:widowControl/>
              <w:adjustRightInd w:val="0"/>
              <w:snapToGrid w:val="0"/>
              <w:jc w:val="center"/>
              <w:rPr>
                <w:kern w:val="0"/>
                <w:sz w:val="21"/>
                <w:szCs w:val="21"/>
              </w:rPr>
            </w:pPr>
            <w:r>
              <w:rPr>
                <w:kern w:val="0"/>
                <w:sz w:val="21"/>
                <w:szCs w:val="21"/>
              </w:rPr>
              <w:t>0</w:t>
            </w:r>
          </w:p>
        </w:tc>
        <w:tc>
          <w:tcPr>
            <w:tcW w:w="1428" w:type="dxa"/>
            <w:vAlign w:val="center"/>
          </w:tcPr>
          <w:p>
            <w:pPr>
              <w:widowControl/>
              <w:adjustRightInd w:val="0"/>
              <w:snapToGrid w:val="0"/>
              <w:jc w:val="center"/>
              <w:rPr>
                <w:kern w:val="0"/>
                <w:sz w:val="21"/>
                <w:szCs w:val="21"/>
              </w:rPr>
            </w:pPr>
            <w:r>
              <w:rPr>
                <w:kern w:val="0"/>
                <w:sz w:val="21"/>
                <w:szCs w:val="21"/>
              </w:rPr>
              <w:t>2.89</w:t>
            </w:r>
          </w:p>
        </w:tc>
        <w:tc>
          <w:tcPr>
            <w:tcW w:w="1170" w:type="dxa"/>
            <w:vAlign w:val="center"/>
          </w:tcPr>
          <w:p>
            <w:pPr>
              <w:widowControl/>
              <w:adjustRightInd w:val="0"/>
              <w:snapToGrid w:val="0"/>
              <w:jc w:val="center"/>
              <w:rPr>
                <w:kern w:val="0"/>
                <w:sz w:val="21"/>
                <w:szCs w:val="21"/>
              </w:rPr>
            </w:pPr>
            <w:r>
              <w:rPr>
                <w:kern w:val="0"/>
                <w:sz w:val="21"/>
                <w:szCs w:val="21"/>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凉水塔用水</w:t>
            </w:r>
          </w:p>
        </w:tc>
        <w:tc>
          <w:tcPr>
            <w:tcW w:w="1231" w:type="dxa"/>
            <w:vAlign w:val="center"/>
          </w:tcPr>
          <w:p>
            <w:pPr>
              <w:widowControl/>
              <w:adjustRightInd w:val="0"/>
              <w:snapToGrid w:val="0"/>
              <w:jc w:val="center"/>
              <w:rPr>
                <w:kern w:val="0"/>
                <w:sz w:val="21"/>
                <w:szCs w:val="21"/>
              </w:rPr>
            </w:pPr>
            <w:r>
              <w:rPr>
                <w:kern w:val="0"/>
                <w:sz w:val="21"/>
                <w:szCs w:val="21"/>
              </w:rPr>
              <w:t>835.82</w:t>
            </w:r>
          </w:p>
        </w:tc>
        <w:tc>
          <w:tcPr>
            <w:tcW w:w="1276" w:type="dxa"/>
            <w:vAlign w:val="center"/>
          </w:tcPr>
          <w:p>
            <w:pPr>
              <w:widowControl/>
              <w:adjustRightInd w:val="0"/>
              <w:snapToGrid w:val="0"/>
              <w:jc w:val="center"/>
              <w:rPr>
                <w:kern w:val="0"/>
                <w:sz w:val="21"/>
                <w:szCs w:val="21"/>
              </w:rPr>
            </w:pPr>
            <w:r>
              <w:rPr>
                <w:kern w:val="0"/>
                <w:sz w:val="21"/>
                <w:szCs w:val="21"/>
              </w:rPr>
              <w:t>35.82</w:t>
            </w:r>
          </w:p>
        </w:tc>
        <w:tc>
          <w:tcPr>
            <w:tcW w:w="1513" w:type="dxa"/>
            <w:vAlign w:val="center"/>
          </w:tcPr>
          <w:p>
            <w:pPr>
              <w:widowControl/>
              <w:adjustRightInd w:val="0"/>
              <w:snapToGrid w:val="0"/>
              <w:jc w:val="center"/>
              <w:rPr>
                <w:kern w:val="0"/>
                <w:sz w:val="21"/>
                <w:szCs w:val="21"/>
              </w:rPr>
            </w:pPr>
            <w:r>
              <w:rPr>
                <w:kern w:val="0"/>
                <w:sz w:val="21"/>
                <w:szCs w:val="21"/>
              </w:rPr>
              <w:t>800</w:t>
            </w:r>
          </w:p>
        </w:tc>
        <w:tc>
          <w:tcPr>
            <w:tcW w:w="1428" w:type="dxa"/>
            <w:vAlign w:val="center"/>
          </w:tcPr>
          <w:p>
            <w:pPr>
              <w:widowControl/>
              <w:adjustRightInd w:val="0"/>
              <w:snapToGrid w:val="0"/>
              <w:jc w:val="center"/>
              <w:rPr>
                <w:kern w:val="0"/>
                <w:sz w:val="21"/>
                <w:szCs w:val="21"/>
              </w:rPr>
            </w:pPr>
            <w:r>
              <w:rPr>
                <w:kern w:val="0"/>
                <w:sz w:val="21"/>
                <w:szCs w:val="21"/>
              </w:rPr>
              <w:t>3.58</w:t>
            </w:r>
          </w:p>
        </w:tc>
        <w:tc>
          <w:tcPr>
            <w:tcW w:w="1170" w:type="dxa"/>
            <w:vAlign w:val="center"/>
          </w:tcPr>
          <w:p>
            <w:pPr>
              <w:widowControl/>
              <w:adjustRightInd w:val="0"/>
              <w:snapToGrid w:val="0"/>
              <w:jc w:val="center"/>
              <w:rPr>
                <w:kern w:val="0"/>
                <w:sz w:val="21"/>
                <w:szCs w:val="21"/>
              </w:rPr>
            </w:pPr>
            <w:r>
              <w:rPr>
                <w:kern w:val="0"/>
                <w:sz w:val="21"/>
                <w:szCs w:val="21"/>
              </w:rPr>
              <w:t>32.24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树脂清洗用水</w:t>
            </w:r>
          </w:p>
        </w:tc>
        <w:tc>
          <w:tcPr>
            <w:tcW w:w="1231" w:type="dxa"/>
            <w:vAlign w:val="center"/>
          </w:tcPr>
          <w:p>
            <w:pPr>
              <w:widowControl/>
              <w:adjustRightInd w:val="0"/>
              <w:snapToGrid w:val="0"/>
              <w:jc w:val="center"/>
              <w:rPr>
                <w:kern w:val="0"/>
                <w:sz w:val="21"/>
                <w:szCs w:val="21"/>
              </w:rPr>
            </w:pPr>
            <w:r>
              <w:rPr>
                <w:kern w:val="0"/>
                <w:sz w:val="21"/>
                <w:szCs w:val="21"/>
              </w:rPr>
              <w:t>0.06</w:t>
            </w:r>
          </w:p>
        </w:tc>
        <w:tc>
          <w:tcPr>
            <w:tcW w:w="1276" w:type="dxa"/>
            <w:vAlign w:val="center"/>
          </w:tcPr>
          <w:p>
            <w:pPr>
              <w:widowControl/>
              <w:adjustRightInd w:val="0"/>
              <w:snapToGrid w:val="0"/>
              <w:jc w:val="center"/>
              <w:rPr>
                <w:kern w:val="0"/>
                <w:sz w:val="21"/>
                <w:szCs w:val="21"/>
              </w:rPr>
            </w:pPr>
            <w:r>
              <w:rPr>
                <w:kern w:val="0"/>
                <w:sz w:val="21"/>
                <w:szCs w:val="21"/>
              </w:rPr>
              <w:t>0.06</w:t>
            </w:r>
          </w:p>
        </w:tc>
        <w:tc>
          <w:tcPr>
            <w:tcW w:w="1513" w:type="dxa"/>
            <w:vAlign w:val="center"/>
          </w:tcPr>
          <w:p>
            <w:pPr>
              <w:widowControl/>
              <w:adjustRightInd w:val="0"/>
              <w:snapToGrid w:val="0"/>
              <w:jc w:val="center"/>
              <w:rPr>
                <w:kern w:val="0"/>
                <w:sz w:val="21"/>
                <w:szCs w:val="21"/>
              </w:rPr>
            </w:pPr>
            <w:r>
              <w:rPr>
                <w:kern w:val="0"/>
                <w:sz w:val="21"/>
                <w:szCs w:val="21"/>
              </w:rPr>
              <w:t>0</w:t>
            </w:r>
          </w:p>
        </w:tc>
        <w:tc>
          <w:tcPr>
            <w:tcW w:w="1428" w:type="dxa"/>
            <w:vAlign w:val="center"/>
          </w:tcPr>
          <w:p>
            <w:pPr>
              <w:widowControl/>
              <w:adjustRightInd w:val="0"/>
              <w:snapToGrid w:val="0"/>
              <w:jc w:val="center"/>
              <w:rPr>
                <w:kern w:val="0"/>
                <w:sz w:val="21"/>
                <w:szCs w:val="21"/>
              </w:rPr>
            </w:pPr>
            <w:r>
              <w:rPr>
                <w:kern w:val="0"/>
                <w:sz w:val="21"/>
                <w:szCs w:val="21"/>
              </w:rPr>
              <w:t>0</w:t>
            </w:r>
          </w:p>
        </w:tc>
        <w:tc>
          <w:tcPr>
            <w:tcW w:w="1170" w:type="dxa"/>
            <w:vAlign w:val="center"/>
          </w:tcPr>
          <w:p>
            <w:pPr>
              <w:widowControl/>
              <w:adjustRightInd w:val="0"/>
              <w:snapToGrid w:val="0"/>
              <w:jc w:val="center"/>
              <w:rPr>
                <w:kern w:val="0"/>
                <w:sz w:val="21"/>
                <w:szCs w:val="21"/>
              </w:rPr>
            </w:pPr>
            <w:r>
              <w:rPr>
                <w:kern w:val="0"/>
                <w:sz w:val="21"/>
                <w:szCs w:val="21"/>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锅炉用水</w:t>
            </w:r>
          </w:p>
        </w:tc>
        <w:tc>
          <w:tcPr>
            <w:tcW w:w="1231" w:type="dxa"/>
            <w:vAlign w:val="center"/>
          </w:tcPr>
          <w:p>
            <w:pPr>
              <w:widowControl/>
              <w:adjustRightInd w:val="0"/>
              <w:snapToGrid w:val="0"/>
              <w:jc w:val="center"/>
              <w:rPr>
                <w:kern w:val="0"/>
                <w:sz w:val="21"/>
                <w:szCs w:val="21"/>
              </w:rPr>
            </w:pPr>
            <w:r>
              <w:rPr>
                <w:kern w:val="0"/>
                <w:sz w:val="21"/>
                <w:szCs w:val="21"/>
              </w:rPr>
              <w:t>4515</w:t>
            </w:r>
          </w:p>
        </w:tc>
        <w:tc>
          <w:tcPr>
            <w:tcW w:w="1276" w:type="dxa"/>
            <w:vAlign w:val="center"/>
          </w:tcPr>
          <w:p>
            <w:pPr>
              <w:widowControl/>
              <w:adjustRightInd w:val="0"/>
              <w:snapToGrid w:val="0"/>
              <w:jc w:val="center"/>
              <w:rPr>
                <w:kern w:val="0"/>
                <w:sz w:val="21"/>
                <w:szCs w:val="21"/>
              </w:rPr>
            </w:pPr>
            <w:r>
              <w:rPr>
                <w:kern w:val="0"/>
                <w:sz w:val="21"/>
                <w:szCs w:val="21"/>
              </w:rPr>
              <w:t>15</w:t>
            </w:r>
            <w:r>
              <w:rPr>
                <w:rFonts w:hint="eastAsia"/>
                <w:kern w:val="0"/>
                <w:sz w:val="21"/>
                <w:szCs w:val="21"/>
              </w:rPr>
              <w:t>（软水，不计入新鲜水）</w:t>
            </w:r>
          </w:p>
        </w:tc>
        <w:tc>
          <w:tcPr>
            <w:tcW w:w="1513" w:type="dxa"/>
            <w:vAlign w:val="center"/>
          </w:tcPr>
          <w:p>
            <w:pPr>
              <w:widowControl/>
              <w:adjustRightInd w:val="0"/>
              <w:snapToGrid w:val="0"/>
              <w:jc w:val="center"/>
              <w:rPr>
                <w:kern w:val="0"/>
                <w:sz w:val="21"/>
                <w:szCs w:val="21"/>
              </w:rPr>
            </w:pPr>
            <w:r>
              <w:rPr>
                <w:kern w:val="0"/>
                <w:sz w:val="21"/>
                <w:szCs w:val="21"/>
              </w:rPr>
              <w:t>4500</w:t>
            </w:r>
          </w:p>
        </w:tc>
        <w:tc>
          <w:tcPr>
            <w:tcW w:w="1428" w:type="dxa"/>
            <w:vAlign w:val="center"/>
          </w:tcPr>
          <w:p>
            <w:pPr>
              <w:widowControl/>
              <w:adjustRightInd w:val="0"/>
              <w:snapToGrid w:val="0"/>
              <w:jc w:val="center"/>
              <w:rPr>
                <w:kern w:val="0"/>
                <w:sz w:val="21"/>
                <w:szCs w:val="21"/>
              </w:rPr>
            </w:pPr>
            <w:r>
              <w:rPr>
                <w:kern w:val="0"/>
                <w:sz w:val="21"/>
                <w:szCs w:val="21"/>
              </w:rPr>
              <w:t>15</w:t>
            </w:r>
          </w:p>
        </w:tc>
        <w:tc>
          <w:tcPr>
            <w:tcW w:w="1170" w:type="dxa"/>
            <w:vAlign w:val="center"/>
          </w:tcPr>
          <w:p>
            <w:pPr>
              <w:widowControl/>
              <w:adjustRightInd w:val="0"/>
              <w:snapToGrid w:val="0"/>
              <w:jc w:val="center"/>
              <w:rPr>
                <w:kern w:val="0"/>
                <w:sz w:val="21"/>
                <w:szCs w:val="21"/>
              </w:rPr>
            </w:pPr>
            <w:r>
              <w:rPr>
                <w:kern w:val="0"/>
                <w:sz w:val="21"/>
                <w:szCs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锅炉烟气脱硫用水</w:t>
            </w:r>
          </w:p>
        </w:tc>
        <w:tc>
          <w:tcPr>
            <w:tcW w:w="1231" w:type="dxa"/>
            <w:vAlign w:val="center"/>
          </w:tcPr>
          <w:p>
            <w:pPr>
              <w:widowControl/>
              <w:adjustRightInd w:val="0"/>
              <w:snapToGrid w:val="0"/>
              <w:jc w:val="center"/>
              <w:rPr>
                <w:kern w:val="0"/>
                <w:sz w:val="21"/>
                <w:szCs w:val="21"/>
              </w:rPr>
            </w:pPr>
            <w:r>
              <w:rPr>
                <w:kern w:val="0"/>
                <w:sz w:val="21"/>
                <w:szCs w:val="21"/>
              </w:rPr>
              <w:t>8</w:t>
            </w:r>
          </w:p>
        </w:tc>
        <w:tc>
          <w:tcPr>
            <w:tcW w:w="1276" w:type="dxa"/>
            <w:vAlign w:val="center"/>
          </w:tcPr>
          <w:p>
            <w:pPr>
              <w:widowControl/>
              <w:adjustRightInd w:val="0"/>
              <w:snapToGrid w:val="0"/>
              <w:jc w:val="center"/>
              <w:rPr>
                <w:kern w:val="0"/>
                <w:sz w:val="21"/>
                <w:szCs w:val="21"/>
              </w:rPr>
            </w:pPr>
            <w:r>
              <w:rPr>
                <w:kern w:val="0"/>
                <w:sz w:val="21"/>
                <w:szCs w:val="21"/>
              </w:rPr>
              <w:t>3</w:t>
            </w:r>
          </w:p>
        </w:tc>
        <w:tc>
          <w:tcPr>
            <w:tcW w:w="1513" w:type="dxa"/>
            <w:vAlign w:val="center"/>
          </w:tcPr>
          <w:p>
            <w:pPr>
              <w:widowControl/>
              <w:adjustRightInd w:val="0"/>
              <w:snapToGrid w:val="0"/>
              <w:jc w:val="center"/>
              <w:rPr>
                <w:kern w:val="0"/>
                <w:sz w:val="21"/>
                <w:szCs w:val="21"/>
              </w:rPr>
            </w:pPr>
            <w:r>
              <w:rPr>
                <w:kern w:val="0"/>
                <w:sz w:val="21"/>
                <w:szCs w:val="21"/>
              </w:rPr>
              <w:t>5</w:t>
            </w:r>
          </w:p>
        </w:tc>
        <w:tc>
          <w:tcPr>
            <w:tcW w:w="1428" w:type="dxa"/>
            <w:vAlign w:val="center"/>
          </w:tcPr>
          <w:p>
            <w:pPr>
              <w:widowControl/>
              <w:adjustRightInd w:val="0"/>
              <w:snapToGrid w:val="0"/>
              <w:jc w:val="center"/>
              <w:rPr>
                <w:kern w:val="0"/>
                <w:sz w:val="21"/>
                <w:szCs w:val="21"/>
              </w:rPr>
            </w:pPr>
            <w:r>
              <w:rPr>
                <w:kern w:val="0"/>
                <w:sz w:val="21"/>
                <w:szCs w:val="21"/>
              </w:rPr>
              <w:t>3</w:t>
            </w:r>
          </w:p>
        </w:tc>
        <w:tc>
          <w:tcPr>
            <w:tcW w:w="1170" w:type="dxa"/>
            <w:vAlign w:val="center"/>
          </w:tcPr>
          <w:p>
            <w:pPr>
              <w:widowControl/>
              <w:adjustRightInd w:val="0"/>
              <w:snapToGrid w:val="0"/>
              <w:jc w:val="center"/>
              <w:rPr>
                <w:kern w:val="0"/>
                <w:sz w:val="21"/>
                <w:szCs w:val="21"/>
              </w:rPr>
            </w:pPr>
            <w:r>
              <w:rPr>
                <w:kern w:val="0"/>
                <w:sz w:val="21"/>
                <w:szCs w:val="21"/>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生产用水合计</w:t>
            </w:r>
          </w:p>
        </w:tc>
        <w:tc>
          <w:tcPr>
            <w:tcW w:w="1231" w:type="dxa"/>
            <w:vAlign w:val="center"/>
          </w:tcPr>
          <w:p>
            <w:pPr>
              <w:widowControl/>
              <w:adjustRightInd w:val="0"/>
              <w:snapToGrid w:val="0"/>
              <w:jc w:val="center"/>
              <w:rPr>
                <w:kern w:val="0"/>
                <w:sz w:val="21"/>
                <w:szCs w:val="21"/>
              </w:rPr>
            </w:pPr>
            <w:r>
              <w:rPr>
                <w:kern w:val="0"/>
                <w:sz w:val="21"/>
                <w:szCs w:val="21"/>
              </w:rPr>
              <w:t>5425.91</w:t>
            </w:r>
          </w:p>
        </w:tc>
        <w:tc>
          <w:tcPr>
            <w:tcW w:w="1276" w:type="dxa"/>
            <w:vAlign w:val="center"/>
          </w:tcPr>
          <w:p>
            <w:pPr>
              <w:widowControl/>
              <w:adjustRightInd w:val="0"/>
              <w:snapToGrid w:val="0"/>
              <w:jc w:val="center"/>
              <w:rPr>
                <w:kern w:val="0"/>
                <w:sz w:val="21"/>
                <w:szCs w:val="21"/>
                <w:highlight w:val="yellow"/>
              </w:rPr>
            </w:pPr>
            <w:r>
              <w:rPr>
                <w:kern w:val="0"/>
                <w:sz w:val="21"/>
                <w:szCs w:val="21"/>
              </w:rPr>
              <w:t>105.04</w:t>
            </w:r>
          </w:p>
        </w:tc>
        <w:tc>
          <w:tcPr>
            <w:tcW w:w="1513" w:type="dxa"/>
            <w:vAlign w:val="center"/>
          </w:tcPr>
          <w:p>
            <w:pPr>
              <w:widowControl/>
              <w:adjustRightInd w:val="0"/>
              <w:snapToGrid w:val="0"/>
              <w:jc w:val="center"/>
              <w:rPr>
                <w:kern w:val="0"/>
                <w:sz w:val="21"/>
                <w:szCs w:val="21"/>
                <w:highlight w:val="yellow"/>
              </w:rPr>
            </w:pPr>
            <w:r>
              <w:rPr>
                <w:kern w:val="0"/>
                <w:sz w:val="21"/>
                <w:szCs w:val="21"/>
              </w:rPr>
              <w:t>5305.87</w:t>
            </w:r>
          </w:p>
        </w:tc>
        <w:tc>
          <w:tcPr>
            <w:tcW w:w="1428" w:type="dxa"/>
            <w:vAlign w:val="center"/>
          </w:tcPr>
          <w:p>
            <w:pPr>
              <w:widowControl/>
              <w:adjustRightInd w:val="0"/>
              <w:snapToGrid w:val="0"/>
              <w:jc w:val="center"/>
              <w:rPr>
                <w:kern w:val="0"/>
                <w:sz w:val="21"/>
                <w:szCs w:val="21"/>
                <w:highlight w:val="yellow"/>
              </w:rPr>
            </w:pPr>
            <w:r>
              <w:rPr>
                <w:kern w:val="0"/>
                <w:sz w:val="21"/>
                <w:szCs w:val="21"/>
              </w:rPr>
              <w:t>43.07</w:t>
            </w:r>
          </w:p>
        </w:tc>
        <w:tc>
          <w:tcPr>
            <w:tcW w:w="1170" w:type="dxa"/>
            <w:vAlign w:val="center"/>
          </w:tcPr>
          <w:p>
            <w:pPr>
              <w:widowControl/>
              <w:adjustRightInd w:val="0"/>
              <w:snapToGrid w:val="0"/>
              <w:jc w:val="center"/>
              <w:rPr>
                <w:kern w:val="0"/>
                <w:sz w:val="21"/>
                <w:szCs w:val="21"/>
              </w:rPr>
            </w:pPr>
            <w:r>
              <w:rPr>
                <w:kern w:val="0"/>
                <w:sz w:val="21"/>
                <w:szCs w:val="21"/>
              </w:rPr>
              <w:t>94.01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生产用水</w:t>
            </w:r>
          </w:p>
          <w:p>
            <w:pPr>
              <w:widowControl/>
              <w:adjustRightInd w:val="0"/>
              <w:snapToGrid w:val="0"/>
              <w:jc w:val="center"/>
              <w:rPr>
                <w:kern w:val="0"/>
                <w:sz w:val="21"/>
                <w:szCs w:val="21"/>
              </w:rPr>
            </w:pPr>
            <w:r>
              <w:rPr>
                <w:rFonts w:hint="eastAsia"/>
                <w:kern w:val="0"/>
                <w:sz w:val="21"/>
                <w:szCs w:val="21"/>
              </w:rPr>
              <w:t>循环利用率</w:t>
            </w:r>
          </w:p>
        </w:tc>
        <w:tc>
          <w:tcPr>
            <w:tcW w:w="6618" w:type="dxa"/>
            <w:gridSpan w:val="5"/>
            <w:vAlign w:val="center"/>
          </w:tcPr>
          <w:p>
            <w:pPr>
              <w:widowControl/>
              <w:adjustRightInd w:val="0"/>
              <w:snapToGrid w:val="0"/>
              <w:jc w:val="center"/>
              <w:rPr>
                <w:kern w:val="0"/>
                <w:sz w:val="21"/>
                <w:szCs w:val="21"/>
              </w:rPr>
            </w:pPr>
            <w:r>
              <w:rPr>
                <w:kern w:val="0"/>
                <w:sz w:val="21"/>
                <w:szCs w:val="21"/>
              </w:rPr>
              <w:t>5305.87/5425.91×100%=97.79%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kern w:val="0"/>
                <w:sz w:val="21"/>
                <w:szCs w:val="21"/>
              </w:rPr>
            </w:pPr>
            <w:r>
              <w:rPr>
                <w:rFonts w:hint="eastAsia"/>
                <w:kern w:val="0"/>
                <w:sz w:val="21"/>
                <w:szCs w:val="21"/>
              </w:rPr>
              <w:t>生活用水</w:t>
            </w:r>
          </w:p>
        </w:tc>
        <w:tc>
          <w:tcPr>
            <w:tcW w:w="1231" w:type="dxa"/>
            <w:vAlign w:val="center"/>
          </w:tcPr>
          <w:p>
            <w:pPr>
              <w:widowControl/>
              <w:adjustRightInd w:val="0"/>
              <w:snapToGrid w:val="0"/>
              <w:jc w:val="center"/>
              <w:rPr>
                <w:kern w:val="0"/>
                <w:sz w:val="21"/>
                <w:szCs w:val="21"/>
              </w:rPr>
            </w:pPr>
            <w:r>
              <w:rPr>
                <w:kern w:val="0"/>
                <w:sz w:val="21"/>
                <w:szCs w:val="21"/>
              </w:rPr>
              <w:t>6.4</w:t>
            </w:r>
          </w:p>
        </w:tc>
        <w:tc>
          <w:tcPr>
            <w:tcW w:w="1276" w:type="dxa"/>
            <w:vAlign w:val="center"/>
          </w:tcPr>
          <w:p>
            <w:pPr>
              <w:widowControl/>
              <w:adjustRightInd w:val="0"/>
              <w:snapToGrid w:val="0"/>
              <w:jc w:val="center"/>
              <w:rPr>
                <w:kern w:val="0"/>
                <w:sz w:val="21"/>
                <w:szCs w:val="21"/>
              </w:rPr>
            </w:pPr>
            <w:r>
              <w:rPr>
                <w:kern w:val="0"/>
                <w:sz w:val="21"/>
                <w:szCs w:val="21"/>
              </w:rPr>
              <w:t>6.4</w:t>
            </w:r>
          </w:p>
        </w:tc>
        <w:tc>
          <w:tcPr>
            <w:tcW w:w="1513" w:type="dxa"/>
            <w:vAlign w:val="center"/>
          </w:tcPr>
          <w:p>
            <w:pPr>
              <w:widowControl/>
              <w:adjustRightInd w:val="0"/>
              <w:snapToGrid w:val="0"/>
              <w:jc w:val="center"/>
              <w:rPr>
                <w:kern w:val="0"/>
                <w:sz w:val="21"/>
                <w:szCs w:val="21"/>
              </w:rPr>
            </w:pPr>
            <w:r>
              <w:rPr>
                <w:kern w:val="0"/>
                <w:sz w:val="21"/>
                <w:szCs w:val="21"/>
              </w:rPr>
              <w:t>0</w:t>
            </w:r>
          </w:p>
        </w:tc>
        <w:tc>
          <w:tcPr>
            <w:tcW w:w="1428" w:type="dxa"/>
            <w:vAlign w:val="center"/>
          </w:tcPr>
          <w:p>
            <w:pPr>
              <w:widowControl/>
              <w:adjustRightInd w:val="0"/>
              <w:snapToGrid w:val="0"/>
              <w:jc w:val="center"/>
              <w:rPr>
                <w:kern w:val="0"/>
                <w:sz w:val="21"/>
                <w:szCs w:val="21"/>
              </w:rPr>
            </w:pPr>
            <w:r>
              <w:rPr>
                <w:kern w:val="0"/>
                <w:sz w:val="21"/>
                <w:szCs w:val="21"/>
              </w:rPr>
              <w:t>0.64</w:t>
            </w:r>
          </w:p>
        </w:tc>
        <w:tc>
          <w:tcPr>
            <w:tcW w:w="1170" w:type="dxa"/>
            <w:vAlign w:val="center"/>
          </w:tcPr>
          <w:p>
            <w:pPr>
              <w:widowControl/>
              <w:adjustRightInd w:val="0"/>
              <w:snapToGrid w:val="0"/>
              <w:jc w:val="center"/>
              <w:rPr>
                <w:kern w:val="0"/>
                <w:sz w:val="21"/>
                <w:szCs w:val="21"/>
              </w:rPr>
            </w:pPr>
            <w:r>
              <w:rPr>
                <w:kern w:val="0"/>
                <w:sz w:val="21"/>
                <w:szCs w:val="21"/>
              </w:rPr>
              <w:t>5.76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bCs/>
                <w:kern w:val="0"/>
                <w:sz w:val="21"/>
                <w:szCs w:val="21"/>
              </w:rPr>
            </w:pPr>
            <w:r>
              <w:rPr>
                <w:rFonts w:hint="eastAsia"/>
                <w:bCs/>
                <w:kern w:val="0"/>
                <w:sz w:val="21"/>
                <w:szCs w:val="21"/>
              </w:rPr>
              <w:t>总用水合计</w:t>
            </w:r>
          </w:p>
        </w:tc>
        <w:tc>
          <w:tcPr>
            <w:tcW w:w="1231" w:type="dxa"/>
            <w:vAlign w:val="center"/>
          </w:tcPr>
          <w:p>
            <w:pPr>
              <w:jc w:val="center"/>
              <w:rPr>
                <w:sz w:val="21"/>
                <w:szCs w:val="21"/>
              </w:rPr>
            </w:pPr>
            <w:r>
              <w:rPr>
                <w:sz w:val="21"/>
                <w:szCs w:val="21"/>
              </w:rPr>
              <w:t>5432.31</w:t>
            </w:r>
          </w:p>
        </w:tc>
        <w:tc>
          <w:tcPr>
            <w:tcW w:w="1276" w:type="dxa"/>
            <w:vAlign w:val="center"/>
          </w:tcPr>
          <w:p>
            <w:pPr>
              <w:jc w:val="center"/>
              <w:rPr>
                <w:sz w:val="21"/>
                <w:szCs w:val="21"/>
              </w:rPr>
            </w:pPr>
            <w:r>
              <w:rPr>
                <w:sz w:val="21"/>
                <w:szCs w:val="21"/>
              </w:rPr>
              <w:t>111.44</w:t>
            </w:r>
          </w:p>
        </w:tc>
        <w:tc>
          <w:tcPr>
            <w:tcW w:w="1513" w:type="dxa"/>
            <w:vAlign w:val="center"/>
          </w:tcPr>
          <w:p>
            <w:pPr>
              <w:jc w:val="center"/>
              <w:rPr>
                <w:sz w:val="21"/>
                <w:szCs w:val="21"/>
              </w:rPr>
            </w:pPr>
            <w:r>
              <w:rPr>
                <w:sz w:val="21"/>
                <w:szCs w:val="21"/>
              </w:rPr>
              <w:t>5305.87</w:t>
            </w:r>
          </w:p>
        </w:tc>
        <w:tc>
          <w:tcPr>
            <w:tcW w:w="1428" w:type="dxa"/>
            <w:vAlign w:val="center"/>
          </w:tcPr>
          <w:p>
            <w:pPr>
              <w:jc w:val="center"/>
              <w:rPr>
                <w:sz w:val="21"/>
                <w:szCs w:val="21"/>
              </w:rPr>
            </w:pPr>
            <w:r>
              <w:rPr>
                <w:sz w:val="21"/>
                <w:szCs w:val="21"/>
              </w:rPr>
              <w:t>43.71</w:t>
            </w:r>
          </w:p>
        </w:tc>
        <w:tc>
          <w:tcPr>
            <w:tcW w:w="1170" w:type="dxa"/>
            <w:vAlign w:val="center"/>
          </w:tcPr>
          <w:p>
            <w:pPr>
              <w:jc w:val="center"/>
              <w:rPr>
                <w:sz w:val="21"/>
                <w:szCs w:val="21"/>
              </w:rPr>
            </w:pPr>
            <w:r>
              <w:rPr>
                <w:sz w:val="21"/>
                <w:szCs w:val="21"/>
              </w:rPr>
              <w:t>99.77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bCs/>
                <w:kern w:val="0"/>
                <w:sz w:val="21"/>
                <w:szCs w:val="21"/>
              </w:rPr>
            </w:pPr>
            <w:r>
              <w:rPr>
                <w:rFonts w:hint="eastAsia"/>
                <w:bCs/>
                <w:kern w:val="0"/>
                <w:sz w:val="21"/>
                <w:szCs w:val="21"/>
              </w:rPr>
              <w:t>初期雨水</w:t>
            </w:r>
          </w:p>
        </w:tc>
        <w:tc>
          <w:tcPr>
            <w:tcW w:w="1231" w:type="dxa"/>
            <w:vAlign w:val="center"/>
          </w:tcPr>
          <w:p>
            <w:pPr>
              <w:widowControl/>
              <w:adjustRightInd w:val="0"/>
              <w:snapToGrid w:val="0"/>
              <w:jc w:val="center"/>
              <w:rPr>
                <w:kern w:val="0"/>
                <w:sz w:val="21"/>
                <w:szCs w:val="21"/>
              </w:rPr>
            </w:pPr>
            <w:r>
              <w:rPr>
                <w:kern w:val="0"/>
                <w:sz w:val="21"/>
                <w:szCs w:val="21"/>
              </w:rPr>
              <w:t>—</w:t>
            </w:r>
          </w:p>
        </w:tc>
        <w:tc>
          <w:tcPr>
            <w:tcW w:w="1276" w:type="dxa"/>
            <w:vAlign w:val="center"/>
          </w:tcPr>
          <w:p>
            <w:pPr>
              <w:widowControl/>
              <w:adjustRightInd w:val="0"/>
              <w:snapToGrid w:val="0"/>
              <w:jc w:val="center"/>
              <w:rPr>
                <w:kern w:val="0"/>
                <w:sz w:val="21"/>
                <w:szCs w:val="21"/>
              </w:rPr>
            </w:pPr>
            <w:r>
              <w:rPr>
                <w:kern w:val="0"/>
                <w:sz w:val="21"/>
                <w:szCs w:val="21"/>
              </w:rPr>
              <w:t>—</w:t>
            </w:r>
          </w:p>
        </w:tc>
        <w:tc>
          <w:tcPr>
            <w:tcW w:w="1513" w:type="dxa"/>
            <w:vAlign w:val="center"/>
          </w:tcPr>
          <w:p>
            <w:pPr>
              <w:widowControl/>
              <w:adjustRightInd w:val="0"/>
              <w:snapToGrid w:val="0"/>
              <w:jc w:val="center"/>
              <w:rPr>
                <w:kern w:val="0"/>
                <w:sz w:val="21"/>
                <w:szCs w:val="21"/>
              </w:rPr>
            </w:pPr>
            <w:r>
              <w:rPr>
                <w:kern w:val="0"/>
                <w:sz w:val="21"/>
                <w:szCs w:val="21"/>
              </w:rPr>
              <w:t>—</w:t>
            </w:r>
          </w:p>
        </w:tc>
        <w:tc>
          <w:tcPr>
            <w:tcW w:w="1428" w:type="dxa"/>
            <w:vAlign w:val="center"/>
          </w:tcPr>
          <w:p>
            <w:pPr>
              <w:widowControl/>
              <w:adjustRightInd w:val="0"/>
              <w:snapToGrid w:val="0"/>
              <w:jc w:val="center"/>
              <w:rPr>
                <w:kern w:val="0"/>
                <w:sz w:val="21"/>
                <w:szCs w:val="21"/>
              </w:rPr>
            </w:pPr>
            <w:r>
              <w:rPr>
                <w:kern w:val="0"/>
                <w:sz w:val="21"/>
                <w:szCs w:val="21"/>
              </w:rPr>
              <w:t>—</w:t>
            </w:r>
          </w:p>
        </w:tc>
        <w:tc>
          <w:tcPr>
            <w:tcW w:w="1170" w:type="dxa"/>
            <w:vAlign w:val="center"/>
          </w:tcPr>
          <w:p>
            <w:pPr>
              <w:adjustRightInd w:val="0"/>
              <w:snapToGrid w:val="0"/>
              <w:jc w:val="center"/>
              <w:rPr>
                <w:bCs/>
                <w:sz w:val="21"/>
                <w:szCs w:val="21"/>
              </w:rPr>
            </w:pPr>
            <w:r>
              <w:rPr>
                <w:bCs/>
                <w:sz w:val="21"/>
                <w:szCs w:val="21"/>
              </w:rPr>
              <w:t>0.17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88" w:type="dxa"/>
            <w:vAlign w:val="center"/>
          </w:tcPr>
          <w:p>
            <w:pPr>
              <w:widowControl/>
              <w:adjustRightInd w:val="0"/>
              <w:snapToGrid w:val="0"/>
              <w:jc w:val="center"/>
              <w:rPr>
                <w:bCs/>
                <w:kern w:val="0"/>
                <w:sz w:val="21"/>
                <w:szCs w:val="21"/>
              </w:rPr>
            </w:pPr>
            <w:r>
              <w:rPr>
                <w:rFonts w:hint="eastAsia"/>
                <w:bCs/>
                <w:kern w:val="0"/>
                <w:sz w:val="21"/>
                <w:szCs w:val="21"/>
              </w:rPr>
              <w:t>排水合计</w:t>
            </w:r>
          </w:p>
        </w:tc>
        <w:tc>
          <w:tcPr>
            <w:tcW w:w="1231" w:type="dxa"/>
            <w:vAlign w:val="center"/>
          </w:tcPr>
          <w:p>
            <w:pPr>
              <w:widowControl/>
              <w:adjustRightInd w:val="0"/>
              <w:snapToGrid w:val="0"/>
              <w:jc w:val="center"/>
              <w:rPr>
                <w:kern w:val="0"/>
                <w:sz w:val="21"/>
                <w:szCs w:val="21"/>
              </w:rPr>
            </w:pPr>
            <w:r>
              <w:rPr>
                <w:kern w:val="0"/>
                <w:sz w:val="21"/>
                <w:szCs w:val="21"/>
              </w:rPr>
              <w:t>—</w:t>
            </w:r>
          </w:p>
        </w:tc>
        <w:tc>
          <w:tcPr>
            <w:tcW w:w="1276" w:type="dxa"/>
            <w:vAlign w:val="center"/>
          </w:tcPr>
          <w:p>
            <w:pPr>
              <w:widowControl/>
              <w:adjustRightInd w:val="0"/>
              <w:snapToGrid w:val="0"/>
              <w:jc w:val="center"/>
              <w:rPr>
                <w:kern w:val="0"/>
                <w:sz w:val="21"/>
                <w:szCs w:val="21"/>
              </w:rPr>
            </w:pPr>
            <w:r>
              <w:rPr>
                <w:kern w:val="0"/>
                <w:sz w:val="21"/>
                <w:szCs w:val="21"/>
              </w:rPr>
              <w:t>—</w:t>
            </w:r>
          </w:p>
        </w:tc>
        <w:tc>
          <w:tcPr>
            <w:tcW w:w="1513" w:type="dxa"/>
            <w:vAlign w:val="center"/>
          </w:tcPr>
          <w:p>
            <w:pPr>
              <w:widowControl/>
              <w:adjustRightInd w:val="0"/>
              <w:snapToGrid w:val="0"/>
              <w:jc w:val="center"/>
              <w:rPr>
                <w:kern w:val="0"/>
                <w:sz w:val="21"/>
                <w:szCs w:val="21"/>
              </w:rPr>
            </w:pPr>
            <w:r>
              <w:rPr>
                <w:kern w:val="0"/>
                <w:sz w:val="21"/>
                <w:szCs w:val="21"/>
              </w:rPr>
              <w:t>—</w:t>
            </w:r>
          </w:p>
        </w:tc>
        <w:tc>
          <w:tcPr>
            <w:tcW w:w="1428" w:type="dxa"/>
            <w:vAlign w:val="center"/>
          </w:tcPr>
          <w:p>
            <w:pPr>
              <w:widowControl/>
              <w:adjustRightInd w:val="0"/>
              <w:snapToGrid w:val="0"/>
              <w:jc w:val="center"/>
              <w:rPr>
                <w:kern w:val="0"/>
                <w:sz w:val="21"/>
                <w:szCs w:val="21"/>
              </w:rPr>
            </w:pPr>
            <w:r>
              <w:rPr>
                <w:kern w:val="0"/>
                <w:sz w:val="21"/>
                <w:szCs w:val="21"/>
              </w:rPr>
              <w:t>—</w:t>
            </w:r>
          </w:p>
        </w:tc>
        <w:tc>
          <w:tcPr>
            <w:tcW w:w="1170" w:type="dxa"/>
            <w:vAlign w:val="center"/>
          </w:tcPr>
          <w:p>
            <w:pPr>
              <w:adjustRightInd w:val="0"/>
              <w:snapToGrid w:val="0"/>
              <w:jc w:val="center"/>
              <w:rPr>
                <w:sz w:val="21"/>
                <w:szCs w:val="21"/>
              </w:rPr>
            </w:pPr>
            <w:r>
              <w:rPr>
                <w:sz w:val="21"/>
                <w:szCs w:val="21"/>
              </w:rPr>
              <w:t>99.94</w:t>
            </w:r>
          </w:p>
        </w:tc>
      </w:tr>
    </w:tbl>
    <w:p>
      <w:pPr>
        <w:pStyle w:val="14"/>
        <w:spacing w:line="360" w:lineRule="auto"/>
        <w:ind w:firstLine="480"/>
        <w:jc w:val="center"/>
        <w:rPr>
          <w:sz w:val="21"/>
          <w:szCs w:val="21"/>
        </w:rPr>
      </w:pPr>
    </w:p>
    <w:p>
      <w:pPr>
        <w:adjustRightInd w:val="0"/>
        <w:snapToGrid w:val="0"/>
        <w:spacing w:line="360" w:lineRule="auto"/>
        <w:rPr>
          <w:color w:val="000000"/>
        </w:rPr>
      </w:pPr>
      <w:r>
        <w:rPr>
          <w:b/>
        </w:rPr>
        <w:drawing>
          <wp:inline distT="0" distB="0" distL="114300" distR="114300">
            <wp:extent cx="5791200" cy="8201025"/>
            <wp:effectExtent l="0" t="0" r="0" b="9525"/>
            <wp:docPr id="6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3"/>
                    <pic:cNvPicPr>
                      <a:picLocks noChangeAspect="1"/>
                    </pic:cNvPicPr>
                  </pic:nvPicPr>
                  <pic:blipFill>
                    <a:blip r:embed="rId11"/>
                    <a:stretch>
                      <a:fillRect/>
                    </a:stretch>
                  </pic:blipFill>
                  <pic:spPr>
                    <a:xfrm>
                      <a:off x="0" y="0"/>
                      <a:ext cx="5791200" cy="8201025"/>
                    </a:xfrm>
                    <a:prstGeom prst="rect">
                      <a:avLst/>
                    </a:prstGeom>
                    <a:noFill/>
                    <a:ln w="9525">
                      <a:noFill/>
                    </a:ln>
                  </pic:spPr>
                </pic:pic>
              </a:graphicData>
            </a:graphic>
          </wp:inline>
        </w:drawing>
      </w:r>
    </w:p>
    <w:p>
      <w:pPr>
        <w:spacing w:line="360" w:lineRule="auto"/>
        <w:ind w:firstLine="480" w:firstLineChars="200"/>
        <w:jc w:val="center"/>
      </w:pPr>
      <w:r>
        <w:rPr>
          <w:rFonts w:hint="eastAsia"/>
          <w:color w:val="000000"/>
        </w:rPr>
        <w:t>图</w:t>
      </w:r>
      <w:r>
        <w:rPr>
          <w:color w:val="000000"/>
        </w:rPr>
        <w:t xml:space="preserve">3-3    </w:t>
      </w:r>
      <w:r>
        <w:rPr>
          <w:rFonts w:hint="eastAsia"/>
          <w:color w:val="000000"/>
        </w:rPr>
        <w:t>建设项目总水平衡</w:t>
      </w:r>
      <w:r>
        <w:rPr>
          <w:rFonts w:hint="eastAsia"/>
          <w:bCs/>
        </w:rPr>
        <w:t>（单位：</w:t>
      </w:r>
      <w:r>
        <w:rPr>
          <w:bCs/>
        </w:rPr>
        <w:t>m</w:t>
      </w:r>
      <w:r>
        <w:rPr>
          <w:bCs/>
          <w:vertAlign w:val="superscript"/>
        </w:rPr>
        <w:t>3</w:t>
      </w:r>
      <w:r>
        <w:rPr>
          <w:bCs/>
        </w:rPr>
        <w:t>/d</w:t>
      </w:r>
      <w:r>
        <w:rPr>
          <w:rFonts w:hint="eastAsia"/>
          <w:bCs/>
        </w:rPr>
        <w:t>）</w:t>
      </w:r>
    </w:p>
    <w:p/>
    <w:p>
      <w:pPr>
        <w:pStyle w:val="4"/>
      </w:pPr>
      <w:bookmarkStart w:id="7" w:name="_Toc17554"/>
      <w:r>
        <w:t xml:space="preserve">3.4 </w:t>
      </w:r>
      <w:r>
        <w:rPr>
          <w:rFonts w:hint="eastAsia"/>
        </w:rPr>
        <w:t>生产工艺简介</w:t>
      </w:r>
      <w:bookmarkEnd w:id="7"/>
    </w:p>
    <w:p>
      <w:pPr>
        <w:spacing w:line="360" w:lineRule="auto"/>
        <w:ind w:firstLine="480" w:firstLineChars="200"/>
      </w:pPr>
      <w:r>
        <w:rPr>
          <w:rFonts w:hint="eastAsia"/>
        </w:rPr>
        <w:t>本项目主要产品为食品抗氧化剂</w:t>
      </w:r>
      <w:r>
        <w:t>TBHQ</w:t>
      </w:r>
      <w:r>
        <w:rPr>
          <w:rFonts w:hint="eastAsia"/>
        </w:rPr>
        <w:t>和辅助产品纯水</w:t>
      </w:r>
    </w:p>
    <w:p>
      <w:pPr>
        <w:numPr>
          <w:ilvl w:val="0"/>
          <w:numId w:val="3"/>
        </w:numPr>
        <w:spacing w:line="360" w:lineRule="auto"/>
        <w:ind w:firstLine="482" w:firstLineChars="200"/>
        <w:rPr>
          <w:b/>
          <w:bCs/>
        </w:rPr>
      </w:pPr>
      <w:r>
        <w:rPr>
          <w:rFonts w:hint="eastAsia"/>
          <w:b/>
          <w:bCs/>
        </w:rPr>
        <w:t>食品抗氧化剂</w:t>
      </w:r>
      <w:r>
        <w:rPr>
          <w:b/>
          <w:bCs/>
        </w:rPr>
        <w:t>TBHQ</w:t>
      </w:r>
      <w:r>
        <w:rPr>
          <w:rFonts w:hint="eastAsia"/>
          <w:b/>
          <w:bCs/>
        </w:rPr>
        <w:t>生产工艺流程简述：</w:t>
      </w:r>
    </w:p>
    <w:p>
      <w:pPr>
        <w:spacing w:line="360" w:lineRule="auto"/>
        <w:ind w:left="480" w:leftChars="200"/>
        <w:rPr>
          <w:b/>
          <w:bCs/>
        </w:rPr>
      </w:pPr>
      <w:r>
        <w:rPr>
          <w:rFonts w:hint="eastAsia"/>
          <w:b/>
          <w:bCs/>
        </w:rPr>
        <w:t>（</w:t>
      </w:r>
      <w:r>
        <w:rPr>
          <w:b/>
          <w:bCs/>
        </w:rPr>
        <w:t>1</w:t>
      </w:r>
      <w:r>
        <w:rPr>
          <w:rFonts w:hint="eastAsia"/>
          <w:b/>
          <w:bCs/>
        </w:rPr>
        <w:t>）工艺简述</w:t>
      </w:r>
    </w:p>
    <w:p>
      <w:pPr>
        <w:pStyle w:val="14"/>
        <w:snapToGrid w:val="0"/>
        <w:spacing w:line="360" w:lineRule="auto"/>
        <w:ind w:firstLine="480"/>
        <w:rPr>
          <w:szCs w:val="24"/>
        </w:rPr>
      </w:pPr>
      <w:r>
        <w:rPr>
          <w:szCs w:val="24"/>
        </w:rPr>
        <w:t>A</w:t>
      </w:r>
      <w:r>
        <w:rPr>
          <w:rFonts w:hint="eastAsia"/>
          <w:szCs w:val="24"/>
        </w:rPr>
        <w:t>、烷基化反应</w:t>
      </w:r>
    </w:p>
    <w:p>
      <w:pPr>
        <w:pStyle w:val="14"/>
        <w:snapToGrid w:val="0"/>
        <w:spacing w:line="360" w:lineRule="auto"/>
        <w:ind w:firstLine="480"/>
        <w:rPr>
          <w:szCs w:val="24"/>
        </w:rPr>
      </w:pPr>
      <w:r>
        <w:rPr>
          <w:rFonts w:hint="eastAsia"/>
          <w:szCs w:val="24"/>
        </w:rPr>
        <w:t>原理：对苯二酚和叔丁醇在二甲苯和磷酸为介质的条件下发生烷基化反应，生产</w:t>
      </w:r>
      <w:r>
        <w:rPr>
          <w:szCs w:val="24"/>
        </w:rPr>
        <w:t>TBHQ</w:t>
      </w:r>
      <w:r>
        <w:rPr>
          <w:rFonts w:hint="eastAsia"/>
          <w:szCs w:val="24"/>
        </w:rPr>
        <w:t>、副产品</w:t>
      </w:r>
      <w:r>
        <w:rPr>
          <w:szCs w:val="24"/>
        </w:rPr>
        <w:t>DT</w:t>
      </w:r>
      <w:r>
        <w:rPr>
          <w:rFonts w:hint="eastAsia"/>
          <w:szCs w:val="24"/>
        </w:rPr>
        <w:t>（</w:t>
      </w:r>
      <w:r>
        <w:t>2, 5-</w:t>
      </w:r>
      <w:r>
        <w:rPr>
          <w:rFonts w:hint="eastAsia"/>
        </w:rPr>
        <w:t>二叔丁基对苯二酚）</w:t>
      </w:r>
      <w:r>
        <w:rPr>
          <w:rFonts w:hint="eastAsia"/>
          <w:szCs w:val="24"/>
        </w:rPr>
        <w:t>和水。主要化学反应如下：</w:t>
      </w:r>
    </w:p>
    <w:p>
      <w:pPr>
        <w:pStyle w:val="14"/>
        <w:snapToGrid w:val="0"/>
        <w:spacing w:line="360" w:lineRule="auto"/>
        <w:ind w:firstLine="480"/>
        <w:jc w:val="center"/>
        <w:rPr>
          <w:szCs w:val="24"/>
        </w:rPr>
      </w:pPr>
      <w:r>
        <w:rPr>
          <w:rFonts w:eastAsia="黑体"/>
          <w:color w:val="FF0000"/>
          <w:szCs w:val="24"/>
          <w:vertAlign w:val="subscript"/>
        </w:rPr>
        <w:drawing>
          <wp:inline distT="0" distB="0" distL="114300" distR="114300">
            <wp:extent cx="4676775" cy="1190625"/>
            <wp:effectExtent l="0" t="0" r="9525" b="9525"/>
            <wp:docPr id="6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4"/>
                    <pic:cNvPicPr>
                      <a:picLocks noChangeAspect="1"/>
                    </pic:cNvPicPr>
                  </pic:nvPicPr>
                  <pic:blipFill>
                    <a:blip r:embed="rId12"/>
                    <a:stretch>
                      <a:fillRect/>
                    </a:stretch>
                  </pic:blipFill>
                  <pic:spPr>
                    <a:xfrm>
                      <a:off x="0" y="0"/>
                      <a:ext cx="4676775" cy="1190625"/>
                    </a:xfrm>
                    <a:prstGeom prst="rect">
                      <a:avLst/>
                    </a:prstGeom>
                    <a:noFill/>
                    <a:ln w="9525">
                      <a:noFill/>
                    </a:ln>
                  </pic:spPr>
                </pic:pic>
              </a:graphicData>
            </a:graphic>
          </wp:inline>
        </w:drawing>
      </w:r>
    </w:p>
    <w:p>
      <w:pPr>
        <w:pStyle w:val="14"/>
        <w:snapToGrid w:val="0"/>
        <w:spacing w:line="360" w:lineRule="auto"/>
        <w:ind w:firstLine="480"/>
        <w:rPr>
          <w:szCs w:val="24"/>
        </w:rPr>
      </w:pPr>
      <w:r>
        <w:rPr>
          <w:rFonts w:hint="eastAsia"/>
          <w:szCs w:val="24"/>
        </w:rPr>
        <w:t>操作过程：对苯二酚通过投料孔加入，叔丁醇、二甲苯和磷酸由罐区泵至合成车间各自计量罐内，由计量罐加入合成反应釜，开通蒸汽升温至</w:t>
      </w:r>
      <w:r>
        <w:rPr>
          <w:szCs w:val="24"/>
        </w:rPr>
        <w:t>108</w:t>
      </w:r>
      <w:r>
        <w:rPr>
          <w:rFonts w:hint="eastAsia"/>
          <w:szCs w:val="24"/>
        </w:rPr>
        <w:t>℃，保温</w:t>
      </w:r>
      <w:r>
        <w:rPr>
          <w:szCs w:val="24"/>
        </w:rPr>
        <w:t>3.5</w:t>
      </w:r>
      <w:r>
        <w:rPr>
          <w:rFonts w:hint="eastAsia"/>
          <w:szCs w:val="24"/>
        </w:rPr>
        <w:t>小时，然后静置</w:t>
      </w:r>
      <w:r>
        <w:rPr>
          <w:szCs w:val="24"/>
        </w:rPr>
        <w:t>15</w:t>
      </w:r>
      <w:r>
        <w:rPr>
          <w:rFonts w:hint="eastAsia"/>
          <w:szCs w:val="24"/>
        </w:rPr>
        <w:t>分钟分层，下面酸层打至磷酸浓缩罐回收处理；上层有机层通过物料泵转移至精品罐，冷却析晶。</w:t>
      </w:r>
    </w:p>
    <w:p>
      <w:pPr>
        <w:pStyle w:val="14"/>
        <w:snapToGrid w:val="0"/>
        <w:spacing w:line="360" w:lineRule="auto"/>
        <w:ind w:firstLine="480"/>
        <w:rPr>
          <w:szCs w:val="24"/>
        </w:rPr>
      </w:pPr>
      <w:r>
        <w:rPr>
          <w:szCs w:val="24"/>
        </w:rPr>
        <w:t>B</w:t>
      </w:r>
      <w:r>
        <w:rPr>
          <w:rFonts w:hint="eastAsia"/>
          <w:szCs w:val="24"/>
        </w:rPr>
        <w:t>、分层、析晶</w:t>
      </w:r>
    </w:p>
    <w:p>
      <w:pPr>
        <w:pStyle w:val="14"/>
        <w:snapToGrid w:val="0"/>
        <w:spacing w:line="360" w:lineRule="auto"/>
        <w:ind w:firstLine="480"/>
        <w:rPr>
          <w:szCs w:val="24"/>
        </w:rPr>
      </w:pPr>
      <w:r>
        <w:rPr>
          <w:rFonts w:hint="eastAsia"/>
          <w:szCs w:val="24"/>
        </w:rPr>
        <w:t>原理：利用二甲苯与磷酸不相溶原理，静置分层达到分离磷酸的目的。利用叔丁基对苯二酚在二甲苯中溶解度随温度降低而减小的原理，可使产物析出达到分离的目的。</w:t>
      </w:r>
    </w:p>
    <w:p>
      <w:pPr>
        <w:pStyle w:val="14"/>
        <w:snapToGrid w:val="0"/>
        <w:spacing w:line="360" w:lineRule="auto"/>
        <w:ind w:firstLine="480"/>
        <w:rPr>
          <w:szCs w:val="24"/>
        </w:rPr>
      </w:pPr>
      <w:r>
        <w:rPr>
          <w:rFonts w:hint="eastAsia"/>
          <w:szCs w:val="24"/>
        </w:rPr>
        <w:t>操作过程：将反应静置</w:t>
      </w:r>
      <w:r>
        <w:rPr>
          <w:szCs w:val="24"/>
        </w:rPr>
        <w:t>15</w:t>
      </w:r>
      <w:r>
        <w:rPr>
          <w:rFonts w:hint="eastAsia"/>
          <w:szCs w:val="24"/>
        </w:rPr>
        <w:t>分钟，下面酸层打至磷酸浓缩罐回收处理；上层有机层通过物料泵转移至精品罐，通入冷却水冷却至室温，析出晶体。</w:t>
      </w:r>
    </w:p>
    <w:p>
      <w:pPr>
        <w:pStyle w:val="14"/>
        <w:snapToGrid w:val="0"/>
        <w:spacing w:line="360" w:lineRule="auto"/>
        <w:ind w:firstLine="480"/>
        <w:rPr>
          <w:szCs w:val="24"/>
        </w:rPr>
      </w:pPr>
      <w:r>
        <w:rPr>
          <w:szCs w:val="24"/>
        </w:rPr>
        <w:t>C</w:t>
      </w:r>
      <w:r>
        <w:rPr>
          <w:rFonts w:hint="eastAsia"/>
          <w:szCs w:val="24"/>
        </w:rPr>
        <w:t>、过滤</w:t>
      </w:r>
    </w:p>
    <w:p>
      <w:pPr>
        <w:pStyle w:val="14"/>
        <w:snapToGrid w:val="0"/>
        <w:spacing w:line="360" w:lineRule="auto"/>
        <w:ind w:firstLine="480"/>
        <w:rPr>
          <w:szCs w:val="24"/>
        </w:rPr>
      </w:pPr>
      <w:r>
        <w:rPr>
          <w:rFonts w:hint="eastAsia"/>
          <w:szCs w:val="24"/>
        </w:rPr>
        <w:t>操作过程：开启离心机，打开析晶罐出料阀放料至离心机，离心并收集溶剂泵至二甲苯中转罐，一直放料离心直到固体充满离心机内腔停止放料并继续离心</w:t>
      </w:r>
      <w:r>
        <w:rPr>
          <w:szCs w:val="24"/>
        </w:rPr>
        <w:t>15</w:t>
      </w:r>
      <w:r>
        <w:rPr>
          <w:rFonts w:hint="eastAsia"/>
          <w:szCs w:val="24"/>
        </w:rPr>
        <w:t>分钟，充分脱去溶媒，然后停止离心机，开启自卸料按钮卸料至水提纯罐。</w:t>
      </w:r>
    </w:p>
    <w:p>
      <w:pPr>
        <w:pStyle w:val="14"/>
        <w:snapToGrid w:val="0"/>
        <w:spacing w:line="360" w:lineRule="auto"/>
        <w:ind w:firstLine="480"/>
        <w:rPr>
          <w:szCs w:val="24"/>
        </w:rPr>
      </w:pPr>
      <w:r>
        <w:rPr>
          <w:szCs w:val="24"/>
        </w:rPr>
        <w:t>D</w:t>
      </w:r>
      <w:r>
        <w:rPr>
          <w:rFonts w:hint="eastAsia"/>
          <w:szCs w:val="24"/>
        </w:rPr>
        <w:t>、水提纯</w:t>
      </w:r>
    </w:p>
    <w:p>
      <w:pPr>
        <w:pStyle w:val="14"/>
        <w:snapToGrid w:val="0"/>
        <w:spacing w:line="360" w:lineRule="auto"/>
        <w:ind w:firstLine="480"/>
        <w:rPr>
          <w:szCs w:val="24"/>
        </w:rPr>
      </w:pPr>
      <w:r>
        <w:rPr>
          <w:rFonts w:hint="eastAsia"/>
          <w:szCs w:val="24"/>
        </w:rPr>
        <w:t>原理：利用</w:t>
      </w:r>
      <w:r>
        <w:rPr>
          <w:szCs w:val="24"/>
        </w:rPr>
        <w:t>TBHQ</w:t>
      </w:r>
      <w:r>
        <w:rPr>
          <w:rFonts w:hint="eastAsia"/>
          <w:szCs w:val="24"/>
        </w:rPr>
        <w:t>在热水中溶解度较大，而</w:t>
      </w:r>
      <w:r>
        <w:rPr>
          <w:szCs w:val="24"/>
        </w:rPr>
        <w:t>DT</w:t>
      </w:r>
      <w:r>
        <w:rPr>
          <w:rFonts w:hint="eastAsia"/>
          <w:szCs w:val="24"/>
        </w:rPr>
        <w:t>在热水中溶解度很小的原理进行水提纯达到分离</w:t>
      </w:r>
      <w:r>
        <w:rPr>
          <w:szCs w:val="24"/>
        </w:rPr>
        <w:t>DT</w:t>
      </w:r>
      <w:r>
        <w:rPr>
          <w:rFonts w:hint="eastAsia"/>
          <w:szCs w:val="24"/>
        </w:rPr>
        <w:t>纯化</w:t>
      </w:r>
      <w:r>
        <w:rPr>
          <w:szCs w:val="24"/>
        </w:rPr>
        <w:t>TBHQ</w:t>
      </w:r>
      <w:r>
        <w:rPr>
          <w:rFonts w:hint="eastAsia"/>
          <w:szCs w:val="24"/>
        </w:rPr>
        <w:t>的目的。利用水与二甲苯共沸的原理回收粗品中夹带的溶媒。</w:t>
      </w:r>
    </w:p>
    <w:p>
      <w:pPr>
        <w:pStyle w:val="14"/>
        <w:snapToGrid w:val="0"/>
        <w:spacing w:line="360" w:lineRule="auto"/>
        <w:ind w:firstLine="480"/>
        <w:rPr>
          <w:szCs w:val="24"/>
        </w:rPr>
      </w:pPr>
      <w:r>
        <w:rPr>
          <w:rFonts w:hint="eastAsia"/>
          <w:szCs w:val="24"/>
        </w:rPr>
        <w:t>操作过程：将离心后的粗品通过投料口加入水提纯罐，再从水提纯母液储罐泵水提母液至水提罐，通入蒸汽升温至</w:t>
      </w:r>
      <w:r>
        <w:rPr>
          <w:szCs w:val="24"/>
        </w:rPr>
        <w:t>100</w:t>
      </w:r>
      <w:r>
        <w:rPr>
          <w:rFonts w:hint="eastAsia"/>
          <w:szCs w:val="24"/>
        </w:rPr>
        <w:t>℃，并回收二甲苯与水的共沸馏分，在油水分离器中分层，水层回流至水提罐，二甲苯层泵至二甲苯中转罐。</w:t>
      </w:r>
    </w:p>
    <w:p>
      <w:pPr>
        <w:pStyle w:val="14"/>
        <w:snapToGrid w:val="0"/>
        <w:spacing w:line="360" w:lineRule="auto"/>
        <w:ind w:firstLine="480"/>
        <w:rPr>
          <w:szCs w:val="24"/>
        </w:rPr>
      </w:pPr>
      <w:r>
        <w:rPr>
          <w:szCs w:val="24"/>
        </w:rPr>
        <w:t>E</w:t>
      </w:r>
      <w:r>
        <w:rPr>
          <w:rFonts w:hint="eastAsia"/>
          <w:szCs w:val="24"/>
        </w:rPr>
        <w:t>、热过滤</w:t>
      </w:r>
    </w:p>
    <w:p>
      <w:pPr>
        <w:pStyle w:val="14"/>
        <w:snapToGrid w:val="0"/>
        <w:spacing w:line="360" w:lineRule="auto"/>
        <w:ind w:firstLine="480"/>
        <w:rPr>
          <w:szCs w:val="24"/>
        </w:rPr>
      </w:pPr>
      <w:r>
        <w:rPr>
          <w:rFonts w:hint="eastAsia"/>
          <w:szCs w:val="24"/>
        </w:rPr>
        <w:t>操作过程：回收完二甲苯，将水提液打至水提离心过滤机，滤液泵至半精品析晶罐析晶，收集固体副产品</w:t>
      </w:r>
      <w:r>
        <w:rPr>
          <w:szCs w:val="24"/>
        </w:rPr>
        <w:t>DT</w:t>
      </w:r>
      <w:r>
        <w:rPr>
          <w:rFonts w:hint="eastAsia"/>
          <w:szCs w:val="24"/>
        </w:rPr>
        <w:t>，作为工业抗氧化剂出售。</w:t>
      </w:r>
    </w:p>
    <w:p>
      <w:pPr>
        <w:pStyle w:val="14"/>
        <w:snapToGrid w:val="0"/>
        <w:spacing w:line="360" w:lineRule="auto"/>
        <w:ind w:firstLine="480"/>
        <w:rPr>
          <w:szCs w:val="24"/>
        </w:rPr>
      </w:pPr>
      <w:r>
        <w:rPr>
          <w:szCs w:val="24"/>
        </w:rPr>
        <w:t>F</w:t>
      </w:r>
      <w:r>
        <w:rPr>
          <w:rFonts w:hint="eastAsia"/>
          <w:szCs w:val="24"/>
        </w:rPr>
        <w:t>、冷却</w:t>
      </w:r>
    </w:p>
    <w:p>
      <w:pPr>
        <w:pStyle w:val="14"/>
        <w:snapToGrid w:val="0"/>
        <w:spacing w:line="360" w:lineRule="auto"/>
        <w:ind w:firstLine="480"/>
        <w:rPr>
          <w:szCs w:val="24"/>
        </w:rPr>
      </w:pPr>
      <w:r>
        <w:rPr>
          <w:rFonts w:hint="eastAsia"/>
          <w:szCs w:val="24"/>
        </w:rPr>
        <w:t>原理：利用</w:t>
      </w:r>
      <w:r>
        <w:rPr>
          <w:szCs w:val="24"/>
        </w:rPr>
        <w:t>TBHQ</w:t>
      </w:r>
      <w:r>
        <w:rPr>
          <w:rFonts w:hint="eastAsia"/>
          <w:szCs w:val="24"/>
        </w:rPr>
        <w:t>在热水中可溶而在冷水中不溶的原理让</w:t>
      </w:r>
      <w:r>
        <w:rPr>
          <w:szCs w:val="24"/>
        </w:rPr>
        <w:t>TBHQ</w:t>
      </w:r>
      <w:r>
        <w:rPr>
          <w:rFonts w:hint="eastAsia"/>
          <w:szCs w:val="24"/>
        </w:rPr>
        <w:t>析出达到分离的目的。</w:t>
      </w:r>
    </w:p>
    <w:p>
      <w:pPr>
        <w:pStyle w:val="14"/>
        <w:snapToGrid w:val="0"/>
        <w:spacing w:line="360" w:lineRule="auto"/>
        <w:ind w:firstLine="480"/>
        <w:rPr>
          <w:szCs w:val="24"/>
        </w:rPr>
      </w:pPr>
      <w:r>
        <w:rPr>
          <w:rFonts w:hint="eastAsia"/>
          <w:szCs w:val="24"/>
        </w:rPr>
        <w:t>操作过程：将水提液泵至</w:t>
      </w:r>
      <w:r>
        <w:rPr>
          <w:szCs w:val="24"/>
        </w:rPr>
        <w:t>TBHQ</w:t>
      </w:r>
      <w:r>
        <w:rPr>
          <w:rFonts w:hint="eastAsia"/>
          <w:szCs w:val="24"/>
        </w:rPr>
        <w:t>半精品析晶罐，开启搅拌，通入冷却水冷却至室温析晶。</w:t>
      </w:r>
    </w:p>
    <w:p>
      <w:pPr>
        <w:pStyle w:val="14"/>
        <w:snapToGrid w:val="0"/>
        <w:spacing w:line="360" w:lineRule="auto"/>
        <w:ind w:firstLine="480"/>
        <w:rPr>
          <w:szCs w:val="24"/>
        </w:rPr>
      </w:pPr>
      <w:r>
        <w:rPr>
          <w:szCs w:val="24"/>
        </w:rPr>
        <w:t>G</w:t>
      </w:r>
      <w:r>
        <w:rPr>
          <w:rFonts w:hint="eastAsia"/>
          <w:szCs w:val="24"/>
        </w:rPr>
        <w:t>、过滤</w:t>
      </w:r>
    </w:p>
    <w:p>
      <w:pPr>
        <w:pStyle w:val="14"/>
        <w:snapToGrid w:val="0"/>
        <w:spacing w:line="360" w:lineRule="auto"/>
        <w:ind w:firstLine="480"/>
        <w:rPr>
          <w:szCs w:val="24"/>
        </w:rPr>
      </w:pPr>
      <w:r>
        <w:rPr>
          <w:rFonts w:hint="eastAsia"/>
          <w:szCs w:val="24"/>
        </w:rPr>
        <w:t>操作过程：开启离心过滤机，打开析晶罐出料阀放料至离心过滤机，滤液泵至水提母液中转罐，至固体充满离心机内腔停止放料并继续离心</w:t>
      </w:r>
      <w:r>
        <w:rPr>
          <w:szCs w:val="24"/>
        </w:rPr>
        <w:t>15</w:t>
      </w:r>
      <w:r>
        <w:rPr>
          <w:rFonts w:hint="eastAsia"/>
          <w:szCs w:val="24"/>
        </w:rPr>
        <w:t>分钟，充分脱去溶媒，然后停止离心机，开启自卸料按钮将半精品卸料。</w:t>
      </w:r>
    </w:p>
    <w:p>
      <w:pPr>
        <w:pStyle w:val="14"/>
        <w:snapToGrid w:val="0"/>
        <w:spacing w:line="360" w:lineRule="auto"/>
        <w:ind w:firstLine="480"/>
        <w:rPr>
          <w:szCs w:val="24"/>
        </w:rPr>
      </w:pPr>
      <w:r>
        <w:rPr>
          <w:szCs w:val="24"/>
        </w:rPr>
        <w:t>H</w:t>
      </w:r>
      <w:r>
        <w:rPr>
          <w:rFonts w:hint="eastAsia"/>
          <w:szCs w:val="24"/>
        </w:rPr>
        <w:t>、干燥</w:t>
      </w:r>
    </w:p>
    <w:p>
      <w:pPr>
        <w:pStyle w:val="14"/>
        <w:snapToGrid w:val="0"/>
        <w:spacing w:line="360" w:lineRule="auto"/>
        <w:ind w:firstLine="480"/>
        <w:rPr>
          <w:szCs w:val="24"/>
        </w:rPr>
      </w:pPr>
      <w:r>
        <w:rPr>
          <w:rFonts w:hint="eastAsia"/>
          <w:szCs w:val="24"/>
        </w:rPr>
        <w:t>操作过程：将半精品加入干燥双锥，启动双锥和真空泵抽真空，通入蒸汽升温至</w:t>
      </w:r>
      <w:r>
        <w:rPr>
          <w:szCs w:val="24"/>
        </w:rPr>
        <w:t>85</w:t>
      </w:r>
      <w:r>
        <w:rPr>
          <w:rFonts w:hint="eastAsia"/>
          <w:szCs w:val="24"/>
        </w:rPr>
        <w:t>℃，从冷凝器回收蒸出的二甲苯水溶液，并打入待回收二甲苯罐。保温干燥</w:t>
      </w:r>
      <w:r>
        <w:rPr>
          <w:szCs w:val="24"/>
        </w:rPr>
        <w:t>4</w:t>
      </w:r>
      <w:r>
        <w:rPr>
          <w:rFonts w:hint="eastAsia"/>
          <w:szCs w:val="24"/>
        </w:rPr>
        <w:t>小时后，停止通往蒸汽，并通入冷却水降温至</w:t>
      </w:r>
      <w:r>
        <w:rPr>
          <w:szCs w:val="24"/>
        </w:rPr>
        <w:t>56</w:t>
      </w:r>
      <w:r>
        <w:rPr>
          <w:rFonts w:hint="eastAsia"/>
          <w:szCs w:val="24"/>
        </w:rPr>
        <w:t>℃以下后停止设备出料。</w:t>
      </w:r>
    </w:p>
    <w:p>
      <w:pPr>
        <w:pStyle w:val="14"/>
        <w:snapToGrid w:val="0"/>
        <w:spacing w:line="360" w:lineRule="auto"/>
        <w:ind w:firstLine="480"/>
        <w:rPr>
          <w:szCs w:val="24"/>
        </w:rPr>
      </w:pPr>
      <w:r>
        <w:rPr>
          <w:szCs w:val="24"/>
        </w:rPr>
        <w:t>I</w:t>
      </w:r>
      <w:r>
        <w:rPr>
          <w:rFonts w:hint="eastAsia"/>
          <w:szCs w:val="24"/>
        </w:rPr>
        <w:t>、重结晶</w:t>
      </w:r>
    </w:p>
    <w:p>
      <w:pPr>
        <w:pStyle w:val="14"/>
        <w:snapToGrid w:val="0"/>
        <w:spacing w:line="360" w:lineRule="auto"/>
        <w:ind w:firstLine="480"/>
        <w:rPr>
          <w:szCs w:val="24"/>
        </w:rPr>
      </w:pPr>
      <w:r>
        <w:rPr>
          <w:rFonts w:hint="eastAsia"/>
          <w:szCs w:val="24"/>
        </w:rPr>
        <w:t>原理：利用溶解再析晶的过程除去少量杂质。</w:t>
      </w:r>
    </w:p>
    <w:p>
      <w:pPr>
        <w:pStyle w:val="14"/>
        <w:snapToGrid w:val="0"/>
        <w:spacing w:line="360" w:lineRule="auto"/>
        <w:ind w:firstLine="480"/>
        <w:rPr>
          <w:szCs w:val="24"/>
        </w:rPr>
      </w:pPr>
      <w:r>
        <w:rPr>
          <w:rFonts w:hint="eastAsia"/>
          <w:szCs w:val="24"/>
        </w:rPr>
        <w:t>操作过程：从投料孔将半精品加入到重结晶罐，酒精从罐区泵到合成车间计量罐，再打入酒精配制罐配成所需要的浓度，然后加入到重结晶罐，开通蒸汽升温</w:t>
      </w:r>
      <w:r>
        <w:rPr>
          <w:szCs w:val="24"/>
        </w:rPr>
        <w:t>85</w:t>
      </w:r>
      <w:r>
        <w:rPr>
          <w:rFonts w:hint="eastAsia"/>
          <w:szCs w:val="24"/>
        </w:rPr>
        <w:t>℃，保温</w:t>
      </w:r>
      <w:r>
        <w:rPr>
          <w:szCs w:val="24"/>
        </w:rPr>
        <w:t>30</w:t>
      </w:r>
      <w:r>
        <w:rPr>
          <w:rFonts w:hint="eastAsia"/>
          <w:szCs w:val="24"/>
        </w:rPr>
        <w:t>分钟后泵至洁净间的产品析晶罐。</w:t>
      </w:r>
    </w:p>
    <w:p>
      <w:pPr>
        <w:pStyle w:val="14"/>
        <w:snapToGrid w:val="0"/>
        <w:spacing w:line="360" w:lineRule="auto"/>
        <w:ind w:firstLine="480"/>
        <w:rPr>
          <w:szCs w:val="24"/>
        </w:rPr>
      </w:pPr>
      <w:r>
        <w:rPr>
          <w:szCs w:val="24"/>
        </w:rPr>
        <w:t>J</w:t>
      </w:r>
      <w:r>
        <w:rPr>
          <w:rFonts w:hint="eastAsia"/>
          <w:szCs w:val="24"/>
        </w:rPr>
        <w:t>、过滤</w:t>
      </w:r>
    </w:p>
    <w:p>
      <w:pPr>
        <w:pStyle w:val="14"/>
        <w:snapToGrid w:val="0"/>
        <w:spacing w:line="360" w:lineRule="auto"/>
        <w:ind w:firstLine="480"/>
        <w:rPr>
          <w:szCs w:val="24"/>
        </w:rPr>
      </w:pPr>
      <w:r>
        <w:rPr>
          <w:rFonts w:hint="eastAsia"/>
          <w:szCs w:val="24"/>
        </w:rPr>
        <w:t>操作过程：开启离心过滤机，打开产品析晶罐出料阀放料至离心过滤机，滤液泵至酒精母液中转罐，一直放料直到固体充满离心机内腔停止放料并继续离心</w:t>
      </w:r>
      <w:r>
        <w:rPr>
          <w:szCs w:val="24"/>
        </w:rPr>
        <w:t>15</w:t>
      </w:r>
      <w:r>
        <w:rPr>
          <w:rFonts w:hint="eastAsia"/>
          <w:szCs w:val="24"/>
        </w:rPr>
        <w:t>分钟，充分脱去溶媒，然后停止离心机，开启自卸料按钮卸料至干燥岗位。</w:t>
      </w:r>
    </w:p>
    <w:p>
      <w:pPr>
        <w:pStyle w:val="14"/>
        <w:snapToGrid w:val="0"/>
        <w:spacing w:line="360" w:lineRule="auto"/>
        <w:ind w:firstLine="480"/>
        <w:rPr>
          <w:szCs w:val="24"/>
        </w:rPr>
      </w:pPr>
      <w:r>
        <w:rPr>
          <w:szCs w:val="24"/>
        </w:rPr>
        <w:t>K</w:t>
      </w:r>
      <w:r>
        <w:rPr>
          <w:rFonts w:hint="eastAsia"/>
          <w:szCs w:val="24"/>
        </w:rPr>
        <w:t>、干燥</w:t>
      </w:r>
    </w:p>
    <w:p>
      <w:pPr>
        <w:pStyle w:val="14"/>
        <w:snapToGrid w:val="0"/>
        <w:spacing w:line="360" w:lineRule="auto"/>
        <w:ind w:firstLine="480"/>
        <w:rPr>
          <w:szCs w:val="24"/>
        </w:rPr>
      </w:pPr>
      <w:r>
        <w:rPr>
          <w:rFonts w:hint="eastAsia"/>
          <w:szCs w:val="24"/>
        </w:rPr>
        <w:t>操作过程：将湿产品加入干燥双锥，启动双锥和真空泵抽真空，通入蒸汽升温至</w:t>
      </w:r>
      <w:r>
        <w:rPr>
          <w:szCs w:val="24"/>
        </w:rPr>
        <w:t>85</w:t>
      </w:r>
      <w:r>
        <w:rPr>
          <w:rFonts w:hint="eastAsia"/>
          <w:szCs w:val="24"/>
        </w:rPr>
        <w:t>℃</w:t>
      </w:r>
      <w:r>
        <w:rPr>
          <w:rFonts w:hint="eastAsia" w:hAnsi="Arial"/>
          <w:szCs w:val="24"/>
        </w:rPr>
        <w:t>，从冷凝器回收蒸出的酒精，并打入待回收酒精罐。保温干燥</w:t>
      </w:r>
      <w:r>
        <w:rPr>
          <w:szCs w:val="24"/>
        </w:rPr>
        <w:t>4</w:t>
      </w:r>
      <w:r>
        <w:rPr>
          <w:rFonts w:hint="eastAsia" w:hAnsi="Arial"/>
          <w:szCs w:val="24"/>
        </w:rPr>
        <w:t>小时后，停止通往蒸汽，并通入冷却水降温至</w:t>
      </w:r>
      <w:r>
        <w:rPr>
          <w:szCs w:val="24"/>
        </w:rPr>
        <w:t>56</w:t>
      </w:r>
      <w:r>
        <w:rPr>
          <w:rFonts w:hint="eastAsia"/>
          <w:szCs w:val="24"/>
        </w:rPr>
        <w:t>℃</w:t>
      </w:r>
      <w:r>
        <w:rPr>
          <w:rFonts w:hint="eastAsia" w:hAnsi="Arial"/>
          <w:szCs w:val="24"/>
        </w:rPr>
        <w:t>以下后停止设备出料。</w:t>
      </w:r>
    </w:p>
    <w:p>
      <w:pPr>
        <w:pStyle w:val="14"/>
        <w:snapToGrid w:val="0"/>
        <w:spacing w:line="360" w:lineRule="auto"/>
        <w:ind w:firstLine="480"/>
        <w:rPr>
          <w:szCs w:val="24"/>
        </w:rPr>
      </w:pPr>
      <w:r>
        <w:rPr>
          <w:szCs w:val="24"/>
        </w:rPr>
        <w:t>M</w:t>
      </w:r>
      <w:r>
        <w:rPr>
          <w:rFonts w:hint="eastAsia"/>
          <w:szCs w:val="24"/>
        </w:rPr>
        <w:t>、成品包装</w:t>
      </w:r>
    </w:p>
    <w:p>
      <w:pPr>
        <w:spacing w:line="360" w:lineRule="auto"/>
        <w:ind w:firstLine="480" w:firstLineChars="200"/>
      </w:pPr>
      <w:r>
        <w:rPr>
          <w:rFonts w:hint="eastAsia"/>
        </w:rPr>
        <w:t>操作过程：根据客户要求，将食品抗氧化剂</w:t>
      </w:r>
      <w:r>
        <w:t>TBHQ</w:t>
      </w:r>
      <w:r>
        <w:rPr>
          <w:rFonts w:hint="eastAsia"/>
        </w:rPr>
        <w:t>成品分装成</w:t>
      </w:r>
      <w:r>
        <w:t>1kg/</w:t>
      </w:r>
      <w:r>
        <w:rPr>
          <w:rFonts w:hint="eastAsia"/>
        </w:rPr>
        <w:t>包、</w:t>
      </w:r>
      <w:r>
        <w:t>25kg/</w:t>
      </w:r>
      <w:r>
        <w:rPr>
          <w:rFonts w:hint="eastAsia"/>
        </w:rPr>
        <w:t>包，抽样检验后送入仓库暂存，然后外运至客户。</w:t>
      </w:r>
    </w:p>
    <w:p>
      <w:pPr>
        <w:spacing w:line="360" w:lineRule="auto"/>
        <w:ind w:firstLine="480" w:firstLineChars="200"/>
      </w:pPr>
      <w:r>
        <w:rPr>
          <w:rFonts w:hint="eastAsia"/>
        </w:rPr>
        <w:t>其具体生产工艺流程图见图</w:t>
      </w:r>
      <w:r>
        <w:t>3-3</w:t>
      </w:r>
      <w:r>
        <w:rPr>
          <w:rFonts w:hint="eastAsia"/>
        </w:rPr>
        <w:t>。</w:t>
      </w:r>
    </w:p>
    <w:p>
      <w:pPr>
        <w:spacing w:line="360" w:lineRule="auto"/>
        <w:jc w:val="center"/>
      </w:pPr>
      <w:r>
        <w:drawing>
          <wp:inline distT="0" distB="0" distL="114300" distR="114300">
            <wp:extent cx="5734050" cy="6115050"/>
            <wp:effectExtent l="0" t="0" r="0" b="0"/>
            <wp:docPr id="62" name="图片 5" descr="2015-1-9TBHQ工艺流程及产污业主回复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5" descr="2015-1-9TBHQ工艺流程及产污业主回复节"/>
                    <pic:cNvPicPr>
                      <a:picLocks noChangeAspect="1"/>
                    </pic:cNvPicPr>
                  </pic:nvPicPr>
                  <pic:blipFill>
                    <a:blip r:embed="rId13"/>
                    <a:srcRect l="11839" t="13087" b="21906"/>
                    <a:stretch>
                      <a:fillRect/>
                    </a:stretch>
                  </pic:blipFill>
                  <pic:spPr>
                    <a:xfrm>
                      <a:off x="0" y="0"/>
                      <a:ext cx="5734050" cy="6115050"/>
                    </a:xfrm>
                    <a:prstGeom prst="rect">
                      <a:avLst/>
                    </a:prstGeom>
                    <a:noFill/>
                    <a:ln w="9525">
                      <a:noFill/>
                    </a:ln>
                  </pic:spPr>
                </pic:pic>
              </a:graphicData>
            </a:graphic>
          </wp:inline>
        </w:drawing>
      </w:r>
    </w:p>
    <w:p>
      <w:pPr>
        <w:spacing w:line="360" w:lineRule="auto"/>
      </w:pPr>
    </w:p>
    <w:p>
      <w:pPr>
        <w:spacing w:line="360" w:lineRule="auto"/>
        <w:jc w:val="center"/>
        <w:sectPr>
          <w:pgSz w:w="11906" w:h="16838"/>
          <w:pgMar w:top="1440" w:right="1080" w:bottom="1440" w:left="1080" w:header="851" w:footer="992" w:gutter="0"/>
          <w:pgNumType w:fmt="decimal"/>
          <w:cols w:space="425" w:num="1"/>
          <w:docGrid w:type="lines" w:linePitch="312" w:charSpace="0"/>
        </w:sectPr>
      </w:pPr>
      <w:r>
        <w:rPr>
          <w:rFonts w:hint="eastAsia"/>
        </w:rPr>
        <w:t>图</w:t>
      </w:r>
      <w:r>
        <w:t xml:space="preserve">3-3  </w:t>
      </w:r>
      <w:r>
        <w:rPr>
          <w:rFonts w:hint="eastAsia"/>
        </w:rPr>
        <w:t>食品抗氧化剂</w:t>
      </w:r>
      <w:r>
        <w:t>TBHQ</w:t>
      </w:r>
      <w:r>
        <w:rPr>
          <w:rFonts w:hint="eastAsia"/>
        </w:rPr>
        <w:t>生产工艺流程图</w:t>
      </w:r>
    </w:p>
    <w:p>
      <w:pPr>
        <w:pStyle w:val="14"/>
        <w:adjustRightInd w:val="0"/>
        <w:snapToGrid w:val="0"/>
        <w:spacing w:line="360" w:lineRule="auto"/>
        <w:ind w:left="480" w:leftChars="200" w:firstLine="0"/>
        <w:rPr>
          <w:b/>
          <w:bCs/>
          <w:color w:val="000000"/>
        </w:rPr>
      </w:pPr>
      <w:r>
        <w:rPr>
          <w:rFonts w:hint="eastAsia"/>
          <w:b/>
          <w:bCs/>
          <w:color w:val="000000"/>
        </w:rPr>
        <w:t>（</w:t>
      </w:r>
      <w:r>
        <w:rPr>
          <w:b/>
          <w:bCs/>
          <w:color w:val="000000"/>
        </w:rPr>
        <w:t>2</w:t>
      </w:r>
      <w:r>
        <w:rPr>
          <w:rFonts w:hint="eastAsia"/>
          <w:b/>
          <w:bCs/>
          <w:color w:val="000000"/>
        </w:rPr>
        <w:t>）产污环节分析</w:t>
      </w:r>
    </w:p>
    <w:p>
      <w:pPr>
        <w:pStyle w:val="14"/>
        <w:adjustRightInd w:val="0"/>
        <w:snapToGrid w:val="0"/>
        <w:spacing w:line="360" w:lineRule="auto"/>
        <w:ind w:firstLine="482" w:firstLineChars="200"/>
        <w:rPr>
          <w:color w:val="000000"/>
          <w:szCs w:val="24"/>
        </w:rPr>
      </w:pPr>
      <w:r>
        <w:rPr>
          <w:rFonts w:hint="eastAsia"/>
          <w:b/>
          <w:bCs/>
          <w:color w:val="000000"/>
        </w:rPr>
        <w:t>废水</w:t>
      </w:r>
      <w:r>
        <w:rPr>
          <w:rFonts w:hint="eastAsia"/>
          <w:color w:val="000000"/>
        </w:rPr>
        <w:t>：本项目废水包括</w:t>
      </w:r>
      <w:r>
        <w:rPr>
          <w:rFonts w:hint="eastAsia"/>
          <w:color w:val="000000"/>
          <w:szCs w:val="24"/>
        </w:rPr>
        <w:t>生产废水、生活污水</w:t>
      </w:r>
      <w:r>
        <w:rPr>
          <w:rFonts w:hint="eastAsia"/>
          <w:szCs w:val="24"/>
        </w:rPr>
        <w:t>和初期雨水，生产废水包括烷基化反应生产废水、水提纯废水、车间清洗废水、凉水塔清洗废水、树脂清洗废水。生活</w:t>
      </w:r>
      <w:r>
        <w:rPr>
          <w:rFonts w:hint="eastAsia"/>
          <w:color w:val="000000"/>
          <w:szCs w:val="24"/>
        </w:rPr>
        <w:t>污水经三级化粪池处理后，与生产废水和初期雨水一同进入废水处理站。</w:t>
      </w:r>
    </w:p>
    <w:p>
      <w:pPr>
        <w:snapToGrid w:val="0"/>
        <w:spacing w:line="360" w:lineRule="auto"/>
        <w:ind w:firstLine="482" w:firstLineChars="200"/>
        <w:rPr>
          <w:rFonts w:hAnsi="宋体"/>
        </w:rPr>
      </w:pPr>
      <w:r>
        <w:rPr>
          <w:rFonts w:hint="eastAsia" w:hAnsi="宋体"/>
          <w:b/>
          <w:bCs/>
          <w:color w:val="000000"/>
        </w:rPr>
        <w:t>废气</w:t>
      </w:r>
      <w:r>
        <w:rPr>
          <w:rFonts w:hint="eastAsia" w:hAnsi="宋体"/>
          <w:color w:val="000000"/>
        </w:rPr>
        <w:t>：</w:t>
      </w:r>
      <w:r>
        <w:rPr>
          <w:rFonts w:hint="eastAsia" w:hAnsi="宋体"/>
        </w:rPr>
        <w:t>本项目废气主要包括车间废气、锅炉烟气和罐区无组织废气。</w:t>
      </w:r>
    </w:p>
    <w:p>
      <w:pPr>
        <w:numPr>
          <w:ilvl w:val="0"/>
          <w:numId w:val="4"/>
        </w:numPr>
        <w:snapToGrid w:val="0"/>
        <w:spacing w:line="360" w:lineRule="auto"/>
        <w:ind w:firstLine="480" w:firstLineChars="200"/>
        <w:rPr>
          <w:rFonts w:hAnsi="宋体"/>
        </w:rPr>
      </w:pPr>
      <w:r>
        <w:rPr>
          <w:rFonts w:hint="eastAsia" w:hAnsi="宋体"/>
        </w:rPr>
        <w:t>车间废气：车间废气主要为二甲苯和酒精的挥发，此两种物质作为反应的催化剂不参与反应，投入量约为</w:t>
      </w:r>
      <w:r>
        <w:rPr>
          <w:rFonts w:hAnsi="宋体"/>
        </w:rPr>
        <w:t>70t/a</w:t>
      </w:r>
      <w:r>
        <w:rPr>
          <w:rFonts w:hint="eastAsia" w:hAnsi="宋体"/>
        </w:rPr>
        <w:t>，最终全部以进入废水和大气的形式存在，本项目主要采用活性炭喷淋吸附处理。</w:t>
      </w:r>
    </w:p>
    <w:p>
      <w:pPr>
        <w:numPr>
          <w:ilvl w:val="0"/>
          <w:numId w:val="4"/>
        </w:numPr>
        <w:snapToGrid w:val="0"/>
        <w:spacing w:line="360" w:lineRule="auto"/>
        <w:ind w:firstLine="480" w:firstLineChars="200"/>
        <w:rPr>
          <w:rFonts w:hAnsi="宋体"/>
          <w:color w:val="000000"/>
        </w:rPr>
      </w:pPr>
      <w:r>
        <w:rPr>
          <w:rFonts w:hint="eastAsia" w:hAnsi="宋体"/>
          <w:color w:val="000000"/>
        </w:rPr>
        <w:t>锅炉烟气：</w:t>
      </w:r>
      <w:r>
        <w:rPr>
          <w:rFonts w:hint="eastAsia"/>
          <w:color w:val="000000"/>
        </w:rPr>
        <w:t>本项目锅炉利用原有工程</w:t>
      </w:r>
      <w:r>
        <w:rPr>
          <w:color w:val="000000"/>
        </w:rPr>
        <w:t>1</w:t>
      </w:r>
      <w:r>
        <w:rPr>
          <w:rFonts w:hint="eastAsia"/>
          <w:color w:val="000000"/>
        </w:rPr>
        <w:t>台</w:t>
      </w:r>
      <w:r>
        <w:rPr>
          <w:color w:val="000000"/>
        </w:rPr>
        <w:t>10t/h</w:t>
      </w:r>
      <w:r>
        <w:rPr>
          <w:rFonts w:hint="eastAsia"/>
          <w:color w:val="000000"/>
        </w:rPr>
        <w:t>燃煤锅炉，不新增锅炉设备，锅炉废气依托原有工程治理设施处理。</w:t>
      </w:r>
    </w:p>
    <w:p>
      <w:pPr>
        <w:numPr>
          <w:ilvl w:val="0"/>
          <w:numId w:val="4"/>
        </w:numPr>
        <w:snapToGrid w:val="0"/>
        <w:spacing w:line="360" w:lineRule="auto"/>
        <w:ind w:firstLine="480" w:firstLineChars="200"/>
        <w:rPr>
          <w:rFonts w:hAnsi="宋体"/>
        </w:rPr>
      </w:pPr>
      <w:r>
        <w:rPr>
          <w:rFonts w:hint="eastAsia" w:hAnsi="宋体"/>
        </w:rPr>
        <w:t>罐区无组织废气：本项目罐区无组织废气主要来源于储罐大小呼吸产生，自然通风，无组织排放。</w:t>
      </w:r>
    </w:p>
    <w:p>
      <w:pPr>
        <w:snapToGrid w:val="0"/>
        <w:spacing w:line="360" w:lineRule="auto"/>
        <w:ind w:firstLine="482" w:firstLineChars="200"/>
      </w:pPr>
      <w:r>
        <w:rPr>
          <w:rFonts w:hint="eastAsia" w:hAnsi="宋体"/>
          <w:b/>
          <w:bCs/>
        </w:rPr>
        <w:t>噪声</w:t>
      </w:r>
      <w:r>
        <w:rPr>
          <w:rFonts w:hint="eastAsia" w:hAnsi="宋体"/>
        </w:rPr>
        <w:t>：噪声源主要为引风机、各种泵、凉水塔、离心机、空调机等</w:t>
      </w:r>
      <w:r>
        <w:rPr>
          <w:rFonts w:hint="eastAsia"/>
        </w:rPr>
        <w:t>；</w:t>
      </w:r>
      <w:r>
        <w:rPr>
          <w:rFonts w:hint="eastAsia" w:hAnsi="宋体"/>
        </w:rPr>
        <w:t>采用</w:t>
      </w:r>
      <w:r>
        <w:rPr>
          <w:rFonts w:hint="eastAsia" w:hAnsi="宋体"/>
          <w:color w:val="000000"/>
        </w:rPr>
        <w:t>基础减振、室内密闭放置、隔声、消声等噪声防治措施。</w:t>
      </w:r>
    </w:p>
    <w:p>
      <w:pPr>
        <w:snapToGrid w:val="0"/>
        <w:spacing w:line="360" w:lineRule="auto"/>
        <w:ind w:firstLine="482" w:firstLineChars="200"/>
        <w:rPr>
          <w:rFonts w:hAnsi="宋体"/>
        </w:rPr>
      </w:pPr>
      <w:r>
        <w:rPr>
          <w:rFonts w:hint="eastAsia"/>
          <w:b/>
          <w:bCs/>
        </w:rPr>
        <w:t>固体废物</w:t>
      </w:r>
      <w:r>
        <w:rPr>
          <w:rFonts w:hint="eastAsia"/>
        </w:rPr>
        <w:t>：</w:t>
      </w:r>
      <w:r>
        <w:rPr>
          <w:rFonts w:hint="eastAsia" w:hAnsi="宋体"/>
          <w:color w:val="000000"/>
        </w:rPr>
        <w:t>本项目产生的固体废物主要有</w:t>
      </w:r>
      <w:r>
        <w:rPr>
          <w:rFonts w:hint="eastAsia" w:hAnsi="宋体"/>
        </w:rPr>
        <w:t>副产品</w:t>
      </w:r>
      <w:r>
        <w:rPr>
          <w:rFonts w:hAnsi="宋体"/>
        </w:rPr>
        <w:t>DT</w:t>
      </w:r>
      <w:r>
        <w:rPr>
          <w:rFonts w:hint="eastAsia" w:hAnsi="宋体"/>
        </w:rPr>
        <w:t>、</w:t>
      </w:r>
      <w:r>
        <w:rPr>
          <w:rFonts w:hint="eastAsia" w:hAnsi="宋体"/>
          <w:color w:val="000000"/>
        </w:rPr>
        <w:t>磷酸二氢钙</w:t>
      </w:r>
      <w:r>
        <w:rPr>
          <w:rFonts w:hint="eastAsia" w:hAnsi="宋体"/>
        </w:rPr>
        <w:t>、废活性炭（废气吸附）、废反渗透膜、煤渣、生活垃圾和废水处理站污泥。</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1</w:t>
      </w:r>
      <w:r>
        <w:rPr>
          <w:rFonts w:hint="eastAsia" w:hAnsi="宋体"/>
          <w:color w:val="000000"/>
        </w:rPr>
        <w:t>）副产品</w:t>
      </w:r>
      <w:r>
        <w:rPr>
          <w:rFonts w:hAnsi="宋体"/>
          <w:color w:val="000000"/>
        </w:rPr>
        <w:t>DT</w:t>
      </w:r>
      <w:r>
        <w:rPr>
          <w:rFonts w:hint="eastAsia" w:hAnsi="宋体"/>
          <w:color w:val="000000"/>
        </w:rPr>
        <w:t>：由工艺流程可知热过滤过程分离出副产品</w:t>
      </w:r>
      <w:r>
        <w:rPr>
          <w:rFonts w:hAnsi="宋体"/>
          <w:color w:val="000000"/>
        </w:rPr>
        <w:t>DT</w:t>
      </w:r>
      <w:r>
        <w:rPr>
          <w:rFonts w:hint="eastAsia" w:hAnsi="宋体"/>
          <w:color w:val="000000"/>
        </w:rPr>
        <w:t>属于工业抗氧化剂，外售。</w:t>
      </w:r>
    </w:p>
    <w:p>
      <w:pPr>
        <w:snapToGrid w:val="0"/>
        <w:spacing w:line="360" w:lineRule="auto"/>
        <w:ind w:firstLine="480"/>
        <w:rPr>
          <w:rFonts w:hAnsi="宋体"/>
          <w:color w:val="000000"/>
        </w:rPr>
      </w:pPr>
      <w:r>
        <w:rPr>
          <w:rFonts w:hint="eastAsia" w:hAnsi="宋体"/>
        </w:rPr>
        <w:t>（</w:t>
      </w:r>
      <w:r>
        <w:t>2</w:t>
      </w:r>
      <w:r>
        <w:rPr>
          <w:rFonts w:hint="eastAsia" w:hAnsi="宋体"/>
        </w:rPr>
        <w:t>）磷酸二氢钙：由工艺流程可知烷基化反应过程回收的磷酸经</w:t>
      </w:r>
      <w:r>
        <w:rPr>
          <w:rFonts w:hint="eastAsia" w:hAnsi="宋体"/>
          <w:color w:val="000000"/>
        </w:rPr>
        <w:t>过数次使用后产生废磷酸，此部分废磷酸经氢氧化钙中和，产生磷酸二氢钙，外售。</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3</w:t>
      </w:r>
      <w:r>
        <w:rPr>
          <w:rFonts w:hint="eastAsia" w:hAnsi="宋体"/>
          <w:color w:val="000000"/>
        </w:rPr>
        <w:t>）废活性炭：本项目车间废气经过活性炭吸附，活性炭吸附饱和后需要更换，更换出来的废活性炭为有机溶剂使用过程产生的载体废物，</w:t>
      </w:r>
      <w:r>
        <w:rPr>
          <w:rFonts w:hint="eastAsia" w:hAnsi="宋体"/>
          <w:color w:val="000000"/>
          <w:lang w:eastAsia="zh-CN"/>
        </w:rPr>
        <w:t>属于</w:t>
      </w:r>
      <w:r>
        <w:rPr>
          <w:rFonts w:hint="eastAsia" w:hAnsi="宋体"/>
          <w:color w:val="000000"/>
        </w:rPr>
        <w:t>危险废物</w:t>
      </w:r>
      <w:r>
        <w:rPr>
          <w:rFonts w:hAnsi="宋体"/>
          <w:color w:val="000000"/>
        </w:rPr>
        <w:t>HW49</w:t>
      </w:r>
      <w:r>
        <w:rPr>
          <w:rFonts w:hint="eastAsia" w:hAnsi="宋体"/>
          <w:color w:val="000000"/>
        </w:rPr>
        <w:t>，交由有危险废物资质的公司处理。</w:t>
      </w:r>
    </w:p>
    <w:p>
      <w:pPr>
        <w:snapToGrid w:val="0"/>
        <w:spacing w:line="360" w:lineRule="auto"/>
        <w:ind w:firstLine="480" w:firstLineChars="200"/>
      </w:pPr>
      <w:r>
        <w:rPr>
          <w:rFonts w:hint="eastAsia"/>
        </w:rPr>
        <w:t>（</w:t>
      </w:r>
      <w:r>
        <w:t>4</w:t>
      </w:r>
      <w:r>
        <w:rPr>
          <w:rFonts w:hint="eastAsia"/>
        </w:rPr>
        <w:t>）</w:t>
      </w:r>
      <w:r>
        <w:rPr>
          <w:rFonts w:hint="eastAsia" w:hAnsi="宋体"/>
        </w:rPr>
        <w:t>煤渣：燃煤锅炉产生的煤渣</w:t>
      </w:r>
      <w:r>
        <w:rPr>
          <w:rFonts w:hint="eastAsia" w:ascii="宋体"/>
        </w:rPr>
        <w:t>属一般工业固体废物，将外运作为铺路材料。</w:t>
      </w:r>
    </w:p>
    <w:p>
      <w:pPr>
        <w:snapToGrid w:val="0"/>
        <w:spacing w:line="360" w:lineRule="auto"/>
        <w:ind w:firstLine="480" w:firstLineChars="200"/>
        <w:rPr>
          <w:rFonts w:hAnsi="宋体"/>
          <w:color w:val="000000"/>
        </w:rPr>
      </w:pPr>
      <w:r>
        <w:rPr>
          <w:rFonts w:hint="eastAsia" w:hAnsi="宋体"/>
        </w:rPr>
        <w:t>（</w:t>
      </w:r>
      <w:r>
        <w:rPr>
          <w:rFonts w:hAnsi="宋体"/>
        </w:rPr>
        <w:t>5</w:t>
      </w:r>
      <w:r>
        <w:rPr>
          <w:rFonts w:hint="eastAsia" w:hAnsi="宋体"/>
        </w:rPr>
        <w:t>）废反渗透膜：本项目纯水制备时将产生少量的废反渗透膜，属于一般废物，由环卫部门清运。</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6</w:t>
      </w:r>
      <w:r>
        <w:rPr>
          <w:rFonts w:hint="eastAsia" w:hAnsi="宋体"/>
          <w:color w:val="000000"/>
        </w:rPr>
        <w:t>）生活垃圾：厂区员工将产生一定数量的生活垃圾，交由环卫部门清运。</w:t>
      </w:r>
    </w:p>
    <w:p>
      <w:pPr>
        <w:snapToGrid w:val="0"/>
        <w:spacing w:line="360" w:lineRule="auto"/>
        <w:ind w:firstLine="480" w:firstLineChars="200"/>
      </w:pPr>
      <w:r>
        <w:rPr>
          <w:rFonts w:hint="eastAsia" w:hAnsi="宋体"/>
          <w:color w:val="000000"/>
        </w:rPr>
        <w:t>（</w:t>
      </w:r>
      <w:r>
        <w:rPr>
          <w:rFonts w:hAnsi="宋体"/>
          <w:color w:val="000000"/>
        </w:rPr>
        <w:t>7</w:t>
      </w:r>
      <w:r>
        <w:rPr>
          <w:rFonts w:hint="eastAsia" w:hAnsi="宋体"/>
          <w:color w:val="000000"/>
        </w:rPr>
        <w:t>）废水处理站污泥：本项目</w:t>
      </w:r>
      <w:r>
        <w:rPr>
          <w:rFonts w:hint="eastAsia" w:hAnsi="宋体"/>
        </w:rPr>
        <w:t>废水处理站污泥，脱水后交由环卫部门安全处理。</w:t>
      </w:r>
    </w:p>
    <w:p>
      <w:pPr>
        <w:pStyle w:val="14"/>
        <w:adjustRightInd w:val="0"/>
        <w:snapToGrid w:val="0"/>
        <w:spacing w:line="360" w:lineRule="auto"/>
        <w:ind w:firstLine="0"/>
        <w:rPr>
          <w:color w:val="000000"/>
        </w:rPr>
      </w:pPr>
      <w:r>
        <w:rPr>
          <w:color w:val="000000"/>
        </w:rPr>
        <w:t xml:space="preserve"> </w:t>
      </w:r>
      <w:r>
        <w:rPr>
          <w:rFonts w:hint="eastAsia"/>
          <w:b/>
          <w:bCs/>
          <w:color w:val="000000"/>
        </w:rPr>
        <w:t>二、纯水制备生产工艺</w:t>
      </w:r>
    </w:p>
    <w:p>
      <w:pPr>
        <w:pStyle w:val="14"/>
        <w:adjustRightInd w:val="0"/>
        <w:snapToGrid w:val="0"/>
        <w:spacing w:line="360" w:lineRule="auto"/>
        <w:ind w:firstLine="0"/>
        <w:rPr>
          <w:color w:val="000000"/>
        </w:rPr>
      </w:pPr>
      <w:r>
        <w:rPr>
          <w:color w:val="000000"/>
        </w:rPr>
        <w:t xml:space="preserve">  </w:t>
      </w:r>
      <w:r>
        <w:rPr>
          <w:rFonts w:hint="eastAsia"/>
          <w:color w:val="000000"/>
        </w:rPr>
        <w:t>本项目生产工艺环节所需用水为纯水，建设单位采用超滤和反渗透制备纯水工艺，纯水制备工艺流程图见图</w:t>
      </w:r>
      <w:r>
        <w:rPr>
          <w:color w:val="000000"/>
        </w:rPr>
        <w:t xml:space="preserve">3-4 </w:t>
      </w:r>
    </w:p>
    <w:p>
      <w:pPr>
        <w:pStyle w:val="14"/>
        <w:adjustRightInd w:val="0"/>
        <w:snapToGrid w:val="0"/>
        <w:spacing w:line="360" w:lineRule="auto"/>
        <w:ind w:firstLine="0"/>
        <w:jc w:val="center"/>
      </w:pPr>
      <w:r>
        <w:drawing>
          <wp:inline distT="0" distB="0" distL="114300" distR="114300">
            <wp:extent cx="5143500" cy="400050"/>
            <wp:effectExtent l="0" t="0" r="0" b="0"/>
            <wp:docPr id="6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
                    <pic:cNvPicPr>
                      <a:picLocks noChangeAspect="1"/>
                    </pic:cNvPicPr>
                  </pic:nvPicPr>
                  <pic:blipFill>
                    <a:blip r:embed="rId14"/>
                    <a:stretch>
                      <a:fillRect/>
                    </a:stretch>
                  </pic:blipFill>
                  <pic:spPr>
                    <a:xfrm>
                      <a:off x="0" y="0"/>
                      <a:ext cx="5143500" cy="400050"/>
                    </a:xfrm>
                    <a:prstGeom prst="rect">
                      <a:avLst/>
                    </a:prstGeom>
                    <a:noFill/>
                    <a:ln w="9525">
                      <a:noFill/>
                    </a:ln>
                  </pic:spPr>
                </pic:pic>
              </a:graphicData>
            </a:graphic>
          </wp:inline>
        </w:drawing>
      </w:r>
    </w:p>
    <w:p>
      <w:pPr>
        <w:pStyle w:val="14"/>
        <w:adjustRightInd w:val="0"/>
        <w:snapToGrid w:val="0"/>
        <w:spacing w:line="360" w:lineRule="auto"/>
        <w:ind w:firstLine="0"/>
        <w:jc w:val="center"/>
      </w:pPr>
      <w:r>
        <w:rPr>
          <w:rFonts w:hint="eastAsia"/>
        </w:rPr>
        <w:t>图</w:t>
      </w:r>
      <w:r>
        <w:t xml:space="preserve">3-4  </w:t>
      </w:r>
      <w:r>
        <w:rPr>
          <w:rFonts w:hint="eastAsia"/>
        </w:rPr>
        <w:t>纯水制备工艺流程</w:t>
      </w:r>
    </w:p>
    <w:p>
      <w:pPr>
        <w:pStyle w:val="14"/>
        <w:adjustRightInd w:val="0"/>
        <w:snapToGrid w:val="0"/>
        <w:spacing w:line="360" w:lineRule="auto"/>
        <w:ind w:firstLine="0"/>
        <w:rPr>
          <w:szCs w:val="24"/>
        </w:rPr>
      </w:pPr>
      <w:r>
        <w:t xml:space="preserve">  </w:t>
      </w:r>
      <w:r>
        <w:rPr>
          <w:rFonts w:hint="eastAsia"/>
        </w:rPr>
        <w:t>纯水制备的产污环节为：</w:t>
      </w:r>
      <w:r>
        <w:rPr>
          <w:rFonts w:hint="eastAsia"/>
          <w:szCs w:val="24"/>
        </w:rPr>
        <w:t>纯水制备过程中无废气的产生；纯水制备过程将产生洁净下水，回用于车间清洗用水；会产生机械噪声；产生的固废主要为反渗透膜，属于一般废物，由环卫部门清运。</w:t>
      </w:r>
    </w:p>
    <w:p>
      <w:pPr>
        <w:pStyle w:val="4"/>
      </w:pPr>
      <w:bookmarkStart w:id="8" w:name="_Toc2388"/>
      <w:bookmarkStart w:id="9" w:name="_Toc170824617"/>
      <w:bookmarkStart w:id="10" w:name="_Toc83435617"/>
      <w:bookmarkStart w:id="11" w:name="_Toc163959232"/>
      <w:bookmarkStart w:id="12" w:name="_Toc114571277"/>
      <w:bookmarkStart w:id="13" w:name="_Toc170874519"/>
      <w:bookmarkStart w:id="14" w:name="_Toc119378149"/>
      <w:bookmarkStart w:id="15" w:name="_Toc114562717"/>
      <w:r>
        <w:t>4</w:t>
      </w:r>
      <w:r>
        <w:rPr>
          <w:rFonts w:hint="eastAsia"/>
        </w:rPr>
        <w:t>、环境保护设施</w:t>
      </w:r>
      <w:bookmarkEnd w:id="8"/>
    </w:p>
    <w:p>
      <w:pPr>
        <w:pStyle w:val="4"/>
      </w:pPr>
      <w:bookmarkStart w:id="16" w:name="_Toc13615"/>
      <w:r>
        <w:t>4.1</w:t>
      </w:r>
      <w:r>
        <w:rPr>
          <w:rFonts w:hint="eastAsia"/>
        </w:rPr>
        <w:t>污染物治理</w:t>
      </w:r>
      <w:r>
        <w:t>/</w:t>
      </w:r>
      <w:r>
        <w:rPr>
          <w:rFonts w:hint="eastAsia"/>
        </w:rPr>
        <w:t>处置措施</w:t>
      </w:r>
      <w:bookmarkEnd w:id="16"/>
    </w:p>
    <w:p>
      <w:pPr>
        <w:pStyle w:val="4"/>
      </w:pPr>
      <w:bookmarkStart w:id="17" w:name="_Toc20585"/>
      <w:r>
        <w:t>4.1.1</w:t>
      </w:r>
      <w:r>
        <w:rPr>
          <w:rFonts w:hint="eastAsia"/>
        </w:rPr>
        <w:t>废水</w:t>
      </w:r>
      <w:bookmarkEnd w:id="17"/>
    </w:p>
    <w:p>
      <w:pPr>
        <w:spacing w:line="420" w:lineRule="exact"/>
        <w:ind w:firstLine="480" w:firstLineChars="200"/>
        <w:rPr>
          <w:color w:val="000000"/>
          <w:szCs w:val="28"/>
        </w:rPr>
      </w:pPr>
      <w:r>
        <w:rPr>
          <w:rFonts w:hint="eastAsia"/>
          <w:color w:val="000000"/>
          <w:szCs w:val="28"/>
        </w:rPr>
        <w:t>项目废水主要为生产废水、生活污水和罐区初期雨水，均进入厂区污水处理站进行处理达到广东省地方标准《水污染物排放限值》</w:t>
      </w:r>
      <w:r>
        <w:rPr>
          <w:rFonts w:hint="eastAsia" w:hAnsi="宋体"/>
        </w:rPr>
        <w:t>（</w:t>
      </w:r>
      <w:r>
        <w:t>DB 44/26-2001</w:t>
      </w:r>
      <w:r>
        <w:rPr>
          <w:rFonts w:hint="eastAsia" w:hAnsi="宋体"/>
        </w:rPr>
        <w:t>）第二时段一级标准后，通过排污管网排放至横石水</w:t>
      </w:r>
      <w:r>
        <w:rPr>
          <w:rFonts w:hint="eastAsia"/>
          <w:color w:val="000000"/>
          <w:szCs w:val="28"/>
        </w:rPr>
        <w:t>。生产废水包括</w:t>
      </w:r>
      <w:r>
        <w:rPr>
          <w:rFonts w:hint="eastAsia"/>
        </w:rPr>
        <w:t>烷基化反应生产废水、水提纯废水、车间清洗废水、凉水塔清洗废水、树脂清洗废水</w:t>
      </w:r>
      <w:r>
        <w:rPr>
          <w:rFonts w:hint="eastAsia"/>
          <w:color w:val="000000"/>
          <w:szCs w:val="28"/>
        </w:rPr>
        <w:t>，主要污染物是化学需氧量、氨氮、生化需氧量，悬浮物等；生活污水包括食堂废水和办公废水，主要污染物是化学需氧量、氨氮、生化需氧量，悬浮物、动植物油等，经三级化粪池处理后进入污水处理站；初期雨水量约为</w:t>
      </w:r>
      <w:r>
        <w:rPr>
          <w:color w:val="000000"/>
          <w:szCs w:val="28"/>
        </w:rPr>
        <w:t>51.07 m</w:t>
      </w:r>
      <w:r>
        <w:rPr>
          <w:color w:val="000000"/>
          <w:szCs w:val="28"/>
          <w:vertAlign w:val="superscript"/>
        </w:rPr>
        <w:t>3</w:t>
      </w:r>
      <w:r>
        <w:rPr>
          <w:color w:val="000000"/>
          <w:szCs w:val="28"/>
        </w:rPr>
        <w:t>/a</w:t>
      </w:r>
      <w:r>
        <w:rPr>
          <w:rFonts w:hint="eastAsia"/>
          <w:color w:val="000000"/>
          <w:szCs w:val="28"/>
        </w:rPr>
        <w:t>，主要污染物是化学需氧量、生化需氧量、悬浮物等。</w:t>
      </w:r>
    </w:p>
    <w:p>
      <w:pPr>
        <w:adjustRightInd w:val="0"/>
        <w:snapToGrid w:val="0"/>
        <w:spacing w:line="420" w:lineRule="exact"/>
        <w:ind w:firstLine="480" w:firstLineChars="200"/>
        <w:rPr>
          <w:rFonts w:ascii="??_GB2312" w:hAnsi="宋体"/>
          <w:color w:val="000000"/>
          <w:kern w:val="0"/>
          <w:szCs w:val="28"/>
        </w:rPr>
      </w:pPr>
      <w:r>
        <w:rPr>
          <w:rFonts w:hint="eastAsia"/>
          <w:color w:val="000000"/>
          <w:szCs w:val="28"/>
        </w:rPr>
        <w:t>本项目与翁源广业清怡食品科技有限公司年产</w:t>
      </w:r>
      <w:r>
        <w:rPr>
          <w:color w:val="000000"/>
          <w:szCs w:val="28"/>
        </w:rPr>
        <w:t>300</w:t>
      </w:r>
      <w:r>
        <w:rPr>
          <w:rFonts w:hint="eastAsia"/>
          <w:color w:val="000000"/>
          <w:szCs w:val="28"/>
        </w:rPr>
        <w:t>吨三氯蔗糖建设项目共用一个污水处理站，污水处理效率达</w:t>
      </w:r>
      <w:r>
        <w:rPr>
          <w:color w:val="000000"/>
          <w:szCs w:val="28"/>
        </w:rPr>
        <w:t>2000m³/d</w:t>
      </w:r>
      <w:r>
        <w:rPr>
          <w:rFonts w:hint="eastAsia"/>
          <w:color w:val="000000"/>
          <w:szCs w:val="28"/>
        </w:rPr>
        <w:t>，采用</w:t>
      </w:r>
      <w:r>
        <w:rPr>
          <w:color w:val="000000"/>
          <w:szCs w:val="28"/>
        </w:rPr>
        <w:t>IC</w:t>
      </w:r>
      <w:r>
        <w:rPr>
          <w:rFonts w:hint="eastAsia"/>
          <w:color w:val="000000"/>
          <w:szCs w:val="28"/>
        </w:rPr>
        <w:t>厌氧反应</w:t>
      </w:r>
      <w:r>
        <w:rPr>
          <w:color w:val="000000"/>
          <w:szCs w:val="28"/>
        </w:rPr>
        <w:t>+</w:t>
      </w:r>
      <w:r>
        <w:rPr>
          <w:rFonts w:hint="eastAsia"/>
          <w:color w:val="000000"/>
          <w:szCs w:val="28"/>
        </w:rPr>
        <w:t>氧化</w:t>
      </w:r>
      <w:r>
        <w:rPr>
          <w:color w:val="000000"/>
          <w:szCs w:val="28"/>
        </w:rPr>
        <w:t>+</w:t>
      </w:r>
      <w:r>
        <w:rPr>
          <w:rFonts w:hint="eastAsia"/>
          <w:color w:val="000000"/>
          <w:szCs w:val="28"/>
        </w:rPr>
        <w:t>硝化</w:t>
      </w:r>
      <w:r>
        <w:rPr>
          <w:color w:val="000000"/>
          <w:szCs w:val="28"/>
        </w:rPr>
        <w:t>+</w:t>
      </w:r>
      <w:r>
        <w:rPr>
          <w:rFonts w:hint="eastAsia"/>
          <w:color w:val="000000"/>
          <w:szCs w:val="28"/>
        </w:rPr>
        <w:t>反硝化处理工艺处理公司的生产废水、生活污水和初期雨水。</w:t>
      </w:r>
      <w:r>
        <w:rPr>
          <w:rFonts w:hint="eastAsia"/>
          <w:color w:val="000000"/>
          <w:kern w:val="0"/>
          <w:szCs w:val="28"/>
        </w:rPr>
        <w:t>处理后的废水经市政管网排入横石水，产生的污泥经板框压滤机滤干后运住当地的垃圾填埋场处理</w:t>
      </w:r>
      <w:r>
        <w:rPr>
          <w:rFonts w:hint="eastAsia" w:ascii="??_GB2312" w:hAnsi="宋体"/>
          <w:color w:val="000000"/>
          <w:kern w:val="0"/>
          <w:szCs w:val="28"/>
        </w:rPr>
        <w:t>。</w:t>
      </w:r>
      <w:r>
        <w:rPr>
          <w:rFonts w:hint="eastAsia"/>
          <w:color w:val="000000"/>
          <w:kern w:val="0"/>
          <w:szCs w:val="28"/>
        </w:rPr>
        <w:t>废水处理站工艺流程见图</w:t>
      </w:r>
      <w:r>
        <w:rPr>
          <w:color w:val="000000"/>
          <w:kern w:val="0"/>
          <w:szCs w:val="28"/>
        </w:rPr>
        <w:t>4-1</w:t>
      </w:r>
      <w:r>
        <w:rPr>
          <w:rFonts w:hint="eastAsia"/>
          <w:color w:val="000000"/>
          <w:kern w:val="0"/>
          <w:szCs w:val="28"/>
        </w:rPr>
        <w:t>，本项目废水排放情况见表</w:t>
      </w:r>
      <w:r>
        <w:rPr>
          <w:color w:val="000000"/>
          <w:kern w:val="0"/>
          <w:szCs w:val="28"/>
        </w:rPr>
        <w:t>4-1</w:t>
      </w:r>
      <w:r>
        <w:rPr>
          <w:rFonts w:hint="eastAsia"/>
          <w:color w:val="000000"/>
          <w:kern w:val="0"/>
          <w:szCs w:val="28"/>
        </w:rPr>
        <w:t>和图</w:t>
      </w:r>
      <w:r>
        <w:rPr>
          <w:color w:val="000000"/>
          <w:kern w:val="0"/>
          <w:szCs w:val="28"/>
        </w:rPr>
        <w:t>4-2</w:t>
      </w:r>
      <w:r>
        <w:rPr>
          <w:rFonts w:hint="eastAsia"/>
          <w:color w:val="000000"/>
          <w:kern w:val="0"/>
          <w:szCs w:val="28"/>
        </w:rPr>
        <w:t>。</w:t>
      </w:r>
    </w:p>
    <w:p>
      <w:pPr>
        <w:spacing w:line="360" w:lineRule="auto"/>
        <w:ind w:firstLine="480" w:firstLineChars="200"/>
        <w:jc w:val="center"/>
        <w:rPr>
          <w:kern w:val="0"/>
        </w:rPr>
      </w:pPr>
      <w:r>
        <w:rPr>
          <w:kern w:val="0"/>
        </w:rPr>
        <mc:AlternateContent>
          <mc:Choice Requires="wpc">
            <w:drawing>
              <wp:inline distT="0" distB="0" distL="114300" distR="114300">
                <wp:extent cx="5257800" cy="1697355"/>
                <wp:effectExtent l="0" t="0" r="0" b="0"/>
                <wp:docPr id="40" name="画布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w="9525">
                          <a:noFill/>
                        </a:ln>
                      </wpc:whole>
                      <wps:wsp>
                        <wps:cNvPr id="21" name="矩形 31"/>
                        <wps:cNvSpPr/>
                        <wps:spPr>
                          <a:xfrm>
                            <a:off x="82518" y="529557"/>
                            <a:ext cx="603187" cy="84174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szCs w:val="21"/>
                                </w:rPr>
                              </w:pPr>
                              <w:r>
                                <w:rPr>
                                  <w:rFonts w:hint="eastAsia"/>
                                  <w:b/>
                                  <w:sz w:val="21"/>
                                  <w:szCs w:val="21"/>
                                </w:rPr>
                                <w:t>来自各车间的工艺废水</w:t>
                              </w:r>
                            </w:p>
                          </w:txbxContent>
                        </wps:txbx>
                        <wps:bodyPr lIns="18000" tIns="45720" rIns="18000" bIns="45720" upright="1"/>
                      </wps:wsp>
                      <wps:wsp>
                        <wps:cNvPr id="22" name="直线 32"/>
                        <wps:cNvCnPr/>
                        <wps:spPr>
                          <a:xfrm>
                            <a:off x="685705" y="826430"/>
                            <a:ext cx="228568" cy="729"/>
                          </a:xfrm>
                          <a:prstGeom prst="line">
                            <a:avLst/>
                          </a:prstGeom>
                          <a:ln w="9525" cap="flat" cmpd="sng">
                            <a:solidFill>
                              <a:srgbClr val="000000"/>
                            </a:solidFill>
                            <a:prstDash val="solid"/>
                            <a:headEnd type="none" w="med" len="med"/>
                            <a:tailEnd type="triangle" w="med" len="med"/>
                          </a:ln>
                        </wps:spPr>
                        <wps:bodyPr upright="1"/>
                      </wps:wsp>
                      <wps:wsp>
                        <wps:cNvPr id="23" name="直线 33"/>
                        <wps:cNvCnPr/>
                        <wps:spPr>
                          <a:xfrm>
                            <a:off x="1142841" y="826430"/>
                            <a:ext cx="228568" cy="729"/>
                          </a:xfrm>
                          <a:prstGeom prst="line">
                            <a:avLst/>
                          </a:prstGeom>
                          <a:ln w="9525" cap="flat" cmpd="sng">
                            <a:solidFill>
                              <a:srgbClr val="000000"/>
                            </a:solidFill>
                            <a:prstDash val="solid"/>
                            <a:headEnd type="none" w="med" len="med"/>
                            <a:tailEnd type="triangle" w="med" len="med"/>
                          </a:ln>
                        </wps:spPr>
                        <wps:bodyPr upright="1"/>
                      </wps:wsp>
                      <wps:wsp>
                        <wps:cNvPr id="24" name="直线 34"/>
                        <wps:cNvCnPr/>
                        <wps:spPr>
                          <a:xfrm>
                            <a:off x="1599978" y="826430"/>
                            <a:ext cx="228568" cy="729"/>
                          </a:xfrm>
                          <a:prstGeom prst="line">
                            <a:avLst/>
                          </a:prstGeom>
                          <a:ln w="9525" cap="flat" cmpd="sng">
                            <a:solidFill>
                              <a:srgbClr val="000000"/>
                            </a:solidFill>
                            <a:prstDash val="solid"/>
                            <a:headEnd type="none" w="med" len="med"/>
                            <a:tailEnd type="triangle" w="med" len="med"/>
                          </a:ln>
                        </wps:spPr>
                        <wps:bodyPr upright="1"/>
                      </wps:wsp>
                      <wps:wsp>
                        <wps:cNvPr id="25" name="直线 35"/>
                        <wps:cNvCnPr/>
                        <wps:spPr>
                          <a:xfrm>
                            <a:off x="2057114" y="826430"/>
                            <a:ext cx="228568" cy="729"/>
                          </a:xfrm>
                          <a:prstGeom prst="line">
                            <a:avLst/>
                          </a:prstGeom>
                          <a:ln w="9525" cap="flat" cmpd="sng">
                            <a:solidFill>
                              <a:srgbClr val="000000"/>
                            </a:solidFill>
                            <a:prstDash val="solid"/>
                            <a:headEnd type="none" w="med" len="med"/>
                            <a:tailEnd type="triangle" w="med" len="med"/>
                          </a:ln>
                        </wps:spPr>
                        <wps:bodyPr upright="1"/>
                      </wps:wsp>
                      <wps:wsp>
                        <wps:cNvPr id="26" name="直线 36"/>
                        <wps:cNvCnPr/>
                        <wps:spPr>
                          <a:xfrm>
                            <a:off x="2972118" y="826430"/>
                            <a:ext cx="228568" cy="729"/>
                          </a:xfrm>
                          <a:prstGeom prst="line">
                            <a:avLst/>
                          </a:prstGeom>
                          <a:ln w="9525" cap="flat" cmpd="sng">
                            <a:solidFill>
                              <a:srgbClr val="000000"/>
                            </a:solidFill>
                            <a:prstDash val="solid"/>
                            <a:headEnd type="none" w="med" len="med"/>
                            <a:tailEnd type="triangle" w="med" len="med"/>
                          </a:ln>
                        </wps:spPr>
                        <wps:bodyPr upright="1"/>
                      </wps:wsp>
                      <wps:wsp>
                        <wps:cNvPr id="27" name="直线 37"/>
                        <wps:cNvCnPr/>
                        <wps:spPr>
                          <a:xfrm>
                            <a:off x="3429254" y="826430"/>
                            <a:ext cx="228568" cy="729"/>
                          </a:xfrm>
                          <a:prstGeom prst="line">
                            <a:avLst/>
                          </a:prstGeom>
                          <a:ln w="9525" cap="flat" cmpd="sng">
                            <a:solidFill>
                              <a:srgbClr val="000000"/>
                            </a:solidFill>
                            <a:prstDash val="solid"/>
                            <a:headEnd type="none" w="med" len="med"/>
                            <a:tailEnd type="triangle" w="med" len="med"/>
                          </a:ln>
                        </wps:spPr>
                        <wps:bodyPr upright="1"/>
                      </wps:wsp>
                      <wps:wsp>
                        <wps:cNvPr id="28" name="矩形 38"/>
                        <wps:cNvSpPr/>
                        <wps:spPr>
                          <a:xfrm>
                            <a:off x="914273" y="529557"/>
                            <a:ext cx="228568" cy="1042338"/>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r>
                                <w:rPr>
                                  <w:rFonts w:hint="eastAsia"/>
                                  <w:b/>
                                  <w:sz w:val="21"/>
                                  <w:szCs w:val="21"/>
                                </w:rPr>
                                <w:t>亚铁混凝池</w:t>
                              </w:r>
                            </w:p>
                          </w:txbxContent>
                        </wps:txbx>
                        <wps:bodyPr lIns="18000" tIns="45720" rIns="18000" bIns="45720" upright="1"/>
                      </wps:wsp>
                      <wps:wsp>
                        <wps:cNvPr id="29" name="矩形 39"/>
                        <wps:cNvSpPr/>
                        <wps:spPr>
                          <a:xfrm>
                            <a:off x="1371409" y="529557"/>
                            <a:ext cx="228568" cy="1051820"/>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r>
                                <w:rPr>
                                  <w:rFonts w:hint="eastAsia"/>
                                  <w:b/>
                                  <w:sz w:val="21"/>
                                  <w:szCs w:val="21"/>
                                </w:rPr>
                                <w:t>絮凝沉淀池</w:t>
                              </w:r>
                            </w:p>
                          </w:txbxContent>
                        </wps:txbx>
                        <wps:bodyPr lIns="18000" tIns="45720" rIns="18000" bIns="45720" upright="1"/>
                      </wps:wsp>
                      <wps:wsp>
                        <wps:cNvPr id="30" name="矩形 40"/>
                        <wps:cNvSpPr/>
                        <wps:spPr>
                          <a:xfrm>
                            <a:off x="1838039" y="320214"/>
                            <a:ext cx="228568" cy="1280857"/>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sz w:val="21"/>
                                  <w:szCs w:val="21"/>
                                </w:rPr>
                              </w:pPr>
                              <w:r>
                                <w:rPr>
                                  <w:b/>
                                  <w:sz w:val="21"/>
                                  <w:szCs w:val="21"/>
                                </w:rPr>
                                <w:t>IC</w:t>
                              </w:r>
                            </w:p>
                            <w:p>
                              <w:pPr>
                                <w:jc w:val="center"/>
                                <w:rPr>
                                  <w:b/>
                                </w:rPr>
                              </w:pPr>
                              <w:r>
                                <w:rPr>
                                  <w:rFonts w:hint="eastAsia"/>
                                  <w:b/>
                                  <w:sz w:val="21"/>
                                  <w:szCs w:val="21"/>
                                </w:rPr>
                                <w:t>厌氧反应器塔</w:t>
                              </w:r>
                            </w:p>
                          </w:txbxContent>
                        </wps:txbx>
                        <wps:bodyPr lIns="18000" tIns="45720" rIns="18000" bIns="45720" upright="1"/>
                      </wps:wsp>
                      <wps:wsp>
                        <wps:cNvPr id="31" name="直线 41"/>
                        <wps:cNvCnPr/>
                        <wps:spPr>
                          <a:xfrm>
                            <a:off x="2514251" y="826430"/>
                            <a:ext cx="229299" cy="729"/>
                          </a:xfrm>
                          <a:prstGeom prst="line">
                            <a:avLst/>
                          </a:prstGeom>
                          <a:ln w="9525" cap="flat" cmpd="sng">
                            <a:solidFill>
                              <a:srgbClr val="000000"/>
                            </a:solidFill>
                            <a:prstDash val="solid"/>
                            <a:headEnd type="none" w="med" len="med"/>
                            <a:tailEnd type="triangle" w="med" len="med"/>
                          </a:ln>
                        </wps:spPr>
                        <wps:bodyPr upright="1"/>
                      </wps:wsp>
                      <wps:wsp>
                        <wps:cNvPr id="32" name="矩形 42"/>
                        <wps:cNvSpPr/>
                        <wps:spPr>
                          <a:xfrm>
                            <a:off x="2755964" y="480686"/>
                            <a:ext cx="226378" cy="1137892"/>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r>
                                <w:rPr>
                                  <w:rFonts w:hint="eastAsia"/>
                                  <w:b/>
                                  <w:sz w:val="21"/>
                                  <w:szCs w:val="21"/>
                                </w:rPr>
                                <w:t>硝化</w:t>
                              </w:r>
                              <w:r>
                                <w:rPr>
                                  <w:b/>
                                  <w:sz w:val="21"/>
                                  <w:szCs w:val="21"/>
                                </w:rPr>
                                <w:t>&amp;</w:t>
                              </w:r>
                              <w:r>
                                <w:rPr>
                                  <w:rFonts w:hint="eastAsia"/>
                                  <w:b/>
                                  <w:sz w:val="21"/>
                                  <w:szCs w:val="21"/>
                                </w:rPr>
                                <w:t>反硝化</w:t>
                              </w:r>
                            </w:p>
                          </w:txbxContent>
                        </wps:txbx>
                        <wps:bodyPr lIns="18000" tIns="45720" rIns="18000" bIns="45720" upright="1"/>
                      </wps:wsp>
                      <wps:wsp>
                        <wps:cNvPr id="33" name="矩形 43"/>
                        <wps:cNvSpPr/>
                        <wps:spPr>
                          <a:xfrm>
                            <a:off x="2311241" y="594475"/>
                            <a:ext cx="228568" cy="9956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r>
                                <w:rPr>
                                  <w:rFonts w:hint="eastAsia"/>
                                  <w:b/>
                                  <w:sz w:val="21"/>
                                  <w:szCs w:val="21"/>
                                </w:rPr>
                                <w:t>接触氧化池</w:t>
                              </w:r>
                            </w:p>
                          </w:txbxContent>
                        </wps:txbx>
                        <wps:bodyPr lIns="18000" tIns="45720" rIns="18000" bIns="45720" upright="1"/>
                      </wps:wsp>
                      <wps:wsp>
                        <wps:cNvPr id="34" name="矩形 44"/>
                        <wps:cNvSpPr/>
                        <wps:spPr>
                          <a:xfrm>
                            <a:off x="3200686" y="594475"/>
                            <a:ext cx="228568" cy="99565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sz w:val="21"/>
                                  <w:szCs w:val="21"/>
                                </w:rPr>
                              </w:pPr>
                              <w:r>
                                <w:rPr>
                                  <w:rFonts w:hint="eastAsia"/>
                                  <w:b/>
                                  <w:sz w:val="21"/>
                                  <w:szCs w:val="21"/>
                                </w:rPr>
                                <w:t>二沉池</w:t>
                              </w:r>
                            </w:p>
                          </w:txbxContent>
                        </wps:txbx>
                        <wps:bodyPr lIns="18000" tIns="45720" rIns="18000" bIns="45720" upright="1"/>
                      </wps:wsp>
                      <wps:wsp>
                        <wps:cNvPr id="35" name="直线 45"/>
                        <wps:cNvCnPr/>
                        <wps:spPr>
                          <a:xfrm>
                            <a:off x="3886391" y="826430"/>
                            <a:ext cx="228568" cy="729"/>
                          </a:xfrm>
                          <a:prstGeom prst="line">
                            <a:avLst/>
                          </a:prstGeom>
                          <a:ln w="9525" cap="flat" cmpd="sng">
                            <a:solidFill>
                              <a:srgbClr val="000000"/>
                            </a:solidFill>
                            <a:prstDash val="solid"/>
                            <a:headEnd type="none" w="med" len="med"/>
                            <a:tailEnd type="triangle" w="med" len="med"/>
                          </a:ln>
                        </wps:spPr>
                        <wps:bodyPr upright="1"/>
                      </wps:wsp>
                      <wps:wsp>
                        <wps:cNvPr id="36" name="矩形 46"/>
                        <wps:cNvSpPr/>
                        <wps:spPr>
                          <a:xfrm>
                            <a:off x="3644678" y="356685"/>
                            <a:ext cx="227108" cy="116633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b/>
                                </w:rPr>
                              </w:pPr>
                              <w:r>
                                <w:rPr>
                                  <w:rFonts w:hint="eastAsia"/>
                                  <w:b/>
                                  <w:sz w:val="21"/>
                                  <w:szCs w:val="21"/>
                                </w:rPr>
                                <w:t>曝气生物滤</w:t>
                              </w:r>
                              <w:r>
                                <w:rPr>
                                  <w:rFonts w:hint="eastAsia"/>
                                  <w:b/>
                                </w:rPr>
                                <w:t>池</w:t>
                              </w:r>
                            </w:p>
                          </w:txbxContent>
                        </wps:txbx>
                        <wps:bodyPr lIns="18000" tIns="45720" rIns="18000" bIns="45720" upright="1"/>
                      </wps:wsp>
                      <wps:wsp>
                        <wps:cNvPr id="37" name="矩形 47"/>
                        <wps:cNvSpPr/>
                        <wps:spPr>
                          <a:xfrm>
                            <a:off x="4089400" y="693676"/>
                            <a:ext cx="800354" cy="296873"/>
                          </a:xfrm>
                          <a:prstGeom prst="rect">
                            <a:avLst/>
                          </a:prstGeom>
                          <a:noFill/>
                          <a:ln w="9525">
                            <a:noFill/>
                          </a:ln>
                        </wps:spPr>
                        <wps:txbx>
                          <w:txbxContent>
                            <w:p>
                              <w:pPr>
                                <w:rPr>
                                  <w:b/>
                                  <w:szCs w:val="21"/>
                                </w:rPr>
                              </w:pPr>
                              <w:r>
                                <w:rPr>
                                  <w:rFonts w:hint="eastAsia"/>
                                  <w:b/>
                                  <w:sz w:val="21"/>
                                  <w:szCs w:val="21"/>
                                </w:rPr>
                                <w:t>达标排放</w:t>
                              </w:r>
                            </w:p>
                          </w:txbxContent>
                        </wps:txbx>
                        <wps:bodyPr upright="1"/>
                      </wps:wsp>
                      <wps:wsp>
                        <wps:cNvPr id="38" name="矩形 48"/>
                        <wps:cNvSpPr/>
                        <wps:spPr>
                          <a:xfrm>
                            <a:off x="1867249" y="99201"/>
                            <a:ext cx="1090994" cy="297602"/>
                          </a:xfrm>
                          <a:prstGeom prst="rect">
                            <a:avLst/>
                          </a:prstGeom>
                          <a:noFill/>
                          <a:ln w="9525">
                            <a:noFill/>
                          </a:ln>
                        </wps:spPr>
                        <wps:txbx>
                          <w:txbxContent>
                            <w:p>
                              <w:pPr>
                                <w:jc w:val="center"/>
                                <w:rPr>
                                  <w:b/>
                                  <w:szCs w:val="21"/>
                                </w:rPr>
                              </w:pPr>
                              <w:r>
                                <w:rPr>
                                  <w:rFonts w:hint="eastAsia"/>
                                  <w:b/>
                                </w:rPr>
                                <w:t>生活及锅炉</w:t>
                              </w:r>
                              <w:r>
                                <w:rPr>
                                  <w:rFonts w:hint="eastAsia"/>
                                  <w:b/>
                                  <w:szCs w:val="21"/>
                                </w:rPr>
                                <w:t>水</w:t>
                              </w:r>
                            </w:p>
                          </w:txbxContent>
                        </wps:txbx>
                        <wps:bodyPr upright="1"/>
                      </wps:wsp>
                      <wps:wsp>
                        <wps:cNvPr id="39" name="直线 49"/>
                        <wps:cNvCnPr/>
                        <wps:spPr>
                          <a:xfrm>
                            <a:off x="2400332" y="396074"/>
                            <a:ext cx="730" cy="220284"/>
                          </a:xfrm>
                          <a:prstGeom prst="line">
                            <a:avLst/>
                          </a:prstGeom>
                          <a:ln w="9525" cap="flat" cmpd="sng">
                            <a:solidFill>
                              <a:srgbClr val="000000"/>
                            </a:solidFill>
                            <a:prstDash val="solid"/>
                            <a:headEnd type="none" w="med" len="med"/>
                            <a:tailEnd type="triangle" w="med" len="med"/>
                          </a:ln>
                        </wps:spPr>
                        <wps:bodyPr upright="1"/>
                      </wps:wsp>
                    </wpc:wpc>
                  </a:graphicData>
                </a:graphic>
              </wp:inline>
            </w:drawing>
          </mc:Choice>
          <mc:Fallback>
            <w:pict>
              <v:group id="画布 29" o:spid="_x0000_s1026" o:spt="203" style="height:133.65pt;width:414pt;" coordsize="5257800,1697355" editas="canvas" o:gfxdata="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">
                <o:lock v:ext="edit" aspectratio="f"/>
                <v:shape id="画布 29" o:spid="_x0000_s1026" style="position:absolute;left:0;top:0;height:1697355;width:5257800;" filled="f" stroked="f" coordsize="21600,21600" o:gfxdata="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">
                  <v:fill on="f" focussize="0,0"/>
                  <v:stroke on="f"/>
                  <v:imagedata o:title=""/>
                  <o:lock v:ext="edit" aspectratio="t"/>
                </v:shape>
                <v:rect id="矩形 31" o:spid="_x0000_s1026" o:spt="1" style="position:absolute;left:82518;top:529557;height:841748;width:603187;"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&#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iD2ZLTAAAABQEAAA8AAAAAAAAAAQAgAAAAIgAAAGRy&#10;cy9kb3ducmV2LnhtbFBLAQIUABQAAAAIAIdO4kDlKYxHCgIAABkEAAAOAAAAAAAAAAEAIAAAACIB&#10;AABkcnMvZTJvRG9jLnhtbFBLBQYAAAAABgAGAFkBAACeBQAAAAA=&#10;">
                  <v:fill on="t" focussize="0,0"/>
                  <v:stroke color="#000000" joinstyle="miter"/>
                  <v:imagedata o:title=""/>
                  <o:lock v:ext="edit" aspectratio="f"/>
                  <v:textbox inset="0.5mm,1.27mm,0.5mm,1.27mm">
                    <w:txbxContent>
                      <w:p>
                        <w:pPr>
                          <w:jc w:val="center"/>
                          <w:rPr>
                            <w:b/>
                            <w:szCs w:val="21"/>
                          </w:rPr>
                        </w:pPr>
                        <w:r>
                          <w:rPr>
                            <w:rFonts w:hint="eastAsia"/>
                            <w:b/>
                            <w:sz w:val="21"/>
                            <w:szCs w:val="21"/>
                          </w:rPr>
                          <w:t>来自各车间的工艺废水</w:t>
                        </w:r>
                      </w:p>
                    </w:txbxContent>
                  </v:textbox>
                </v:rect>
                <v:line id="直线 32" o:spid="_x0000_s1026" o:spt="20" style="position:absolute;left:685705;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gMTPdYAAAAFAQAA&#10;DwAAAAAAAAABACAAAAAiAAAAZHJzL2Rvd25yZXYueG1sUEsBAhQAFAAAAAgAh07iQFPa7yriAQAA&#10;ngMAAA4AAAAAAAAAAQAgAAAAJQEAAGRycy9lMm9Eb2MueG1sUEsFBgAAAAAGAAYAWQEAAHkFAAAA&#10;AA==&#10;">
                  <v:fill on="f" focussize="0,0"/>
                  <v:stroke color="#000000" joinstyle="round" endarrow="block"/>
                  <v:imagedata o:title=""/>
                  <o:lock v:ext="edit" aspectratio="f"/>
                </v:line>
                <v:line id="直线 33" o:spid="_x0000_s1026" o:spt="20" style="position:absolute;left:1142841;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gMTPdYAAAAFAQAA&#10;DwAAAAAAAAABACAAAAAiAAAAZHJzL2Rvd25yZXYueG1sUEsBAhQAFAAAAAgAh07iQDkTRjriAQAA&#10;nwMAAA4AAAAAAAAAAQAgAAAAJQEAAGRycy9lMm9Eb2MueG1sUEsFBgAAAAAGAAYAWQEAAHkFAAAA&#10;AA==&#10;">
                  <v:fill on="f" focussize="0,0"/>
                  <v:stroke color="#000000" joinstyle="round" endarrow="block"/>
                  <v:imagedata o:title=""/>
                  <o:lock v:ext="edit" aspectratio="f"/>
                </v:line>
                <v:line id="直线 34" o:spid="_x0000_s1026" o:spt="20" style="position:absolute;left:1599978;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gMTPdYAAAAFAQAA&#10;DwAAAAAAAAABACAAAAAiAAAAZHJzL2Rvd25yZXYueG1sUEsBAhQAFAAAAAgAh07iQGZ4uqLiAQAA&#10;nwMAAA4AAAAAAAAAAQAgAAAAJQEAAGRycy9lMm9Eb2MueG1sUEsFBgAAAAAGAAYAWQEAAHkFAAAA&#10;AA==&#10;">
                  <v:fill on="f" focussize="0,0"/>
                  <v:stroke color="#000000" joinstyle="round" endarrow="block"/>
                  <v:imagedata o:title=""/>
                  <o:lock v:ext="edit" aspectratio="f"/>
                </v:line>
                <v:line id="直线 35" o:spid="_x0000_s1026" o:spt="20" style="position:absolute;left:2057114;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WAxM91gAAAAUBAAAP&#10;AAAAAAAAAAEAIAAAACIAAABkcnMvZG93bnJldi54bWxQSwECFAAUAAAACACHTuJAoYbGP+EBAACf&#10;AwAADgAAAAAAAAABACAAAAAlAQAAZHJzL2Uyb0RvYy54bWxQSwUGAAAAAAYABgBZAQAAeAUAAAAA&#10;">
                  <v:fill on="f" focussize="0,0"/>
                  <v:stroke color="#000000" joinstyle="round" endarrow="block"/>
                  <v:imagedata o:title=""/>
                  <o:lock v:ext="edit" aspectratio="f"/>
                </v:line>
                <v:line id="直线 36" o:spid="_x0000_s1026" o:spt="20" style="position:absolute;left:2972118;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WAxM91gAAAAUBAAAP&#10;AAAAAAAAAAEAIAAAACIAAABkcnMvZG93bnJldi54bWxQSwECFAAUAAAACACHTuJAOkvNzOEBAACf&#10;AwAADgAAAAAAAAABACAAAAAlAQAAZHJzL2Uyb0RvYy54bWxQSwUGAAAAAAYABgBZAQAAeAUAAAAA&#10;">
                  <v:fill on="f" focussize="0,0"/>
                  <v:stroke color="#000000" joinstyle="round" endarrow="block"/>
                  <v:imagedata o:title=""/>
                  <o:lock v:ext="edit" aspectratio="f"/>
                </v:line>
                <v:line id="直线 37" o:spid="_x0000_s1026" o:spt="20" style="position:absolute;left:3429254;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WAxM91gAAAAUBAAAP&#10;AAAAAAAAAAEAIAAAACIAAABkcnMvZG93bnJldi54bWxQSwECFAAUAAAACACHTuJAa6TCy+EBAACf&#10;AwAADgAAAAAAAAABACAAAAAlAQAAZHJzL2Uyb0RvYy54bWxQSwUGAAAAAAYABgBZAQAAeAUAAAAA&#10;">
                  <v:fill on="f" focussize="0,0"/>
                  <v:stroke color="#000000" joinstyle="round" endarrow="block"/>
                  <v:imagedata o:title=""/>
                  <o:lock v:ext="edit" aspectratio="f"/>
                </v:line>
                <v:rect id="矩形 38" o:spid="_x0000_s1026" o:spt="1" style="position:absolute;left:914273;top:529557;height:1042338;width:22856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GIPZktMAAAAFAQAADwAAAAAAAAABACAAAAAiAAAA&#10;ZHJzL2Rvd25yZXYueG1sUEsBAhQAFAAAAAgAh07iQN1CJhEMAgAAGwQAAA4AAAAAAAAAAQAgAAAA&#10;IgEAAGRycy9lMm9Eb2MueG1sUEsFBgAAAAAGAAYAWQEAAKAFAAAAAA==&#10;">
                  <v:fill on="t" focussize="0,0"/>
                  <v:stroke color="#000000" joinstyle="miter"/>
                  <v:imagedata o:title=""/>
                  <o:lock v:ext="edit" aspectratio="f"/>
                  <v:textbox inset="0.5mm,1.27mm,0.5mm,1.27mm">
                    <w:txbxContent>
                      <w:p>
                        <w:pPr>
                          <w:jc w:val="center"/>
                          <w:rPr>
                            <w:b/>
                          </w:rPr>
                        </w:pPr>
                        <w:r>
                          <w:rPr>
                            <w:rFonts w:hint="eastAsia"/>
                            <w:b/>
                            <w:sz w:val="21"/>
                            <w:szCs w:val="21"/>
                          </w:rPr>
                          <w:t>亚铁混凝池</w:t>
                        </w:r>
                      </w:p>
                    </w:txbxContent>
                  </v:textbox>
                </v:rect>
                <v:rect id="矩形 39" o:spid="_x0000_s1026" o:spt="1" style="position:absolute;left:1371409;top:529557;height:1051820;width:22856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AYg9mS0wAAAAUBAAAPAAAAAAAAAAEAIAAAACIA&#10;AABkcnMvZG93bnJldi54bWxQSwECFAAUAAAACACHTuJAf0I8ZQ4CAAAcBAAADgAAAAAAAAABACAA&#10;AAAiAQAAZHJzL2Uyb0RvYy54bWxQSwUGAAAAAAYABgBZAQAAogUAAAAA&#10;">
                  <v:fill on="t" focussize="0,0"/>
                  <v:stroke color="#000000" joinstyle="miter"/>
                  <v:imagedata o:title=""/>
                  <o:lock v:ext="edit" aspectratio="f"/>
                  <v:textbox inset="0.5mm,1.27mm,0.5mm,1.27mm">
                    <w:txbxContent>
                      <w:p>
                        <w:pPr>
                          <w:jc w:val="center"/>
                          <w:rPr>
                            <w:b/>
                          </w:rPr>
                        </w:pPr>
                        <w:r>
                          <w:rPr>
                            <w:rFonts w:hint="eastAsia"/>
                            <w:b/>
                            <w:sz w:val="21"/>
                            <w:szCs w:val="21"/>
                          </w:rPr>
                          <w:t>絮凝沉淀池</w:t>
                        </w:r>
                      </w:p>
                    </w:txbxContent>
                  </v:textbox>
                </v:rect>
                <v:rect id="矩形 40" o:spid="_x0000_s1026" o:spt="1" style="position:absolute;left:1838039;top:320214;height:1280857;width:22856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&#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GIPZktMAAAAFAQAADwAAAAAAAAABACAAAAAiAAAAZHJz&#10;L2Rvd25yZXYueG1sUEsBAhQAFAAAAAgAh07iQFmHVCkJAgAAHAQAAA4AAAAAAAAAAQAgAAAAIgEA&#10;AGRycy9lMm9Eb2MueG1sUEsFBgAAAAAGAAYAWQEAAJ0FAAAAAA==&#10;">
                  <v:fill on="t" focussize="0,0"/>
                  <v:stroke color="#000000" joinstyle="miter"/>
                  <v:imagedata o:title=""/>
                  <o:lock v:ext="edit" aspectratio="f"/>
                  <v:textbox inset="0.5mm,1.27mm,0.5mm,1.27mm">
                    <w:txbxContent>
                      <w:p>
                        <w:pPr>
                          <w:jc w:val="center"/>
                          <w:rPr>
                            <w:b/>
                            <w:sz w:val="21"/>
                            <w:szCs w:val="21"/>
                          </w:rPr>
                        </w:pPr>
                        <w:r>
                          <w:rPr>
                            <w:b/>
                            <w:sz w:val="21"/>
                            <w:szCs w:val="21"/>
                          </w:rPr>
                          <w:t>IC</w:t>
                        </w:r>
                      </w:p>
                      <w:p>
                        <w:pPr>
                          <w:jc w:val="center"/>
                          <w:rPr>
                            <w:b/>
                          </w:rPr>
                        </w:pPr>
                        <w:r>
                          <w:rPr>
                            <w:rFonts w:hint="eastAsia"/>
                            <w:b/>
                            <w:sz w:val="21"/>
                            <w:szCs w:val="21"/>
                          </w:rPr>
                          <w:t>厌氧反应器塔</w:t>
                        </w:r>
                      </w:p>
                    </w:txbxContent>
                  </v:textbox>
                </v:rect>
                <v:line id="直线 41" o:spid="_x0000_s1026" o:spt="20" style="position:absolute;left:2514251;top:826430;height:729;width:229299;"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WAxM91gAAAAUBAAAP&#10;AAAAAAAAAAEAIAAAACIAAABkcnMvZG93bnJldi54bWxQSwECFAAUAAAACACHTuJASxRYLuEBAACf&#10;AwAADgAAAAAAAAABACAAAAAlAQAAZHJzL2Uyb0RvYy54bWxQSwUGAAAAAAYABgBZAQAAeAUAAAAA&#10;">
                  <v:fill on="f" focussize="0,0"/>
                  <v:stroke color="#000000" joinstyle="round" endarrow="block"/>
                  <v:imagedata o:title=""/>
                  <o:lock v:ext="edit" aspectratio="f"/>
                </v:line>
                <v:rect id="矩形 42" o:spid="_x0000_s1026" o:spt="1" style="position:absolute;left:2755964;top:480686;height:1137892;width:22637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GIPZktMAAAAFAQAADwAAAAAAAAABACAAAAAiAAAA&#10;ZHJzL2Rvd25yZXYueG1sUEsBAhQAFAAAAAgAh07iQFHfjoEMAgAAHAQAAA4AAAAAAAAAAQAgAAAA&#10;IgEAAGRycy9lMm9Eb2MueG1sUEsFBgAAAAAGAAYAWQEAAKAFAAAAAA==&#10;">
                  <v:fill on="t" focussize="0,0"/>
                  <v:stroke color="#000000" joinstyle="miter"/>
                  <v:imagedata o:title=""/>
                  <o:lock v:ext="edit" aspectratio="f"/>
                  <v:textbox inset="0.5mm,1.27mm,0.5mm,1.27mm">
                    <w:txbxContent>
                      <w:p>
                        <w:pPr>
                          <w:jc w:val="center"/>
                          <w:rPr>
                            <w:b/>
                          </w:rPr>
                        </w:pPr>
                        <w:r>
                          <w:rPr>
                            <w:rFonts w:hint="eastAsia"/>
                            <w:b/>
                            <w:sz w:val="21"/>
                            <w:szCs w:val="21"/>
                          </w:rPr>
                          <w:t>硝化</w:t>
                        </w:r>
                        <w:r>
                          <w:rPr>
                            <w:b/>
                            <w:sz w:val="21"/>
                            <w:szCs w:val="21"/>
                          </w:rPr>
                          <w:t>&amp;</w:t>
                        </w:r>
                        <w:r>
                          <w:rPr>
                            <w:rFonts w:hint="eastAsia"/>
                            <w:b/>
                            <w:sz w:val="21"/>
                            <w:szCs w:val="21"/>
                          </w:rPr>
                          <w:t>反硝化</w:t>
                        </w:r>
                      </w:p>
                    </w:txbxContent>
                  </v:textbox>
                </v:rect>
                <v:rect id="矩形 43" o:spid="_x0000_s1026" o:spt="1" style="position:absolute;left:2311241;top:594475;height:995655;width:22856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BiD2ZLTAAAABQEAAA8AAAAAAAAAAQAgAAAAIgAA&#10;AGRycy9kb3ducmV2LnhtbFBLAQIUABQAAAAIAIdO4kCXpy5/DQIAABsEAAAOAAAAAAAAAAEAIAAA&#10;ACIBAABkcnMvZTJvRG9jLnhtbFBLBQYAAAAABgAGAFkBAAChBQAAAAA=&#10;">
                  <v:fill on="t" focussize="0,0"/>
                  <v:stroke color="#000000" joinstyle="miter"/>
                  <v:imagedata o:title=""/>
                  <o:lock v:ext="edit" aspectratio="f"/>
                  <v:textbox inset="0.5mm,1.27mm,0.5mm,1.27mm">
                    <w:txbxContent>
                      <w:p>
                        <w:pPr>
                          <w:jc w:val="center"/>
                          <w:rPr>
                            <w:b/>
                          </w:rPr>
                        </w:pPr>
                        <w:r>
                          <w:rPr>
                            <w:rFonts w:hint="eastAsia"/>
                            <w:b/>
                            <w:sz w:val="21"/>
                            <w:szCs w:val="21"/>
                          </w:rPr>
                          <w:t>接触氧化池</w:t>
                        </w:r>
                      </w:p>
                    </w:txbxContent>
                  </v:textbox>
                </v:rect>
                <v:rect id="矩形 44" o:spid="_x0000_s1026" o:spt="1" style="position:absolute;left:3200686;top:594475;height:995655;width:22856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Yg9mS0wAAAAUBAAAPAAAAAAAAAAEAIAAAACIAAABk&#10;cnMvZG93bnJldi54bWxQSwECFAAUAAAACACHTuJAcdLi6wsCAAAbBAAADgAAAAAAAAABACAAAAAi&#10;AQAAZHJzL2Uyb0RvYy54bWxQSwUGAAAAAAYABgBZAQAAnwUAAAAA&#10;">
                  <v:fill on="t" focussize="0,0"/>
                  <v:stroke color="#000000" joinstyle="miter"/>
                  <v:imagedata o:title=""/>
                  <o:lock v:ext="edit" aspectratio="f"/>
                  <v:textbox inset="0.5mm,1.27mm,0.5mm,1.27mm">
                    <w:txbxContent>
                      <w:p>
                        <w:pPr>
                          <w:jc w:val="center"/>
                          <w:rPr>
                            <w:b/>
                            <w:sz w:val="21"/>
                            <w:szCs w:val="21"/>
                          </w:rPr>
                        </w:pPr>
                        <w:r>
                          <w:rPr>
                            <w:rFonts w:hint="eastAsia"/>
                            <w:b/>
                            <w:sz w:val="21"/>
                            <w:szCs w:val="21"/>
                          </w:rPr>
                          <w:t>二沉池</w:t>
                        </w:r>
                      </w:p>
                    </w:txbxContent>
                  </v:textbox>
                </v:rect>
                <v:line id="直线 45" o:spid="_x0000_s1026" o:spt="20" style="position:absolute;left:3886391;top:826430;height:729;width:228568;"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VgMTPdYAAAAFAQAA&#10;DwAAAAAAAAABACAAAAAiAAAAZHJzL2Rvd25yZXYueG1sUEsBAhQAFAAAAAgAh07iQJiZc63iAQAA&#10;nwMAAA4AAAAAAAAAAQAgAAAAJQEAAGRycy9lMm9Eb2MueG1sUEsFBgAAAAAGAAYAWQEAAHkFAAAA&#10;AA==&#10;">
                  <v:fill on="f" focussize="0,0"/>
                  <v:stroke color="#000000" joinstyle="round" endarrow="block"/>
                  <v:imagedata o:title=""/>
                  <o:lock v:ext="edit" aspectratio="f"/>
                </v:line>
                <v:rect id="矩形 46" o:spid="_x0000_s1026" o:spt="1" style="position:absolute;left:3644678;top:356685;height:1166339;width:227108;" fillcolor="#FFFFFF" filled="t" stroked="t" coordsize="21600,21600" o:gfxdata="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&#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BiD2ZLTAAAABQEAAA8AAAAAAAAAAQAgAAAAIgAAAGRy&#10;cy9kb3ducmV2LnhtbFBLAQIUABQAAAAIAIdO4kBc5WvKCgIAABwEAAAOAAAAAAAAAAEAIAAAACIB&#10;AABkcnMvZTJvRG9jLnhtbFBLBQYAAAAABgAGAFkBAACeBQAAAAA=&#10;">
                  <v:fill on="t" focussize="0,0"/>
                  <v:stroke color="#000000" joinstyle="miter"/>
                  <v:imagedata o:title=""/>
                  <o:lock v:ext="edit" aspectratio="f"/>
                  <v:textbox inset="0.5mm,1.27mm,0.5mm,1.27mm">
                    <w:txbxContent>
                      <w:p>
                        <w:pPr>
                          <w:jc w:val="center"/>
                          <w:rPr>
                            <w:b/>
                          </w:rPr>
                        </w:pPr>
                        <w:r>
                          <w:rPr>
                            <w:rFonts w:hint="eastAsia"/>
                            <w:b/>
                            <w:sz w:val="21"/>
                            <w:szCs w:val="21"/>
                          </w:rPr>
                          <w:t>曝气生物滤</w:t>
                        </w:r>
                        <w:r>
                          <w:rPr>
                            <w:rFonts w:hint="eastAsia"/>
                            <w:b/>
                          </w:rPr>
                          <w:t>池</w:t>
                        </w:r>
                      </w:p>
                    </w:txbxContent>
                  </v:textbox>
                </v:rect>
                <v:rect id="矩形 47" o:spid="_x0000_s1026" o:spt="1" style="position:absolute;left:4089400;top:693676;height:296873;width:800354;" filled="f" stroked="f" coordsize="21600,21600" o:gfxdata="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NtzjiLWAAAABQEAAA8AAAAAAAAAAQAg&#10;AAAAIgAAAGRycy9kb3ducmV2LnhtbFBLAQIUABQAAAAIAIdO4kClcwGFngEAAAgDAAAOAAAAAAAA&#10;AAEAIAAAACUBAABkcnMvZTJvRG9jLnhtbFBLBQYAAAAABgAGAFkBAAA1BQAAAAA=&#10;">
                  <v:fill on="f" focussize="0,0"/>
                  <v:stroke on="f"/>
                  <v:imagedata o:title=""/>
                  <o:lock v:ext="edit" aspectratio="f"/>
                  <v:textbox>
                    <w:txbxContent>
                      <w:p>
                        <w:pPr>
                          <w:rPr>
                            <w:b/>
                            <w:szCs w:val="21"/>
                          </w:rPr>
                        </w:pPr>
                        <w:r>
                          <w:rPr>
                            <w:rFonts w:hint="eastAsia"/>
                            <w:b/>
                            <w:sz w:val="21"/>
                            <w:szCs w:val="21"/>
                          </w:rPr>
                          <w:t>达标排放</w:t>
                        </w:r>
                      </w:p>
                    </w:txbxContent>
                  </v:textbox>
                </v:rect>
                <v:rect id="矩形 48" o:spid="_x0000_s1026" o:spt="1" style="position:absolute;left:1867249;top:99201;height:297602;width:1090994;" filled="f" stroked="f" coordsize="21600,21600" o:gfxdata="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">
                  <v:fill on="f" focussize="0,0"/>
                  <v:stroke on="f"/>
                  <v:imagedata o:title=""/>
                  <o:lock v:ext="edit" aspectratio="f"/>
                  <v:textbox>
                    <w:txbxContent>
                      <w:p>
                        <w:pPr>
                          <w:jc w:val="center"/>
                          <w:rPr>
                            <w:b/>
                            <w:szCs w:val="21"/>
                          </w:rPr>
                        </w:pPr>
                        <w:r>
                          <w:rPr>
                            <w:rFonts w:hint="eastAsia"/>
                            <w:b/>
                          </w:rPr>
                          <w:t>生活及锅炉</w:t>
                        </w:r>
                        <w:r>
                          <w:rPr>
                            <w:rFonts w:hint="eastAsia"/>
                            <w:b/>
                            <w:szCs w:val="21"/>
                          </w:rPr>
                          <w:t>水</w:t>
                        </w:r>
                      </w:p>
                    </w:txbxContent>
                  </v:textbox>
                </v:rect>
                <v:line id="直线 49" o:spid="_x0000_s1026" o:spt="20" style="position:absolute;left:2400332;top:396074;height:220284;width:730;" filled="f" stroked="t" coordsize="21600,21600" o:gfxdata="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FYDEz3WAAAABQEA&#10;AA8AAAAAAAAAAQAgAAAAIgAAAGRycy9kb3ducmV2LnhtbFBLAQIUABQAAAAIAIdO4kCfotcP4wEA&#10;AJ8DAAAOAAAAAAAAAAEAIAAAACUBAABkcnMvZTJvRG9jLnhtbFBLBQYAAAAABgAGAFkBAAB6BQAA&#10;AAA=&#10;">
                  <v:fill on="f" focussize="0,0"/>
                  <v:stroke color="#000000" joinstyle="round" endarrow="block"/>
                  <v:imagedata o:title=""/>
                  <o:lock v:ext="edit" aspectratio="f"/>
                </v:line>
                <w10:wrap type="none"/>
                <w10:anchorlock/>
              </v:group>
            </w:pict>
          </mc:Fallback>
        </mc:AlternateContent>
      </w:r>
    </w:p>
    <w:p>
      <w:pPr>
        <w:spacing w:line="360" w:lineRule="auto"/>
        <w:jc w:val="center"/>
        <w:rPr>
          <w:b/>
          <w:bCs/>
          <w:color w:val="000000"/>
          <w:szCs w:val="28"/>
        </w:rPr>
        <w:sectPr>
          <w:footerReference r:id="rId6" w:type="default"/>
          <w:pgSz w:w="11906" w:h="16838"/>
          <w:pgMar w:top="1440" w:right="1080" w:bottom="1440" w:left="1080" w:header="709" w:footer="709" w:gutter="0"/>
          <w:pgNumType w:fmt="decimal"/>
          <w:cols w:space="708" w:num="1"/>
          <w:docGrid w:linePitch="360" w:charSpace="0"/>
        </w:sectPr>
      </w:pPr>
      <w:r>
        <w:rPr>
          <w:rFonts w:hint="eastAsia"/>
          <w:b/>
          <w:bCs/>
          <w:color w:val="000000"/>
          <w:szCs w:val="28"/>
        </w:rPr>
        <w:t>图</w:t>
      </w:r>
      <w:r>
        <w:rPr>
          <w:b/>
          <w:bCs/>
          <w:color w:val="000000"/>
          <w:szCs w:val="28"/>
        </w:rPr>
        <w:t xml:space="preserve">4-1  </w:t>
      </w:r>
      <w:r>
        <w:rPr>
          <w:rFonts w:hint="eastAsia"/>
          <w:b/>
          <w:bCs/>
          <w:color w:val="000000"/>
          <w:szCs w:val="28"/>
        </w:rPr>
        <w:t>本项目废水处理工艺流程图</w:t>
      </w:r>
    </w:p>
    <w:p>
      <w:pPr>
        <w:spacing w:line="360" w:lineRule="auto"/>
        <w:jc w:val="center"/>
        <w:rPr>
          <w:b/>
          <w:bCs/>
          <w:color w:val="000000"/>
          <w:szCs w:val="28"/>
        </w:rPr>
      </w:pPr>
      <w:r>
        <w:rPr>
          <w:rFonts w:hint="eastAsia"/>
          <w:b/>
          <w:bCs/>
          <w:color w:val="000000"/>
          <w:szCs w:val="28"/>
        </w:rPr>
        <w:t>表</w:t>
      </w:r>
      <w:r>
        <w:rPr>
          <w:b/>
          <w:bCs/>
          <w:color w:val="000000"/>
          <w:szCs w:val="28"/>
        </w:rPr>
        <w:t xml:space="preserve">4-1  </w:t>
      </w:r>
      <w:r>
        <w:rPr>
          <w:rFonts w:hint="eastAsia"/>
          <w:b/>
          <w:bCs/>
          <w:color w:val="000000"/>
          <w:szCs w:val="28"/>
        </w:rPr>
        <w:t>本项目废水排放情况一览表</w:t>
      </w:r>
    </w:p>
    <w:tbl>
      <w:tblPr>
        <w:tblStyle w:val="47"/>
        <w:tblW w:w="1405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8"/>
        <w:gridCol w:w="1288"/>
        <w:gridCol w:w="1288"/>
        <w:gridCol w:w="1288"/>
        <w:gridCol w:w="1288"/>
        <w:gridCol w:w="1525"/>
        <w:gridCol w:w="2550"/>
        <w:gridCol w:w="1875"/>
        <w:gridCol w:w="1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2" w:hRule="atLeast"/>
        </w:trPr>
        <w:tc>
          <w:tcPr>
            <w:tcW w:w="1288" w:type="dxa"/>
            <w:vAlign w:val="center"/>
          </w:tcPr>
          <w:p>
            <w:pPr>
              <w:jc w:val="center"/>
              <w:rPr>
                <w:color w:val="000000"/>
                <w:sz w:val="21"/>
                <w:szCs w:val="21"/>
              </w:rPr>
            </w:pPr>
            <w:r>
              <w:rPr>
                <w:rFonts w:hint="eastAsia"/>
                <w:color w:val="000000"/>
                <w:sz w:val="21"/>
                <w:szCs w:val="21"/>
              </w:rPr>
              <w:t>废水类别</w:t>
            </w:r>
          </w:p>
        </w:tc>
        <w:tc>
          <w:tcPr>
            <w:tcW w:w="1288" w:type="dxa"/>
            <w:vAlign w:val="center"/>
          </w:tcPr>
          <w:p>
            <w:pPr>
              <w:jc w:val="center"/>
              <w:rPr>
                <w:color w:val="000000"/>
                <w:sz w:val="21"/>
                <w:szCs w:val="21"/>
              </w:rPr>
            </w:pPr>
            <w:r>
              <w:rPr>
                <w:rFonts w:hint="eastAsia"/>
                <w:color w:val="000000"/>
                <w:sz w:val="21"/>
                <w:szCs w:val="21"/>
              </w:rPr>
              <w:t>来源</w:t>
            </w:r>
          </w:p>
        </w:tc>
        <w:tc>
          <w:tcPr>
            <w:tcW w:w="1288" w:type="dxa"/>
            <w:vAlign w:val="center"/>
          </w:tcPr>
          <w:p>
            <w:pPr>
              <w:jc w:val="center"/>
              <w:rPr>
                <w:color w:val="000000"/>
                <w:sz w:val="21"/>
                <w:szCs w:val="21"/>
              </w:rPr>
            </w:pPr>
            <w:r>
              <w:rPr>
                <w:rFonts w:hint="eastAsia"/>
                <w:color w:val="000000"/>
                <w:sz w:val="21"/>
                <w:szCs w:val="21"/>
              </w:rPr>
              <w:t>污染物因子</w:t>
            </w:r>
          </w:p>
        </w:tc>
        <w:tc>
          <w:tcPr>
            <w:tcW w:w="1288" w:type="dxa"/>
            <w:vAlign w:val="center"/>
          </w:tcPr>
          <w:p>
            <w:pPr>
              <w:jc w:val="center"/>
              <w:rPr>
                <w:color w:val="000000"/>
                <w:sz w:val="21"/>
                <w:szCs w:val="21"/>
              </w:rPr>
            </w:pPr>
            <w:r>
              <w:rPr>
                <w:rFonts w:hint="eastAsia"/>
                <w:color w:val="000000"/>
                <w:sz w:val="21"/>
                <w:szCs w:val="21"/>
              </w:rPr>
              <w:t>排放规律</w:t>
            </w:r>
          </w:p>
        </w:tc>
        <w:tc>
          <w:tcPr>
            <w:tcW w:w="1288" w:type="dxa"/>
            <w:vAlign w:val="center"/>
          </w:tcPr>
          <w:p>
            <w:pPr>
              <w:jc w:val="center"/>
              <w:rPr>
                <w:color w:val="000000"/>
                <w:sz w:val="21"/>
                <w:szCs w:val="21"/>
              </w:rPr>
            </w:pPr>
            <w:r>
              <w:rPr>
                <w:rFonts w:hint="eastAsia"/>
                <w:color w:val="000000"/>
                <w:sz w:val="21"/>
                <w:szCs w:val="21"/>
              </w:rPr>
              <w:t>排放量（</w:t>
            </w:r>
            <w:r>
              <w:rPr>
                <w:color w:val="000000"/>
                <w:sz w:val="21"/>
                <w:szCs w:val="21"/>
              </w:rPr>
              <w:t>t/d</w:t>
            </w:r>
            <w:r>
              <w:rPr>
                <w:rFonts w:hint="eastAsia"/>
                <w:color w:val="000000"/>
                <w:sz w:val="21"/>
                <w:szCs w:val="21"/>
              </w:rPr>
              <w:t>）</w:t>
            </w:r>
          </w:p>
        </w:tc>
        <w:tc>
          <w:tcPr>
            <w:tcW w:w="1525" w:type="dxa"/>
            <w:vAlign w:val="center"/>
          </w:tcPr>
          <w:p>
            <w:pPr>
              <w:jc w:val="center"/>
              <w:rPr>
                <w:color w:val="000000"/>
                <w:sz w:val="21"/>
                <w:szCs w:val="21"/>
              </w:rPr>
            </w:pPr>
            <w:r>
              <w:rPr>
                <w:rFonts w:hint="eastAsia"/>
                <w:color w:val="000000"/>
                <w:sz w:val="21"/>
                <w:szCs w:val="21"/>
              </w:rPr>
              <w:t>治理设施</w:t>
            </w:r>
          </w:p>
        </w:tc>
        <w:tc>
          <w:tcPr>
            <w:tcW w:w="2550" w:type="dxa"/>
            <w:vAlign w:val="center"/>
          </w:tcPr>
          <w:p>
            <w:pPr>
              <w:jc w:val="center"/>
              <w:rPr>
                <w:color w:val="000000"/>
                <w:sz w:val="21"/>
                <w:szCs w:val="21"/>
              </w:rPr>
            </w:pPr>
            <w:r>
              <w:rPr>
                <w:rFonts w:hint="eastAsia"/>
                <w:color w:val="000000"/>
                <w:sz w:val="21"/>
                <w:szCs w:val="21"/>
              </w:rPr>
              <w:t>处理工艺及处理能力</w:t>
            </w:r>
          </w:p>
        </w:tc>
        <w:tc>
          <w:tcPr>
            <w:tcW w:w="1875" w:type="dxa"/>
            <w:vAlign w:val="center"/>
          </w:tcPr>
          <w:p>
            <w:pPr>
              <w:jc w:val="center"/>
              <w:rPr>
                <w:color w:val="000000"/>
                <w:sz w:val="21"/>
                <w:szCs w:val="21"/>
              </w:rPr>
            </w:pPr>
            <w:r>
              <w:rPr>
                <w:rFonts w:hint="eastAsia"/>
                <w:color w:val="000000"/>
                <w:sz w:val="21"/>
                <w:szCs w:val="21"/>
              </w:rPr>
              <w:t>废水回用量（</w:t>
            </w:r>
            <w:r>
              <w:rPr>
                <w:color w:val="000000"/>
                <w:sz w:val="21"/>
                <w:szCs w:val="21"/>
              </w:rPr>
              <w:t>t/a</w:t>
            </w:r>
            <w:r>
              <w:rPr>
                <w:rFonts w:hint="eastAsia"/>
                <w:color w:val="000000"/>
                <w:sz w:val="21"/>
                <w:szCs w:val="21"/>
              </w:rPr>
              <w:t>）</w:t>
            </w:r>
          </w:p>
        </w:tc>
        <w:tc>
          <w:tcPr>
            <w:tcW w:w="1665" w:type="dxa"/>
            <w:vAlign w:val="center"/>
          </w:tcPr>
          <w:p>
            <w:pPr>
              <w:jc w:val="center"/>
              <w:rPr>
                <w:color w:val="000000"/>
                <w:sz w:val="21"/>
                <w:szCs w:val="21"/>
              </w:rPr>
            </w:pPr>
            <w:r>
              <w:rPr>
                <w:rFonts w:hint="eastAsia"/>
                <w:color w:val="000000"/>
                <w:sz w:val="21"/>
                <w:szCs w:val="21"/>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烷基化反应生产废水</w:t>
            </w:r>
          </w:p>
        </w:tc>
        <w:tc>
          <w:tcPr>
            <w:tcW w:w="1288" w:type="dxa"/>
            <w:vAlign w:val="center"/>
          </w:tcPr>
          <w:p>
            <w:pPr>
              <w:jc w:val="center"/>
              <w:rPr>
                <w:color w:val="000000"/>
                <w:sz w:val="21"/>
                <w:szCs w:val="21"/>
              </w:rPr>
            </w:pPr>
            <w:r>
              <w:rPr>
                <w:rFonts w:hint="eastAsia"/>
                <w:color w:val="000000"/>
                <w:sz w:val="21"/>
                <w:szCs w:val="21"/>
              </w:rPr>
              <w:t>烷基化反应工序</w:t>
            </w:r>
          </w:p>
        </w:tc>
        <w:tc>
          <w:tcPr>
            <w:tcW w:w="1288" w:type="dxa"/>
            <w:vMerge w:val="restart"/>
            <w:vAlign w:val="center"/>
          </w:tcPr>
          <w:p>
            <w:pPr>
              <w:jc w:val="center"/>
              <w:rPr>
                <w:color w:val="000000"/>
                <w:sz w:val="21"/>
                <w:szCs w:val="21"/>
              </w:rPr>
            </w:pPr>
            <w:r>
              <w:rPr>
                <w:color w:val="000000"/>
                <w:szCs w:val="28"/>
              </w:rPr>
              <w:t>COD</w:t>
            </w:r>
            <w:r>
              <w:rPr>
                <w:rFonts w:hint="eastAsia"/>
                <w:color w:val="000000"/>
                <w:szCs w:val="28"/>
              </w:rPr>
              <w:t>、氨氮、</w:t>
            </w:r>
            <w:r>
              <w:rPr>
                <w:color w:val="000000"/>
                <w:szCs w:val="28"/>
              </w:rPr>
              <w:t>BOD</w:t>
            </w:r>
            <w:r>
              <w:rPr>
                <w:color w:val="000000"/>
                <w:szCs w:val="28"/>
                <w:vertAlign w:val="subscript"/>
              </w:rPr>
              <w:t>5</w:t>
            </w:r>
            <w:r>
              <w:rPr>
                <w:rFonts w:hint="eastAsia"/>
                <w:color w:val="000000"/>
                <w:szCs w:val="28"/>
              </w:rPr>
              <w:t>、</w:t>
            </w:r>
            <w:r>
              <w:rPr>
                <w:color w:val="000000"/>
                <w:szCs w:val="28"/>
              </w:rPr>
              <w:t>SS</w:t>
            </w: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0.51</w:t>
            </w:r>
          </w:p>
        </w:tc>
        <w:tc>
          <w:tcPr>
            <w:tcW w:w="1525" w:type="dxa"/>
            <w:vMerge w:val="restart"/>
            <w:vAlign w:val="center"/>
          </w:tcPr>
          <w:p>
            <w:pPr>
              <w:jc w:val="center"/>
              <w:rPr>
                <w:color w:val="000000"/>
                <w:sz w:val="21"/>
                <w:szCs w:val="21"/>
              </w:rPr>
            </w:pPr>
            <w:r>
              <w:rPr>
                <w:rFonts w:hint="eastAsia"/>
                <w:color w:val="000000"/>
                <w:sz w:val="21"/>
                <w:szCs w:val="21"/>
              </w:rPr>
              <w:t>厂区内废水处理站处理</w:t>
            </w:r>
          </w:p>
        </w:tc>
        <w:tc>
          <w:tcPr>
            <w:tcW w:w="2550" w:type="dxa"/>
            <w:vMerge w:val="restart"/>
            <w:vAlign w:val="center"/>
          </w:tcPr>
          <w:p>
            <w:pPr>
              <w:jc w:val="center"/>
              <w:rPr>
                <w:color w:val="000000"/>
                <w:szCs w:val="28"/>
              </w:rPr>
            </w:pPr>
            <w:r>
              <w:rPr>
                <w:color w:val="000000"/>
                <w:szCs w:val="28"/>
              </w:rPr>
              <w:t>IC</w:t>
            </w:r>
            <w:r>
              <w:rPr>
                <w:rFonts w:hint="eastAsia"/>
                <w:color w:val="000000"/>
                <w:szCs w:val="28"/>
              </w:rPr>
              <w:t>厌氧反应</w:t>
            </w:r>
            <w:r>
              <w:rPr>
                <w:color w:val="000000"/>
                <w:szCs w:val="28"/>
              </w:rPr>
              <w:t>+</w:t>
            </w:r>
            <w:r>
              <w:rPr>
                <w:rFonts w:hint="eastAsia"/>
                <w:color w:val="000000"/>
                <w:szCs w:val="28"/>
              </w:rPr>
              <w:t>氧化</w:t>
            </w:r>
            <w:r>
              <w:rPr>
                <w:color w:val="000000"/>
                <w:szCs w:val="28"/>
              </w:rPr>
              <w:t>+</w:t>
            </w:r>
            <w:r>
              <w:rPr>
                <w:rFonts w:hint="eastAsia"/>
                <w:color w:val="000000"/>
                <w:szCs w:val="28"/>
              </w:rPr>
              <w:t>硝化</w:t>
            </w:r>
            <w:r>
              <w:rPr>
                <w:color w:val="000000"/>
                <w:szCs w:val="28"/>
              </w:rPr>
              <w:t>+</w:t>
            </w:r>
            <w:r>
              <w:rPr>
                <w:rFonts w:hint="eastAsia"/>
                <w:color w:val="000000"/>
                <w:szCs w:val="28"/>
              </w:rPr>
              <w:t>反硝化处理工艺</w:t>
            </w:r>
          </w:p>
          <w:p>
            <w:pPr>
              <w:jc w:val="center"/>
              <w:rPr>
                <w:color w:val="000000"/>
                <w:szCs w:val="28"/>
              </w:rPr>
            </w:pPr>
            <w:r>
              <w:rPr>
                <w:rFonts w:hint="eastAsia"/>
                <w:color w:val="000000"/>
                <w:szCs w:val="28"/>
              </w:rPr>
              <w:t>处理能力</w:t>
            </w:r>
            <w:r>
              <w:rPr>
                <w:color w:val="000000"/>
                <w:szCs w:val="28"/>
              </w:rPr>
              <w:t>2000m</w:t>
            </w:r>
            <w:r>
              <w:rPr>
                <w:color w:val="000000"/>
                <w:szCs w:val="28"/>
                <w:vertAlign w:val="superscript"/>
              </w:rPr>
              <w:t>3</w:t>
            </w:r>
            <w:r>
              <w:rPr>
                <w:color w:val="000000"/>
                <w:szCs w:val="28"/>
              </w:rPr>
              <w:t>/d</w:t>
            </w:r>
          </w:p>
        </w:tc>
        <w:tc>
          <w:tcPr>
            <w:tcW w:w="1875" w:type="dxa"/>
            <w:vAlign w:val="center"/>
          </w:tcPr>
          <w:p>
            <w:pPr>
              <w:jc w:val="center"/>
              <w:rPr>
                <w:color w:val="000000"/>
                <w:sz w:val="21"/>
                <w:szCs w:val="21"/>
              </w:rPr>
            </w:pPr>
            <w:r>
              <w:rPr>
                <w:color w:val="000000"/>
                <w:sz w:val="21"/>
                <w:szCs w:val="21"/>
              </w:rPr>
              <w:t>0</w:t>
            </w:r>
          </w:p>
        </w:tc>
        <w:tc>
          <w:tcPr>
            <w:tcW w:w="1665" w:type="dxa"/>
            <w:vMerge w:val="restart"/>
            <w:vAlign w:val="center"/>
          </w:tcPr>
          <w:p>
            <w:pPr>
              <w:jc w:val="center"/>
              <w:rPr>
                <w:color w:val="000000"/>
                <w:sz w:val="21"/>
                <w:szCs w:val="21"/>
              </w:rPr>
            </w:pPr>
            <w:r>
              <w:rPr>
                <w:rFonts w:hint="eastAsia" w:hAnsi="宋体"/>
              </w:rPr>
              <w:t>通过排污管网排放至横石水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水提纯废水</w:t>
            </w:r>
          </w:p>
        </w:tc>
        <w:tc>
          <w:tcPr>
            <w:tcW w:w="1288" w:type="dxa"/>
            <w:vAlign w:val="center"/>
          </w:tcPr>
          <w:p>
            <w:pPr>
              <w:jc w:val="center"/>
              <w:rPr>
                <w:color w:val="000000"/>
                <w:sz w:val="21"/>
                <w:szCs w:val="21"/>
              </w:rPr>
            </w:pPr>
            <w:r>
              <w:rPr>
                <w:rFonts w:hint="eastAsia"/>
                <w:color w:val="000000"/>
                <w:sz w:val="21"/>
                <w:szCs w:val="21"/>
              </w:rPr>
              <w:t>纯水制作过程</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1.53</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车间清洗废水</w:t>
            </w:r>
          </w:p>
        </w:tc>
        <w:tc>
          <w:tcPr>
            <w:tcW w:w="1288" w:type="dxa"/>
            <w:vAlign w:val="center"/>
          </w:tcPr>
          <w:p>
            <w:pPr>
              <w:jc w:val="center"/>
              <w:rPr>
                <w:color w:val="000000"/>
                <w:sz w:val="21"/>
                <w:szCs w:val="21"/>
              </w:rPr>
            </w:pPr>
            <w:r>
              <w:rPr>
                <w:rFonts w:hint="eastAsia"/>
                <w:color w:val="000000"/>
                <w:sz w:val="21"/>
                <w:szCs w:val="21"/>
              </w:rPr>
              <w:t>车间清洗过程</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18.67</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锅炉排放废水</w:t>
            </w:r>
          </w:p>
        </w:tc>
        <w:tc>
          <w:tcPr>
            <w:tcW w:w="1288" w:type="dxa"/>
            <w:vAlign w:val="center"/>
          </w:tcPr>
          <w:p>
            <w:pPr>
              <w:jc w:val="center"/>
              <w:rPr>
                <w:color w:val="000000"/>
                <w:sz w:val="21"/>
                <w:szCs w:val="21"/>
              </w:rPr>
            </w:pPr>
            <w:r>
              <w:rPr>
                <w:rFonts w:hint="eastAsia"/>
                <w:color w:val="000000"/>
                <w:sz w:val="21"/>
                <w:szCs w:val="21"/>
              </w:rPr>
              <w:t>锅炉排放废水</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15</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车间喷淋废水</w:t>
            </w:r>
          </w:p>
        </w:tc>
        <w:tc>
          <w:tcPr>
            <w:tcW w:w="1288" w:type="dxa"/>
            <w:vAlign w:val="center"/>
          </w:tcPr>
          <w:p>
            <w:pPr>
              <w:jc w:val="center"/>
              <w:rPr>
                <w:color w:val="000000"/>
                <w:sz w:val="21"/>
                <w:szCs w:val="21"/>
              </w:rPr>
            </w:pPr>
            <w:r>
              <w:rPr>
                <w:rFonts w:hint="eastAsia"/>
                <w:color w:val="000000"/>
                <w:sz w:val="21"/>
                <w:szCs w:val="21"/>
              </w:rPr>
              <w:t>喷淋过程</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r>
              <w:rPr>
                <w:color w:val="000000"/>
                <w:sz w:val="21"/>
                <w:szCs w:val="21"/>
              </w:rPr>
              <w:t xml:space="preserve"> </w:t>
            </w:r>
          </w:p>
        </w:tc>
        <w:tc>
          <w:tcPr>
            <w:tcW w:w="1288" w:type="dxa"/>
            <w:vAlign w:val="center"/>
          </w:tcPr>
          <w:p>
            <w:pPr>
              <w:jc w:val="center"/>
              <w:rPr>
                <w:color w:val="000000"/>
                <w:sz w:val="21"/>
                <w:szCs w:val="21"/>
              </w:rPr>
            </w:pPr>
            <w:r>
              <w:rPr>
                <w:color w:val="000000"/>
                <w:sz w:val="21"/>
                <w:szCs w:val="21"/>
              </w:rPr>
              <w:t>26</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凉水塔清洗废水</w:t>
            </w:r>
          </w:p>
        </w:tc>
        <w:tc>
          <w:tcPr>
            <w:tcW w:w="1288" w:type="dxa"/>
            <w:vAlign w:val="center"/>
          </w:tcPr>
          <w:p>
            <w:pPr>
              <w:jc w:val="center"/>
              <w:rPr>
                <w:color w:val="000000"/>
                <w:sz w:val="21"/>
                <w:szCs w:val="21"/>
              </w:rPr>
            </w:pPr>
            <w:r>
              <w:rPr>
                <w:rFonts w:hint="eastAsia"/>
                <w:color w:val="000000"/>
                <w:sz w:val="21"/>
                <w:szCs w:val="21"/>
              </w:rPr>
              <w:t>凉水塔清洗过程</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32.24</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树脂清洗废水</w:t>
            </w:r>
          </w:p>
        </w:tc>
        <w:tc>
          <w:tcPr>
            <w:tcW w:w="1288" w:type="dxa"/>
            <w:vAlign w:val="center"/>
          </w:tcPr>
          <w:p>
            <w:pPr>
              <w:jc w:val="center"/>
              <w:rPr>
                <w:color w:val="000000"/>
                <w:sz w:val="21"/>
                <w:szCs w:val="21"/>
              </w:rPr>
            </w:pPr>
            <w:r>
              <w:rPr>
                <w:rFonts w:hint="eastAsia"/>
                <w:color w:val="000000"/>
                <w:sz w:val="21"/>
                <w:szCs w:val="21"/>
              </w:rPr>
              <w:t>树脂清洗过程</w:t>
            </w:r>
          </w:p>
        </w:tc>
        <w:tc>
          <w:tcPr>
            <w:tcW w:w="1288" w:type="dxa"/>
            <w:vMerge w:val="continue"/>
            <w:vAlign w:val="center"/>
          </w:tcPr>
          <w:p>
            <w:pPr>
              <w:jc w:val="center"/>
              <w:rPr>
                <w:color w:val="000000"/>
                <w:sz w:val="21"/>
                <w:szCs w:val="21"/>
              </w:rPr>
            </w:pP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0.06</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95" w:hRule="exact"/>
        </w:trPr>
        <w:tc>
          <w:tcPr>
            <w:tcW w:w="1288" w:type="dxa"/>
            <w:vAlign w:val="center"/>
          </w:tcPr>
          <w:p>
            <w:pPr>
              <w:jc w:val="center"/>
              <w:rPr>
                <w:color w:val="000000"/>
                <w:sz w:val="21"/>
                <w:szCs w:val="21"/>
              </w:rPr>
            </w:pPr>
            <w:r>
              <w:rPr>
                <w:rFonts w:hint="eastAsia"/>
                <w:color w:val="000000"/>
                <w:sz w:val="21"/>
                <w:szCs w:val="21"/>
              </w:rPr>
              <w:t>生活污水</w:t>
            </w:r>
          </w:p>
        </w:tc>
        <w:tc>
          <w:tcPr>
            <w:tcW w:w="1288" w:type="dxa"/>
            <w:vAlign w:val="center"/>
          </w:tcPr>
          <w:p>
            <w:pPr>
              <w:jc w:val="center"/>
              <w:rPr>
                <w:color w:val="000000"/>
                <w:sz w:val="21"/>
                <w:szCs w:val="21"/>
              </w:rPr>
            </w:pPr>
            <w:r>
              <w:rPr>
                <w:rFonts w:hint="eastAsia"/>
                <w:color w:val="000000"/>
                <w:sz w:val="21"/>
                <w:szCs w:val="21"/>
              </w:rPr>
              <w:t>员工生活</w:t>
            </w:r>
          </w:p>
        </w:tc>
        <w:tc>
          <w:tcPr>
            <w:tcW w:w="1288" w:type="dxa"/>
            <w:vAlign w:val="center"/>
          </w:tcPr>
          <w:p>
            <w:pPr>
              <w:jc w:val="center"/>
              <w:rPr>
                <w:color w:val="000000"/>
                <w:sz w:val="21"/>
                <w:szCs w:val="21"/>
              </w:rPr>
            </w:pPr>
            <w:r>
              <w:rPr>
                <w:color w:val="000000"/>
                <w:szCs w:val="28"/>
              </w:rPr>
              <w:t>COD</w:t>
            </w:r>
            <w:r>
              <w:rPr>
                <w:rFonts w:hint="eastAsia"/>
                <w:color w:val="000000"/>
                <w:szCs w:val="28"/>
              </w:rPr>
              <w:t>、氨氮、</w:t>
            </w:r>
            <w:r>
              <w:rPr>
                <w:color w:val="000000"/>
                <w:szCs w:val="28"/>
              </w:rPr>
              <w:t>BOD</w:t>
            </w:r>
            <w:r>
              <w:rPr>
                <w:color w:val="000000"/>
                <w:szCs w:val="28"/>
                <w:vertAlign w:val="subscript"/>
              </w:rPr>
              <w:t>5</w:t>
            </w:r>
            <w:r>
              <w:rPr>
                <w:rFonts w:hint="eastAsia"/>
                <w:color w:val="000000"/>
                <w:szCs w:val="28"/>
              </w:rPr>
              <w:t>、</w:t>
            </w:r>
            <w:r>
              <w:rPr>
                <w:color w:val="000000"/>
                <w:szCs w:val="28"/>
              </w:rPr>
              <w:t>SS</w:t>
            </w:r>
            <w:r>
              <w:rPr>
                <w:rFonts w:hint="eastAsia"/>
                <w:color w:val="000000"/>
                <w:szCs w:val="28"/>
              </w:rPr>
              <w:t>、动植物油</w:t>
            </w: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5.76</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0" w:hRule="exact"/>
        </w:trPr>
        <w:tc>
          <w:tcPr>
            <w:tcW w:w="1288" w:type="dxa"/>
            <w:vAlign w:val="center"/>
          </w:tcPr>
          <w:p>
            <w:pPr>
              <w:jc w:val="center"/>
              <w:rPr>
                <w:color w:val="000000"/>
                <w:sz w:val="21"/>
                <w:szCs w:val="21"/>
              </w:rPr>
            </w:pPr>
            <w:r>
              <w:rPr>
                <w:rFonts w:hint="eastAsia"/>
                <w:color w:val="000000"/>
                <w:sz w:val="21"/>
                <w:szCs w:val="21"/>
              </w:rPr>
              <w:t>初期雨水</w:t>
            </w:r>
          </w:p>
        </w:tc>
        <w:tc>
          <w:tcPr>
            <w:tcW w:w="1288" w:type="dxa"/>
            <w:vAlign w:val="center"/>
          </w:tcPr>
          <w:p>
            <w:pPr>
              <w:jc w:val="center"/>
              <w:rPr>
                <w:color w:val="000000"/>
                <w:sz w:val="21"/>
                <w:szCs w:val="21"/>
              </w:rPr>
            </w:pPr>
            <w:r>
              <w:rPr>
                <w:rFonts w:hint="eastAsia"/>
                <w:color w:val="000000"/>
                <w:sz w:val="21"/>
                <w:szCs w:val="21"/>
              </w:rPr>
              <w:t>罐区地面</w:t>
            </w:r>
          </w:p>
        </w:tc>
        <w:tc>
          <w:tcPr>
            <w:tcW w:w="1288" w:type="dxa"/>
            <w:vAlign w:val="center"/>
          </w:tcPr>
          <w:p>
            <w:pPr>
              <w:jc w:val="center"/>
              <w:rPr>
                <w:color w:val="000000"/>
                <w:sz w:val="21"/>
                <w:szCs w:val="21"/>
              </w:rPr>
            </w:pPr>
            <w:r>
              <w:rPr>
                <w:color w:val="000000"/>
                <w:sz w:val="21"/>
                <w:szCs w:val="21"/>
              </w:rPr>
              <w:t>COD</w:t>
            </w:r>
            <w:r>
              <w:rPr>
                <w:rFonts w:hint="eastAsia"/>
                <w:color w:val="000000"/>
                <w:sz w:val="21"/>
                <w:szCs w:val="21"/>
              </w:rPr>
              <w:t>、</w:t>
            </w:r>
            <w:r>
              <w:rPr>
                <w:color w:val="000000"/>
                <w:sz w:val="21"/>
                <w:szCs w:val="21"/>
              </w:rPr>
              <w:t>BOD</w:t>
            </w:r>
            <w:r>
              <w:rPr>
                <w:color w:val="000000"/>
                <w:sz w:val="21"/>
                <w:szCs w:val="21"/>
                <w:vertAlign w:val="subscript"/>
              </w:rPr>
              <w:t>5</w:t>
            </w:r>
            <w:r>
              <w:rPr>
                <w:rFonts w:hint="eastAsia"/>
                <w:color w:val="000000"/>
                <w:sz w:val="21"/>
                <w:szCs w:val="21"/>
              </w:rPr>
              <w:t>、</w:t>
            </w:r>
            <w:r>
              <w:rPr>
                <w:color w:val="000000"/>
                <w:sz w:val="21"/>
                <w:szCs w:val="21"/>
              </w:rPr>
              <w:t>SS</w:t>
            </w:r>
          </w:p>
        </w:tc>
        <w:tc>
          <w:tcPr>
            <w:tcW w:w="1288" w:type="dxa"/>
            <w:vAlign w:val="center"/>
          </w:tcPr>
          <w:p>
            <w:pPr>
              <w:jc w:val="center"/>
              <w:rPr>
                <w:color w:val="000000"/>
                <w:sz w:val="21"/>
                <w:szCs w:val="21"/>
              </w:rPr>
            </w:pPr>
            <w:r>
              <w:rPr>
                <w:rFonts w:hint="eastAsia"/>
                <w:color w:val="000000"/>
                <w:sz w:val="21"/>
                <w:szCs w:val="21"/>
              </w:rPr>
              <w:t>间断</w:t>
            </w:r>
          </w:p>
        </w:tc>
        <w:tc>
          <w:tcPr>
            <w:tcW w:w="1288" w:type="dxa"/>
            <w:vAlign w:val="center"/>
          </w:tcPr>
          <w:p>
            <w:pPr>
              <w:jc w:val="center"/>
              <w:rPr>
                <w:color w:val="000000"/>
                <w:sz w:val="21"/>
                <w:szCs w:val="21"/>
              </w:rPr>
            </w:pPr>
            <w:r>
              <w:rPr>
                <w:color w:val="000000"/>
                <w:sz w:val="21"/>
                <w:szCs w:val="21"/>
              </w:rPr>
              <w:t>0.17</w:t>
            </w:r>
          </w:p>
        </w:tc>
        <w:tc>
          <w:tcPr>
            <w:tcW w:w="1525" w:type="dxa"/>
            <w:vMerge w:val="continue"/>
            <w:vAlign w:val="center"/>
          </w:tcPr>
          <w:p>
            <w:pPr>
              <w:jc w:val="center"/>
              <w:rPr>
                <w:color w:val="000000"/>
                <w:sz w:val="21"/>
                <w:szCs w:val="21"/>
              </w:rPr>
            </w:pPr>
          </w:p>
        </w:tc>
        <w:tc>
          <w:tcPr>
            <w:tcW w:w="2550" w:type="dxa"/>
            <w:vMerge w:val="continue"/>
            <w:vAlign w:val="center"/>
          </w:tcPr>
          <w:p>
            <w:pPr>
              <w:jc w:val="center"/>
              <w:rPr>
                <w:color w:val="000000"/>
                <w:sz w:val="21"/>
                <w:szCs w:val="21"/>
              </w:rPr>
            </w:pPr>
          </w:p>
        </w:tc>
        <w:tc>
          <w:tcPr>
            <w:tcW w:w="1875" w:type="dxa"/>
            <w:vAlign w:val="center"/>
          </w:tcPr>
          <w:p>
            <w:pPr>
              <w:jc w:val="center"/>
              <w:rPr>
                <w:color w:val="000000"/>
                <w:sz w:val="21"/>
                <w:szCs w:val="21"/>
              </w:rPr>
            </w:pPr>
            <w:r>
              <w:rPr>
                <w:color w:val="000000"/>
                <w:sz w:val="21"/>
                <w:szCs w:val="21"/>
              </w:rPr>
              <w:t>0</w:t>
            </w:r>
          </w:p>
        </w:tc>
        <w:tc>
          <w:tcPr>
            <w:tcW w:w="1665" w:type="dxa"/>
            <w:vMerge w:val="continue"/>
            <w:vAlign w:val="center"/>
          </w:tcPr>
          <w:p>
            <w:pPr>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5" w:hRule="exact"/>
        </w:trPr>
        <w:tc>
          <w:tcPr>
            <w:tcW w:w="5152" w:type="dxa"/>
            <w:gridSpan w:val="4"/>
            <w:vAlign w:val="center"/>
          </w:tcPr>
          <w:p>
            <w:pPr>
              <w:jc w:val="center"/>
              <w:rPr>
                <w:color w:val="000000"/>
                <w:sz w:val="21"/>
                <w:szCs w:val="21"/>
              </w:rPr>
            </w:pPr>
            <w:r>
              <w:rPr>
                <w:rFonts w:hint="eastAsia"/>
                <w:color w:val="000000"/>
                <w:sz w:val="21"/>
                <w:szCs w:val="21"/>
              </w:rPr>
              <w:t>合计</w:t>
            </w:r>
          </w:p>
        </w:tc>
        <w:tc>
          <w:tcPr>
            <w:tcW w:w="1288" w:type="dxa"/>
            <w:vAlign w:val="center"/>
          </w:tcPr>
          <w:p>
            <w:pPr>
              <w:jc w:val="center"/>
              <w:rPr>
                <w:color w:val="000000"/>
                <w:sz w:val="21"/>
                <w:szCs w:val="21"/>
              </w:rPr>
            </w:pPr>
            <w:r>
              <w:rPr>
                <w:color w:val="000000"/>
                <w:sz w:val="21"/>
                <w:szCs w:val="21"/>
              </w:rPr>
              <w:t>99.94</w:t>
            </w:r>
          </w:p>
        </w:tc>
        <w:tc>
          <w:tcPr>
            <w:tcW w:w="1525" w:type="dxa"/>
            <w:vAlign w:val="center"/>
          </w:tcPr>
          <w:p>
            <w:pPr>
              <w:jc w:val="center"/>
              <w:rPr>
                <w:color w:val="000000"/>
                <w:sz w:val="21"/>
                <w:szCs w:val="21"/>
              </w:rPr>
            </w:pPr>
            <w:r>
              <w:rPr>
                <w:color w:val="000000"/>
                <w:sz w:val="21"/>
                <w:szCs w:val="21"/>
              </w:rPr>
              <w:t>/</w:t>
            </w:r>
          </w:p>
        </w:tc>
        <w:tc>
          <w:tcPr>
            <w:tcW w:w="2550" w:type="dxa"/>
            <w:vAlign w:val="center"/>
          </w:tcPr>
          <w:p>
            <w:pPr>
              <w:jc w:val="center"/>
              <w:rPr>
                <w:color w:val="000000"/>
                <w:sz w:val="21"/>
                <w:szCs w:val="21"/>
              </w:rPr>
            </w:pPr>
            <w:r>
              <w:rPr>
                <w:color w:val="000000"/>
                <w:sz w:val="21"/>
                <w:szCs w:val="21"/>
              </w:rPr>
              <w:t>/</w:t>
            </w:r>
          </w:p>
        </w:tc>
        <w:tc>
          <w:tcPr>
            <w:tcW w:w="1875" w:type="dxa"/>
            <w:vAlign w:val="center"/>
          </w:tcPr>
          <w:p>
            <w:pPr>
              <w:jc w:val="center"/>
              <w:rPr>
                <w:color w:val="000000"/>
                <w:sz w:val="21"/>
                <w:szCs w:val="21"/>
              </w:rPr>
            </w:pPr>
            <w:r>
              <w:rPr>
                <w:color w:val="000000"/>
                <w:sz w:val="21"/>
                <w:szCs w:val="21"/>
              </w:rPr>
              <w:t>/</w:t>
            </w:r>
          </w:p>
        </w:tc>
        <w:tc>
          <w:tcPr>
            <w:tcW w:w="1665" w:type="dxa"/>
            <w:vAlign w:val="center"/>
          </w:tcPr>
          <w:p>
            <w:pPr>
              <w:jc w:val="center"/>
              <w:rPr>
                <w:color w:val="000000"/>
                <w:sz w:val="21"/>
                <w:szCs w:val="21"/>
              </w:rPr>
            </w:pPr>
            <w:r>
              <w:rPr>
                <w:color w:val="000000"/>
                <w:sz w:val="21"/>
                <w:szCs w:val="21"/>
              </w:rPr>
              <w:t>/</w:t>
            </w:r>
          </w:p>
        </w:tc>
      </w:tr>
    </w:tbl>
    <w:p>
      <w:pPr>
        <w:spacing w:line="360" w:lineRule="auto"/>
        <w:jc w:val="center"/>
        <w:rPr>
          <w:color w:val="000000"/>
          <w:szCs w:val="28"/>
        </w:rPr>
        <w:sectPr>
          <w:pgSz w:w="16838" w:h="11906" w:orient="landscape"/>
          <w:pgMar w:top="1080" w:right="1440" w:bottom="1080" w:left="1440" w:header="709" w:footer="709" w:gutter="0"/>
          <w:pgNumType w:fmt="decimal"/>
          <w:cols w:space="708" w:num="1"/>
          <w:docGrid w:linePitch="360" w:charSpace="0"/>
        </w:sectPr>
      </w:pPr>
    </w:p>
    <w:p>
      <w:pPr>
        <w:spacing w:line="360" w:lineRule="auto"/>
      </w:pPr>
      <w:r>
        <mc:AlternateContent>
          <mc:Choice Requires="wpc">
            <w:drawing>
              <wp:inline distT="0" distB="0" distL="114300" distR="114300">
                <wp:extent cx="6172200" cy="3335020"/>
                <wp:effectExtent l="0" t="0" r="0" b="0"/>
                <wp:docPr id="43" name="画布 52"/>
                <wp:cNvGraphicFramePr/>
                <a:graphic xmlns:a="http://schemas.openxmlformats.org/drawingml/2006/main">
                  <a:graphicData uri="http://schemas.microsoft.com/office/word/2010/wordprocessingCanvas">
                    <wpc:wpc>
                      <wpc:bg>
                        <a:noFill/>
                      </wpc:bg>
                      <wpc:whole>
                        <a:ln w="9525">
                          <a:noFill/>
                        </a:ln>
                      </wpc:whole>
                      <wps:wsp>
                        <wps:cNvPr id="41" name="矩形 62"/>
                        <wps:cNvSpPr/>
                        <wps:spPr>
                          <a:xfrm>
                            <a:off x="847725" y="2895600"/>
                            <a:ext cx="4629150" cy="342900"/>
                          </a:xfrm>
                          <a:prstGeom prst="rect">
                            <a:avLst/>
                          </a:prstGeom>
                          <a:solidFill>
                            <a:srgbClr val="FFFFFF"/>
                          </a:solidFill>
                          <a:ln w="9525" cap="flat" cmpd="sng">
                            <a:solidFill>
                              <a:srgbClr val="FFFFFF"/>
                            </a:solidFill>
                            <a:prstDash val="solid"/>
                            <a:miter/>
                            <a:headEnd type="none" w="med" len="med"/>
                            <a:tailEnd type="none" w="med" len="med"/>
                          </a:ln>
                        </wps:spPr>
                        <wps:txb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图</w:t>
                              </w:r>
                              <w:r>
                                <w:rPr>
                                  <w:b/>
                                  <w:bCs/>
                                  <w:color w:val="000000" w:themeColor="text1"/>
                                  <w14:textFill>
                                    <w14:solidFill>
                                      <w14:schemeClr w14:val="tx1"/>
                                    </w14:solidFill>
                                  </w14:textFill>
                                </w:rPr>
                                <w:t xml:space="preserve">4-2  </w:t>
                              </w:r>
                              <w:r>
                                <w:rPr>
                                  <w:rFonts w:hint="eastAsia"/>
                                  <w:b/>
                                  <w:bCs/>
                                  <w:color w:val="000000" w:themeColor="text1"/>
                                  <w14:textFill>
                                    <w14:solidFill>
                                      <w14:schemeClr w14:val="tx1"/>
                                    </w14:solidFill>
                                  </w14:textFill>
                                </w:rPr>
                                <w:t>本项目废水排放情况示意图</w:t>
                              </w:r>
                            </w:p>
                          </w:txbxContent>
                        </wps:txbx>
                        <wps:bodyPr vert="horz" anchor="t" upright="1"/>
                      </wps:wsp>
                      <pic:pic xmlns:pic="http://schemas.openxmlformats.org/drawingml/2006/picture">
                        <pic:nvPicPr>
                          <pic:cNvPr id="42" name="图片 106" descr="@4A%1FFR(CJ$$_{67YQBXUM"/>
                          <pic:cNvPicPr>
                            <a:picLocks noChangeAspect="1"/>
                          </pic:cNvPicPr>
                        </pic:nvPicPr>
                        <pic:blipFill>
                          <a:blip r:embed="rId15"/>
                          <a:stretch>
                            <a:fillRect/>
                          </a:stretch>
                        </pic:blipFill>
                        <pic:spPr>
                          <a:xfrm>
                            <a:off x="0" y="0"/>
                            <a:ext cx="6172200" cy="2922270"/>
                          </a:xfrm>
                          <a:prstGeom prst="rect">
                            <a:avLst/>
                          </a:prstGeom>
                          <a:noFill/>
                          <a:ln w="9525">
                            <a:noFill/>
                          </a:ln>
                        </pic:spPr>
                      </pic:pic>
                    </wpc:wpc>
                  </a:graphicData>
                </a:graphic>
              </wp:inline>
            </w:drawing>
          </mc:Choice>
          <mc:Fallback>
            <w:pict>
              <v:group id="画布 52" o:spid="_x0000_s1026" o:spt="203" style="height:262.6pt;width:486pt;" coordsize="6172200,3335020" editas="canvas" o:gfxdata="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">
                <o:lock v:ext="edit" aspectratio="f"/>
                <v:shape id="画布 52" o:spid="_x0000_s1026" style="position:absolute;left:0;top:0;height:3335020;width:6172200;" filled="f" stroked="f" coordsize="21600,21600" o:gfxdata="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">
                  <v:fill on="f" focussize="0,0"/>
                  <v:stroke on="f"/>
                  <v:imagedata o:title=""/>
                  <o:lock v:ext="edit" aspectratio="f"/>
                </v:shape>
                <v:rect id="矩形 62" o:spid="_x0000_s1026" o:spt="1" style="position:absolute;left:847725;top:2895600;height:342900;width:4629150;" fillcolor="#FFFFFF" filled="t" stroked="t" coordsize="21600,21600" o:gfxdata="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H80mkXUAAAABQEAAA8AAAAAAAAAAQAgAAAAIgAAAGRycy9kb3ducmV2&#10;LnhtbFBLAQIUABQAAAAIAIdO4kA/NYi/AAIAAP8DAAAOAAAAAAAAAAEAIAAAACMBAABkcnMvZTJv&#10;RG9jLnhtbFBLBQYAAAAABgAGAFkBAACVBQAAAAA=&#10;">
                  <v:fill on="t" focussize="0,0"/>
                  <v:stroke color="#FFFFFF" joinstyle="miter"/>
                  <v:imagedata o:title=""/>
                  <o:lock v:ext="edit" aspectratio="f"/>
                  <v:textbox>
                    <w:txbxContent>
                      <w:p>
                        <w:pPr>
                          <w:jc w:val="center"/>
                          <w:rPr>
                            <w:b/>
                            <w:bCs/>
                            <w:color w:val="000000" w:themeColor="text1"/>
                            <w14:textFill>
                              <w14:solidFill>
                                <w14:schemeClr w14:val="tx1"/>
                              </w14:solidFill>
                            </w14:textFill>
                          </w:rPr>
                        </w:pPr>
                        <w:r>
                          <w:rPr>
                            <w:rFonts w:hint="eastAsia"/>
                            <w:b/>
                            <w:bCs/>
                            <w:color w:val="000000" w:themeColor="text1"/>
                            <w14:textFill>
                              <w14:solidFill>
                                <w14:schemeClr w14:val="tx1"/>
                              </w14:solidFill>
                            </w14:textFill>
                          </w:rPr>
                          <w:t>图</w:t>
                        </w:r>
                        <w:r>
                          <w:rPr>
                            <w:b/>
                            <w:bCs/>
                            <w:color w:val="000000" w:themeColor="text1"/>
                            <w14:textFill>
                              <w14:solidFill>
                                <w14:schemeClr w14:val="tx1"/>
                              </w14:solidFill>
                            </w14:textFill>
                          </w:rPr>
                          <w:t xml:space="preserve">4-2  </w:t>
                        </w:r>
                        <w:r>
                          <w:rPr>
                            <w:rFonts w:hint="eastAsia"/>
                            <w:b/>
                            <w:bCs/>
                            <w:color w:val="000000" w:themeColor="text1"/>
                            <w14:textFill>
                              <w14:solidFill>
                                <w14:schemeClr w14:val="tx1"/>
                              </w14:solidFill>
                            </w14:textFill>
                          </w:rPr>
                          <w:t>本项目废水排放情况示意图</w:t>
                        </w:r>
                      </w:p>
                    </w:txbxContent>
                  </v:textbox>
                </v:rect>
                <v:shape id="图片 106" o:spid="_x0000_s1026" o:spt="75" alt="@4A%1FFR(CJ$$_{67YQBXUM" type="#_x0000_t75" style="position:absolute;left:0;top:0;height:2922270;width:6172200;" filled="f" o:preferrelative="t" stroked="f" coordsize="21600,21600" o:gfxdata="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">
                  <v:fill on="f" focussize="0,0"/>
                  <v:stroke on="f"/>
                  <v:imagedata r:id="rId15" o:title=""/>
                  <o:lock v:ext="edit" aspectratio="t"/>
                </v:shape>
                <w10:wrap type="none"/>
                <w10:anchorlock/>
              </v:group>
            </w:pict>
          </mc:Fallback>
        </mc:AlternateContent>
      </w:r>
    </w:p>
    <w:p>
      <w:pPr>
        <w:spacing w:line="360" w:lineRule="auto"/>
      </w:pPr>
    </w:p>
    <w:p>
      <w:pPr>
        <w:pStyle w:val="4"/>
      </w:pPr>
      <w:bookmarkStart w:id="18" w:name="_Toc15049"/>
      <w:r>
        <w:t xml:space="preserve">4.1.2 </w:t>
      </w:r>
      <w:r>
        <w:rPr>
          <w:rFonts w:hint="eastAsia"/>
        </w:rPr>
        <w:t>废气</w:t>
      </w:r>
      <w:bookmarkEnd w:id="18"/>
    </w:p>
    <w:p>
      <w:pPr>
        <w:spacing w:line="360" w:lineRule="auto"/>
        <w:rPr>
          <w:rFonts w:hAnsi="宋体"/>
        </w:rPr>
      </w:pPr>
      <w:r>
        <w:rPr>
          <w:rFonts w:hint="eastAsia" w:hAnsi="宋体"/>
        </w:rPr>
        <w:t>本项目废气主要包括车间废气、锅炉烟气和罐区无组织废气。</w:t>
      </w:r>
    </w:p>
    <w:p>
      <w:pPr>
        <w:snapToGrid w:val="0"/>
        <w:spacing w:line="360" w:lineRule="auto"/>
        <w:ind w:firstLine="480" w:firstLineChars="200"/>
        <w:rPr>
          <w:rFonts w:ascii="宋体"/>
        </w:rPr>
      </w:pPr>
      <w:r>
        <w:rPr>
          <w:rFonts w:hint="eastAsia" w:hAnsi="宋体"/>
        </w:rPr>
        <w:t>（</w:t>
      </w:r>
      <w:r>
        <w:t>1</w:t>
      </w:r>
      <w:r>
        <w:rPr>
          <w:rFonts w:hint="eastAsia" w:hAnsi="宋体"/>
        </w:rPr>
        <w:t>）</w:t>
      </w:r>
      <w:r>
        <w:rPr>
          <w:rFonts w:hint="eastAsia" w:ascii="宋体" w:hAnsi="宋体"/>
        </w:rPr>
        <w:t>车间废气</w:t>
      </w:r>
    </w:p>
    <w:p>
      <w:pPr>
        <w:snapToGrid w:val="0"/>
        <w:spacing w:line="360" w:lineRule="auto"/>
        <w:ind w:firstLine="480" w:firstLineChars="200"/>
        <w:rPr>
          <w:rFonts w:hAnsi="宋体"/>
        </w:rPr>
      </w:pPr>
      <w:r>
        <w:rPr>
          <w:rFonts w:hint="eastAsia" w:hAnsi="宋体"/>
        </w:rPr>
        <w:t>本项目新建一座车间，车间废气主要为二甲苯和酒精的挥发，此两种物质作为反应的催化剂不参与反应，最终全部以进入废水和大气的形式存在，本项目主要采用活性炭喷淋吸附处理，根据物料平衡计算可知：其中约有</w:t>
      </w:r>
      <w:r>
        <w:rPr>
          <w:rFonts w:hAnsi="宋体"/>
        </w:rPr>
        <w:t>96%</w:t>
      </w:r>
      <w:r>
        <w:rPr>
          <w:rFonts w:hint="eastAsia" w:hAnsi="宋体"/>
        </w:rPr>
        <w:t>进入废水中，剩余的</w:t>
      </w:r>
      <w:r>
        <w:rPr>
          <w:rFonts w:hAnsi="宋体"/>
        </w:rPr>
        <w:t>4%</w:t>
      </w:r>
      <w:r>
        <w:rPr>
          <w:rFonts w:hint="eastAsia" w:hAnsi="宋体"/>
        </w:rPr>
        <w:t>以废气的形式被活性炭吸附。</w:t>
      </w:r>
    </w:p>
    <w:p>
      <w:pPr>
        <w:snapToGrid w:val="0"/>
        <w:spacing w:line="360" w:lineRule="auto"/>
        <w:ind w:firstLine="480" w:firstLineChars="200"/>
        <w:rPr>
          <w:color w:val="FF0000"/>
        </w:rPr>
      </w:pPr>
      <w:r>
        <w:rPr>
          <w:rFonts w:hint="eastAsia" w:hAnsi="宋体"/>
        </w:rPr>
        <w:t>建设单位设集气罩收集（集气罩收集效率取</w:t>
      </w:r>
      <w:r>
        <w:rPr>
          <w:rFonts w:hAnsi="宋体"/>
        </w:rPr>
        <w:t>95%</w:t>
      </w:r>
      <w:r>
        <w:rPr>
          <w:rFonts w:hint="eastAsia" w:hAnsi="宋体"/>
        </w:rPr>
        <w:t>）产生的废气，产生的车间废气经集气罩收集后送入活性炭吸收处理，经处理后的车间废气</w:t>
      </w:r>
      <w:r>
        <w:t>VOCs</w:t>
      </w:r>
      <w:r>
        <w:rPr>
          <w:rFonts w:hint="eastAsia"/>
        </w:rPr>
        <w:t>达到《家具制造行业挥发性有机化合物排放标准》（</w:t>
      </w:r>
      <w:r>
        <w:t>DB44/814-2010</w:t>
      </w:r>
      <w:r>
        <w:rPr>
          <w:rFonts w:hint="eastAsia"/>
        </w:rPr>
        <w:t>），达标后的废气引至</w:t>
      </w:r>
      <w:r>
        <w:rPr>
          <w:rFonts w:hint="eastAsia" w:hAnsi="宋体"/>
        </w:rPr>
        <w:t>一根高</w:t>
      </w:r>
      <w:r>
        <w:rPr>
          <w:rFonts w:hAnsi="宋体"/>
        </w:rPr>
        <w:t>15m</w:t>
      </w:r>
      <w:r>
        <w:rPr>
          <w:rFonts w:hint="eastAsia" w:hAnsi="宋体"/>
        </w:rPr>
        <w:t>的排气筒外排。</w:t>
      </w:r>
    </w:p>
    <w:p>
      <w:pPr>
        <w:snapToGrid w:val="0"/>
        <w:spacing w:line="360" w:lineRule="auto"/>
        <w:ind w:firstLine="480" w:firstLineChars="200"/>
        <w:rPr>
          <w:rFonts w:hAnsi="宋体"/>
        </w:rPr>
      </w:pPr>
      <w:r>
        <w:rPr>
          <w:rFonts w:hint="eastAsia" w:hAnsi="宋体"/>
        </w:rPr>
        <w:t>（</w:t>
      </w:r>
      <w:r>
        <w:rPr>
          <w:rFonts w:hAnsi="宋体"/>
        </w:rPr>
        <w:t>2</w:t>
      </w:r>
      <w:r>
        <w:rPr>
          <w:rFonts w:hint="eastAsia" w:hAnsi="宋体"/>
        </w:rPr>
        <w:t>）罐区无组织排放废气</w:t>
      </w:r>
    </w:p>
    <w:p>
      <w:pPr>
        <w:snapToGrid w:val="0"/>
        <w:spacing w:line="360" w:lineRule="auto"/>
        <w:ind w:firstLine="480" w:firstLineChars="200"/>
        <w:rPr>
          <w:rFonts w:hAnsi="宋体"/>
        </w:rPr>
      </w:pPr>
      <w:r>
        <w:rPr>
          <w:rFonts w:hint="eastAsia" w:hAnsi="宋体"/>
        </w:rPr>
        <w:t>本项目设二甲苯储罐</w:t>
      </w:r>
      <w:r>
        <w:rPr>
          <w:rFonts w:hAnsi="宋体"/>
        </w:rPr>
        <w:t>1</w:t>
      </w:r>
      <w:r>
        <w:rPr>
          <w:rFonts w:hint="eastAsia" w:hAnsi="宋体"/>
        </w:rPr>
        <w:t>个、叔丁醇储罐</w:t>
      </w:r>
      <w:r>
        <w:rPr>
          <w:rFonts w:hAnsi="宋体"/>
        </w:rPr>
        <w:t>1</w:t>
      </w:r>
      <w:r>
        <w:rPr>
          <w:rFonts w:hint="eastAsia" w:hAnsi="宋体"/>
        </w:rPr>
        <w:t>个、磷酸（</w:t>
      </w:r>
      <w:r>
        <w:rPr>
          <w:rFonts w:hAnsi="宋体"/>
        </w:rPr>
        <w:t>85%</w:t>
      </w:r>
      <w:r>
        <w:rPr>
          <w:rFonts w:hint="eastAsia" w:hAnsi="宋体"/>
        </w:rPr>
        <w:t>）储罐</w:t>
      </w:r>
      <w:r>
        <w:rPr>
          <w:rFonts w:hAnsi="宋体"/>
        </w:rPr>
        <w:t>1</w:t>
      </w:r>
      <w:r>
        <w:rPr>
          <w:rFonts w:hint="eastAsia" w:hAnsi="宋体"/>
        </w:rPr>
        <w:t>个、酒精（</w:t>
      </w:r>
      <w:r>
        <w:rPr>
          <w:rFonts w:hAnsi="宋体"/>
        </w:rPr>
        <w:t>95%</w:t>
      </w:r>
      <w:r>
        <w:rPr>
          <w:rFonts w:hint="eastAsia" w:hAnsi="宋体"/>
        </w:rPr>
        <w:t>）储罐</w:t>
      </w:r>
      <w:r>
        <w:rPr>
          <w:rFonts w:hAnsi="宋体"/>
        </w:rPr>
        <w:t>1</w:t>
      </w:r>
      <w:r>
        <w:rPr>
          <w:rFonts w:hint="eastAsia" w:hAnsi="宋体"/>
        </w:rPr>
        <w:t>个。</w:t>
      </w:r>
    </w:p>
    <w:p>
      <w:pPr>
        <w:snapToGrid w:val="0"/>
        <w:spacing w:line="360" w:lineRule="auto"/>
        <w:ind w:firstLine="480" w:firstLineChars="200"/>
        <w:rPr>
          <w:color w:val="000000"/>
        </w:rPr>
      </w:pPr>
      <w:r>
        <w:rPr>
          <w:rFonts w:hint="eastAsia"/>
          <w:color w:val="000000"/>
        </w:rPr>
        <w:t>储罐均为平顶罐，采用氮封贮存，因此，储罐内物料损耗较少，按贮运量的</w:t>
      </w:r>
      <w:r>
        <w:rPr>
          <w:color w:val="000000"/>
        </w:rPr>
        <w:t>0.1%</w:t>
      </w:r>
      <w:r>
        <w:rPr>
          <w:rFonts w:hint="eastAsia"/>
          <w:color w:val="000000"/>
        </w:rPr>
        <w:t>计，损耗物料挥发进入大气，主要污染物为二甲苯和</w:t>
      </w:r>
      <w:r>
        <w:rPr>
          <w:color w:val="000000"/>
        </w:rPr>
        <w:t>VOCs</w:t>
      </w:r>
      <w:r>
        <w:rPr>
          <w:rFonts w:hint="eastAsia"/>
          <w:color w:val="000000"/>
        </w:rPr>
        <w:t>。</w:t>
      </w:r>
    </w:p>
    <w:p>
      <w:pPr>
        <w:snapToGrid w:val="0"/>
        <w:spacing w:line="360" w:lineRule="auto"/>
        <w:ind w:firstLine="480" w:firstLineChars="200"/>
        <w:rPr>
          <w:bCs/>
          <w:color w:val="000000"/>
        </w:rPr>
      </w:pPr>
      <w:r>
        <w:rPr>
          <w:rFonts w:hint="eastAsia"/>
          <w:bCs/>
          <w:color w:val="000000"/>
        </w:rPr>
        <w:t>（</w:t>
      </w:r>
      <w:r>
        <w:rPr>
          <w:bCs/>
          <w:color w:val="000000"/>
        </w:rPr>
        <w:t>3</w:t>
      </w:r>
      <w:r>
        <w:rPr>
          <w:rFonts w:hint="eastAsia"/>
          <w:bCs/>
          <w:color w:val="000000"/>
        </w:rPr>
        <w:t>）锅炉烟气</w:t>
      </w:r>
    </w:p>
    <w:p>
      <w:pPr>
        <w:snapToGrid w:val="0"/>
        <w:spacing w:line="360" w:lineRule="auto"/>
        <w:ind w:firstLine="480" w:firstLineChars="200"/>
        <w:rPr>
          <w:rFonts w:hAnsi="宋体"/>
        </w:rPr>
      </w:pPr>
      <w:r>
        <w:rPr>
          <w:rFonts w:hint="eastAsia"/>
        </w:rPr>
        <w:t>本项目锅炉利用现有工程</w:t>
      </w:r>
      <w:r>
        <w:t>1</w:t>
      </w:r>
      <w:r>
        <w:rPr>
          <w:rFonts w:hint="eastAsia"/>
        </w:rPr>
        <w:t>台</w:t>
      </w:r>
      <w:r>
        <w:t>10t/h</w:t>
      </w:r>
      <w:r>
        <w:rPr>
          <w:rFonts w:hint="eastAsia"/>
        </w:rPr>
        <w:t>燃煤锅炉，不新增锅炉设备。产生的锅炉烟气采用布袋除尘和麻石水膜（碱液喷淋），脱硫效率</w:t>
      </w:r>
      <w:r>
        <w:t>80%</w:t>
      </w:r>
      <w:r>
        <w:rPr>
          <w:rFonts w:hint="eastAsia"/>
        </w:rPr>
        <w:t>以上，除尘效率</w:t>
      </w:r>
      <w:r>
        <w:t>99%</w:t>
      </w:r>
      <w:r>
        <w:rPr>
          <w:rFonts w:hint="eastAsia"/>
        </w:rPr>
        <w:t>以上，达到</w:t>
      </w:r>
      <w:r>
        <w:rPr>
          <w:rFonts w:hint="eastAsia" w:hAnsi="宋体"/>
        </w:rPr>
        <w:t>《锅炉大气污染物排放标准》（</w:t>
      </w:r>
      <w:r>
        <w:rPr>
          <w:rFonts w:hAnsi="宋体"/>
        </w:rPr>
        <w:t>GB13271-2014</w:t>
      </w:r>
      <w:r>
        <w:rPr>
          <w:rFonts w:hint="eastAsia" w:hAnsi="宋体"/>
        </w:rPr>
        <w:t>）中表</w:t>
      </w:r>
      <w:r>
        <w:rPr>
          <w:rFonts w:hAnsi="宋体"/>
        </w:rPr>
        <w:t>1</w:t>
      </w:r>
      <w:r>
        <w:rPr>
          <w:rFonts w:hint="eastAsia" w:hAnsi="宋体"/>
        </w:rPr>
        <w:t>规定的大气污染物排放限值，</w:t>
      </w:r>
      <w:r>
        <w:rPr>
          <w:rFonts w:hint="eastAsia"/>
        </w:rPr>
        <w:t>经</w:t>
      </w:r>
      <w:r>
        <w:t>45</w:t>
      </w:r>
      <w:r>
        <w:rPr>
          <w:rFonts w:hint="eastAsia"/>
        </w:rPr>
        <w:t>米高烟囱排放</w:t>
      </w:r>
      <w:r>
        <w:rPr>
          <w:rFonts w:hint="eastAsia" w:hAnsi="宋体"/>
        </w:rPr>
        <w:t>。</w:t>
      </w:r>
    </w:p>
    <w:p>
      <w:pPr>
        <w:numPr>
          <w:ilvl w:val="0"/>
          <w:numId w:val="5"/>
        </w:numPr>
        <w:snapToGrid w:val="0"/>
        <w:spacing w:line="360" w:lineRule="auto"/>
        <w:ind w:firstLine="480" w:firstLineChars="200"/>
        <w:rPr>
          <w:rFonts w:hAnsi="宋体"/>
        </w:rPr>
      </w:pPr>
      <w:r>
        <w:rPr>
          <w:rFonts w:hint="eastAsia" w:hAnsi="宋体"/>
        </w:rPr>
        <w:t>污水处理站废气</w:t>
      </w:r>
    </w:p>
    <w:p>
      <w:pPr>
        <w:snapToGrid w:val="0"/>
        <w:spacing w:line="360" w:lineRule="auto"/>
        <w:ind w:firstLine="480" w:firstLineChars="200"/>
        <w:rPr>
          <w:rFonts w:hAnsi="宋体"/>
        </w:rPr>
      </w:pPr>
      <w:r>
        <w:rPr>
          <w:rFonts w:hint="eastAsia" w:hAnsi="宋体"/>
        </w:rPr>
        <w:t>本项目厂区内有个污水处理站，处理过程中产生一定量的恶臭，主要污染物为硫化氢、氨、臭气浓度，无组织排放。</w:t>
      </w:r>
    </w:p>
    <w:p>
      <w:pPr>
        <w:snapToGrid w:val="0"/>
        <w:spacing w:line="360" w:lineRule="auto"/>
        <w:ind w:firstLine="480" w:firstLineChars="200"/>
        <w:rPr>
          <w:rFonts w:hAnsi="宋体"/>
        </w:rPr>
      </w:pPr>
      <w:r>
        <w:rPr>
          <w:rFonts w:hint="eastAsia" w:hAnsi="宋体"/>
        </w:rPr>
        <w:t>本项目废气排放一览表见表</w:t>
      </w:r>
      <w:r>
        <w:rPr>
          <w:rFonts w:hAnsi="宋体"/>
        </w:rPr>
        <w:t>4-2</w:t>
      </w:r>
      <w:r>
        <w:rPr>
          <w:rFonts w:hint="eastAsia" w:hAnsi="宋体"/>
        </w:rPr>
        <w:t>，</w:t>
      </w:r>
      <w:r>
        <w:rPr>
          <w:rFonts w:hint="eastAsia" w:hAnsi="宋体"/>
          <w:lang w:eastAsia="zh-CN"/>
        </w:rPr>
        <w:t>废气排放示意图</w:t>
      </w:r>
      <w:r>
        <w:rPr>
          <w:rFonts w:hint="eastAsia" w:hAnsi="宋体"/>
        </w:rPr>
        <w:t>见图</w:t>
      </w:r>
      <w:r>
        <w:rPr>
          <w:rFonts w:hAnsi="宋体"/>
        </w:rPr>
        <w:t>4-3</w:t>
      </w:r>
      <w:r>
        <w:rPr>
          <w:rFonts w:hint="eastAsia" w:hAnsi="宋体"/>
          <w:lang w:val="en-US" w:eastAsia="zh-CN"/>
        </w:rPr>
        <w:t>~图4-6</w:t>
      </w:r>
      <w:r>
        <w:rPr>
          <w:rFonts w:hint="eastAsia" w:hAnsi="宋体"/>
        </w:rPr>
        <w:t>。</w:t>
      </w:r>
    </w:p>
    <w:p>
      <w:pPr>
        <w:snapToGrid w:val="0"/>
        <w:spacing w:line="360" w:lineRule="auto"/>
        <w:ind w:firstLine="480" w:firstLineChars="200"/>
        <w:rPr>
          <w:rFonts w:hAnsi="宋体"/>
        </w:rPr>
      </w:pPr>
    </w:p>
    <w:p>
      <w:pPr>
        <w:snapToGrid w:val="0"/>
        <w:spacing w:line="360" w:lineRule="auto"/>
        <w:ind w:firstLine="480" w:firstLineChars="200"/>
        <w:rPr>
          <w:rFonts w:hAnsi="宋体"/>
        </w:rPr>
        <w:sectPr>
          <w:pgSz w:w="11906" w:h="16838"/>
          <w:pgMar w:top="1440" w:right="1080" w:bottom="1440" w:left="1080" w:header="709" w:footer="709" w:gutter="0"/>
          <w:pgNumType w:fmt="decimal"/>
          <w:cols w:space="708" w:num="1"/>
          <w:docGrid w:linePitch="360" w:charSpace="0"/>
        </w:sectPr>
      </w:pPr>
    </w:p>
    <w:p>
      <w:pPr>
        <w:snapToGrid w:val="0"/>
        <w:spacing w:line="360" w:lineRule="auto"/>
        <w:jc w:val="center"/>
        <w:rPr>
          <w:rFonts w:hAnsi="宋体"/>
          <w:b/>
          <w:bCs/>
        </w:rPr>
      </w:pPr>
      <w:r>
        <w:rPr>
          <w:rFonts w:hint="eastAsia" w:hAnsi="宋体"/>
          <w:b/>
          <w:bCs/>
        </w:rPr>
        <w:t>表</w:t>
      </w:r>
      <w:r>
        <w:rPr>
          <w:rFonts w:hAnsi="宋体"/>
          <w:b/>
          <w:bCs/>
        </w:rPr>
        <w:t xml:space="preserve">4-2  </w:t>
      </w:r>
      <w:r>
        <w:rPr>
          <w:rFonts w:hint="eastAsia" w:hAnsi="宋体"/>
          <w:b/>
          <w:bCs/>
        </w:rPr>
        <w:t>本项目废气排放情况一览表</w:t>
      </w:r>
    </w:p>
    <w:tbl>
      <w:tblPr>
        <w:tblStyle w:val="47"/>
        <w:tblW w:w="1414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2"/>
        <w:gridCol w:w="1573"/>
        <w:gridCol w:w="1573"/>
        <w:gridCol w:w="1573"/>
        <w:gridCol w:w="1573"/>
        <w:gridCol w:w="1573"/>
        <w:gridCol w:w="1573"/>
        <w:gridCol w:w="1570"/>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1" w:hRule="exact"/>
        </w:trPr>
        <w:tc>
          <w:tcPr>
            <w:tcW w:w="1572" w:type="dxa"/>
            <w:vAlign w:val="center"/>
          </w:tcPr>
          <w:p>
            <w:pPr>
              <w:snapToGrid w:val="0"/>
              <w:jc w:val="center"/>
              <w:rPr>
                <w:rFonts w:hAnsi="宋体"/>
                <w:b/>
                <w:bCs/>
                <w:sz w:val="21"/>
                <w:szCs w:val="21"/>
              </w:rPr>
            </w:pPr>
            <w:r>
              <w:rPr>
                <w:rFonts w:hint="eastAsia" w:hAnsi="宋体"/>
                <w:b/>
                <w:bCs/>
                <w:sz w:val="21"/>
                <w:szCs w:val="21"/>
              </w:rPr>
              <w:t>废气名称</w:t>
            </w:r>
          </w:p>
        </w:tc>
        <w:tc>
          <w:tcPr>
            <w:tcW w:w="1573" w:type="dxa"/>
            <w:vAlign w:val="center"/>
          </w:tcPr>
          <w:p>
            <w:pPr>
              <w:snapToGrid w:val="0"/>
              <w:jc w:val="center"/>
              <w:rPr>
                <w:rFonts w:hAnsi="宋体"/>
                <w:b/>
                <w:bCs/>
                <w:sz w:val="21"/>
                <w:szCs w:val="21"/>
              </w:rPr>
            </w:pPr>
            <w:r>
              <w:rPr>
                <w:rFonts w:hint="eastAsia" w:hAnsi="宋体"/>
                <w:b/>
                <w:bCs/>
                <w:sz w:val="21"/>
                <w:szCs w:val="21"/>
              </w:rPr>
              <w:t>来源</w:t>
            </w:r>
          </w:p>
        </w:tc>
        <w:tc>
          <w:tcPr>
            <w:tcW w:w="1573" w:type="dxa"/>
            <w:vAlign w:val="center"/>
          </w:tcPr>
          <w:p>
            <w:pPr>
              <w:snapToGrid w:val="0"/>
              <w:jc w:val="center"/>
              <w:rPr>
                <w:rFonts w:hAnsi="宋体"/>
                <w:b/>
                <w:bCs/>
                <w:sz w:val="21"/>
                <w:szCs w:val="21"/>
              </w:rPr>
            </w:pPr>
            <w:r>
              <w:rPr>
                <w:rFonts w:hint="eastAsia" w:hAnsi="宋体"/>
                <w:b/>
                <w:bCs/>
                <w:sz w:val="21"/>
                <w:szCs w:val="21"/>
              </w:rPr>
              <w:t>污染物种类</w:t>
            </w:r>
          </w:p>
        </w:tc>
        <w:tc>
          <w:tcPr>
            <w:tcW w:w="1573" w:type="dxa"/>
            <w:vAlign w:val="center"/>
          </w:tcPr>
          <w:p>
            <w:pPr>
              <w:snapToGrid w:val="0"/>
              <w:jc w:val="center"/>
              <w:rPr>
                <w:rFonts w:hAnsi="宋体"/>
                <w:b/>
                <w:bCs/>
                <w:sz w:val="21"/>
                <w:szCs w:val="21"/>
              </w:rPr>
            </w:pPr>
            <w:r>
              <w:rPr>
                <w:rFonts w:hint="eastAsia" w:hAnsi="宋体"/>
                <w:b/>
                <w:bCs/>
                <w:sz w:val="21"/>
                <w:szCs w:val="21"/>
              </w:rPr>
              <w:t>排放形式</w:t>
            </w:r>
          </w:p>
        </w:tc>
        <w:tc>
          <w:tcPr>
            <w:tcW w:w="1573" w:type="dxa"/>
            <w:vAlign w:val="center"/>
          </w:tcPr>
          <w:p>
            <w:pPr>
              <w:snapToGrid w:val="0"/>
              <w:jc w:val="center"/>
              <w:rPr>
                <w:rFonts w:hAnsi="宋体"/>
                <w:b/>
                <w:bCs/>
                <w:sz w:val="21"/>
                <w:szCs w:val="21"/>
              </w:rPr>
            </w:pPr>
            <w:r>
              <w:rPr>
                <w:rFonts w:hint="eastAsia" w:hAnsi="宋体"/>
                <w:b/>
                <w:bCs/>
                <w:sz w:val="21"/>
                <w:szCs w:val="21"/>
              </w:rPr>
              <w:t>治理设施</w:t>
            </w:r>
          </w:p>
        </w:tc>
        <w:tc>
          <w:tcPr>
            <w:tcW w:w="1573" w:type="dxa"/>
            <w:vAlign w:val="center"/>
          </w:tcPr>
          <w:p>
            <w:pPr>
              <w:snapToGrid w:val="0"/>
              <w:jc w:val="center"/>
              <w:rPr>
                <w:rFonts w:hAnsi="宋体"/>
                <w:b/>
                <w:bCs/>
                <w:sz w:val="21"/>
                <w:szCs w:val="21"/>
              </w:rPr>
            </w:pPr>
            <w:r>
              <w:rPr>
                <w:rFonts w:hint="eastAsia" w:hAnsi="宋体"/>
                <w:b/>
                <w:bCs/>
                <w:sz w:val="21"/>
                <w:szCs w:val="21"/>
              </w:rPr>
              <w:t>工艺</w:t>
            </w:r>
          </w:p>
        </w:tc>
        <w:tc>
          <w:tcPr>
            <w:tcW w:w="1573" w:type="dxa"/>
            <w:vAlign w:val="center"/>
          </w:tcPr>
          <w:p>
            <w:pPr>
              <w:snapToGrid w:val="0"/>
              <w:jc w:val="center"/>
              <w:rPr>
                <w:rFonts w:hAnsi="宋体"/>
                <w:b/>
                <w:bCs/>
                <w:sz w:val="21"/>
                <w:szCs w:val="21"/>
              </w:rPr>
            </w:pPr>
            <w:r>
              <w:rPr>
                <w:rFonts w:hint="eastAsia" w:hAnsi="宋体"/>
                <w:b/>
                <w:bCs/>
                <w:sz w:val="21"/>
                <w:szCs w:val="21"/>
              </w:rPr>
              <w:t>排气筒高度</w:t>
            </w:r>
          </w:p>
        </w:tc>
        <w:tc>
          <w:tcPr>
            <w:tcW w:w="1570" w:type="dxa"/>
            <w:vAlign w:val="center"/>
          </w:tcPr>
          <w:p>
            <w:pPr>
              <w:snapToGrid w:val="0"/>
              <w:jc w:val="center"/>
              <w:rPr>
                <w:rFonts w:hAnsi="宋体"/>
                <w:b/>
                <w:bCs/>
                <w:sz w:val="21"/>
                <w:szCs w:val="21"/>
              </w:rPr>
            </w:pPr>
            <w:r>
              <w:rPr>
                <w:rFonts w:hint="eastAsia" w:hAnsi="宋体"/>
                <w:b/>
                <w:bCs/>
                <w:sz w:val="21"/>
                <w:szCs w:val="21"/>
              </w:rPr>
              <w:t>排放去向</w:t>
            </w:r>
          </w:p>
        </w:tc>
        <w:tc>
          <w:tcPr>
            <w:tcW w:w="1565" w:type="dxa"/>
            <w:vAlign w:val="center"/>
          </w:tcPr>
          <w:p>
            <w:pPr>
              <w:snapToGrid w:val="0"/>
              <w:jc w:val="center"/>
              <w:rPr>
                <w:rFonts w:hAnsi="宋体"/>
                <w:b/>
                <w:bCs/>
                <w:sz w:val="21"/>
                <w:szCs w:val="21"/>
              </w:rPr>
            </w:pPr>
            <w:r>
              <w:rPr>
                <w:rFonts w:hint="eastAsia" w:hAnsi="宋体"/>
                <w:b/>
                <w:bCs/>
                <w:sz w:val="21"/>
                <w:szCs w:val="21"/>
              </w:rPr>
              <w:t>监测点位情况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1" w:hRule="exact"/>
        </w:trPr>
        <w:tc>
          <w:tcPr>
            <w:tcW w:w="1572" w:type="dxa"/>
            <w:vAlign w:val="center"/>
          </w:tcPr>
          <w:p>
            <w:pPr>
              <w:jc w:val="center"/>
              <w:rPr>
                <w:rFonts w:hAnsi="宋体"/>
                <w:sz w:val="21"/>
                <w:szCs w:val="21"/>
              </w:rPr>
            </w:pPr>
            <w:r>
              <w:rPr>
                <w:rFonts w:hint="eastAsia"/>
                <w:color w:val="000000"/>
                <w:sz w:val="21"/>
                <w:szCs w:val="21"/>
              </w:rPr>
              <w:t>车间废气</w:t>
            </w:r>
          </w:p>
        </w:tc>
        <w:tc>
          <w:tcPr>
            <w:tcW w:w="1573" w:type="dxa"/>
            <w:vAlign w:val="center"/>
          </w:tcPr>
          <w:p>
            <w:pPr>
              <w:jc w:val="center"/>
              <w:rPr>
                <w:rFonts w:hAnsi="宋体"/>
                <w:sz w:val="21"/>
                <w:szCs w:val="21"/>
              </w:rPr>
            </w:pPr>
            <w:r>
              <w:rPr>
                <w:rFonts w:hint="eastAsia"/>
                <w:color w:val="000000"/>
                <w:sz w:val="21"/>
                <w:szCs w:val="21"/>
              </w:rPr>
              <w:t>本期工程新建精制合成车间</w:t>
            </w:r>
          </w:p>
        </w:tc>
        <w:tc>
          <w:tcPr>
            <w:tcW w:w="1573" w:type="dxa"/>
            <w:vAlign w:val="center"/>
          </w:tcPr>
          <w:p>
            <w:pPr>
              <w:jc w:val="center"/>
              <w:rPr>
                <w:rFonts w:hAnsi="宋体"/>
                <w:sz w:val="21"/>
                <w:szCs w:val="21"/>
              </w:rPr>
            </w:pPr>
            <w:r>
              <w:rPr>
                <w:rFonts w:hint="eastAsia"/>
                <w:color w:val="000000"/>
                <w:sz w:val="21"/>
                <w:szCs w:val="21"/>
              </w:rPr>
              <w:t>二甲苯、</w:t>
            </w:r>
            <w:r>
              <w:rPr>
                <w:color w:val="000000"/>
                <w:sz w:val="21"/>
                <w:szCs w:val="21"/>
              </w:rPr>
              <w:t>VOCs</w:t>
            </w:r>
          </w:p>
        </w:tc>
        <w:tc>
          <w:tcPr>
            <w:tcW w:w="1573" w:type="dxa"/>
            <w:vAlign w:val="center"/>
          </w:tcPr>
          <w:p>
            <w:pPr>
              <w:snapToGrid w:val="0"/>
              <w:jc w:val="center"/>
              <w:rPr>
                <w:rFonts w:hAnsi="宋体"/>
                <w:sz w:val="21"/>
                <w:szCs w:val="21"/>
              </w:rPr>
            </w:pPr>
            <w:r>
              <w:rPr>
                <w:rFonts w:hint="eastAsia" w:hAnsi="宋体"/>
                <w:sz w:val="21"/>
                <w:szCs w:val="21"/>
              </w:rPr>
              <w:t>有组织排放</w:t>
            </w:r>
          </w:p>
        </w:tc>
        <w:tc>
          <w:tcPr>
            <w:tcW w:w="1573" w:type="dxa"/>
            <w:vAlign w:val="center"/>
          </w:tcPr>
          <w:p>
            <w:pPr>
              <w:snapToGrid w:val="0"/>
              <w:jc w:val="center"/>
              <w:rPr>
                <w:rFonts w:hAnsi="宋体"/>
                <w:sz w:val="21"/>
                <w:szCs w:val="21"/>
              </w:rPr>
            </w:pPr>
            <w:r>
              <w:rPr>
                <w:rFonts w:hint="eastAsia" w:hAnsi="宋体"/>
                <w:sz w:val="21"/>
                <w:szCs w:val="21"/>
              </w:rPr>
              <w:t>水喷淋</w:t>
            </w:r>
            <w:r>
              <w:rPr>
                <w:rFonts w:hAnsi="宋体"/>
                <w:sz w:val="21"/>
                <w:szCs w:val="21"/>
              </w:rPr>
              <w:t>+</w:t>
            </w:r>
            <w:r>
              <w:rPr>
                <w:rFonts w:hint="eastAsia" w:hAnsi="宋体"/>
                <w:sz w:val="21"/>
                <w:szCs w:val="21"/>
              </w:rPr>
              <w:t>活性炭吸附</w:t>
            </w:r>
          </w:p>
        </w:tc>
        <w:tc>
          <w:tcPr>
            <w:tcW w:w="1573" w:type="dxa"/>
            <w:vAlign w:val="center"/>
          </w:tcPr>
          <w:p>
            <w:pPr>
              <w:snapToGrid w:val="0"/>
              <w:jc w:val="center"/>
              <w:rPr>
                <w:rFonts w:hAnsi="宋体"/>
                <w:sz w:val="21"/>
                <w:szCs w:val="21"/>
              </w:rPr>
            </w:pPr>
            <w:r>
              <w:rPr>
                <w:rFonts w:hint="eastAsia" w:hAnsi="宋体"/>
                <w:sz w:val="21"/>
                <w:szCs w:val="21"/>
              </w:rPr>
              <w:t>水喷淋</w:t>
            </w:r>
            <w:r>
              <w:rPr>
                <w:rFonts w:hAnsi="宋体"/>
                <w:sz w:val="21"/>
                <w:szCs w:val="21"/>
              </w:rPr>
              <w:t>+</w:t>
            </w:r>
            <w:r>
              <w:rPr>
                <w:rFonts w:hint="eastAsia" w:hAnsi="宋体"/>
                <w:sz w:val="21"/>
                <w:szCs w:val="21"/>
              </w:rPr>
              <w:t>活性炭吸附</w:t>
            </w:r>
          </w:p>
        </w:tc>
        <w:tc>
          <w:tcPr>
            <w:tcW w:w="1573" w:type="dxa"/>
            <w:vAlign w:val="center"/>
          </w:tcPr>
          <w:p>
            <w:pPr>
              <w:snapToGrid w:val="0"/>
              <w:jc w:val="center"/>
              <w:rPr>
                <w:rFonts w:hAnsi="宋体"/>
                <w:sz w:val="21"/>
                <w:szCs w:val="21"/>
              </w:rPr>
            </w:pPr>
            <w:r>
              <w:rPr>
                <w:rFonts w:hAnsi="宋体"/>
                <w:sz w:val="21"/>
                <w:szCs w:val="21"/>
              </w:rPr>
              <w:t>15m</w:t>
            </w:r>
          </w:p>
        </w:tc>
        <w:tc>
          <w:tcPr>
            <w:tcW w:w="1570" w:type="dxa"/>
            <w:vMerge w:val="restart"/>
            <w:vAlign w:val="center"/>
          </w:tcPr>
          <w:p>
            <w:pPr>
              <w:snapToGrid w:val="0"/>
              <w:jc w:val="center"/>
              <w:rPr>
                <w:rFonts w:hAnsi="宋体"/>
                <w:sz w:val="21"/>
                <w:szCs w:val="21"/>
              </w:rPr>
            </w:pPr>
            <w:r>
              <w:rPr>
                <w:rFonts w:hint="eastAsia" w:hAnsi="宋体"/>
                <w:sz w:val="21"/>
                <w:szCs w:val="21"/>
              </w:rPr>
              <w:t>环境</w:t>
            </w:r>
          </w:p>
        </w:tc>
        <w:tc>
          <w:tcPr>
            <w:tcW w:w="1565" w:type="dxa"/>
            <w:vAlign w:val="center"/>
          </w:tcPr>
          <w:p>
            <w:pPr>
              <w:snapToGrid w:val="0"/>
              <w:jc w:val="center"/>
              <w:rPr>
                <w:rFonts w:hAnsi="宋体"/>
                <w:sz w:val="21"/>
                <w:szCs w:val="21"/>
              </w:rPr>
            </w:pPr>
            <w:r>
              <w:rPr>
                <w:rFonts w:hint="eastAsia" w:hAnsi="宋体"/>
                <w:sz w:val="21"/>
                <w:szCs w:val="21"/>
              </w:rPr>
              <w:t>符合监测条件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1" w:hRule="exact"/>
        </w:trPr>
        <w:tc>
          <w:tcPr>
            <w:tcW w:w="1572" w:type="dxa"/>
            <w:vAlign w:val="center"/>
          </w:tcPr>
          <w:p>
            <w:pPr>
              <w:jc w:val="center"/>
              <w:rPr>
                <w:rFonts w:hAnsi="宋体"/>
                <w:sz w:val="21"/>
                <w:szCs w:val="21"/>
              </w:rPr>
            </w:pPr>
            <w:r>
              <w:rPr>
                <w:rFonts w:hint="eastAsia"/>
                <w:color w:val="000000"/>
                <w:sz w:val="21"/>
                <w:szCs w:val="21"/>
              </w:rPr>
              <w:t>锅炉烟气</w:t>
            </w:r>
          </w:p>
        </w:tc>
        <w:tc>
          <w:tcPr>
            <w:tcW w:w="1573" w:type="dxa"/>
            <w:vAlign w:val="center"/>
          </w:tcPr>
          <w:p>
            <w:pPr>
              <w:jc w:val="center"/>
              <w:rPr>
                <w:rFonts w:hAnsi="宋体"/>
                <w:sz w:val="21"/>
                <w:szCs w:val="21"/>
              </w:rPr>
            </w:pPr>
            <w:r>
              <w:rPr>
                <w:rFonts w:hint="eastAsia"/>
                <w:color w:val="000000"/>
                <w:sz w:val="21"/>
                <w:szCs w:val="21"/>
              </w:rPr>
              <w:t>原</w:t>
            </w:r>
            <w:r>
              <w:rPr>
                <w:rFonts w:hint="eastAsia"/>
                <w:b w:val="0"/>
                <w:bCs w:val="0"/>
                <w:color w:val="000000" w:themeColor="text1"/>
                <w:sz w:val="21"/>
                <w:szCs w:val="21"/>
                <w14:textFill>
                  <w14:solidFill>
                    <w14:schemeClr w14:val="tx1"/>
                  </w14:solidFill>
                </w14:textFill>
              </w:rPr>
              <w:t>有工程</w:t>
            </w:r>
            <w:r>
              <w:rPr>
                <w:b w:val="0"/>
                <w:bCs w:val="0"/>
                <w:color w:val="000000" w:themeColor="text1"/>
                <w:sz w:val="21"/>
                <w:szCs w:val="21"/>
                <w14:textFill>
                  <w14:solidFill>
                    <w14:schemeClr w14:val="tx1"/>
                  </w14:solidFill>
                </w14:textFill>
              </w:rPr>
              <w:t>1</w:t>
            </w:r>
            <w:r>
              <w:rPr>
                <w:rFonts w:hint="eastAsia"/>
                <w:b w:val="0"/>
                <w:bCs w:val="0"/>
                <w:color w:val="000000" w:themeColor="text1"/>
                <w:sz w:val="21"/>
                <w:szCs w:val="21"/>
                <w14:textFill>
                  <w14:solidFill>
                    <w14:schemeClr w14:val="tx1"/>
                  </w14:solidFill>
                </w14:textFill>
              </w:rPr>
              <w:t>台</w:t>
            </w:r>
            <w:r>
              <w:rPr>
                <w:b w:val="0"/>
                <w:bCs w:val="0"/>
                <w:color w:val="000000" w:themeColor="text1"/>
                <w:sz w:val="21"/>
                <w:szCs w:val="21"/>
                <w14:textFill>
                  <w14:solidFill>
                    <w14:schemeClr w14:val="tx1"/>
                  </w14:solidFill>
                </w14:textFill>
              </w:rPr>
              <w:t>10t/h</w:t>
            </w:r>
            <w:r>
              <w:rPr>
                <w:rFonts w:hint="eastAsia"/>
                <w:color w:val="000000"/>
                <w:sz w:val="21"/>
                <w:szCs w:val="21"/>
              </w:rPr>
              <w:t>燃煤锅炉</w:t>
            </w:r>
          </w:p>
        </w:tc>
        <w:tc>
          <w:tcPr>
            <w:tcW w:w="1573" w:type="dxa"/>
            <w:vAlign w:val="center"/>
          </w:tcPr>
          <w:p>
            <w:pPr>
              <w:jc w:val="center"/>
              <w:rPr>
                <w:rFonts w:hAnsi="宋体"/>
                <w:sz w:val="21"/>
                <w:szCs w:val="21"/>
              </w:rPr>
            </w:pPr>
            <w:r>
              <w:rPr>
                <w:rFonts w:hint="eastAsia"/>
                <w:color w:val="000000"/>
                <w:sz w:val="21"/>
                <w:szCs w:val="21"/>
              </w:rPr>
              <w:t>颗粒物、二氧化硫、氮氧化物、林格曼黑度</w:t>
            </w:r>
          </w:p>
        </w:tc>
        <w:tc>
          <w:tcPr>
            <w:tcW w:w="1573" w:type="dxa"/>
            <w:vAlign w:val="center"/>
          </w:tcPr>
          <w:p>
            <w:pPr>
              <w:snapToGrid w:val="0"/>
              <w:jc w:val="center"/>
              <w:rPr>
                <w:rFonts w:hAnsi="宋体"/>
                <w:sz w:val="21"/>
                <w:szCs w:val="21"/>
              </w:rPr>
            </w:pPr>
            <w:r>
              <w:rPr>
                <w:rFonts w:hint="eastAsia" w:hAnsi="宋体"/>
                <w:sz w:val="21"/>
                <w:szCs w:val="21"/>
              </w:rPr>
              <w:t>有组织排放</w:t>
            </w:r>
          </w:p>
        </w:tc>
        <w:tc>
          <w:tcPr>
            <w:tcW w:w="1573" w:type="dxa"/>
            <w:vAlign w:val="center"/>
          </w:tcPr>
          <w:p>
            <w:pPr>
              <w:snapToGrid w:val="0"/>
              <w:jc w:val="center"/>
              <w:rPr>
                <w:rFonts w:hAnsi="宋体"/>
                <w:sz w:val="21"/>
                <w:szCs w:val="21"/>
              </w:rPr>
            </w:pPr>
            <w:r>
              <w:rPr>
                <w:rFonts w:hint="eastAsia" w:hAnsi="宋体"/>
                <w:sz w:val="21"/>
                <w:szCs w:val="21"/>
              </w:rPr>
              <w:t>布袋除尘</w:t>
            </w:r>
            <w:r>
              <w:rPr>
                <w:rFonts w:hAnsi="宋体"/>
                <w:sz w:val="21"/>
                <w:szCs w:val="21"/>
              </w:rPr>
              <w:t>+</w:t>
            </w:r>
            <w:r>
              <w:rPr>
                <w:rFonts w:hint="eastAsia" w:hAnsi="宋体"/>
                <w:sz w:val="21"/>
                <w:szCs w:val="21"/>
              </w:rPr>
              <w:t>麻石水膜设施</w:t>
            </w:r>
          </w:p>
        </w:tc>
        <w:tc>
          <w:tcPr>
            <w:tcW w:w="1573" w:type="dxa"/>
            <w:vAlign w:val="center"/>
          </w:tcPr>
          <w:p>
            <w:pPr>
              <w:snapToGrid w:val="0"/>
              <w:jc w:val="center"/>
              <w:rPr>
                <w:rFonts w:hAnsi="宋体"/>
                <w:sz w:val="21"/>
                <w:szCs w:val="21"/>
              </w:rPr>
            </w:pPr>
            <w:r>
              <w:rPr>
                <w:rFonts w:hint="eastAsia" w:hAnsi="宋体"/>
                <w:sz w:val="21"/>
                <w:szCs w:val="21"/>
              </w:rPr>
              <w:t>布袋除尘</w:t>
            </w:r>
            <w:r>
              <w:rPr>
                <w:rFonts w:hAnsi="宋体"/>
                <w:sz w:val="21"/>
                <w:szCs w:val="21"/>
              </w:rPr>
              <w:t>+</w:t>
            </w:r>
            <w:r>
              <w:rPr>
                <w:rFonts w:hint="eastAsia" w:hAnsi="宋体"/>
                <w:sz w:val="21"/>
                <w:szCs w:val="21"/>
              </w:rPr>
              <w:t>麻石水膜（碱液喷淋）</w:t>
            </w:r>
          </w:p>
        </w:tc>
        <w:tc>
          <w:tcPr>
            <w:tcW w:w="1573" w:type="dxa"/>
            <w:vAlign w:val="center"/>
          </w:tcPr>
          <w:p>
            <w:pPr>
              <w:snapToGrid w:val="0"/>
              <w:jc w:val="center"/>
              <w:rPr>
                <w:rFonts w:hAnsi="宋体"/>
                <w:sz w:val="21"/>
                <w:szCs w:val="21"/>
              </w:rPr>
            </w:pPr>
            <w:r>
              <w:rPr>
                <w:rFonts w:hAnsi="宋体"/>
                <w:sz w:val="21"/>
                <w:szCs w:val="21"/>
              </w:rPr>
              <w:t>45m</w:t>
            </w:r>
          </w:p>
        </w:tc>
        <w:tc>
          <w:tcPr>
            <w:tcW w:w="1570" w:type="dxa"/>
            <w:vMerge w:val="continue"/>
            <w:vAlign w:val="center"/>
          </w:tcPr>
          <w:p>
            <w:pPr>
              <w:snapToGrid w:val="0"/>
              <w:jc w:val="center"/>
              <w:rPr>
                <w:rFonts w:hAnsi="宋体"/>
                <w:sz w:val="21"/>
                <w:szCs w:val="21"/>
              </w:rPr>
            </w:pPr>
          </w:p>
        </w:tc>
        <w:tc>
          <w:tcPr>
            <w:tcW w:w="1565" w:type="dxa"/>
            <w:vAlign w:val="center"/>
          </w:tcPr>
          <w:p>
            <w:pPr>
              <w:snapToGrid w:val="0"/>
              <w:jc w:val="center"/>
              <w:rPr>
                <w:rFonts w:hAnsi="宋体"/>
                <w:sz w:val="21"/>
                <w:szCs w:val="21"/>
              </w:rPr>
            </w:pPr>
            <w:r>
              <w:rPr>
                <w:rFonts w:hint="eastAsia" w:hAnsi="宋体"/>
                <w:sz w:val="21"/>
                <w:szCs w:val="21"/>
              </w:rPr>
              <w:t>符合监测条件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1" w:hRule="exact"/>
        </w:trPr>
        <w:tc>
          <w:tcPr>
            <w:tcW w:w="1572" w:type="dxa"/>
            <w:vAlign w:val="center"/>
          </w:tcPr>
          <w:p>
            <w:pPr>
              <w:jc w:val="center"/>
              <w:rPr>
                <w:rFonts w:hAnsi="宋体"/>
                <w:sz w:val="21"/>
                <w:szCs w:val="21"/>
              </w:rPr>
            </w:pPr>
            <w:r>
              <w:rPr>
                <w:rFonts w:hint="eastAsia"/>
                <w:color w:val="000000"/>
                <w:sz w:val="21"/>
                <w:szCs w:val="21"/>
              </w:rPr>
              <w:t>罐区无组织排放废气</w:t>
            </w:r>
          </w:p>
        </w:tc>
        <w:tc>
          <w:tcPr>
            <w:tcW w:w="1573" w:type="dxa"/>
            <w:vAlign w:val="center"/>
          </w:tcPr>
          <w:p>
            <w:pPr>
              <w:jc w:val="center"/>
              <w:rPr>
                <w:rFonts w:hAnsi="宋体"/>
                <w:sz w:val="21"/>
                <w:szCs w:val="21"/>
              </w:rPr>
            </w:pPr>
            <w:r>
              <w:rPr>
                <w:rFonts w:hint="eastAsia"/>
                <w:color w:val="000000"/>
                <w:sz w:val="21"/>
                <w:szCs w:val="21"/>
              </w:rPr>
              <w:t>来源于原有储罐大小呼吸产生</w:t>
            </w:r>
          </w:p>
        </w:tc>
        <w:tc>
          <w:tcPr>
            <w:tcW w:w="1573" w:type="dxa"/>
            <w:vAlign w:val="center"/>
          </w:tcPr>
          <w:p>
            <w:pPr>
              <w:jc w:val="center"/>
              <w:rPr>
                <w:rFonts w:hAnsi="宋体"/>
                <w:sz w:val="21"/>
                <w:szCs w:val="21"/>
              </w:rPr>
            </w:pPr>
            <w:r>
              <w:rPr>
                <w:rFonts w:hint="eastAsia"/>
                <w:color w:val="000000"/>
                <w:sz w:val="21"/>
                <w:szCs w:val="21"/>
              </w:rPr>
              <w:t>二甲苯、</w:t>
            </w:r>
            <w:r>
              <w:rPr>
                <w:color w:val="000000"/>
                <w:sz w:val="21"/>
                <w:szCs w:val="21"/>
              </w:rPr>
              <w:t>VOCs</w:t>
            </w:r>
          </w:p>
        </w:tc>
        <w:tc>
          <w:tcPr>
            <w:tcW w:w="1573" w:type="dxa"/>
            <w:vAlign w:val="center"/>
          </w:tcPr>
          <w:p>
            <w:pPr>
              <w:snapToGrid w:val="0"/>
              <w:jc w:val="center"/>
              <w:rPr>
                <w:rFonts w:hAnsi="宋体"/>
                <w:sz w:val="21"/>
                <w:szCs w:val="21"/>
              </w:rPr>
            </w:pPr>
            <w:r>
              <w:rPr>
                <w:rFonts w:hint="eastAsia" w:hAnsi="宋体"/>
                <w:sz w:val="21"/>
                <w:szCs w:val="21"/>
              </w:rPr>
              <w:t>无组织排放</w:t>
            </w:r>
          </w:p>
        </w:tc>
        <w:tc>
          <w:tcPr>
            <w:tcW w:w="1573" w:type="dxa"/>
            <w:vAlign w:val="center"/>
          </w:tcPr>
          <w:p>
            <w:pPr>
              <w:snapToGrid w:val="0"/>
              <w:jc w:val="center"/>
              <w:rPr>
                <w:rFonts w:hAnsi="宋体"/>
                <w:sz w:val="21"/>
                <w:szCs w:val="21"/>
              </w:rPr>
            </w:pPr>
            <w:r>
              <w:rPr>
                <w:rFonts w:hAnsi="宋体"/>
                <w:sz w:val="21"/>
                <w:szCs w:val="21"/>
              </w:rPr>
              <w:t>/</w:t>
            </w:r>
          </w:p>
        </w:tc>
        <w:tc>
          <w:tcPr>
            <w:tcW w:w="1573" w:type="dxa"/>
            <w:vAlign w:val="center"/>
          </w:tcPr>
          <w:p>
            <w:pPr>
              <w:snapToGrid w:val="0"/>
              <w:jc w:val="center"/>
              <w:rPr>
                <w:rFonts w:hAnsi="宋体"/>
                <w:sz w:val="21"/>
                <w:szCs w:val="21"/>
              </w:rPr>
            </w:pPr>
            <w:r>
              <w:rPr>
                <w:rFonts w:hAnsi="宋体"/>
                <w:sz w:val="21"/>
                <w:szCs w:val="21"/>
              </w:rPr>
              <w:t>/</w:t>
            </w:r>
          </w:p>
        </w:tc>
        <w:tc>
          <w:tcPr>
            <w:tcW w:w="1573" w:type="dxa"/>
            <w:vAlign w:val="center"/>
          </w:tcPr>
          <w:p>
            <w:pPr>
              <w:snapToGrid w:val="0"/>
              <w:jc w:val="center"/>
              <w:rPr>
                <w:rFonts w:hAnsi="宋体"/>
                <w:sz w:val="21"/>
                <w:szCs w:val="21"/>
              </w:rPr>
            </w:pPr>
            <w:r>
              <w:rPr>
                <w:rFonts w:hAnsi="宋体"/>
                <w:sz w:val="21"/>
                <w:szCs w:val="21"/>
              </w:rPr>
              <w:t>/</w:t>
            </w:r>
          </w:p>
        </w:tc>
        <w:tc>
          <w:tcPr>
            <w:tcW w:w="1570" w:type="dxa"/>
            <w:vMerge w:val="continue"/>
            <w:vAlign w:val="center"/>
          </w:tcPr>
          <w:p>
            <w:pPr>
              <w:snapToGrid w:val="0"/>
              <w:jc w:val="center"/>
              <w:rPr>
                <w:rFonts w:hAnsi="宋体"/>
                <w:sz w:val="21"/>
                <w:szCs w:val="21"/>
              </w:rPr>
            </w:pPr>
          </w:p>
        </w:tc>
        <w:tc>
          <w:tcPr>
            <w:tcW w:w="1565" w:type="dxa"/>
            <w:vAlign w:val="center"/>
          </w:tcPr>
          <w:p>
            <w:pPr>
              <w:snapToGrid w:val="0"/>
              <w:jc w:val="center"/>
              <w:rPr>
                <w:rFonts w:hAnsi="宋体"/>
                <w:sz w:val="21"/>
                <w:szCs w:val="21"/>
              </w:rPr>
            </w:pPr>
            <w:r>
              <w:rPr>
                <w:rFonts w:hAnsi="宋体"/>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01" w:hRule="exact"/>
        </w:trPr>
        <w:tc>
          <w:tcPr>
            <w:tcW w:w="1572" w:type="dxa"/>
            <w:vAlign w:val="center"/>
          </w:tcPr>
          <w:p>
            <w:pPr>
              <w:jc w:val="center"/>
              <w:rPr>
                <w:color w:val="000000"/>
                <w:sz w:val="21"/>
                <w:szCs w:val="21"/>
              </w:rPr>
            </w:pPr>
            <w:r>
              <w:rPr>
                <w:rFonts w:hint="eastAsia"/>
                <w:color w:val="000000"/>
                <w:sz w:val="21"/>
                <w:szCs w:val="21"/>
              </w:rPr>
              <w:t>恶臭</w:t>
            </w:r>
          </w:p>
        </w:tc>
        <w:tc>
          <w:tcPr>
            <w:tcW w:w="1573" w:type="dxa"/>
            <w:vAlign w:val="center"/>
          </w:tcPr>
          <w:p>
            <w:pPr>
              <w:jc w:val="center"/>
              <w:rPr>
                <w:color w:val="000000"/>
                <w:sz w:val="21"/>
                <w:szCs w:val="21"/>
              </w:rPr>
            </w:pPr>
            <w:r>
              <w:rPr>
                <w:rFonts w:hint="eastAsia"/>
                <w:color w:val="000000"/>
                <w:sz w:val="21"/>
                <w:szCs w:val="21"/>
              </w:rPr>
              <w:t>污水处理站</w:t>
            </w:r>
          </w:p>
        </w:tc>
        <w:tc>
          <w:tcPr>
            <w:tcW w:w="1573" w:type="dxa"/>
            <w:vAlign w:val="center"/>
          </w:tcPr>
          <w:p>
            <w:pPr>
              <w:jc w:val="center"/>
              <w:rPr>
                <w:color w:val="000000"/>
                <w:sz w:val="21"/>
                <w:szCs w:val="21"/>
              </w:rPr>
            </w:pPr>
            <w:r>
              <w:rPr>
                <w:rFonts w:hint="eastAsia"/>
                <w:color w:val="000000"/>
                <w:sz w:val="21"/>
                <w:szCs w:val="21"/>
              </w:rPr>
              <w:t>硫化氢、氨、臭气浓度</w:t>
            </w:r>
          </w:p>
        </w:tc>
        <w:tc>
          <w:tcPr>
            <w:tcW w:w="1573" w:type="dxa"/>
            <w:vAlign w:val="center"/>
          </w:tcPr>
          <w:p>
            <w:pPr>
              <w:snapToGrid w:val="0"/>
              <w:jc w:val="center"/>
              <w:rPr>
                <w:rFonts w:hAnsi="宋体"/>
                <w:sz w:val="21"/>
                <w:szCs w:val="21"/>
              </w:rPr>
            </w:pPr>
            <w:r>
              <w:rPr>
                <w:rFonts w:hint="eastAsia" w:hAnsi="宋体"/>
                <w:sz w:val="21"/>
                <w:szCs w:val="21"/>
              </w:rPr>
              <w:t>无组织排放</w:t>
            </w:r>
          </w:p>
        </w:tc>
        <w:tc>
          <w:tcPr>
            <w:tcW w:w="1573" w:type="dxa"/>
            <w:vAlign w:val="center"/>
          </w:tcPr>
          <w:p>
            <w:pPr>
              <w:snapToGrid w:val="0"/>
              <w:jc w:val="center"/>
              <w:rPr>
                <w:rFonts w:hAnsi="宋体"/>
                <w:sz w:val="21"/>
                <w:szCs w:val="21"/>
              </w:rPr>
            </w:pPr>
            <w:r>
              <w:rPr>
                <w:rFonts w:hAnsi="宋体"/>
                <w:sz w:val="21"/>
                <w:szCs w:val="21"/>
              </w:rPr>
              <w:t>/</w:t>
            </w:r>
          </w:p>
        </w:tc>
        <w:tc>
          <w:tcPr>
            <w:tcW w:w="1573" w:type="dxa"/>
            <w:vAlign w:val="center"/>
          </w:tcPr>
          <w:p>
            <w:pPr>
              <w:snapToGrid w:val="0"/>
              <w:jc w:val="center"/>
              <w:rPr>
                <w:rFonts w:hAnsi="宋体"/>
                <w:sz w:val="21"/>
                <w:szCs w:val="21"/>
              </w:rPr>
            </w:pPr>
            <w:r>
              <w:rPr>
                <w:rFonts w:hAnsi="宋体"/>
                <w:sz w:val="21"/>
                <w:szCs w:val="21"/>
              </w:rPr>
              <w:t>/</w:t>
            </w:r>
          </w:p>
        </w:tc>
        <w:tc>
          <w:tcPr>
            <w:tcW w:w="1573" w:type="dxa"/>
            <w:vAlign w:val="center"/>
          </w:tcPr>
          <w:p>
            <w:pPr>
              <w:snapToGrid w:val="0"/>
              <w:jc w:val="center"/>
              <w:rPr>
                <w:rFonts w:hAnsi="宋体"/>
                <w:sz w:val="21"/>
                <w:szCs w:val="21"/>
              </w:rPr>
            </w:pPr>
            <w:r>
              <w:rPr>
                <w:rFonts w:hAnsi="宋体"/>
                <w:sz w:val="21"/>
                <w:szCs w:val="21"/>
              </w:rPr>
              <w:t>/</w:t>
            </w:r>
          </w:p>
        </w:tc>
        <w:tc>
          <w:tcPr>
            <w:tcW w:w="1570" w:type="dxa"/>
            <w:vMerge w:val="continue"/>
            <w:vAlign w:val="center"/>
          </w:tcPr>
          <w:p>
            <w:pPr>
              <w:snapToGrid w:val="0"/>
              <w:jc w:val="center"/>
              <w:rPr>
                <w:rFonts w:hAnsi="宋体"/>
                <w:sz w:val="21"/>
                <w:szCs w:val="21"/>
              </w:rPr>
            </w:pPr>
          </w:p>
        </w:tc>
        <w:tc>
          <w:tcPr>
            <w:tcW w:w="1565" w:type="dxa"/>
            <w:vAlign w:val="center"/>
          </w:tcPr>
          <w:p>
            <w:pPr>
              <w:snapToGrid w:val="0"/>
              <w:jc w:val="center"/>
              <w:rPr>
                <w:rFonts w:hAnsi="宋体"/>
                <w:sz w:val="21"/>
                <w:szCs w:val="21"/>
              </w:rPr>
            </w:pPr>
            <w:r>
              <w:rPr>
                <w:rFonts w:hAnsi="宋体"/>
                <w:sz w:val="21"/>
                <w:szCs w:val="21"/>
              </w:rPr>
              <w:t>/</w:t>
            </w:r>
          </w:p>
        </w:tc>
      </w:tr>
    </w:tbl>
    <w:p>
      <w:pPr>
        <w:snapToGrid w:val="0"/>
        <w:spacing w:line="360" w:lineRule="auto"/>
        <w:jc w:val="center"/>
      </w:pPr>
    </w:p>
    <w:p>
      <w:pPr>
        <w:snapToGrid w:val="0"/>
        <w:spacing w:line="360" w:lineRule="auto"/>
        <w:jc w:val="center"/>
      </w:pPr>
    </w:p>
    <w:p>
      <w:pPr>
        <w:snapToGrid w:val="0"/>
        <w:spacing w:line="360" w:lineRule="auto"/>
        <w:jc w:val="both"/>
      </w:pPr>
      <w:r>
        <w:drawing>
          <wp:inline distT="0" distB="0" distL="114300" distR="114300">
            <wp:extent cx="8859520" cy="5602605"/>
            <wp:effectExtent l="0" t="0" r="17780" b="17145"/>
            <wp:docPr id="15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2"/>
                    <pic:cNvPicPr>
                      <a:picLocks noChangeAspect="1"/>
                    </pic:cNvPicPr>
                  </pic:nvPicPr>
                  <pic:blipFill>
                    <a:blip r:embed="rId16"/>
                    <a:stretch>
                      <a:fillRect/>
                    </a:stretch>
                  </pic:blipFill>
                  <pic:spPr>
                    <a:xfrm>
                      <a:off x="0" y="0"/>
                      <a:ext cx="8859520" cy="5602605"/>
                    </a:xfrm>
                    <a:prstGeom prst="rect">
                      <a:avLst/>
                    </a:prstGeom>
                    <a:noFill/>
                    <a:ln w="9525">
                      <a:noFill/>
                    </a:ln>
                  </pic:spPr>
                </pic:pic>
              </a:graphicData>
            </a:graphic>
          </wp:inline>
        </w:drawing>
      </w:r>
    </w:p>
    <w:p>
      <w:pPr>
        <w:tabs>
          <w:tab w:val="center" w:pos="6979"/>
        </w:tabs>
        <w:jc w:val="left"/>
        <w:rPr>
          <w:rFonts w:hint="eastAsia"/>
          <w:b/>
          <w:bCs/>
          <w:color w:val="FF0000"/>
          <w:lang w:eastAsia="zh-CN"/>
        </w:rPr>
        <w:sectPr>
          <w:pgSz w:w="16838" w:h="11906" w:orient="landscape"/>
          <w:pgMar w:top="1080" w:right="1440" w:bottom="1080" w:left="1440" w:header="709" w:footer="709" w:gutter="0"/>
          <w:pgNumType w:fmt="decimal"/>
          <w:cols w:space="708" w:num="1"/>
          <w:docGrid w:linePitch="360" w:charSpace="0"/>
        </w:sectPr>
      </w:pPr>
      <w:r>
        <w:tab/>
      </w:r>
      <w:r>
        <w:rPr>
          <w:rFonts w:hint="eastAsia"/>
          <w:b/>
          <w:bCs/>
          <w:color w:val="FF0000"/>
        </w:rPr>
        <w:t>图</w:t>
      </w:r>
      <w:r>
        <w:rPr>
          <w:b/>
          <w:bCs/>
          <w:color w:val="FF0000"/>
        </w:rPr>
        <w:t xml:space="preserve">4-3 </w:t>
      </w:r>
      <w:r>
        <w:rPr>
          <w:rFonts w:hint="eastAsia"/>
          <w:b/>
          <w:bCs/>
          <w:color w:val="FF0000"/>
          <w:lang w:eastAsia="zh-CN"/>
        </w:rPr>
        <w:t>车间废气排放示意图</w:t>
      </w:r>
    </w:p>
    <w:p>
      <w:pPr>
        <w:tabs>
          <w:tab w:val="center" w:pos="6979"/>
        </w:tabs>
        <w:jc w:val="left"/>
        <w:rPr>
          <w:rFonts w:hint="eastAsia"/>
          <w:b/>
          <w:bCs/>
          <w:color w:val="FF0000"/>
          <w:lang w:eastAsia="zh-CN"/>
        </w:rPr>
      </w:pPr>
    </w:p>
    <w:p>
      <w:pPr>
        <w:tabs>
          <w:tab w:val="center" w:pos="6979"/>
        </w:tabs>
        <w:jc w:val="left"/>
        <w:rPr>
          <w:rFonts w:hint="eastAsia"/>
          <w:b/>
          <w:bCs/>
        </w:rPr>
        <w:sectPr>
          <w:pgSz w:w="11906" w:h="16838"/>
          <w:pgMar w:top="1440" w:right="1080" w:bottom="1440" w:left="1080" w:header="709" w:footer="709" w:gutter="0"/>
          <w:pgNumType w:fmt="decimal"/>
          <w:cols w:space="708" w:num="1"/>
          <w:docGrid w:linePitch="360" w:charSpace="0"/>
        </w:sectPr>
      </w:pPr>
      <w:r>
        <w:rPr>
          <w:sz w:val="24"/>
        </w:rPr>
        <mc:AlternateContent>
          <mc:Choice Requires="wps">
            <w:drawing>
              <wp:anchor distT="0" distB="0" distL="114300" distR="114300" simplePos="0" relativeHeight="251680768" behindDoc="0" locked="0" layoutInCell="1" allowOverlap="1">
                <wp:simplePos x="0" y="0"/>
                <wp:positionH relativeFrom="column">
                  <wp:posOffset>2321560</wp:posOffset>
                </wp:positionH>
                <wp:positionV relativeFrom="paragraph">
                  <wp:posOffset>3058160</wp:posOffset>
                </wp:positionV>
                <wp:extent cx="1259840" cy="0"/>
                <wp:effectExtent l="0" t="48895" r="16510" b="65405"/>
                <wp:wrapNone/>
                <wp:docPr id="152" name="直接箭头连接符 152"/>
                <wp:cNvGraphicFramePr/>
                <a:graphic xmlns:a="http://schemas.openxmlformats.org/drawingml/2006/main">
                  <a:graphicData uri="http://schemas.microsoft.com/office/word/2010/wordprocessingShape">
                    <wps:wsp>
                      <wps:cNvCnPr/>
                      <wps:spPr>
                        <a:xfrm>
                          <a:off x="3007360" y="4147185"/>
                          <a:ext cx="125984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82.8pt;margin-top:240.8pt;height:0pt;width:99.2pt;z-index:251680768;mso-width-relative:page;mso-height-relative:page;" filled="f" stroked="t" coordsize="21600,21600" o:gfxdata="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">
                <v:fill on="f" focussize="0,0"/>
                <v:stroke color="#000000 [3213]" joinstyle="round" endarrow="open"/>
                <v:imagedata o:title=""/>
                <o:lock v:ext="edit" aspectratio="f"/>
              </v:shape>
            </w:pict>
          </mc:Fallback>
        </mc:AlternateContent>
      </w:r>
      <w:r>
        <w:rPr>
          <w:sz w:val="24"/>
        </w:rPr>
        <mc:AlternateContent>
          <mc:Choice Requires="wps">
            <w:drawing>
              <wp:anchor distT="0" distB="0" distL="114300" distR="114300" simplePos="0" relativeHeight="251679744" behindDoc="0" locked="0" layoutInCell="1" allowOverlap="1">
                <wp:simplePos x="0" y="0"/>
                <wp:positionH relativeFrom="column">
                  <wp:posOffset>1644650</wp:posOffset>
                </wp:positionH>
                <wp:positionV relativeFrom="paragraph">
                  <wp:posOffset>1558290</wp:posOffset>
                </wp:positionV>
                <wp:extent cx="1936750" cy="10795"/>
                <wp:effectExtent l="0" t="38735" r="6350" b="64770"/>
                <wp:wrapNone/>
                <wp:docPr id="148" name="直接箭头连接符 148"/>
                <wp:cNvGraphicFramePr/>
                <a:graphic xmlns:a="http://schemas.openxmlformats.org/drawingml/2006/main">
                  <a:graphicData uri="http://schemas.microsoft.com/office/word/2010/wordprocessingShape">
                    <wps:wsp>
                      <wps:cNvCnPr/>
                      <wps:spPr>
                        <a:xfrm>
                          <a:off x="2330450" y="2647315"/>
                          <a:ext cx="1936750" cy="1079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id="_x0000_s1026" o:spid="_x0000_s1026" o:spt="32" type="#_x0000_t32" style="position:absolute;left:0pt;margin-left:129.5pt;margin-top:122.7pt;height:0.85pt;width:152.5pt;z-index:251679744;mso-width-relative:page;mso-height-relative:page;" filled="f" stroked="t" coordsize="21600,21600" o:gfxdata="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0f/ivNgAAAALAQAADwAAAAAAAAABACAAAAAiAAAAZHJzL2Rvd25yZXYueG1sUEsBAhQAFAAA&#10;AAgAh07iQOi8SiXvAQAAjQMAAA4AAAAAAAAAAQAgAAAAJwEAAGRycy9lMm9Eb2MueG1sUEsFBgAA&#10;AAAGAAYAWQEAAIgFAAAAAA==&#10;">
                <v:fill on="f" focussize="0,0"/>
                <v:stroke color="#000000 [3213]" joinstyle="round" endarrow="open"/>
                <v:imagedata o:title=""/>
                <o:lock v:ext="edit" aspectratio="f"/>
              </v:shape>
            </w:pict>
          </mc:Fallback>
        </mc:AlternateContent>
      </w:r>
      <w:bookmarkStart w:id="58" w:name="_GoBack"/>
      <w:r>
        <w:rPr>
          <w:sz w:val="24"/>
        </w:rPr>
        <mc:AlternateContent>
          <mc:Choice Requires="wpc">
            <w:drawing>
              <wp:inline distT="0" distB="0" distL="114300" distR="114300">
                <wp:extent cx="6152515" cy="6082665"/>
                <wp:effectExtent l="0" t="0" r="4445" b="0"/>
                <wp:docPr id="137" name="画布 137"/>
                <wp:cNvGraphicFramePr/>
                <a:graphic xmlns:a="http://schemas.openxmlformats.org/drawingml/2006/main">
                  <a:graphicData uri="http://schemas.microsoft.com/office/word/2010/wordprocessingCanvas">
                    <wpc:wpc>
                      <wpc:bg/>
                      <wpc:whole/>
                      <wps:wsp>
                        <wps:cNvPr id="138" name="矩形 138"/>
                        <wps:cNvSpPr/>
                        <wps:spPr>
                          <a:xfrm>
                            <a:off x="300355" y="330200"/>
                            <a:ext cx="901065"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锅炉废气</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39" name="矩形 139"/>
                        <wps:cNvSpPr/>
                        <wps:spPr>
                          <a:xfrm>
                            <a:off x="1725295" y="338455"/>
                            <a:ext cx="901065"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布袋除尘</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0" name="矩形 140"/>
                        <wps:cNvSpPr/>
                        <wps:spPr>
                          <a:xfrm>
                            <a:off x="3006725" y="338455"/>
                            <a:ext cx="1651635"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麻石水膜（碱液喷淋）</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1" name="矩形 141"/>
                        <wps:cNvSpPr/>
                        <wps:spPr>
                          <a:xfrm>
                            <a:off x="5090160" y="349250"/>
                            <a:ext cx="1017270"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45米高烟囱</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2" name="直接箭头连接符 142"/>
                        <wps:cNvCnPr>
                          <a:stCxn id="138" idx="3"/>
                          <a:endCxn id="139" idx="1"/>
                        </wps:cNvCnPr>
                        <wps:spPr>
                          <a:xfrm>
                            <a:off x="1201420" y="488950"/>
                            <a:ext cx="523875" cy="825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43" name="直接箭头连接符 143"/>
                        <wps:cNvCnPr>
                          <a:stCxn id="139" idx="3"/>
                          <a:endCxn id="140" idx="1"/>
                        </wps:cNvCnPr>
                        <wps:spPr>
                          <a:xfrm>
                            <a:off x="2626360" y="497205"/>
                            <a:ext cx="380365" cy="0"/>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44" name="直接箭头连接符 144"/>
                        <wps:cNvCnPr>
                          <a:stCxn id="140" idx="3"/>
                          <a:endCxn id="141" idx="1"/>
                        </wps:cNvCnPr>
                        <wps:spPr>
                          <a:xfrm>
                            <a:off x="4658360" y="497205"/>
                            <a:ext cx="431800" cy="10795"/>
                          </a:xfrm>
                          <a:prstGeom prst="straightConnector1">
                            <a:avLst/>
                          </a:prstGeom>
                          <a:ln>
                            <a:tailEnd type="arrow" w="med" len="med"/>
                          </a:ln>
                        </wps:spPr>
                        <wps:style>
                          <a:lnRef idx="1">
                            <a:schemeClr val="dk1"/>
                          </a:lnRef>
                          <a:fillRef idx="0">
                            <a:schemeClr val="dk1"/>
                          </a:fillRef>
                          <a:effectRef idx="0">
                            <a:schemeClr val="dk1"/>
                          </a:effectRef>
                          <a:fontRef idx="minor">
                            <a:schemeClr val="tx1"/>
                          </a:fontRef>
                        </wps:style>
                        <wps:bodyPr/>
                      </wps:wsp>
                      <wps:wsp>
                        <wps:cNvPr id="145" name="矩形 145"/>
                        <wps:cNvSpPr/>
                        <wps:spPr>
                          <a:xfrm>
                            <a:off x="1549400" y="828040"/>
                            <a:ext cx="3122295" cy="338455"/>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eastAsia="zh-CN"/>
                                </w:rPr>
                              </w:pPr>
                              <w:r>
                                <w:rPr>
                                  <w:rFonts w:hint="eastAsia"/>
                                  <w:lang w:eastAsia="zh-CN"/>
                                </w:rPr>
                                <w:t>图</w:t>
                              </w:r>
                              <w:r>
                                <w:rPr>
                                  <w:rFonts w:hint="eastAsia"/>
                                  <w:lang w:val="en-US" w:eastAsia="zh-CN"/>
                                </w:rPr>
                                <w:t>4-4 锅炉废气排放示意图</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6" name="矩形 146"/>
                        <wps:cNvSpPr/>
                        <wps:spPr>
                          <a:xfrm>
                            <a:off x="751840" y="1418590"/>
                            <a:ext cx="901065"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罐区废气</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7" name="矩形 147"/>
                        <wps:cNvSpPr/>
                        <wps:spPr>
                          <a:xfrm>
                            <a:off x="3566160" y="1417955"/>
                            <a:ext cx="1546860"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无组织排放</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49" name="矩形 149"/>
                        <wps:cNvSpPr/>
                        <wps:spPr>
                          <a:xfrm>
                            <a:off x="1576705" y="2158365"/>
                            <a:ext cx="3122295" cy="338455"/>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eastAsia="zh-CN"/>
                                </w:rPr>
                              </w:pPr>
                              <w:r>
                                <w:rPr>
                                  <w:rFonts w:hint="eastAsia"/>
                                  <w:lang w:eastAsia="zh-CN"/>
                                </w:rPr>
                                <w:t>图</w:t>
                              </w:r>
                              <w:r>
                                <w:rPr>
                                  <w:rFonts w:hint="eastAsia"/>
                                  <w:lang w:val="en-US" w:eastAsia="zh-CN"/>
                                </w:rPr>
                                <w:t>4-5 罐区废气排放示意图</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50" name="矩形 150"/>
                        <wps:cNvSpPr/>
                        <wps:spPr>
                          <a:xfrm>
                            <a:off x="814705" y="2931795"/>
                            <a:ext cx="1492885"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污水处理站废气</w:t>
                              </w: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151" name="矩形 151"/>
                        <wps:cNvSpPr/>
                        <wps:spPr>
                          <a:xfrm>
                            <a:off x="3576955" y="2910205"/>
                            <a:ext cx="1546860" cy="317500"/>
                          </a:xfrm>
                          <a:prstGeom prst="rect">
                            <a:avLst/>
                          </a:prstGeom>
                        </wps:spPr>
                        <wps:style>
                          <a:lnRef idx="2">
                            <a:schemeClr val="dk1"/>
                          </a:lnRef>
                          <a:fillRef idx="1">
                            <a:schemeClr val="lt1"/>
                          </a:fillRef>
                          <a:effectRef idx="0">
                            <a:schemeClr val="dk1"/>
                          </a:effectRef>
                          <a:fontRef idx="minor">
                            <a:schemeClr val="dk1"/>
                          </a:fontRef>
                        </wps:style>
                        <wps:txbx>
                          <w:txbxContent>
                            <w:p>
                              <w:pPr>
                                <w:jc w:val="center"/>
                                <w:rPr>
                                  <w:rFonts w:hint="eastAsia" w:eastAsia="宋体"/>
                                  <w:lang w:val="en-US" w:eastAsia="zh-CN"/>
                                </w:rPr>
                              </w:pPr>
                              <w:r>
                                <w:rPr>
                                  <w:rFonts w:hint="eastAsia"/>
                                  <w:lang w:val="en-US" w:eastAsia="zh-CN"/>
                                </w:rPr>
                                <w:t>无组织排放</w:t>
                              </w:r>
                            </w:p>
                          </w:txbxContent>
                        </wps:txbx>
                        <wps:bodyPr rot="0" spcFirstLastPara="0" vertOverflow="overflow" horzOverflow="overflow" vert="horz" wrap="square" lIns="91440" tIns="45720" rIns="91440" bIns="45720" numCol="1" spcCol="0" rtlCol="0" fromWordArt="0" anchor="ctr" anchorCtr="0" forceAA="0" compatLnSpc="1">
                          <a:noAutofit/>
                        </wps:bodyPr>
                      </wps:wsp>
                    </wpc:wpc>
                  </a:graphicData>
                </a:graphic>
              </wp:inline>
            </w:drawing>
          </mc:Choice>
          <mc:Fallback>
            <w:pict>
              <v:group id="_x0000_s1026" o:spid="_x0000_s1026" o:spt="203" style="height:478.95pt;width:484.45pt;" coordsize="6152515,6082665" editas="canvas" o:gfxdata="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">
                <o:lock v:ext="edit" aspectratio="f"/>
                <v:shape id="_x0000_s1026" o:spid="_x0000_s1026" style="position:absolute;left:0;top:0;height:6082665;width:6152515;" filled="f" stroked="f" coordsize="21600,21600" o:gfxdata="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">
                  <v:fill on="f" focussize="0,0"/>
                  <v:stroke on="f"/>
                  <v:imagedata o:title=""/>
                  <o:lock v:ext="edit" aspectratio="f"/>
                </v:shape>
                <v:rect id="_x0000_s1026" o:spid="_x0000_s1026" o:spt="1" style="position:absolute;left:300355;top:330200;height:317500;width:901065;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锅炉废气</w:t>
                        </w:r>
                      </w:p>
                    </w:txbxContent>
                  </v:textbox>
                </v:rect>
                <v:rect id="_x0000_s1026" o:spid="_x0000_s1026" o:spt="1" style="position:absolute;left:1725295;top:338455;height:317500;width:901065;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IHhDnV&#10;AAAABQEAAA8AAAAAAAAAAQAgAAAAIgAAAGRycy9kb3ducmV2LnhtbFBLAQIUABQAAAAIAIdO4kAN&#10;bfg1XAIAAKgEAAAOAAAAAAAAAAEAIAAAACQBAABkcnMvZTJvRG9jLnhtbFBLBQYAAAAABgAGAFkB&#10;AADyBQ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布袋除尘</w:t>
                        </w:r>
                      </w:p>
                    </w:txbxContent>
                  </v:textbox>
                </v:rect>
                <v:rect id="_x0000_s1026" o:spid="_x0000_s1026" o:spt="1" style="position:absolute;left:3006725;top:338455;height:317500;width:1651635;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geEOdUA&#10;AAAFAQAADwAAAAAAAAABACAAAAAiAAAAZHJzL2Rvd25yZXYueG1sUEsBAhQAFAAAAAgAh07iQIlL&#10;GIpbAgAAqQQAAA4AAAAAAAAAAQAgAAAAJAEAAGRycy9lMm9Eb2MueG1sUEsFBgAAAAAGAAYAWQEA&#10;APEFA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麻石水膜（碱液喷淋）</w:t>
                        </w:r>
                      </w:p>
                    </w:txbxContent>
                  </v:textbox>
                </v:rect>
                <v:rect id="_x0000_s1026" o:spid="_x0000_s1026" o:spt="1" style="position:absolute;left:5090160;top:349250;height:317500;width:1017270;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IHhDnV&#10;AAAABQEAAA8AAAAAAAAAAQAgAAAAIgAAAGRycy9kb3ducmV2LnhtbFBLAQIUABQAAAAIAIdO4kCD&#10;GhedXAIAAKkEAAAOAAAAAAAAAAEAIAAAACQBAABkcnMvZTJvRG9jLnhtbFBLBQYAAAAABgAGAFkB&#10;AADyBQ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45米高烟囱</w:t>
                        </w:r>
                      </w:p>
                    </w:txbxContent>
                  </v:textbox>
                </v:rect>
                <v:shape id="_x0000_s1026" o:spid="_x0000_s1026" o:spt="32" type="#_x0000_t32" style="position:absolute;left:1201420;top:488950;height:8255;width:523875;" filled="f" stroked="t" coordsize="21600,21600" o:gfxdata="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">
                  <v:fill on="f" focussize="0,0"/>
                  <v:stroke color="#000000 [3200]" joinstyle="round" endarrow="open"/>
                  <v:imagedata o:title=""/>
                  <o:lock v:ext="edit" aspectratio="f"/>
                </v:shape>
                <v:shape id="_x0000_s1026" o:spid="_x0000_s1026" o:spt="32" type="#_x0000_t32" style="position:absolute;left:2626360;top:497205;height:0;width:380365;" filled="f" stroked="t" coordsize="21600,21600" o:gfxdata="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nubjHNUAAAAFAQAADwAAAAAAAAABACAAAAAiAAAAZHJzL2Rvd25yZXYueG1sUEsBAhQAFAAAAAgA&#10;h07iQJGW8+0oAgAAFgQAAA4AAAAAAAAAAQAgAAAAJAEAAGRycy9lMm9Eb2MueG1sUEsFBgAAAAAG&#10;AAYAWQEAAL4FAAAAAA==&#10;">
                  <v:fill on="f" focussize="0,0"/>
                  <v:stroke color="#000000 [3200]" joinstyle="round" endarrow="open"/>
                  <v:imagedata o:title=""/>
                  <o:lock v:ext="edit" aspectratio="f"/>
                </v:shape>
                <v:shape id="_x0000_s1026" o:spid="_x0000_s1026" o:spt="32" type="#_x0000_t32" style="position:absolute;left:4658360;top:497205;height:10795;width:431800;" filled="f" stroked="t" coordsize="21600,21600" o:gfxdata="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e&#10;5uMc1QAAAAUBAAAPAAAAAAAAAAEAIAAAACIAAABkcnMvZG93bnJldi54bWxQSwECFAAUAAAACACH&#10;TuJARyRtjycCAAAaBAAADgAAAAAAAAABACAAAAAkAQAAZHJzL2Uyb0RvYy54bWxQSwUGAAAAAAYA&#10;BgBZAQAAvQUAAAAA&#10;">
                  <v:fill on="f" focussize="0,0"/>
                  <v:stroke color="#000000 [3200]" joinstyle="round" endarrow="open"/>
                  <v:imagedata o:title=""/>
                  <o:lock v:ext="edit" aspectratio="f"/>
                </v:shape>
                <v:rect id="_x0000_s1026" o:spid="_x0000_s1026" o:spt="1" style="position:absolute;left:1549400;top:828040;height:338455;width:3122295;v-text-anchor:middle;" fillcolor="#FFFFFF [3201]" filled="t" stroked="t" coordsize="21600,21600" o:gfxdata="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">
                  <v:fill on="t" focussize="0,0"/>
                  <v:stroke weight="2pt" color="#FFFFFF [3212]" joinstyle="round"/>
                  <v:imagedata o:title=""/>
                  <o:lock v:ext="edit" aspectratio="f"/>
                  <v:textbox>
                    <w:txbxContent>
                      <w:p>
                        <w:pPr>
                          <w:jc w:val="center"/>
                          <w:rPr>
                            <w:rFonts w:hint="eastAsia" w:eastAsia="宋体"/>
                            <w:lang w:eastAsia="zh-CN"/>
                          </w:rPr>
                        </w:pPr>
                        <w:r>
                          <w:rPr>
                            <w:rFonts w:hint="eastAsia"/>
                            <w:lang w:eastAsia="zh-CN"/>
                          </w:rPr>
                          <w:t>图</w:t>
                        </w:r>
                        <w:r>
                          <w:rPr>
                            <w:rFonts w:hint="eastAsia"/>
                            <w:lang w:val="en-US" w:eastAsia="zh-CN"/>
                          </w:rPr>
                          <w:t>4-4 锅炉废气排放示意图</w:t>
                        </w:r>
                      </w:p>
                    </w:txbxContent>
                  </v:textbox>
                </v:rect>
                <v:rect id="_x0000_s1026" o:spid="_x0000_s1026" o:spt="1" style="position:absolute;left:751840;top:1418590;height:317500;width:901065;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MgeEOdUA&#10;AAAFAQAADwAAAAAAAAABACAAAAAiAAAAZHJzL2Rvd25yZXYueG1sUEsBAhQAFAAAAAgAh07iQJA2&#10;S5JbAgAAqAQAAA4AAAAAAAAAAQAgAAAAJAEAAGRycy9lMm9Eb2MueG1sUEsFBgAAAAAGAAYAWQEA&#10;APEFA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罐区废气</w:t>
                        </w:r>
                      </w:p>
                    </w:txbxContent>
                  </v:textbox>
                </v:rect>
                <v:rect id="_x0000_s1026" o:spid="_x0000_s1026" o:spt="1" style="position:absolute;left:3566160;top:1417955;height:317500;width:1546860;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无组织排放</w:t>
                        </w:r>
                      </w:p>
                    </w:txbxContent>
                  </v:textbox>
                </v:rect>
                <v:rect id="_x0000_s1026" o:spid="_x0000_s1026" o:spt="1" style="position:absolute;left:1576705;top:2158365;height:338455;width:3122295;v-text-anchor:middle;" fillcolor="#FFFFFF [3201]" filled="t" stroked="t" coordsize="21600,21600" o:gfxdata="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NI0lqzW&#10;AAAABQEAAA8AAAAAAAAAAQAgAAAAIgAAAGRycy9kb3ducmV2LnhtbFBLAQIUABQAAAAIAIdO4kBx&#10;r3CBWwIAAKoEAAAOAAAAAAAAAAEAIAAAACUBAABkcnMvZTJvRG9jLnhtbFBLBQYAAAAABgAGAFkB&#10;AADyBQAAAAA=&#10;">
                  <v:fill on="t" focussize="0,0"/>
                  <v:stroke weight="2pt" color="#FFFFFF [3212]" joinstyle="round"/>
                  <v:imagedata o:title=""/>
                  <o:lock v:ext="edit" aspectratio="f"/>
                  <v:textbox>
                    <w:txbxContent>
                      <w:p>
                        <w:pPr>
                          <w:jc w:val="center"/>
                          <w:rPr>
                            <w:rFonts w:hint="eastAsia" w:eastAsia="宋体"/>
                            <w:lang w:eastAsia="zh-CN"/>
                          </w:rPr>
                        </w:pPr>
                        <w:r>
                          <w:rPr>
                            <w:rFonts w:hint="eastAsia"/>
                            <w:lang w:eastAsia="zh-CN"/>
                          </w:rPr>
                          <w:t>图</w:t>
                        </w:r>
                        <w:r>
                          <w:rPr>
                            <w:rFonts w:hint="eastAsia"/>
                            <w:lang w:val="en-US" w:eastAsia="zh-CN"/>
                          </w:rPr>
                          <w:t>4-5 罐区废气排放示意图</w:t>
                        </w:r>
                      </w:p>
                    </w:txbxContent>
                  </v:textbox>
                </v:rect>
                <v:rect id="_x0000_s1026" o:spid="_x0000_s1026" o:spt="1" style="position:absolute;left:814705;top:2931795;height:317500;width:1492885;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污水处理站废气</w:t>
                        </w:r>
                      </w:p>
                    </w:txbxContent>
                  </v:textbox>
                </v:rect>
                <v:rect id="_x0000_s1026" o:spid="_x0000_s1026" o:spt="1" style="position:absolute;left:3576955;top:2910205;height:317500;width:1546860;v-text-anchor:middle;" fillcolor="#FFFFFF [3201]" filled="t" stroked="t" coordsize="21600,21600" o:gfxdata="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DIH&#10;hDnVAAAABQEAAA8AAAAAAAAAAQAgAAAAIgAAAGRycy9kb3ducmV2LnhtbFBLAQIUABQAAAAIAIdO&#10;4kB+GvCiXwIAAKoEAAAOAAAAAAAAAAEAIAAAACQBAABkcnMvZTJvRG9jLnhtbFBLBQYAAAAABgAG&#10;AFkBAAD1BQAAAAA=&#10;">
                  <v:fill on="t" focussize="0,0"/>
                  <v:stroke weight="2pt" color="#000000 [3200]" joinstyle="round"/>
                  <v:imagedata o:title=""/>
                  <o:lock v:ext="edit" aspectratio="f"/>
                  <v:textbox>
                    <w:txbxContent>
                      <w:p>
                        <w:pPr>
                          <w:jc w:val="center"/>
                          <w:rPr>
                            <w:rFonts w:hint="eastAsia" w:eastAsia="宋体"/>
                            <w:lang w:val="en-US" w:eastAsia="zh-CN"/>
                          </w:rPr>
                        </w:pPr>
                        <w:r>
                          <w:rPr>
                            <w:rFonts w:hint="eastAsia"/>
                            <w:lang w:val="en-US" w:eastAsia="zh-CN"/>
                          </w:rPr>
                          <w:t>无组织排放</w:t>
                        </w:r>
                      </w:p>
                    </w:txbxContent>
                  </v:textbox>
                </v:rect>
                <w10:wrap type="none"/>
                <w10:anchorlock/>
              </v:group>
            </w:pict>
          </mc:Fallback>
        </mc:AlternateContent>
      </w:r>
      <w:bookmarkEnd w:id="58"/>
    </w:p>
    <w:p>
      <w:pPr>
        <w:pStyle w:val="4"/>
      </w:pPr>
      <w:bookmarkStart w:id="19" w:name="_Toc15919"/>
      <w:r>
        <w:t xml:space="preserve">4.1.3 </w:t>
      </w:r>
      <w:r>
        <w:rPr>
          <w:rFonts w:hint="eastAsia"/>
        </w:rPr>
        <w:t>噪声</w:t>
      </w:r>
      <w:bookmarkEnd w:id="19"/>
    </w:p>
    <w:p>
      <w:pPr>
        <w:spacing w:line="360" w:lineRule="auto"/>
        <w:ind w:firstLine="480" w:firstLineChars="200"/>
        <w:rPr>
          <w:rFonts w:hAnsi="宋体"/>
          <w:color w:val="000000"/>
        </w:rPr>
      </w:pPr>
      <w:r>
        <w:rPr>
          <w:rFonts w:hint="eastAsia" w:ascii="??_GB2312" w:hAnsi="宋体"/>
          <w:color w:val="000000"/>
          <w:szCs w:val="28"/>
        </w:rPr>
        <w:t>本项目噪声源主要为</w:t>
      </w:r>
      <w:r>
        <w:rPr>
          <w:rFonts w:hint="eastAsia" w:hAnsi="宋体"/>
        </w:rPr>
        <w:t>引风机、各种泵、凉水塔、离心机、空调机</w:t>
      </w:r>
      <w:r>
        <w:rPr>
          <w:rFonts w:hint="eastAsia" w:ascii="??_GB2312" w:hAnsi="宋体"/>
          <w:color w:val="000000"/>
          <w:szCs w:val="28"/>
        </w:rPr>
        <w:t>等产生的噪声。</w:t>
      </w:r>
      <w:r>
        <w:rPr>
          <w:rFonts w:hint="eastAsia" w:hAnsi="宋体"/>
        </w:rPr>
        <w:t>采用</w:t>
      </w:r>
      <w:r>
        <w:rPr>
          <w:rFonts w:hint="eastAsia" w:hAnsi="宋体"/>
          <w:color w:val="000000"/>
        </w:rPr>
        <w:t>基础减振、室内密闭放置、隔声、消声等噪声防治措施。详见表</w:t>
      </w:r>
      <w:r>
        <w:rPr>
          <w:rFonts w:hAnsi="宋体"/>
          <w:color w:val="000000"/>
        </w:rPr>
        <w:t>4-3</w:t>
      </w:r>
    </w:p>
    <w:p>
      <w:pPr>
        <w:spacing w:line="360" w:lineRule="auto"/>
        <w:ind w:firstLine="480" w:firstLineChars="200"/>
        <w:jc w:val="center"/>
        <w:rPr>
          <w:rFonts w:hAnsi="宋体"/>
          <w:color w:val="000000"/>
        </w:rPr>
      </w:pPr>
      <w:r>
        <w:rPr>
          <w:rFonts w:hint="eastAsia" w:hAnsi="宋体"/>
          <w:color w:val="000000"/>
        </w:rPr>
        <w:t>表</w:t>
      </w:r>
      <w:r>
        <w:rPr>
          <w:rFonts w:hAnsi="宋体"/>
          <w:color w:val="000000"/>
        </w:rPr>
        <w:t xml:space="preserve">4-3 </w:t>
      </w:r>
      <w:r>
        <w:rPr>
          <w:rFonts w:hint="eastAsia" w:hAnsi="宋体"/>
          <w:color w:val="000000"/>
        </w:rPr>
        <w:t>本项目噪声主要噪声源强及治理措施</w:t>
      </w:r>
    </w:p>
    <w:tbl>
      <w:tblPr>
        <w:tblStyle w:val="47"/>
        <w:tblW w:w="8241" w:type="dxa"/>
        <w:jc w:val="center"/>
        <w:tblInd w:w="-61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455"/>
        <w:gridCol w:w="1225"/>
        <w:gridCol w:w="925"/>
        <w:gridCol w:w="946"/>
        <w:gridCol w:w="26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Merge w:val="restart"/>
            <w:vAlign w:val="center"/>
          </w:tcPr>
          <w:p>
            <w:pPr>
              <w:jc w:val="center"/>
              <w:rPr>
                <w:rFonts w:hAnsi="宋体"/>
                <w:color w:val="000000"/>
                <w:sz w:val="21"/>
                <w:szCs w:val="21"/>
              </w:rPr>
            </w:pPr>
            <w:r>
              <w:rPr>
                <w:rFonts w:hint="eastAsia" w:hAnsi="宋体"/>
                <w:color w:val="000000"/>
                <w:sz w:val="21"/>
                <w:szCs w:val="21"/>
              </w:rPr>
              <w:t>噪声源名称</w:t>
            </w:r>
          </w:p>
        </w:tc>
        <w:tc>
          <w:tcPr>
            <w:tcW w:w="2150" w:type="dxa"/>
            <w:gridSpan w:val="2"/>
            <w:vAlign w:val="center"/>
          </w:tcPr>
          <w:p>
            <w:pPr>
              <w:jc w:val="center"/>
              <w:rPr>
                <w:rFonts w:hAnsi="宋体"/>
                <w:color w:val="000000"/>
                <w:sz w:val="21"/>
                <w:szCs w:val="21"/>
              </w:rPr>
            </w:pPr>
            <w:r>
              <w:rPr>
                <w:rFonts w:hint="eastAsia" w:hAnsi="宋体"/>
                <w:color w:val="000000"/>
                <w:sz w:val="21"/>
                <w:szCs w:val="21"/>
              </w:rPr>
              <w:t>噪声源强</w:t>
            </w:r>
            <w:r>
              <w:rPr>
                <w:rFonts w:hAnsi="宋体"/>
                <w:color w:val="000000"/>
                <w:sz w:val="21"/>
                <w:szCs w:val="21"/>
              </w:rPr>
              <w:t>dB</w:t>
            </w:r>
            <w:r>
              <w:rPr>
                <w:rFonts w:hint="eastAsia" w:hAnsi="宋体"/>
                <w:color w:val="000000"/>
                <w:sz w:val="21"/>
                <w:szCs w:val="21"/>
              </w:rPr>
              <w:t>（</w:t>
            </w:r>
            <w:r>
              <w:rPr>
                <w:rFonts w:hAnsi="宋体"/>
                <w:color w:val="000000"/>
                <w:sz w:val="21"/>
                <w:szCs w:val="21"/>
              </w:rPr>
              <w:t>A</w:t>
            </w:r>
            <w:r>
              <w:rPr>
                <w:rFonts w:hint="eastAsia" w:hAnsi="宋体"/>
                <w:color w:val="000000"/>
                <w:sz w:val="21"/>
                <w:szCs w:val="21"/>
              </w:rPr>
              <w:t>）</w:t>
            </w:r>
          </w:p>
        </w:tc>
        <w:tc>
          <w:tcPr>
            <w:tcW w:w="946" w:type="dxa"/>
            <w:vMerge w:val="restart"/>
            <w:vAlign w:val="center"/>
          </w:tcPr>
          <w:p>
            <w:pPr>
              <w:jc w:val="center"/>
              <w:rPr>
                <w:rFonts w:hAnsi="宋体"/>
                <w:color w:val="000000"/>
                <w:sz w:val="21"/>
                <w:szCs w:val="21"/>
              </w:rPr>
            </w:pPr>
            <w:r>
              <w:rPr>
                <w:rFonts w:hint="eastAsia" w:hAnsi="宋体"/>
                <w:color w:val="000000"/>
                <w:sz w:val="21"/>
                <w:szCs w:val="21"/>
              </w:rPr>
              <w:t>排放</w:t>
            </w:r>
          </w:p>
          <w:p>
            <w:pPr>
              <w:jc w:val="center"/>
              <w:rPr>
                <w:rFonts w:hAnsi="宋体"/>
                <w:color w:val="000000"/>
                <w:sz w:val="21"/>
                <w:szCs w:val="21"/>
              </w:rPr>
            </w:pPr>
            <w:r>
              <w:rPr>
                <w:rFonts w:hint="eastAsia" w:hAnsi="宋体"/>
                <w:color w:val="000000"/>
                <w:sz w:val="21"/>
                <w:szCs w:val="21"/>
              </w:rPr>
              <w:t>方式</w:t>
            </w:r>
          </w:p>
        </w:tc>
        <w:tc>
          <w:tcPr>
            <w:tcW w:w="2690" w:type="dxa"/>
            <w:vMerge w:val="restart"/>
            <w:vAlign w:val="center"/>
          </w:tcPr>
          <w:p>
            <w:pPr>
              <w:jc w:val="center"/>
              <w:rPr>
                <w:rFonts w:hAnsi="宋体"/>
                <w:color w:val="000000"/>
                <w:sz w:val="21"/>
                <w:szCs w:val="21"/>
              </w:rPr>
            </w:pPr>
            <w:r>
              <w:rPr>
                <w:rFonts w:hint="eastAsia" w:hAnsi="宋体"/>
                <w:color w:val="000000"/>
                <w:sz w:val="21"/>
                <w:szCs w:val="21"/>
              </w:rPr>
              <w:t>治理措施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Merge w:val="continue"/>
            <w:vAlign w:val="center"/>
          </w:tcPr>
          <w:p>
            <w:pPr>
              <w:jc w:val="center"/>
              <w:rPr>
                <w:rFonts w:hAnsi="宋体"/>
                <w:color w:val="000000"/>
                <w:sz w:val="21"/>
                <w:szCs w:val="21"/>
              </w:rPr>
            </w:pPr>
          </w:p>
        </w:tc>
        <w:tc>
          <w:tcPr>
            <w:tcW w:w="1225" w:type="dxa"/>
            <w:vAlign w:val="center"/>
          </w:tcPr>
          <w:p>
            <w:pPr>
              <w:jc w:val="center"/>
              <w:rPr>
                <w:rFonts w:hAnsi="宋体"/>
                <w:color w:val="000000"/>
                <w:sz w:val="21"/>
                <w:szCs w:val="21"/>
              </w:rPr>
            </w:pPr>
            <w:r>
              <w:rPr>
                <w:rFonts w:hint="eastAsia" w:hAnsi="宋体"/>
                <w:color w:val="000000"/>
                <w:sz w:val="21"/>
                <w:szCs w:val="21"/>
              </w:rPr>
              <w:t>治理前</w:t>
            </w:r>
          </w:p>
        </w:tc>
        <w:tc>
          <w:tcPr>
            <w:tcW w:w="925" w:type="dxa"/>
            <w:vAlign w:val="center"/>
          </w:tcPr>
          <w:p>
            <w:pPr>
              <w:jc w:val="center"/>
              <w:rPr>
                <w:rFonts w:hAnsi="宋体"/>
                <w:color w:val="000000"/>
                <w:sz w:val="21"/>
                <w:szCs w:val="21"/>
              </w:rPr>
            </w:pPr>
            <w:r>
              <w:rPr>
                <w:rFonts w:hint="eastAsia" w:hAnsi="宋体"/>
                <w:color w:val="000000"/>
                <w:sz w:val="21"/>
                <w:szCs w:val="21"/>
              </w:rPr>
              <w:t>治理后</w:t>
            </w:r>
          </w:p>
        </w:tc>
        <w:tc>
          <w:tcPr>
            <w:tcW w:w="946" w:type="dxa"/>
            <w:vMerge w:val="continue"/>
            <w:vAlign w:val="center"/>
          </w:tcPr>
          <w:p>
            <w:pPr>
              <w:jc w:val="center"/>
              <w:rPr>
                <w:rFonts w:hAnsi="宋体"/>
                <w:color w:val="000000"/>
                <w:sz w:val="21"/>
                <w:szCs w:val="21"/>
              </w:rPr>
            </w:pPr>
          </w:p>
        </w:tc>
        <w:tc>
          <w:tcPr>
            <w:tcW w:w="2690" w:type="dxa"/>
            <w:vMerge w:val="continue"/>
            <w:vAlign w:val="center"/>
          </w:tcPr>
          <w:p>
            <w:pPr>
              <w:jc w:val="center"/>
              <w:rPr>
                <w:rFonts w:hAnsi="宋体"/>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Align w:val="center"/>
          </w:tcPr>
          <w:p>
            <w:pPr>
              <w:jc w:val="center"/>
              <w:rPr>
                <w:color w:val="000000"/>
                <w:sz w:val="21"/>
                <w:szCs w:val="21"/>
              </w:rPr>
            </w:pPr>
            <w:r>
              <w:rPr>
                <w:rFonts w:hint="eastAsia"/>
                <w:color w:val="000000"/>
                <w:sz w:val="21"/>
                <w:szCs w:val="21"/>
              </w:rPr>
              <w:t>引风机</w:t>
            </w:r>
          </w:p>
        </w:tc>
        <w:tc>
          <w:tcPr>
            <w:tcW w:w="1225" w:type="dxa"/>
            <w:vAlign w:val="center"/>
          </w:tcPr>
          <w:p>
            <w:pPr>
              <w:jc w:val="center"/>
              <w:rPr>
                <w:color w:val="000000"/>
                <w:sz w:val="21"/>
                <w:szCs w:val="21"/>
              </w:rPr>
            </w:pPr>
            <w:r>
              <w:rPr>
                <w:rFonts w:hAnsi="宋体"/>
                <w:color w:val="000000"/>
                <w:sz w:val="21"/>
                <w:szCs w:val="21"/>
              </w:rPr>
              <w:t>100</w:t>
            </w:r>
            <w:r>
              <w:rPr>
                <w:rFonts w:hint="eastAsia" w:hAnsi="宋体"/>
                <w:color w:val="000000"/>
                <w:sz w:val="21"/>
                <w:szCs w:val="21"/>
              </w:rPr>
              <w:t>～</w:t>
            </w:r>
            <w:r>
              <w:rPr>
                <w:rFonts w:hAnsi="宋体"/>
                <w:color w:val="000000"/>
                <w:sz w:val="21"/>
                <w:szCs w:val="21"/>
              </w:rPr>
              <w:t>105</w:t>
            </w:r>
          </w:p>
        </w:tc>
        <w:tc>
          <w:tcPr>
            <w:tcW w:w="925" w:type="dxa"/>
            <w:vAlign w:val="center"/>
          </w:tcPr>
          <w:p>
            <w:pPr>
              <w:jc w:val="center"/>
              <w:rPr>
                <w:rFonts w:hAnsi="宋体"/>
                <w:color w:val="000000"/>
                <w:sz w:val="21"/>
                <w:szCs w:val="21"/>
              </w:rPr>
            </w:pPr>
            <w:r>
              <w:rPr>
                <w:rFonts w:hAnsi="宋体"/>
                <w:color w:val="000000"/>
                <w:sz w:val="21"/>
                <w:szCs w:val="21"/>
              </w:rPr>
              <w:t>&lt;85</w:t>
            </w:r>
          </w:p>
        </w:tc>
        <w:tc>
          <w:tcPr>
            <w:tcW w:w="946" w:type="dxa"/>
            <w:vAlign w:val="center"/>
          </w:tcPr>
          <w:p>
            <w:pPr>
              <w:jc w:val="center"/>
              <w:rPr>
                <w:rFonts w:hAnsi="宋体"/>
                <w:color w:val="000000"/>
                <w:sz w:val="21"/>
                <w:szCs w:val="21"/>
              </w:rPr>
            </w:pPr>
            <w:r>
              <w:rPr>
                <w:rFonts w:hint="eastAsia" w:hAnsi="宋体"/>
                <w:color w:val="000000"/>
                <w:sz w:val="21"/>
                <w:szCs w:val="21"/>
              </w:rPr>
              <w:t>连续</w:t>
            </w:r>
          </w:p>
        </w:tc>
        <w:tc>
          <w:tcPr>
            <w:tcW w:w="2690" w:type="dxa"/>
            <w:vAlign w:val="center"/>
          </w:tcPr>
          <w:p>
            <w:pPr>
              <w:jc w:val="center"/>
              <w:rPr>
                <w:rFonts w:hAnsi="宋体"/>
                <w:color w:val="000000"/>
                <w:sz w:val="21"/>
                <w:szCs w:val="21"/>
              </w:rPr>
            </w:pPr>
            <w:r>
              <w:rPr>
                <w:rFonts w:hint="eastAsia" w:hAnsi="宋体"/>
                <w:color w:val="000000"/>
                <w:sz w:val="21"/>
                <w:szCs w:val="21"/>
              </w:rPr>
              <w:t>基础减振、密闭、室内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Align w:val="center"/>
          </w:tcPr>
          <w:p>
            <w:pPr>
              <w:jc w:val="center"/>
              <w:rPr>
                <w:color w:val="000000"/>
                <w:sz w:val="21"/>
                <w:szCs w:val="21"/>
              </w:rPr>
            </w:pPr>
            <w:r>
              <w:rPr>
                <w:rFonts w:hint="eastAsia"/>
                <w:color w:val="000000"/>
                <w:sz w:val="21"/>
                <w:szCs w:val="21"/>
              </w:rPr>
              <w:t>泵</w:t>
            </w:r>
          </w:p>
        </w:tc>
        <w:tc>
          <w:tcPr>
            <w:tcW w:w="1225" w:type="dxa"/>
            <w:vAlign w:val="center"/>
          </w:tcPr>
          <w:p>
            <w:pPr>
              <w:jc w:val="center"/>
              <w:rPr>
                <w:color w:val="000000"/>
                <w:sz w:val="21"/>
                <w:szCs w:val="21"/>
              </w:rPr>
            </w:pPr>
            <w:r>
              <w:rPr>
                <w:rFonts w:hAnsi="宋体"/>
                <w:color w:val="000000"/>
                <w:sz w:val="21"/>
                <w:szCs w:val="21"/>
              </w:rPr>
              <w:t>75</w:t>
            </w:r>
            <w:r>
              <w:rPr>
                <w:rFonts w:hint="eastAsia" w:hAnsi="宋体"/>
                <w:color w:val="000000"/>
                <w:sz w:val="21"/>
                <w:szCs w:val="21"/>
              </w:rPr>
              <w:t>～</w:t>
            </w:r>
            <w:r>
              <w:rPr>
                <w:rFonts w:hAnsi="宋体"/>
                <w:color w:val="000000"/>
                <w:sz w:val="21"/>
                <w:szCs w:val="21"/>
              </w:rPr>
              <w:t>80</w:t>
            </w:r>
          </w:p>
        </w:tc>
        <w:tc>
          <w:tcPr>
            <w:tcW w:w="925" w:type="dxa"/>
            <w:vAlign w:val="center"/>
          </w:tcPr>
          <w:p>
            <w:pPr>
              <w:jc w:val="center"/>
              <w:rPr>
                <w:rFonts w:hAnsi="宋体"/>
                <w:color w:val="000000"/>
                <w:sz w:val="21"/>
                <w:szCs w:val="21"/>
              </w:rPr>
            </w:pPr>
            <w:r>
              <w:rPr>
                <w:rFonts w:hAnsi="宋体"/>
                <w:color w:val="000000"/>
                <w:sz w:val="21"/>
                <w:szCs w:val="21"/>
              </w:rPr>
              <w:t>&lt;70</w:t>
            </w:r>
          </w:p>
        </w:tc>
        <w:tc>
          <w:tcPr>
            <w:tcW w:w="946" w:type="dxa"/>
            <w:vAlign w:val="center"/>
          </w:tcPr>
          <w:p>
            <w:pPr>
              <w:jc w:val="center"/>
              <w:rPr>
                <w:rFonts w:hAnsi="宋体"/>
                <w:color w:val="000000"/>
                <w:sz w:val="21"/>
                <w:szCs w:val="21"/>
              </w:rPr>
            </w:pPr>
            <w:r>
              <w:rPr>
                <w:rFonts w:hint="eastAsia" w:hAnsi="宋体"/>
                <w:color w:val="000000"/>
                <w:sz w:val="21"/>
                <w:szCs w:val="21"/>
              </w:rPr>
              <w:t>连续</w:t>
            </w:r>
          </w:p>
        </w:tc>
        <w:tc>
          <w:tcPr>
            <w:tcW w:w="2690" w:type="dxa"/>
            <w:vAlign w:val="center"/>
          </w:tcPr>
          <w:p>
            <w:pPr>
              <w:jc w:val="center"/>
              <w:rPr>
                <w:rFonts w:hAnsi="宋体"/>
                <w:color w:val="000000"/>
                <w:sz w:val="21"/>
                <w:szCs w:val="21"/>
              </w:rPr>
            </w:pPr>
            <w:r>
              <w:rPr>
                <w:rFonts w:hint="eastAsia" w:hAnsi="宋体"/>
                <w:color w:val="000000"/>
                <w:sz w:val="21"/>
                <w:szCs w:val="21"/>
              </w:rPr>
              <w:t>基础减振、密闭、室内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Align w:val="center"/>
          </w:tcPr>
          <w:p>
            <w:pPr>
              <w:jc w:val="center"/>
              <w:rPr>
                <w:rFonts w:hAnsi="宋体"/>
                <w:color w:val="000000"/>
                <w:sz w:val="21"/>
                <w:szCs w:val="21"/>
              </w:rPr>
            </w:pPr>
            <w:r>
              <w:rPr>
                <w:rFonts w:hint="eastAsia" w:hAnsi="宋体"/>
                <w:color w:val="000000"/>
                <w:sz w:val="21"/>
                <w:szCs w:val="21"/>
              </w:rPr>
              <w:t>凉水塔</w:t>
            </w:r>
          </w:p>
        </w:tc>
        <w:tc>
          <w:tcPr>
            <w:tcW w:w="1225" w:type="dxa"/>
            <w:vAlign w:val="center"/>
          </w:tcPr>
          <w:p>
            <w:pPr>
              <w:jc w:val="center"/>
              <w:rPr>
                <w:color w:val="000000"/>
                <w:sz w:val="21"/>
                <w:szCs w:val="21"/>
              </w:rPr>
            </w:pPr>
            <w:r>
              <w:rPr>
                <w:rFonts w:hAnsi="宋体"/>
                <w:color w:val="000000"/>
                <w:sz w:val="21"/>
                <w:szCs w:val="21"/>
              </w:rPr>
              <w:t>90</w:t>
            </w:r>
            <w:r>
              <w:rPr>
                <w:rFonts w:hint="eastAsia" w:hAnsi="宋体"/>
                <w:color w:val="000000"/>
                <w:sz w:val="21"/>
                <w:szCs w:val="21"/>
              </w:rPr>
              <w:t>～</w:t>
            </w:r>
            <w:r>
              <w:rPr>
                <w:rFonts w:hAnsi="宋体"/>
                <w:color w:val="000000"/>
                <w:sz w:val="21"/>
                <w:szCs w:val="21"/>
              </w:rPr>
              <w:t>95</w:t>
            </w:r>
          </w:p>
        </w:tc>
        <w:tc>
          <w:tcPr>
            <w:tcW w:w="925" w:type="dxa"/>
            <w:vAlign w:val="center"/>
          </w:tcPr>
          <w:p>
            <w:pPr>
              <w:jc w:val="center"/>
              <w:rPr>
                <w:rFonts w:hAnsi="宋体"/>
                <w:color w:val="000000"/>
                <w:sz w:val="21"/>
                <w:szCs w:val="21"/>
              </w:rPr>
            </w:pPr>
            <w:r>
              <w:rPr>
                <w:rFonts w:hAnsi="宋体"/>
                <w:color w:val="000000"/>
                <w:sz w:val="21"/>
                <w:szCs w:val="21"/>
              </w:rPr>
              <w:t>&lt;85</w:t>
            </w:r>
          </w:p>
        </w:tc>
        <w:tc>
          <w:tcPr>
            <w:tcW w:w="946" w:type="dxa"/>
            <w:vAlign w:val="center"/>
          </w:tcPr>
          <w:p>
            <w:pPr>
              <w:jc w:val="center"/>
              <w:rPr>
                <w:rFonts w:hAnsi="宋体"/>
                <w:color w:val="000000"/>
                <w:sz w:val="21"/>
                <w:szCs w:val="21"/>
              </w:rPr>
            </w:pPr>
            <w:r>
              <w:rPr>
                <w:rFonts w:hint="eastAsia" w:hAnsi="宋体"/>
                <w:color w:val="000000"/>
                <w:sz w:val="21"/>
                <w:szCs w:val="21"/>
              </w:rPr>
              <w:t>连续</w:t>
            </w:r>
          </w:p>
        </w:tc>
        <w:tc>
          <w:tcPr>
            <w:tcW w:w="2690" w:type="dxa"/>
            <w:vAlign w:val="center"/>
          </w:tcPr>
          <w:p>
            <w:pPr>
              <w:jc w:val="center"/>
              <w:rPr>
                <w:rFonts w:hAnsi="宋体"/>
                <w:color w:val="000000"/>
                <w:sz w:val="21"/>
                <w:szCs w:val="21"/>
              </w:rPr>
            </w:pPr>
            <w:r>
              <w:rPr>
                <w:rFonts w:hint="eastAsia" w:hAnsi="宋体"/>
                <w:color w:val="000000"/>
                <w:sz w:val="21"/>
                <w:szCs w:val="21"/>
              </w:rPr>
              <w:t>基础减振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Align w:val="center"/>
          </w:tcPr>
          <w:p>
            <w:pPr>
              <w:jc w:val="center"/>
              <w:rPr>
                <w:rFonts w:hAnsi="宋体"/>
                <w:color w:val="000000"/>
                <w:sz w:val="21"/>
                <w:szCs w:val="21"/>
              </w:rPr>
            </w:pPr>
            <w:r>
              <w:rPr>
                <w:rFonts w:hint="eastAsia" w:hAnsi="宋体"/>
                <w:color w:val="000000"/>
                <w:sz w:val="21"/>
                <w:szCs w:val="21"/>
              </w:rPr>
              <w:t>离心机</w:t>
            </w:r>
          </w:p>
        </w:tc>
        <w:tc>
          <w:tcPr>
            <w:tcW w:w="1225" w:type="dxa"/>
            <w:vAlign w:val="center"/>
          </w:tcPr>
          <w:p>
            <w:pPr>
              <w:jc w:val="center"/>
              <w:rPr>
                <w:rFonts w:hAnsi="宋体"/>
                <w:color w:val="000000"/>
                <w:sz w:val="21"/>
                <w:szCs w:val="21"/>
              </w:rPr>
            </w:pPr>
            <w:r>
              <w:rPr>
                <w:rFonts w:hAnsi="宋体"/>
                <w:color w:val="000000"/>
                <w:sz w:val="21"/>
                <w:szCs w:val="21"/>
              </w:rPr>
              <w:t>80</w:t>
            </w:r>
            <w:r>
              <w:rPr>
                <w:rFonts w:hint="eastAsia" w:hAnsi="宋体"/>
                <w:color w:val="000000"/>
                <w:sz w:val="21"/>
                <w:szCs w:val="21"/>
              </w:rPr>
              <w:t>～</w:t>
            </w:r>
            <w:r>
              <w:rPr>
                <w:rFonts w:hAnsi="宋体"/>
                <w:color w:val="000000"/>
                <w:sz w:val="21"/>
                <w:szCs w:val="21"/>
              </w:rPr>
              <w:t>8</w:t>
            </w:r>
            <w:r>
              <w:rPr>
                <w:color w:val="000000"/>
                <w:sz w:val="21"/>
                <w:szCs w:val="21"/>
              </w:rPr>
              <w:t>5</w:t>
            </w:r>
          </w:p>
        </w:tc>
        <w:tc>
          <w:tcPr>
            <w:tcW w:w="925" w:type="dxa"/>
            <w:vAlign w:val="center"/>
          </w:tcPr>
          <w:p>
            <w:pPr>
              <w:jc w:val="center"/>
              <w:rPr>
                <w:rFonts w:hAnsi="宋体"/>
                <w:color w:val="000000"/>
                <w:sz w:val="21"/>
                <w:szCs w:val="21"/>
              </w:rPr>
            </w:pPr>
            <w:r>
              <w:rPr>
                <w:rFonts w:hAnsi="宋体"/>
                <w:color w:val="000000"/>
                <w:sz w:val="21"/>
                <w:szCs w:val="21"/>
              </w:rPr>
              <w:t>&lt;75</w:t>
            </w:r>
          </w:p>
        </w:tc>
        <w:tc>
          <w:tcPr>
            <w:tcW w:w="946" w:type="dxa"/>
            <w:vAlign w:val="center"/>
          </w:tcPr>
          <w:p>
            <w:pPr>
              <w:jc w:val="center"/>
              <w:rPr>
                <w:rFonts w:hAnsi="宋体"/>
                <w:color w:val="000000"/>
                <w:sz w:val="21"/>
                <w:szCs w:val="21"/>
              </w:rPr>
            </w:pPr>
            <w:r>
              <w:rPr>
                <w:rFonts w:hint="eastAsia" w:hAnsi="宋体"/>
                <w:color w:val="000000"/>
                <w:sz w:val="21"/>
                <w:szCs w:val="21"/>
              </w:rPr>
              <w:t>连续</w:t>
            </w:r>
          </w:p>
        </w:tc>
        <w:tc>
          <w:tcPr>
            <w:tcW w:w="2690" w:type="dxa"/>
            <w:vAlign w:val="center"/>
          </w:tcPr>
          <w:p>
            <w:pPr>
              <w:jc w:val="center"/>
              <w:rPr>
                <w:rFonts w:hAnsi="宋体"/>
                <w:color w:val="000000"/>
                <w:sz w:val="21"/>
                <w:szCs w:val="21"/>
              </w:rPr>
            </w:pPr>
            <w:r>
              <w:rPr>
                <w:rFonts w:hint="eastAsia" w:hAnsi="宋体"/>
                <w:color w:val="000000"/>
                <w:sz w:val="21"/>
                <w:szCs w:val="21"/>
              </w:rPr>
              <w:t>基础减振、密闭、室内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cantSplit/>
          <w:jc w:val="center"/>
        </w:trPr>
        <w:tc>
          <w:tcPr>
            <w:tcW w:w="2455" w:type="dxa"/>
            <w:vAlign w:val="center"/>
          </w:tcPr>
          <w:p>
            <w:pPr>
              <w:jc w:val="center"/>
              <w:rPr>
                <w:color w:val="000000"/>
                <w:sz w:val="21"/>
                <w:szCs w:val="21"/>
              </w:rPr>
            </w:pPr>
            <w:r>
              <w:rPr>
                <w:rFonts w:hint="eastAsia"/>
                <w:color w:val="000000"/>
                <w:sz w:val="21"/>
                <w:szCs w:val="21"/>
              </w:rPr>
              <w:t>空调机</w:t>
            </w:r>
          </w:p>
        </w:tc>
        <w:tc>
          <w:tcPr>
            <w:tcW w:w="1225" w:type="dxa"/>
            <w:vAlign w:val="center"/>
          </w:tcPr>
          <w:p>
            <w:pPr>
              <w:jc w:val="center"/>
              <w:rPr>
                <w:color w:val="000000"/>
                <w:sz w:val="21"/>
                <w:szCs w:val="21"/>
              </w:rPr>
            </w:pPr>
            <w:r>
              <w:rPr>
                <w:rFonts w:hAnsi="宋体"/>
                <w:color w:val="000000"/>
                <w:sz w:val="21"/>
                <w:szCs w:val="21"/>
              </w:rPr>
              <w:t>70</w:t>
            </w:r>
            <w:r>
              <w:rPr>
                <w:rFonts w:hint="eastAsia" w:hAnsi="宋体"/>
                <w:color w:val="000000"/>
                <w:sz w:val="21"/>
                <w:szCs w:val="21"/>
              </w:rPr>
              <w:t>～</w:t>
            </w:r>
            <w:r>
              <w:rPr>
                <w:rFonts w:hAnsi="宋体"/>
                <w:color w:val="000000"/>
                <w:sz w:val="21"/>
                <w:szCs w:val="21"/>
              </w:rPr>
              <w:t>80</w:t>
            </w:r>
          </w:p>
        </w:tc>
        <w:tc>
          <w:tcPr>
            <w:tcW w:w="925" w:type="dxa"/>
            <w:vAlign w:val="center"/>
          </w:tcPr>
          <w:p>
            <w:pPr>
              <w:jc w:val="center"/>
              <w:rPr>
                <w:rFonts w:hAnsi="宋体"/>
                <w:color w:val="000000"/>
                <w:sz w:val="21"/>
                <w:szCs w:val="21"/>
              </w:rPr>
            </w:pPr>
            <w:r>
              <w:rPr>
                <w:rFonts w:hAnsi="宋体"/>
                <w:color w:val="000000"/>
                <w:sz w:val="21"/>
                <w:szCs w:val="21"/>
              </w:rPr>
              <w:t>&lt;70</w:t>
            </w:r>
          </w:p>
        </w:tc>
        <w:tc>
          <w:tcPr>
            <w:tcW w:w="946" w:type="dxa"/>
            <w:vAlign w:val="center"/>
          </w:tcPr>
          <w:p>
            <w:pPr>
              <w:jc w:val="center"/>
              <w:rPr>
                <w:rFonts w:hAnsi="宋体"/>
                <w:color w:val="000000"/>
                <w:sz w:val="21"/>
                <w:szCs w:val="21"/>
              </w:rPr>
            </w:pPr>
            <w:r>
              <w:rPr>
                <w:rFonts w:hint="eastAsia" w:hAnsi="宋体"/>
                <w:color w:val="000000"/>
                <w:sz w:val="21"/>
                <w:szCs w:val="21"/>
              </w:rPr>
              <w:t>连续</w:t>
            </w:r>
          </w:p>
        </w:tc>
        <w:tc>
          <w:tcPr>
            <w:tcW w:w="2690" w:type="dxa"/>
            <w:vAlign w:val="center"/>
          </w:tcPr>
          <w:p>
            <w:pPr>
              <w:jc w:val="center"/>
              <w:rPr>
                <w:rFonts w:hAnsi="宋体"/>
                <w:color w:val="000000"/>
                <w:sz w:val="21"/>
                <w:szCs w:val="21"/>
              </w:rPr>
            </w:pPr>
            <w:r>
              <w:rPr>
                <w:rFonts w:hint="eastAsia" w:hAnsi="宋体"/>
                <w:color w:val="000000"/>
                <w:sz w:val="21"/>
                <w:szCs w:val="21"/>
              </w:rPr>
              <w:t>基础减振、密闭、室内</w:t>
            </w:r>
          </w:p>
        </w:tc>
      </w:tr>
    </w:tbl>
    <w:p>
      <w:pPr>
        <w:pStyle w:val="4"/>
      </w:pPr>
      <w:bookmarkStart w:id="20" w:name="_Toc18522"/>
      <w:r>
        <w:t>4.1.4</w:t>
      </w:r>
      <w:r>
        <w:rPr>
          <w:rFonts w:hint="eastAsia"/>
        </w:rPr>
        <w:t>固体废物防治措施</w:t>
      </w:r>
      <w:bookmarkEnd w:id="20"/>
    </w:p>
    <w:p>
      <w:pPr>
        <w:snapToGrid w:val="0"/>
        <w:spacing w:line="360" w:lineRule="auto"/>
        <w:ind w:firstLine="480" w:firstLineChars="200"/>
        <w:rPr>
          <w:rFonts w:hAnsi="宋体"/>
        </w:rPr>
      </w:pPr>
      <w:r>
        <w:rPr>
          <w:rFonts w:hint="eastAsia" w:hAnsi="宋体"/>
          <w:color w:val="000000"/>
        </w:rPr>
        <w:t>本项目产生的固体废物主要有</w:t>
      </w:r>
      <w:r>
        <w:rPr>
          <w:rFonts w:hint="eastAsia" w:hAnsi="宋体"/>
        </w:rPr>
        <w:t>副产品</w:t>
      </w:r>
      <w:r>
        <w:rPr>
          <w:rFonts w:hAnsi="宋体"/>
        </w:rPr>
        <w:t>DT</w:t>
      </w:r>
      <w:r>
        <w:rPr>
          <w:rFonts w:hint="eastAsia" w:hAnsi="宋体"/>
        </w:rPr>
        <w:t>、</w:t>
      </w:r>
      <w:r>
        <w:rPr>
          <w:rFonts w:hint="eastAsia" w:hAnsi="宋体"/>
          <w:color w:val="000000"/>
        </w:rPr>
        <w:t>磷酸二氢钙</w:t>
      </w:r>
      <w:r>
        <w:rPr>
          <w:rFonts w:hint="eastAsia" w:hAnsi="宋体"/>
        </w:rPr>
        <w:t>、废活性炭（废气吸附）、废反渗透膜、煤渣、生活垃圾和废水处理站污泥。</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1</w:t>
      </w:r>
      <w:r>
        <w:rPr>
          <w:rFonts w:hint="eastAsia" w:hAnsi="宋体"/>
          <w:color w:val="000000"/>
        </w:rPr>
        <w:t>）副产品</w:t>
      </w:r>
      <w:r>
        <w:rPr>
          <w:rFonts w:hAnsi="宋体"/>
          <w:color w:val="000000"/>
        </w:rPr>
        <w:t>DT</w:t>
      </w:r>
      <w:r>
        <w:rPr>
          <w:rFonts w:hint="eastAsia" w:hAnsi="宋体"/>
          <w:color w:val="000000"/>
        </w:rPr>
        <w:t>：由工艺流程可知热过滤过程分离出副产品</w:t>
      </w:r>
      <w:r>
        <w:rPr>
          <w:rFonts w:hAnsi="宋体"/>
          <w:color w:val="000000"/>
        </w:rPr>
        <w:t>DT</w:t>
      </w:r>
      <w:r>
        <w:rPr>
          <w:rFonts w:hint="eastAsia" w:hAnsi="宋体"/>
          <w:color w:val="000000"/>
        </w:rPr>
        <w:t>，属于工业抗氧化剂，外售。</w:t>
      </w:r>
    </w:p>
    <w:p>
      <w:pPr>
        <w:snapToGrid w:val="0"/>
        <w:spacing w:line="360" w:lineRule="auto"/>
        <w:ind w:firstLine="480"/>
        <w:rPr>
          <w:rFonts w:hAnsi="宋体"/>
          <w:color w:val="000000"/>
        </w:rPr>
      </w:pPr>
      <w:r>
        <w:rPr>
          <w:rFonts w:hint="eastAsia" w:hAnsi="宋体"/>
        </w:rPr>
        <w:t>（</w:t>
      </w:r>
      <w:r>
        <w:t>2</w:t>
      </w:r>
      <w:r>
        <w:rPr>
          <w:rFonts w:hint="eastAsia" w:hAnsi="宋体"/>
        </w:rPr>
        <w:t>）磷酸二氢钙：由工艺流程可知烷基化反应过程回收的磷酸经</w:t>
      </w:r>
      <w:r>
        <w:rPr>
          <w:rFonts w:hint="eastAsia" w:hAnsi="宋体"/>
          <w:color w:val="000000"/>
        </w:rPr>
        <w:t>过数次使用后产生废磷酸，此部分废磷酸经氢氧化钙中和，产生磷酸二氢钙，外售</w:t>
      </w:r>
      <w:r>
        <w:rPr>
          <w:rFonts w:hint="eastAsia" w:hAnsi="宋体"/>
          <w:color w:val="000000"/>
          <w:lang w:eastAsia="zh-CN"/>
        </w:rPr>
        <w:t>或厂区内污水处理站消耗</w:t>
      </w:r>
      <w:r>
        <w:rPr>
          <w:rFonts w:hint="eastAsia" w:hAnsi="宋体"/>
          <w:color w:val="000000"/>
        </w:rPr>
        <w:t>。</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3</w:t>
      </w:r>
      <w:r>
        <w:rPr>
          <w:rFonts w:hint="eastAsia" w:hAnsi="宋体"/>
          <w:color w:val="000000"/>
        </w:rPr>
        <w:t>）废活性炭：本项目车间废气经过活性炭吸附，活性炭吸附饱和后需要更换，更换出来的废活性炭为有机溶剂使用过程产生的载体废物，</w:t>
      </w:r>
      <w:r>
        <w:rPr>
          <w:rFonts w:hint="eastAsia" w:hAnsi="宋体"/>
          <w:color w:val="000000"/>
          <w:lang w:eastAsia="zh-CN"/>
        </w:rPr>
        <w:t>属于</w:t>
      </w:r>
      <w:r>
        <w:rPr>
          <w:rFonts w:hint="eastAsia" w:hAnsi="宋体"/>
          <w:color w:val="000000"/>
        </w:rPr>
        <w:t>危险废物</w:t>
      </w:r>
      <w:r>
        <w:rPr>
          <w:rFonts w:hAnsi="宋体"/>
          <w:color w:val="000000"/>
        </w:rPr>
        <w:t>HW49</w:t>
      </w:r>
      <w:r>
        <w:rPr>
          <w:rFonts w:hint="eastAsia" w:hAnsi="宋体"/>
          <w:color w:val="000000"/>
        </w:rPr>
        <w:t>，</w:t>
      </w:r>
      <w:r>
        <w:rPr>
          <w:rFonts w:hint="eastAsia"/>
          <w:color w:val="000000"/>
        </w:rPr>
        <w:t>交由韶关绿然再生资源有限公司处置。</w:t>
      </w:r>
    </w:p>
    <w:p>
      <w:pPr>
        <w:snapToGrid w:val="0"/>
        <w:spacing w:line="360" w:lineRule="auto"/>
        <w:ind w:firstLine="480" w:firstLineChars="200"/>
      </w:pPr>
      <w:r>
        <w:rPr>
          <w:rFonts w:hint="eastAsia"/>
        </w:rPr>
        <w:t>（</w:t>
      </w:r>
      <w:r>
        <w:t>4</w:t>
      </w:r>
      <w:r>
        <w:rPr>
          <w:rFonts w:hint="eastAsia"/>
        </w:rPr>
        <w:t>）</w:t>
      </w:r>
      <w:r>
        <w:rPr>
          <w:rFonts w:hint="eastAsia" w:hAnsi="宋体"/>
        </w:rPr>
        <w:t>煤渣：燃煤锅炉产生的煤渣，</w:t>
      </w:r>
      <w:r>
        <w:rPr>
          <w:rFonts w:hint="eastAsia" w:ascii="宋体"/>
        </w:rPr>
        <w:t>该固体废物属一般工业固体废物，将外运作为铺路材料。</w:t>
      </w:r>
    </w:p>
    <w:p>
      <w:pPr>
        <w:snapToGrid w:val="0"/>
        <w:spacing w:line="360" w:lineRule="auto"/>
        <w:ind w:firstLine="480" w:firstLineChars="200"/>
        <w:rPr>
          <w:rFonts w:hAnsi="宋体"/>
          <w:color w:val="000000"/>
        </w:rPr>
      </w:pPr>
      <w:r>
        <w:rPr>
          <w:rFonts w:hint="eastAsia" w:hAnsi="宋体"/>
        </w:rPr>
        <w:t>（</w:t>
      </w:r>
      <w:r>
        <w:rPr>
          <w:rFonts w:hAnsi="宋体"/>
        </w:rPr>
        <w:t>5</w:t>
      </w:r>
      <w:r>
        <w:rPr>
          <w:rFonts w:hint="eastAsia" w:hAnsi="宋体"/>
        </w:rPr>
        <w:t>）废反渗透膜：本项目纯水制备时将产生少量的废反渗透膜，属于一般废物，由环卫部门清运。</w:t>
      </w:r>
    </w:p>
    <w:p>
      <w:pPr>
        <w:snapToGrid w:val="0"/>
        <w:spacing w:line="360" w:lineRule="auto"/>
        <w:ind w:firstLine="480" w:firstLineChars="200"/>
        <w:rPr>
          <w:rFonts w:hAnsi="宋体"/>
          <w:color w:val="000000"/>
        </w:rPr>
      </w:pPr>
      <w:r>
        <w:rPr>
          <w:rFonts w:hint="eastAsia" w:hAnsi="宋体"/>
          <w:color w:val="000000"/>
        </w:rPr>
        <w:t>（</w:t>
      </w:r>
      <w:r>
        <w:rPr>
          <w:rFonts w:hAnsi="宋体"/>
          <w:color w:val="000000"/>
        </w:rPr>
        <w:t>6</w:t>
      </w:r>
      <w:r>
        <w:rPr>
          <w:rFonts w:hint="eastAsia" w:hAnsi="宋体"/>
          <w:color w:val="000000"/>
        </w:rPr>
        <w:t>）生活垃圾：厂区员工将产生一定数量的生活垃圾，本项目员工为</w:t>
      </w:r>
      <w:r>
        <w:rPr>
          <w:rFonts w:hAnsi="宋体"/>
          <w:color w:val="000000"/>
        </w:rPr>
        <w:t>80</w:t>
      </w:r>
      <w:r>
        <w:rPr>
          <w:rFonts w:hint="eastAsia" w:hAnsi="宋体"/>
          <w:color w:val="000000"/>
        </w:rPr>
        <w:t>人，粗估产生量为</w:t>
      </w:r>
      <w:r>
        <w:rPr>
          <w:rFonts w:hAnsi="宋体"/>
          <w:color w:val="000000"/>
        </w:rPr>
        <w:t xml:space="preserve">100 </w:t>
      </w:r>
      <w:r>
        <w:rPr>
          <w:color w:val="000000"/>
        </w:rPr>
        <w:t>t/a</w:t>
      </w:r>
      <w:r>
        <w:rPr>
          <w:rFonts w:hint="eastAsia"/>
          <w:color w:val="000000"/>
        </w:rPr>
        <w:t>（按年</w:t>
      </w:r>
      <w:r>
        <w:rPr>
          <w:color w:val="000000"/>
        </w:rPr>
        <w:t>300d</w:t>
      </w:r>
      <w:r>
        <w:rPr>
          <w:rFonts w:hint="eastAsia"/>
          <w:color w:val="000000"/>
        </w:rPr>
        <w:t>计），</w:t>
      </w:r>
      <w:r>
        <w:rPr>
          <w:rFonts w:hint="eastAsia" w:hAnsi="宋体"/>
          <w:color w:val="000000"/>
        </w:rPr>
        <w:t>交由环卫部门清运。</w:t>
      </w:r>
    </w:p>
    <w:p>
      <w:pPr>
        <w:snapToGrid w:val="0"/>
        <w:spacing w:line="360" w:lineRule="auto"/>
        <w:ind w:firstLine="480" w:firstLineChars="200"/>
        <w:rPr>
          <w:rFonts w:hAnsi="宋体"/>
        </w:rPr>
      </w:pPr>
      <w:r>
        <w:rPr>
          <w:rFonts w:hint="eastAsia" w:hAnsi="宋体"/>
          <w:color w:val="000000"/>
        </w:rPr>
        <w:t>（</w:t>
      </w:r>
      <w:r>
        <w:rPr>
          <w:rFonts w:hAnsi="宋体"/>
          <w:color w:val="000000"/>
        </w:rPr>
        <w:t>7</w:t>
      </w:r>
      <w:r>
        <w:rPr>
          <w:rFonts w:hint="eastAsia" w:hAnsi="宋体"/>
          <w:color w:val="000000"/>
        </w:rPr>
        <w:t>）废水处理站污泥：本项目</w:t>
      </w:r>
      <w:r>
        <w:rPr>
          <w:rFonts w:hint="eastAsia" w:hAnsi="宋体"/>
        </w:rPr>
        <w:t>废水处理站污泥，交由环卫部门安全处理。</w:t>
      </w:r>
    </w:p>
    <w:p>
      <w:pPr>
        <w:snapToGrid w:val="0"/>
        <w:spacing w:line="360" w:lineRule="auto"/>
        <w:ind w:firstLine="480" w:firstLineChars="200"/>
        <w:rPr>
          <w:rFonts w:hAnsi="宋体"/>
        </w:rPr>
      </w:pPr>
      <w:r>
        <w:rPr>
          <w:rFonts w:hint="eastAsia" w:hAnsi="宋体"/>
        </w:rPr>
        <w:t>本项目固体废物处置情况将表</w:t>
      </w:r>
      <w:r>
        <w:rPr>
          <w:rFonts w:hAnsi="宋体"/>
        </w:rPr>
        <w:t>4-4.</w:t>
      </w:r>
    </w:p>
    <w:p>
      <w:pPr>
        <w:snapToGrid w:val="0"/>
        <w:spacing w:line="360" w:lineRule="auto"/>
        <w:ind w:firstLine="480" w:firstLineChars="200"/>
        <w:jc w:val="center"/>
        <w:rPr>
          <w:rFonts w:hint="eastAsia" w:hAnsi="宋体"/>
        </w:rPr>
      </w:pPr>
    </w:p>
    <w:p>
      <w:pPr>
        <w:snapToGrid w:val="0"/>
        <w:spacing w:line="360" w:lineRule="auto"/>
        <w:ind w:firstLine="480" w:firstLineChars="200"/>
        <w:jc w:val="center"/>
        <w:rPr>
          <w:rFonts w:hAnsi="宋体"/>
        </w:rPr>
      </w:pPr>
      <w:r>
        <w:rPr>
          <w:rFonts w:hint="eastAsia" w:hAnsi="宋体"/>
        </w:rPr>
        <w:t>表</w:t>
      </w:r>
      <w:r>
        <w:rPr>
          <w:rFonts w:hAnsi="宋体"/>
        </w:rPr>
        <w:t xml:space="preserve">4-4  </w:t>
      </w:r>
      <w:r>
        <w:rPr>
          <w:rFonts w:hint="eastAsia" w:hAnsi="宋体"/>
        </w:rPr>
        <w:t>本项目固体废物处置情况一览表</w:t>
      </w:r>
    </w:p>
    <w:tbl>
      <w:tblPr>
        <w:tblStyle w:val="47"/>
        <w:tblW w:w="1005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2"/>
        <w:gridCol w:w="2576"/>
        <w:gridCol w:w="1575"/>
        <w:gridCol w:w="1395"/>
        <w:gridCol w:w="1228"/>
        <w:gridCol w:w="26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rFonts w:hint="eastAsia"/>
                <w:color w:val="000000"/>
                <w:sz w:val="21"/>
                <w:szCs w:val="21"/>
              </w:rPr>
              <w:t>序号</w:t>
            </w:r>
          </w:p>
        </w:tc>
        <w:tc>
          <w:tcPr>
            <w:tcW w:w="2576" w:type="dxa"/>
            <w:vAlign w:val="center"/>
          </w:tcPr>
          <w:p>
            <w:pPr>
              <w:jc w:val="center"/>
              <w:rPr>
                <w:color w:val="000000"/>
                <w:sz w:val="21"/>
                <w:szCs w:val="21"/>
              </w:rPr>
            </w:pPr>
            <w:r>
              <w:rPr>
                <w:rFonts w:hint="eastAsia" w:hAnsi="宋体"/>
                <w:color w:val="000000"/>
                <w:sz w:val="21"/>
                <w:szCs w:val="21"/>
              </w:rPr>
              <w:t>名称</w:t>
            </w:r>
          </w:p>
        </w:tc>
        <w:tc>
          <w:tcPr>
            <w:tcW w:w="1575" w:type="dxa"/>
            <w:vAlign w:val="center"/>
          </w:tcPr>
          <w:p>
            <w:pPr>
              <w:jc w:val="center"/>
              <w:rPr>
                <w:color w:val="000000"/>
                <w:sz w:val="21"/>
                <w:szCs w:val="21"/>
              </w:rPr>
            </w:pPr>
            <w:r>
              <w:rPr>
                <w:rFonts w:hint="eastAsia" w:hAnsi="宋体"/>
                <w:color w:val="000000"/>
                <w:sz w:val="21"/>
                <w:szCs w:val="21"/>
              </w:rPr>
              <w:t>产生量（</w:t>
            </w:r>
            <w:r>
              <w:rPr>
                <w:color w:val="000000"/>
                <w:sz w:val="21"/>
                <w:szCs w:val="21"/>
              </w:rPr>
              <w:t>t/a</w:t>
            </w:r>
            <w:r>
              <w:rPr>
                <w:rFonts w:hint="eastAsia" w:hAnsi="宋体"/>
                <w:color w:val="000000"/>
                <w:sz w:val="21"/>
                <w:szCs w:val="21"/>
              </w:rPr>
              <w:t>）</w:t>
            </w:r>
          </w:p>
        </w:tc>
        <w:tc>
          <w:tcPr>
            <w:tcW w:w="1395" w:type="dxa"/>
            <w:vAlign w:val="center"/>
          </w:tcPr>
          <w:p>
            <w:pPr>
              <w:jc w:val="center"/>
              <w:rPr>
                <w:color w:val="000000"/>
                <w:sz w:val="21"/>
                <w:szCs w:val="21"/>
              </w:rPr>
            </w:pPr>
            <w:r>
              <w:rPr>
                <w:rFonts w:hint="eastAsia"/>
                <w:color w:val="000000"/>
                <w:sz w:val="21"/>
                <w:szCs w:val="21"/>
              </w:rPr>
              <w:t>处理量（</w:t>
            </w:r>
            <w:r>
              <w:rPr>
                <w:color w:val="000000"/>
                <w:sz w:val="21"/>
                <w:szCs w:val="21"/>
              </w:rPr>
              <w:t>t/a</w:t>
            </w:r>
            <w:r>
              <w:rPr>
                <w:rFonts w:hint="eastAsia"/>
                <w:color w:val="000000"/>
                <w:sz w:val="21"/>
                <w:szCs w:val="21"/>
              </w:rPr>
              <w:t>）</w:t>
            </w:r>
          </w:p>
        </w:tc>
        <w:tc>
          <w:tcPr>
            <w:tcW w:w="1228" w:type="dxa"/>
            <w:vAlign w:val="center"/>
          </w:tcPr>
          <w:p>
            <w:pPr>
              <w:jc w:val="center"/>
              <w:rPr>
                <w:color w:val="000000"/>
                <w:sz w:val="21"/>
                <w:szCs w:val="21"/>
              </w:rPr>
            </w:pPr>
            <w:r>
              <w:rPr>
                <w:rFonts w:hint="eastAsia" w:hAnsi="宋体"/>
                <w:color w:val="000000"/>
                <w:sz w:val="21"/>
                <w:szCs w:val="21"/>
              </w:rPr>
              <w:t>性质</w:t>
            </w:r>
          </w:p>
        </w:tc>
        <w:tc>
          <w:tcPr>
            <w:tcW w:w="2642" w:type="dxa"/>
            <w:vAlign w:val="center"/>
          </w:tcPr>
          <w:p>
            <w:pPr>
              <w:jc w:val="center"/>
              <w:rPr>
                <w:rFonts w:hAnsi="宋体"/>
                <w:color w:val="000000"/>
                <w:sz w:val="21"/>
                <w:szCs w:val="21"/>
              </w:rPr>
            </w:pPr>
            <w:r>
              <w:rPr>
                <w:rFonts w:hint="eastAsia" w:hAnsi="宋体"/>
                <w:color w:val="000000"/>
                <w:sz w:val="21"/>
                <w:szCs w:val="21"/>
              </w:rPr>
              <w:t>处置情况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bookmarkStart w:id="21" w:name="_Hlk295482701"/>
            <w:bookmarkStart w:id="22" w:name="OLE_LINK17" w:colFirst="3" w:colLast="3"/>
            <w:bookmarkStart w:id="23" w:name="OLE_LINK16" w:colFirst="3" w:colLast="3"/>
            <w:bookmarkStart w:id="24" w:name="_Hlk309460702"/>
            <w:bookmarkStart w:id="25" w:name="OLE_LINK52" w:colFirst="3" w:colLast="3"/>
            <w:bookmarkStart w:id="26" w:name="OLE_LINK53" w:colFirst="3" w:colLast="3"/>
            <w:r>
              <w:rPr>
                <w:color w:val="000000"/>
                <w:sz w:val="21"/>
                <w:szCs w:val="21"/>
              </w:rPr>
              <w:t>1</w:t>
            </w:r>
          </w:p>
        </w:tc>
        <w:tc>
          <w:tcPr>
            <w:tcW w:w="2576" w:type="dxa"/>
            <w:vAlign w:val="center"/>
          </w:tcPr>
          <w:p>
            <w:pPr>
              <w:jc w:val="center"/>
              <w:rPr>
                <w:color w:val="000000"/>
                <w:sz w:val="21"/>
                <w:szCs w:val="21"/>
              </w:rPr>
            </w:pPr>
            <w:r>
              <w:rPr>
                <w:rFonts w:hint="eastAsia"/>
                <w:color w:val="000000"/>
                <w:sz w:val="21"/>
                <w:szCs w:val="21"/>
              </w:rPr>
              <w:t>副产品</w:t>
            </w:r>
            <w:r>
              <w:rPr>
                <w:color w:val="000000"/>
                <w:sz w:val="21"/>
                <w:szCs w:val="21"/>
              </w:rPr>
              <w:t>DT</w:t>
            </w:r>
          </w:p>
        </w:tc>
        <w:tc>
          <w:tcPr>
            <w:tcW w:w="1575" w:type="dxa"/>
            <w:vAlign w:val="center"/>
          </w:tcPr>
          <w:p>
            <w:pPr>
              <w:jc w:val="center"/>
              <w:rPr>
                <w:color w:val="000000"/>
                <w:sz w:val="21"/>
                <w:szCs w:val="21"/>
              </w:rPr>
            </w:pPr>
            <w:r>
              <w:rPr>
                <w:color w:val="000000"/>
                <w:sz w:val="21"/>
                <w:szCs w:val="21"/>
              </w:rPr>
              <w:t>60</w:t>
            </w:r>
          </w:p>
        </w:tc>
        <w:tc>
          <w:tcPr>
            <w:tcW w:w="1395" w:type="dxa"/>
            <w:vAlign w:val="center"/>
          </w:tcPr>
          <w:p>
            <w:pPr>
              <w:jc w:val="center"/>
              <w:rPr>
                <w:color w:val="000000"/>
                <w:sz w:val="21"/>
                <w:szCs w:val="21"/>
              </w:rPr>
            </w:pPr>
            <w:r>
              <w:rPr>
                <w:color w:val="000000"/>
                <w:sz w:val="21"/>
                <w:szCs w:val="21"/>
              </w:rPr>
              <w:t>60</w:t>
            </w:r>
          </w:p>
        </w:tc>
        <w:tc>
          <w:tcPr>
            <w:tcW w:w="1228" w:type="dxa"/>
            <w:vMerge w:val="restart"/>
            <w:vAlign w:val="center"/>
          </w:tcPr>
          <w:p>
            <w:pPr>
              <w:jc w:val="center"/>
              <w:rPr>
                <w:color w:val="000000"/>
                <w:sz w:val="21"/>
                <w:szCs w:val="21"/>
              </w:rPr>
            </w:pPr>
            <w:r>
              <w:rPr>
                <w:rFonts w:hint="eastAsia"/>
                <w:color w:val="000000"/>
                <w:sz w:val="21"/>
                <w:szCs w:val="21"/>
              </w:rPr>
              <w:t>一般工业</w:t>
            </w:r>
          </w:p>
          <w:p>
            <w:pPr>
              <w:jc w:val="center"/>
              <w:rPr>
                <w:color w:val="000000"/>
                <w:sz w:val="21"/>
                <w:szCs w:val="21"/>
              </w:rPr>
            </w:pPr>
            <w:r>
              <w:rPr>
                <w:rFonts w:hint="eastAsia"/>
                <w:color w:val="000000"/>
                <w:sz w:val="21"/>
                <w:szCs w:val="21"/>
              </w:rPr>
              <w:t>固体废物</w:t>
            </w:r>
          </w:p>
        </w:tc>
        <w:tc>
          <w:tcPr>
            <w:tcW w:w="2642" w:type="dxa"/>
            <w:vAlign w:val="center"/>
          </w:tcPr>
          <w:p>
            <w:pPr>
              <w:jc w:val="center"/>
              <w:rPr>
                <w:color w:val="000000"/>
                <w:sz w:val="21"/>
                <w:szCs w:val="21"/>
              </w:rPr>
            </w:pPr>
            <w:r>
              <w:rPr>
                <w:rFonts w:hint="eastAsia"/>
                <w:color w:val="000000"/>
                <w:sz w:val="21"/>
                <w:szCs w:val="21"/>
              </w:rPr>
              <w:t>外售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2</w:t>
            </w:r>
          </w:p>
        </w:tc>
        <w:tc>
          <w:tcPr>
            <w:tcW w:w="2576" w:type="dxa"/>
            <w:vAlign w:val="center"/>
          </w:tcPr>
          <w:p>
            <w:pPr>
              <w:jc w:val="center"/>
              <w:rPr>
                <w:color w:val="000000"/>
                <w:sz w:val="21"/>
                <w:szCs w:val="21"/>
              </w:rPr>
            </w:pPr>
            <w:r>
              <w:rPr>
                <w:rFonts w:hint="eastAsia"/>
                <w:color w:val="000000"/>
                <w:sz w:val="21"/>
                <w:szCs w:val="21"/>
              </w:rPr>
              <w:t>磷酸二氢钙</w:t>
            </w:r>
          </w:p>
        </w:tc>
        <w:tc>
          <w:tcPr>
            <w:tcW w:w="1575" w:type="dxa"/>
            <w:vAlign w:val="center"/>
          </w:tcPr>
          <w:p>
            <w:pPr>
              <w:jc w:val="center"/>
              <w:rPr>
                <w:color w:val="000000"/>
                <w:sz w:val="21"/>
                <w:szCs w:val="21"/>
              </w:rPr>
            </w:pPr>
            <w:r>
              <w:rPr>
                <w:color w:val="000000"/>
                <w:sz w:val="21"/>
                <w:szCs w:val="21"/>
              </w:rPr>
              <w:t>70</w:t>
            </w:r>
          </w:p>
        </w:tc>
        <w:tc>
          <w:tcPr>
            <w:tcW w:w="1395" w:type="dxa"/>
            <w:vAlign w:val="center"/>
          </w:tcPr>
          <w:p>
            <w:pPr>
              <w:jc w:val="center"/>
              <w:rPr>
                <w:color w:val="000000"/>
                <w:sz w:val="21"/>
                <w:szCs w:val="21"/>
              </w:rPr>
            </w:pPr>
            <w:r>
              <w:rPr>
                <w:color w:val="000000"/>
                <w:sz w:val="21"/>
                <w:szCs w:val="21"/>
              </w:rPr>
              <w:t>70</w:t>
            </w:r>
          </w:p>
        </w:tc>
        <w:tc>
          <w:tcPr>
            <w:tcW w:w="1228" w:type="dxa"/>
            <w:vMerge w:val="continue"/>
            <w:vAlign w:val="center"/>
          </w:tcPr>
          <w:p>
            <w:pPr>
              <w:jc w:val="center"/>
              <w:rPr>
                <w:color w:val="000000"/>
                <w:sz w:val="21"/>
                <w:szCs w:val="21"/>
              </w:rPr>
            </w:pPr>
          </w:p>
        </w:tc>
        <w:tc>
          <w:tcPr>
            <w:tcW w:w="2642" w:type="dxa"/>
            <w:vAlign w:val="center"/>
          </w:tcPr>
          <w:p>
            <w:pPr>
              <w:jc w:val="center"/>
              <w:rPr>
                <w:color w:val="000000"/>
                <w:sz w:val="21"/>
                <w:szCs w:val="21"/>
              </w:rPr>
            </w:pPr>
            <w:r>
              <w:rPr>
                <w:rFonts w:hint="eastAsia"/>
                <w:color w:val="000000"/>
                <w:sz w:val="21"/>
                <w:szCs w:val="21"/>
              </w:rPr>
              <w:t>外售</w:t>
            </w:r>
            <w:r>
              <w:rPr>
                <w:color w:val="000000"/>
                <w:sz w:val="21"/>
                <w:szCs w:val="21"/>
              </w:rPr>
              <w:t>/</w:t>
            </w:r>
            <w:r>
              <w:rPr>
                <w:rFonts w:hint="eastAsia"/>
                <w:color w:val="000000"/>
                <w:sz w:val="21"/>
                <w:szCs w:val="21"/>
              </w:rPr>
              <w:t>厂区污水处理站消耗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5</w:t>
            </w:r>
          </w:p>
        </w:tc>
        <w:tc>
          <w:tcPr>
            <w:tcW w:w="2576" w:type="dxa"/>
            <w:vAlign w:val="center"/>
          </w:tcPr>
          <w:p>
            <w:pPr>
              <w:jc w:val="center"/>
              <w:rPr>
                <w:color w:val="000000"/>
                <w:sz w:val="21"/>
                <w:szCs w:val="21"/>
              </w:rPr>
            </w:pPr>
            <w:r>
              <w:rPr>
                <w:rFonts w:hint="eastAsia"/>
                <w:color w:val="000000"/>
                <w:sz w:val="21"/>
                <w:szCs w:val="21"/>
              </w:rPr>
              <w:t>煤渣</w:t>
            </w:r>
          </w:p>
        </w:tc>
        <w:tc>
          <w:tcPr>
            <w:tcW w:w="1575" w:type="dxa"/>
            <w:vAlign w:val="center"/>
          </w:tcPr>
          <w:p>
            <w:pPr>
              <w:jc w:val="center"/>
              <w:rPr>
                <w:color w:val="000000"/>
                <w:sz w:val="21"/>
                <w:szCs w:val="21"/>
              </w:rPr>
            </w:pPr>
            <w:r>
              <w:rPr>
                <w:color w:val="000000"/>
                <w:sz w:val="21"/>
                <w:szCs w:val="21"/>
              </w:rPr>
              <w:t>900</w:t>
            </w:r>
          </w:p>
        </w:tc>
        <w:tc>
          <w:tcPr>
            <w:tcW w:w="1395" w:type="dxa"/>
            <w:vAlign w:val="center"/>
          </w:tcPr>
          <w:p>
            <w:pPr>
              <w:jc w:val="center"/>
              <w:rPr>
                <w:color w:val="000000"/>
                <w:sz w:val="21"/>
                <w:szCs w:val="21"/>
              </w:rPr>
            </w:pPr>
            <w:r>
              <w:rPr>
                <w:color w:val="000000"/>
                <w:sz w:val="21"/>
                <w:szCs w:val="21"/>
              </w:rPr>
              <w:t>900</w:t>
            </w:r>
          </w:p>
        </w:tc>
        <w:tc>
          <w:tcPr>
            <w:tcW w:w="1228" w:type="dxa"/>
            <w:vMerge w:val="continue"/>
            <w:vAlign w:val="center"/>
          </w:tcPr>
          <w:p>
            <w:pPr>
              <w:jc w:val="center"/>
              <w:rPr>
                <w:color w:val="000000"/>
                <w:sz w:val="21"/>
                <w:szCs w:val="21"/>
              </w:rPr>
            </w:pPr>
          </w:p>
        </w:tc>
        <w:tc>
          <w:tcPr>
            <w:tcW w:w="2642" w:type="dxa"/>
            <w:vAlign w:val="center"/>
          </w:tcPr>
          <w:p>
            <w:pPr>
              <w:jc w:val="center"/>
              <w:rPr>
                <w:color w:val="000000"/>
                <w:sz w:val="21"/>
                <w:szCs w:val="21"/>
              </w:rPr>
            </w:pPr>
            <w:r>
              <w:rPr>
                <w:rFonts w:hint="eastAsia"/>
                <w:color w:val="000000"/>
                <w:sz w:val="21"/>
                <w:szCs w:val="21"/>
              </w:rPr>
              <w:t>外运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6</w:t>
            </w:r>
          </w:p>
        </w:tc>
        <w:tc>
          <w:tcPr>
            <w:tcW w:w="2576" w:type="dxa"/>
            <w:vAlign w:val="center"/>
          </w:tcPr>
          <w:p>
            <w:pPr>
              <w:jc w:val="center"/>
              <w:rPr>
                <w:color w:val="000000"/>
                <w:sz w:val="21"/>
                <w:szCs w:val="21"/>
              </w:rPr>
            </w:pPr>
            <w:r>
              <w:rPr>
                <w:rFonts w:hint="eastAsia"/>
                <w:color w:val="000000"/>
                <w:sz w:val="21"/>
                <w:szCs w:val="21"/>
              </w:rPr>
              <w:t>废反渗透膜</w:t>
            </w:r>
          </w:p>
        </w:tc>
        <w:tc>
          <w:tcPr>
            <w:tcW w:w="1575" w:type="dxa"/>
            <w:vAlign w:val="center"/>
          </w:tcPr>
          <w:p>
            <w:pPr>
              <w:jc w:val="center"/>
              <w:rPr>
                <w:color w:val="000000"/>
                <w:sz w:val="21"/>
                <w:szCs w:val="21"/>
              </w:rPr>
            </w:pPr>
            <w:r>
              <w:rPr>
                <w:color w:val="000000"/>
                <w:sz w:val="21"/>
                <w:szCs w:val="21"/>
              </w:rPr>
              <w:t>0.5</w:t>
            </w:r>
          </w:p>
        </w:tc>
        <w:tc>
          <w:tcPr>
            <w:tcW w:w="1395" w:type="dxa"/>
            <w:vAlign w:val="center"/>
          </w:tcPr>
          <w:p>
            <w:pPr>
              <w:jc w:val="center"/>
              <w:rPr>
                <w:color w:val="000000"/>
                <w:sz w:val="21"/>
                <w:szCs w:val="21"/>
              </w:rPr>
            </w:pPr>
            <w:r>
              <w:rPr>
                <w:color w:val="000000"/>
                <w:sz w:val="21"/>
                <w:szCs w:val="21"/>
              </w:rPr>
              <w:t>0.5</w:t>
            </w:r>
          </w:p>
        </w:tc>
        <w:tc>
          <w:tcPr>
            <w:tcW w:w="1228" w:type="dxa"/>
            <w:vMerge w:val="continue"/>
            <w:vAlign w:val="center"/>
          </w:tcPr>
          <w:p>
            <w:pPr>
              <w:jc w:val="center"/>
              <w:rPr>
                <w:color w:val="000000"/>
                <w:sz w:val="21"/>
                <w:szCs w:val="21"/>
              </w:rPr>
            </w:pPr>
          </w:p>
        </w:tc>
        <w:tc>
          <w:tcPr>
            <w:tcW w:w="2642" w:type="dxa"/>
            <w:vAlign w:val="center"/>
          </w:tcPr>
          <w:p>
            <w:pPr>
              <w:jc w:val="center"/>
              <w:rPr>
                <w:color w:val="000000"/>
                <w:sz w:val="21"/>
                <w:szCs w:val="21"/>
              </w:rPr>
            </w:pPr>
            <w:r>
              <w:rPr>
                <w:rFonts w:hint="eastAsia"/>
                <w:color w:val="000000"/>
                <w:sz w:val="21"/>
                <w:szCs w:val="21"/>
              </w:rPr>
              <w:t>交由环卫部门安全处理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7</w:t>
            </w:r>
          </w:p>
        </w:tc>
        <w:tc>
          <w:tcPr>
            <w:tcW w:w="2576" w:type="dxa"/>
            <w:vAlign w:val="center"/>
          </w:tcPr>
          <w:p>
            <w:pPr>
              <w:jc w:val="center"/>
              <w:rPr>
                <w:color w:val="000000"/>
                <w:sz w:val="21"/>
                <w:szCs w:val="21"/>
              </w:rPr>
            </w:pPr>
            <w:r>
              <w:rPr>
                <w:rFonts w:hint="eastAsia"/>
                <w:color w:val="000000"/>
                <w:sz w:val="21"/>
                <w:szCs w:val="21"/>
              </w:rPr>
              <w:t>生活垃圾</w:t>
            </w:r>
          </w:p>
        </w:tc>
        <w:tc>
          <w:tcPr>
            <w:tcW w:w="1575" w:type="dxa"/>
            <w:vAlign w:val="center"/>
          </w:tcPr>
          <w:p>
            <w:pPr>
              <w:jc w:val="center"/>
              <w:rPr>
                <w:color w:val="000000"/>
                <w:sz w:val="21"/>
                <w:szCs w:val="21"/>
              </w:rPr>
            </w:pPr>
            <w:r>
              <w:rPr>
                <w:color w:val="000000"/>
                <w:sz w:val="21"/>
                <w:szCs w:val="21"/>
              </w:rPr>
              <w:t>100</w:t>
            </w:r>
          </w:p>
        </w:tc>
        <w:tc>
          <w:tcPr>
            <w:tcW w:w="1395" w:type="dxa"/>
            <w:vAlign w:val="center"/>
          </w:tcPr>
          <w:p>
            <w:pPr>
              <w:jc w:val="center"/>
              <w:rPr>
                <w:color w:val="000000"/>
                <w:sz w:val="21"/>
                <w:szCs w:val="21"/>
              </w:rPr>
            </w:pPr>
            <w:r>
              <w:rPr>
                <w:color w:val="000000"/>
                <w:sz w:val="21"/>
                <w:szCs w:val="21"/>
              </w:rPr>
              <w:t>100</w:t>
            </w:r>
          </w:p>
        </w:tc>
        <w:tc>
          <w:tcPr>
            <w:tcW w:w="1228" w:type="dxa"/>
            <w:vMerge w:val="continue"/>
            <w:vAlign w:val="center"/>
          </w:tcPr>
          <w:p>
            <w:pPr>
              <w:jc w:val="center"/>
              <w:rPr>
                <w:color w:val="000000"/>
                <w:sz w:val="21"/>
                <w:szCs w:val="21"/>
              </w:rPr>
            </w:pPr>
          </w:p>
        </w:tc>
        <w:tc>
          <w:tcPr>
            <w:tcW w:w="2642" w:type="dxa"/>
            <w:vAlign w:val="center"/>
          </w:tcPr>
          <w:p>
            <w:pPr>
              <w:jc w:val="center"/>
              <w:rPr>
                <w:color w:val="000000"/>
                <w:sz w:val="21"/>
                <w:szCs w:val="21"/>
              </w:rPr>
            </w:pPr>
            <w:r>
              <w:rPr>
                <w:rFonts w:hint="eastAsia"/>
                <w:color w:val="000000"/>
                <w:sz w:val="21"/>
                <w:szCs w:val="21"/>
              </w:rPr>
              <w:t>交由环卫部门安全处理</w:t>
            </w:r>
          </w:p>
        </w:tc>
      </w:tr>
      <w:bookmarkEnd w:id="21"/>
      <w:bookmarkEnd w:id="22"/>
      <w:bookmarkEnd w:id="23"/>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8</w:t>
            </w:r>
          </w:p>
        </w:tc>
        <w:tc>
          <w:tcPr>
            <w:tcW w:w="2576" w:type="dxa"/>
            <w:vAlign w:val="center"/>
          </w:tcPr>
          <w:p>
            <w:pPr>
              <w:jc w:val="center"/>
              <w:rPr>
                <w:color w:val="000000"/>
                <w:sz w:val="21"/>
                <w:szCs w:val="21"/>
              </w:rPr>
            </w:pPr>
            <w:r>
              <w:rPr>
                <w:rFonts w:hint="eastAsia"/>
                <w:color w:val="000000"/>
                <w:sz w:val="21"/>
                <w:szCs w:val="21"/>
              </w:rPr>
              <w:t>废水处理站污泥</w:t>
            </w:r>
          </w:p>
        </w:tc>
        <w:tc>
          <w:tcPr>
            <w:tcW w:w="1575" w:type="dxa"/>
            <w:vAlign w:val="center"/>
          </w:tcPr>
          <w:p>
            <w:pPr>
              <w:jc w:val="center"/>
              <w:rPr>
                <w:color w:val="000000"/>
                <w:sz w:val="21"/>
                <w:szCs w:val="21"/>
              </w:rPr>
            </w:pPr>
            <w:r>
              <w:rPr>
                <w:color w:val="000000"/>
                <w:sz w:val="21"/>
                <w:szCs w:val="21"/>
              </w:rPr>
              <w:t>150</w:t>
            </w:r>
          </w:p>
        </w:tc>
        <w:tc>
          <w:tcPr>
            <w:tcW w:w="1395" w:type="dxa"/>
            <w:vAlign w:val="center"/>
          </w:tcPr>
          <w:p>
            <w:pPr>
              <w:jc w:val="center"/>
              <w:rPr>
                <w:color w:val="000000"/>
                <w:sz w:val="21"/>
                <w:szCs w:val="21"/>
              </w:rPr>
            </w:pPr>
            <w:r>
              <w:rPr>
                <w:color w:val="000000"/>
                <w:sz w:val="21"/>
                <w:szCs w:val="21"/>
              </w:rPr>
              <w:t>150</w:t>
            </w:r>
          </w:p>
        </w:tc>
        <w:tc>
          <w:tcPr>
            <w:tcW w:w="1228" w:type="dxa"/>
            <w:vMerge w:val="continue"/>
            <w:vAlign w:val="center"/>
          </w:tcPr>
          <w:p>
            <w:pPr>
              <w:jc w:val="center"/>
              <w:rPr>
                <w:color w:val="000000"/>
                <w:sz w:val="21"/>
                <w:szCs w:val="21"/>
              </w:rPr>
            </w:pPr>
          </w:p>
        </w:tc>
        <w:tc>
          <w:tcPr>
            <w:tcW w:w="2642" w:type="dxa"/>
            <w:vAlign w:val="center"/>
          </w:tcPr>
          <w:p>
            <w:pPr>
              <w:jc w:val="center"/>
              <w:rPr>
                <w:color w:val="000000"/>
                <w:sz w:val="21"/>
                <w:szCs w:val="21"/>
              </w:rPr>
            </w:pPr>
            <w:r>
              <w:rPr>
                <w:rFonts w:hint="eastAsia"/>
                <w:color w:val="000000"/>
                <w:sz w:val="21"/>
                <w:szCs w:val="21"/>
              </w:rPr>
              <w:t>交由环卫部门安全处理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42" w:type="dxa"/>
            <w:vAlign w:val="center"/>
          </w:tcPr>
          <w:p>
            <w:pPr>
              <w:jc w:val="center"/>
              <w:rPr>
                <w:color w:val="000000"/>
                <w:sz w:val="21"/>
                <w:szCs w:val="21"/>
              </w:rPr>
            </w:pPr>
            <w:r>
              <w:rPr>
                <w:color w:val="000000"/>
                <w:sz w:val="21"/>
                <w:szCs w:val="21"/>
              </w:rPr>
              <w:t>9</w:t>
            </w:r>
          </w:p>
        </w:tc>
        <w:tc>
          <w:tcPr>
            <w:tcW w:w="2576" w:type="dxa"/>
            <w:vAlign w:val="center"/>
          </w:tcPr>
          <w:p>
            <w:pPr>
              <w:jc w:val="center"/>
              <w:rPr>
                <w:color w:val="000000"/>
                <w:sz w:val="21"/>
                <w:szCs w:val="21"/>
              </w:rPr>
            </w:pPr>
            <w:r>
              <w:rPr>
                <w:rFonts w:hint="eastAsia"/>
                <w:color w:val="000000"/>
                <w:sz w:val="21"/>
                <w:szCs w:val="21"/>
              </w:rPr>
              <w:t>废活性炭（废气吸附）</w:t>
            </w:r>
          </w:p>
        </w:tc>
        <w:tc>
          <w:tcPr>
            <w:tcW w:w="1575" w:type="dxa"/>
            <w:vAlign w:val="center"/>
          </w:tcPr>
          <w:p>
            <w:pPr>
              <w:jc w:val="center"/>
              <w:rPr>
                <w:color w:val="000000"/>
                <w:sz w:val="21"/>
                <w:szCs w:val="21"/>
              </w:rPr>
            </w:pPr>
            <w:r>
              <w:rPr>
                <w:color w:val="000000"/>
                <w:sz w:val="21"/>
                <w:szCs w:val="21"/>
              </w:rPr>
              <w:t>6</w:t>
            </w:r>
          </w:p>
        </w:tc>
        <w:tc>
          <w:tcPr>
            <w:tcW w:w="1395" w:type="dxa"/>
            <w:vAlign w:val="center"/>
          </w:tcPr>
          <w:p>
            <w:pPr>
              <w:jc w:val="center"/>
              <w:rPr>
                <w:color w:val="000000"/>
                <w:sz w:val="21"/>
                <w:szCs w:val="21"/>
              </w:rPr>
            </w:pPr>
            <w:r>
              <w:rPr>
                <w:color w:val="000000"/>
                <w:sz w:val="21"/>
                <w:szCs w:val="21"/>
              </w:rPr>
              <w:t>6</w:t>
            </w:r>
          </w:p>
        </w:tc>
        <w:tc>
          <w:tcPr>
            <w:tcW w:w="1228" w:type="dxa"/>
            <w:vAlign w:val="center"/>
          </w:tcPr>
          <w:p>
            <w:pPr>
              <w:jc w:val="center"/>
              <w:rPr>
                <w:color w:val="000000"/>
                <w:sz w:val="21"/>
                <w:szCs w:val="21"/>
              </w:rPr>
            </w:pPr>
            <w:r>
              <w:rPr>
                <w:rFonts w:hint="eastAsia"/>
                <w:color w:val="000000"/>
                <w:sz w:val="21"/>
                <w:szCs w:val="21"/>
              </w:rPr>
              <w:t>危险废物</w:t>
            </w:r>
          </w:p>
        </w:tc>
        <w:tc>
          <w:tcPr>
            <w:tcW w:w="2642" w:type="dxa"/>
            <w:vAlign w:val="center"/>
          </w:tcPr>
          <w:p>
            <w:pPr>
              <w:jc w:val="center"/>
              <w:rPr>
                <w:color w:val="000000"/>
                <w:sz w:val="21"/>
                <w:szCs w:val="21"/>
              </w:rPr>
            </w:pPr>
            <w:r>
              <w:rPr>
                <w:rFonts w:hint="eastAsia"/>
                <w:color w:val="000000"/>
                <w:sz w:val="21"/>
                <w:szCs w:val="21"/>
              </w:rPr>
              <w:t>交由韶关绿然再生资源有限公司处置</w:t>
            </w:r>
          </w:p>
        </w:tc>
      </w:tr>
      <w:bookmarkEnd w:id="24"/>
      <w:bookmarkEnd w:id="25"/>
      <w:bookmarkEnd w:id="26"/>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3218" w:type="dxa"/>
            <w:gridSpan w:val="2"/>
            <w:vAlign w:val="center"/>
          </w:tcPr>
          <w:p>
            <w:pPr>
              <w:jc w:val="center"/>
              <w:rPr>
                <w:color w:val="000000"/>
                <w:sz w:val="21"/>
                <w:szCs w:val="21"/>
              </w:rPr>
            </w:pPr>
            <w:r>
              <w:rPr>
                <w:rFonts w:hint="eastAsia"/>
                <w:color w:val="000000"/>
                <w:sz w:val="21"/>
                <w:szCs w:val="21"/>
              </w:rPr>
              <w:t>合计</w:t>
            </w:r>
          </w:p>
        </w:tc>
        <w:tc>
          <w:tcPr>
            <w:tcW w:w="6840" w:type="dxa"/>
            <w:gridSpan w:val="4"/>
            <w:vAlign w:val="center"/>
          </w:tcPr>
          <w:p>
            <w:pPr>
              <w:jc w:val="center"/>
              <w:rPr>
                <w:color w:val="000000"/>
                <w:sz w:val="21"/>
                <w:szCs w:val="21"/>
              </w:rPr>
            </w:pPr>
            <w:r>
              <w:rPr>
                <w:color w:val="000000"/>
                <w:sz w:val="21"/>
                <w:szCs w:val="21"/>
              </w:rPr>
              <w:t>1286.5t/a</w:t>
            </w:r>
            <w:r>
              <w:rPr>
                <w:rFonts w:hint="eastAsia"/>
                <w:color w:val="000000"/>
                <w:sz w:val="21"/>
                <w:szCs w:val="21"/>
              </w:rPr>
              <w:t>，其中危险废物</w:t>
            </w:r>
            <w:r>
              <w:rPr>
                <w:color w:val="000000"/>
                <w:sz w:val="21"/>
                <w:szCs w:val="21"/>
              </w:rPr>
              <w:t>6 t/a</w:t>
            </w:r>
          </w:p>
        </w:tc>
      </w:tr>
    </w:tbl>
    <w:p>
      <w:pPr>
        <w:snapToGrid w:val="0"/>
        <w:spacing w:line="360" w:lineRule="auto"/>
        <w:ind w:firstLine="480" w:firstLineChars="200"/>
        <w:rPr>
          <w:rFonts w:hAnsi="宋体"/>
        </w:rPr>
      </w:pPr>
    </w:p>
    <w:p>
      <w:pPr>
        <w:snapToGrid w:val="0"/>
        <w:spacing w:line="360" w:lineRule="auto"/>
        <w:ind w:firstLine="480" w:firstLineChars="200"/>
        <w:rPr>
          <w:rFonts w:hAnsi="宋体"/>
        </w:rPr>
      </w:pPr>
    </w:p>
    <w:p>
      <w:pPr>
        <w:snapToGrid w:val="0"/>
        <w:spacing w:line="360" w:lineRule="auto"/>
        <w:ind w:firstLine="480" w:firstLineChars="200"/>
        <w:rPr>
          <w:rFonts w:hAnsi="宋体"/>
        </w:rPr>
      </w:pPr>
    </w:p>
    <w:p>
      <w:pPr>
        <w:snapToGrid w:val="0"/>
        <w:spacing w:line="360" w:lineRule="auto"/>
        <w:ind w:firstLine="480" w:firstLineChars="200"/>
        <w:rPr>
          <w:rFonts w:hAnsi="宋体"/>
        </w:rPr>
      </w:pPr>
    </w:p>
    <w:p>
      <w:pPr>
        <w:snapToGrid w:val="0"/>
        <w:spacing w:line="360" w:lineRule="auto"/>
        <w:rPr>
          <w:rFonts w:hAnsi="宋体"/>
        </w:rPr>
      </w:pPr>
      <w:r>
        <w:rPr>
          <w:rFonts w:hint="eastAsia" w:hAnsi="宋体"/>
        </w:rPr>
        <w:t>本项目主要污染源及处理情况见表</w:t>
      </w:r>
      <w:r>
        <w:rPr>
          <w:rFonts w:hAnsi="宋体"/>
        </w:rPr>
        <w:t>4-5</w:t>
      </w:r>
    </w:p>
    <w:p>
      <w:pPr>
        <w:adjustRightInd w:val="0"/>
        <w:snapToGrid w:val="0"/>
        <w:ind w:firstLine="236" w:firstLineChars="98"/>
        <w:jc w:val="center"/>
        <w:rPr>
          <w:rFonts w:hAnsi="宋体"/>
          <w:b/>
        </w:rPr>
      </w:pPr>
      <w:r>
        <w:rPr>
          <w:rFonts w:hint="eastAsia" w:ascii="宋体" w:hAnsi="宋体"/>
          <w:b/>
        </w:rPr>
        <w:t>表</w:t>
      </w:r>
      <w:r>
        <w:rPr>
          <w:rFonts w:ascii="宋体" w:hAnsi="宋体"/>
          <w:b/>
        </w:rPr>
        <w:t xml:space="preserve">4-5    </w:t>
      </w:r>
      <w:r>
        <w:rPr>
          <w:rFonts w:hint="eastAsia"/>
          <w:b/>
          <w:color w:val="000000"/>
        </w:rPr>
        <w:t>主要污染源及处理情况一览表</w:t>
      </w:r>
    </w:p>
    <w:tbl>
      <w:tblPr>
        <w:tblStyle w:val="47"/>
        <w:tblW w:w="852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2"/>
        <w:gridCol w:w="1169"/>
        <w:gridCol w:w="1647"/>
        <w:gridCol w:w="2209"/>
        <w:gridCol w:w="27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3608" w:type="dxa"/>
            <w:gridSpan w:val="3"/>
            <w:vAlign w:val="center"/>
          </w:tcPr>
          <w:p>
            <w:pPr>
              <w:snapToGrid w:val="0"/>
              <w:jc w:val="center"/>
              <w:rPr>
                <w:b/>
                <w:color w:val="000000"/>
                <w:sz w:val="21"/>
                <w:szCs w:val="21"/>
              </w:rPr>
            </w:pPr>
            <w:r>
              <w:rPr>
                <w:rFonts w:hint="eastAsia"/>
                <w:b/>
                <w:color w:val="000000"/>
                <w:sz w:val="21"/>
                <w:szCs w:val="21"/>
              </w:rPr>
              <w:t>环境影响因素</w:t>
            </w:r>
          </w:p>
        </w:tc>
        <w:tc>
          <w:tcPr>
            <w:tcW w:w="2209" w:type="dxa"/>
            <w:vAlign w:val="center"/>
          </w:tcPr>
          <w:p>
            <w:pPr>
              <w:snapToGrid w:val="0"/>
              <w:jc w:val="center"/>
              <w:rPr>
                <w:b/>
                <w:color w:val="000000"/>
                <w:sz w:val="21"/>
                <w:szCs w:val="21"/>
              </w:rPr>
            </w:pPr>
            <w:r>
              <w:rPr>
                <w:rFonts w:hint="eastAsia"/>
                <w:b/>
                <w:color w:val="000000"/>
                <w:sz w:val="21"/>
                <w:szCs w:val="21"/>
              </w:rPr>
              <w:t>处理措施</w:t>
            </w:r>
          </w:p>
        </w:tc>
        <w:tc>
          <w:tcPr>
            <w:tcW w:w="2711" w:type="dxa"/>
          </w:tcPr>
          <w:p>
            <w:pPr>
              <w:snapToGrid w:val="0"/>
              <w:jc w:val="center"/>
              <w:rPr>
                <w:b/>
                <w:color w:val="000000"/>
                <w:sz w:val="21"/>
                <w:szCs w:val="21"/>
              </w:rPr>
            </w:pPr>
            <w:r>
              <w:rPr>
                <w:rFonts w:hint="eastAsia"/>
                <w:b/>
                <w:color w:val="000000"/>
                <w:sz w:val="21"/>
                <w:szCs w:val="21"/>
              </w:rPr>
              <w:t>实际处理措施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restart"/>
            <w:vAlign w:val="center"/>
          </w:tcPr>
          <w:p>
            <w:pPr>
              <w:snapToGrid w:val="0"/>
              <w:jc w:val="center"/>
              <w:rPr>
                <w:color w:val="000000"/>
                <w:sz w:val="21"/>
                <w:szCs w:val="21"/>
              </w:rPr>
            </w:pPr>
            <w:r>
              <w:rPr>
                <w:rFonts w:hint="eastAsia"/>
                <w:color w:val="000000"/>
                <w:sz w:val="21"/>
                <w:szCs w:val="21"/>
              </w:rPr>
              <w:t>废水</w:t>
            </w:r>
          </w:p>
        </w:tc>
        <w:tc>
          <w:tcPr>
            <w:tcW w:w="2816" w:type="dxa"/>
            <w:gridSpan w:val="2"/>
            <w:vAlign w:val="center"/>
          </w:tcPr>
          <w:p>
            <w:pPr>
              <w:snapToGrid w:val="0"/>
              <w:jc w:val="center"/>
              <w:rPr>
                <w:color w:val="000000"/>
                <w:sz w:val="21"/>
                <w:szCs w:val="21"/>
              </w:rPr>
            </w:pPr>
            <w:r>
              <w:rPr>
                <w:rFonts w:hint="eastAsia"/>
                <w:color w:val="000000"/>
                <w:sz w:val="21"/>
                <w:szCs w:val="21"/>
              </w:rPr>
              <w:t>废水量</w:t>
            </w:r>
          </w:p>
        </w:tc>
        <w:tc>
          <w:tcPr>
            <w:tcW w:w="2209" w:type="dxa"/>
            <w:vMerge w:val="restart"/>
            <w:vAlign w:val="center"/>
          </w:tcPr>
          <w:p>
            <w:pPr>
              <w:snapToGrid w:val="0"/>
              <w:jc w:val="center"/>
              <w:rPr>
                <w:color w:val="000000"/>
                <w:sz w:val="21"/>
                <w:szCs w:val="21"/>
              </w:rPr>
            </w:pPr>
            <w:r>
              <w:rPr>
                <w:rFonts w:hint="eastAsia"/>
                <w:color w:val="000000"/>
                <w:sz w:val="21"/>
                <w:szCs w:val="21"/>
              </w:rPr>
              <w:t>厂区自建污水处理站处理</w:t>
            </w:r>
          </w:p>
        </w:tc>
        <w:tc>
          <w:tcPr>
            <w:tcW w:w="2711" w:type="dxa"/>
            <w:vMerge w:val="restart"/>
            <w:vAlign w:val="center"/>
          </w:tcPr>
          <w:p>
            <w:pPr>
              <w:snapToGrid w:val="0"/>
              <w:jc w:val="center"/>
              <w:rPr>
                <w:b/>
                <w:color w:val="000000"/>
                <w:sz w:val="21"/>
                <w:szCs w:val="21"/>
              </w:rPr>
            </w:pPr>
            <w:r>
              <w:rPr>
                <w:rFonts w:hint="eastAsia"/>
                <w:color w:val="000000"/>
                <w:sz w:val="21"/>
                <w:szCs w:val="21"/>
              </w:rPr>
              <w:t>厂区自建污水处理站处理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snapToGrid w:val="0"/>
              <w:jc w:val="center"/>
              <w:rPr>
                <w:color w:val="000000"/>
                <w:sz w:val="21"/>
                <w:szCs w:val="21"/>
              </w:rPr>
            </w:pPr>
            <w:r>
              <w:rPr>
                <w:color w:val="000000"/>
                <w:sz w:val="21"/>
                <w:szCs w:val="21"/>
              </w:rPr>
              <w:t>COD</w:t>
            </w:r>
            <w:r>
              <w:rPr>
                <w:color w:val="000000"/>
                <w:sz w:val="21"/>
                <w:szCs w:val="21"/>
                <w:vertAlign w:val="subscript"/>
              </w:rPr>
              <w:t>Cr</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snapToGrid w:val="0"/>
              <w:jc w:val="center"/>
              <w:rPr>
                <w:color w:val="000000"/>
                <w:sz w:val="21"/>
                <w:szCs w:val="21"/>
              </w:rPr>
            </w:pPr>
            <w:r>
              <w:rPr>
                <w:color w:val="000000"/>
                <w:sz w:val="21"/>
                <w:szCs w:val="21"/>
              </w:rPr>
              <w:t>BOD</w:t>
            </w:r>
            <w:r>
              <w:rPr>
                <w:color w:val="000000"/>
                <w:sz w:val="21"/>
                <w:szCs w:val="21"/>
                <w:vertAlign w:val="subscript"/>
              </w:rPr>
              <w:t>5</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snapToGrid w:val="0"/>
              <w:jc w:val="center"/>
              <w:rPr>
                <w:color w:val="000000"/>
                <w:sz w:val="21"/>
                <w:szCs w:val="21"/>
              </w:rPr>
            </w:pPr>
            <w:r>
              <w:rPr>
                <w:color w:val="000000"/>
                <w:sz w:val="21"/>
                <w:szCs w:val="21"/>
              </w:rPr>
              <w:t>SS</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snapToGrid w:val="0"/>
              <w:jc w:val="center"/>
              <w:rPr>
                <w:color w:val="000000"/>
                <w:sz w:val="21"/>
                <w:szCs w:val="21"/>
              </w:rPr>
            </w:pPr>
            <w:r>
              <w:rPr>
                <w:rFonts w:hint="eastAsia"/>
                <w:color w:val="000000"/>
                <w:sz w:val="21"/>
                <w:szCs w:val="21"/>
              </w:rPr>
              <w:t>氨氮</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snapToGrid w:val="0"/>
              <w:jc w:val="center"/>
              <w:rPr>
                <w:color w:val="000000"/>
                <w:sz w:val="21"/>
                <w:szCs w:val="21"/>
              </w:rPr>
            </w:pPr>
            <w:r>
              <w:rPr>
                <w:rFonts w:hint="eastAsia"/>
                <w:color w:val="000000"/>
                <w:sz w:val="21"/>
                <w:szCs w:val="21"/>
              </w:rPr>
              <w:t>动植物油</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restart"/>
            <w:vAlign w:val="center"/>
          </w:tcPr>
          <w:p>
            <w:pPr>
              <w:snapToGrid w:val="0"/>
              <w:jc w:val="center"/>
              <w:rPr>
                <w:color w:val="000000"/>
                <w:sz w:val="21"/>
                <w:szCs w:val="21"/>
              </w:rPr>
            </w:pPr>
            <w:r>
              <w:rPr>
                <w:rFonts w:hint="eastAsia"/>
                <w:color w:val="000000"/>
                <w:sz w:val="21"/>
                <w:szCs w:val="21"/>
              </w:rPr>
              <w:t>废气</w:t>
            </w:r>
          </w:p>
        </w:tc>
        <w:tc>
          <w:tcPr>
            <w:tcW w:w="1169" w:type="dxa"/>
            <w:vMerge w:val="restart"/>
            <w:vAlign w:val="center"/>
          </w:tcPr>
          <w:p>
            <w:pPr>
              <w:snapToGrid w:val="0"/>
              <w:jc w:val="center"/>
              <w:rPr>
                <w:color w:val="000000"/>
                <w:sz w:val="21"/>
                <w:szCs w:val="21"/>
              </w:rPr>
            </w:pPr>
            <w:r>
              <w:rPr>
                <w:rFonts w:hint="eastAsia"/>
                <w:color w:val="000000"/>
                <w:sz w:val="21"/>
                <w:szCs w:val="21"/>
              </w:rPr>
              <w:t>车间废气有组织</w:t>
            </w:r>
          </w:p>
        </w:tc>
        <w:tc>
          <w:tcPr>
            <w:tcW w:w="1647" w:type="dxa"/>
            <w:vAlign w:val="center"/>
          </w:tcPr>
          <w:p>
            <w:pPr>
              <w:jc w:val="center"/>
              <w:rPr>
                <w:color w:val="000000"/>
                <w:sz w:val="21"/>
                <w:szCs w:val="21"/>
              </w:rPr>
            </w:pPr>
            <w:r>
              <w:rPr>
                <w:rFonts w:hint="eastAsia"/>
                <w:color w:val="000000"/>
                <w:sz w:val="21"/>
                <w:szCs w:val="21"/>
              </w:rPr>
              <w:t>废气量</w:t>
            </w:r>
          </w:p>
        </w:tc>
        <w:tc>
          <w:tcPr>
            <w:tcW w:w="2209" w:type="dxa"/>
            <w:vMerge w:val="restart"/>
            <w:vAlign w:val="center"/>
          </w:tcPr>
          <w:p>
            <w:pPr>
              <w:snapToGrid w:val="0"/>
              <w:jc w:val="center"/>
              <w:rPr>
                <w:color w:val="000000"/>
                <w:sz w:val="21"/>
                <w:szCs w:val="21"/>
              </w:rPr>
            </w:pPr>
            <w:r>
              <w:rPr>
                <w:rFonts w:hint="eastAsia"/>
                <w:sz w:val="21"/>
                <w:szCs w:val="21"/>
              </w:rPr>
              <w:t>活性炭喷淋吸附处理</w:t>
            </w:r>
          </w:p>
        </w:tc>
        <w:tc>
          <w:tcPr>
            <w:tcW w:w="2711" w:type="dxa"/>
            <w:vMerge w:val="restart"/>
            <w:vAlign w:val="center"/>
          </w:tcPr>
          <w:p>
            <w:pPr>
              <w:snapToGrid w:val="0"/>
              <w:jc w:val="center"/>
              <w:rPr>
                <w:color w:val="000000"/>
                <w:sz w:val="21"/>
                <w:szCs w:val="21"/>
                <w:u w:val="single"/>
              </w:rPr>
            </w:pPr>
            <w:r>
              <w:rPr>
                <w:rFonts w:hint="eastAsia"/>
                <w:sz w:val="21"/>
                <w:szCs w:val="21"/>
              </w:rPr>
              <w:t>活性炭喷淋吸附处理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continue"/>
            <w:vAlign w:val="center"/>
          </w:tcPr>
          <w:p>
            <w:pPr>
              <w:snapToGrid w:val="0"/>
              <w:jc w:val="center"/>
              <w:rPr>
                <w:color w:val="000000"/>
                <w:sz w:val="21"/>
                <w:szCs w:val="21"/>
              </w:rPr>
            </w:pPr>
          </w:p>
        </w:tc>
        <w:tc>
          <w:tcPr>
            <w:tcW w:w="1647" w:type="dxa"/>
            <w:vAlign w:val="center"/>
          </w:tcPr>
          <w:p>
            <w:pPr>
              <w:jc w:val="center"/>
              <w:rPr>
                <w:color w:val="000000"/>
                <w:sz w:val="21"/>
                <w:szCs w:val="21"/>
              </w:rPr>
            </w:pPr>
            <w:r>
              <w:rPr>
                <w:color w:val="000000"/>
                <w:sz w:val="21"/>
                <w:szCs w:val="21"/>
              </w:rPr>
              <w:t>VOCs</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continue"/>
            <w:vAlign w:val="center"/>
          </w:tcPr>
          <w:p>
            <w:pPr>
              <w:snapToGrid w:val="0"/>
              <w:jc w:val="center"/>
              <w:rPr>
                <w:color w:val="000000"/>
                <w:sz w:val="21"/>
                <w:szCs w:val="21"/>
              </w:rPr>
            </w:pPr>
          </w:p>
        </w:tc>
        <w:tc>
          <w:tcPr>
            <w:tcW w:w="1647" w:type="dxa"/>
            <w:vAlign w:val="center"/>
          </w:tcPr>
          <w:p>
            <w:pPr>
              <w:jc w:val="center"/>
              <w:rPr>
                <w:color w:val="000000"/>
                <w:sz w:val="21"/>
                <w:szCs w:val="21"/>
              </w:rPr>
            </w:pPr>
            <w:r>
              <w:rPr>
                <w:rFonts w:hint="eastAsia"/>
                <w:color w:val="000000"/>
                <w:sz w:val="21"/>
                <w:szCs w:val="21"/>
              </w:rPr>
              <w:t>二甲苯</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7" w:hRule="atLeast"/>
          <w:jc w:val="center"/>
        </w:trPr>
        <w:tc>
          <w:tcPr>
            <w:tcW w:w="792" w:type="dxa"/>
            <w:vMerge w:val="continue"/>
            <w:vAlign w:val="center"/>
          </w:tcPr>
          <w:p>
            <w:pPr>
              <w:snapToGrid w:val="0"/>
              <w:jc w:val="center"/>
              <w:rPr>
                <w:color w:val="000000"/>
                <w:sz w:val="21"/>
                <w:szCs w:val="21"/>
              </w:rPr>
            </w:pPr>
          </w:p>
        </w:tc>
        <w:tc>
          <w:tcPr>
            <w:tcW w:w="1169" w:type="dxa"/>
            <w:vMerge w:val="restart"/>
            <w:vAlign w:val="center"/>
          </w:tcPr>
          <w:p>
            <w:pPr>
              <w:snapToGrid w:val="0"/>
              <w:jc w:val="center"/>
              <w:rPr>
                <w:color w:val="000000"/>
                <w:sz w:val="21"/>
                <w:szCs w:val="21"/>
              </w:rPr>
            </w:pPr>
            <w:r>
              <w:rPr>
                <w:rFonts w:hint="eastAsia"/>
                <w:color w:val="000000"/>
                <w:sz w:val="21"/>
                <w:szCs w:val="21"/>
              </w:rPr>
              <w:t>车间无组织废气</w:t>
            </w:r>
          </w:p>
        </w:tc>
        <w:tc>
          <w:tcPr>
            <w:tcW w:w="1647" w:type="dxa"/>
            <w:vAlign w:val="center"/>
          </w:tcPr>
          <w:p>
            <w:pPr>
              <w:jc w:val="center"/>
              <w:rPr>
                <w:color w:val="000000"/>
                <w:sz w:val="21"/>
                <w:szCs w:val="21"/>
              </w:rPr>
            </w:pPr>
            <w:r>
              <w:rPr>
                <w:color w:val="000000"/>
                <w:sz w:val="21"/>
                <w:szCs w:val="21"/>
              </w:rPr>
              <w:t>VOCs</w:t>
            </w:r>
          </w:p>
        </w:tc>
        <w:tc>
          <w:tcPr>
            <w:tcW w:w="2209" w:type="dxa"/>
            <w:vMerge w:val="restart"/>
            <w:vAlign w:val="center"/>
          </w:tcPr>
          <w:p>
            <w:pPr>
              <w:snapToGrid w:val="0"/>
              <w:jc w:val="center"/>
              <w:rPr>
                <w:color w:val="000000"/>
                <w:sz w:val="21"/>
                <w:szCs w:val="21"/>
              </w:rPr>
            </w:pPr>
            <w:r>
              <w:rPr>
                <w:rFonts w:hint="eastAsia"/>
                <w:color w:val="000000"/>
                <w:sz w:val="21"/>
                <w:szCs w:val="21"/>
              </w:rPr>
              <w:t>无组织排放</w:t>
            </w:r>
          </w:p>
        </w:tc>
        <w:tc>
          <w:tcPr>
            <w:tcW w:w="2711" w:type="dxa"/>
            <w:vMerge w:val="restart"/>
            <w:vAlign w:val="center"/>
          </w:tcPr>
          <w:p>
            <w:pPr>
              <w:snapToGrid w:val="0"/>
              <w:jc w:val="center"/>
              <w:rPr>
                <w:color w:val="000000"/>
                <w:sz w:val="21"/>
                <w:szCs w:val="21"/>
                <w:u w:val="single"/>
              </w:rPr>
            </w:pPr>
            <w:r>
              <w:rPr>
                <w:rFonts w:hint="eastAsia"/>
                <w:color w:val="000000"/>
                <w:sz w:val="21"/>
                <w:szCs w:val="21"/>
              </w:rPr>
              <w:t>无组织排放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67" w:hRule="atLeast"/>
          <w:jc w:val="center"/>
        </w:trPr>
        <w:tc>
          <w:tcPr>
            <w:tcW w:w="792" w:type="dxa"/>
            <w:vMerge w:val="continue"/>
            <w:vAlign w:val="center"/>
          </w:tcPr>
          <w:p>
            <w:pPr>
              <w:snapToGrid w:val="0"/>
              <w:jc w:val="center"/>
              <w:rPr>
                <w:sz w:val="21"/>
                <w:szCs w:val="21"/>
              </w:rPr>
            </w:pPr>
          </w:p>
        </w:tc>
        <w:tc>
          <w:tcPr>
            <w:tcW w:w="1169" w:type="dxa"/>
            <w:vMerge w:val="continue"/>
            <w:vAlign w:val="center"/>
          </w:tcPr>
          <w:p>
            <w:pPr>
              <w:snapToGrid w:val="0"/>
              <w:jc w:val="center"/>
              <w:rPr>
                <w:sz w:val="21"/>
                <w:szCs w:val="21"/>
              </w:rPr>
            </w:pPr>
          </w:p>
        </w:tc>
        <w:tc>
          <w:tcPr>
            <w:tcW w:w="1647" w:type="dxa"/>
            <w:vAlign w:val="center"/>
          </w:tcPr>
          <w:p>
            <w:pPr>
              <w:jc w:val="center"/>
              <w:rPr>
                <w:color w:val="000000"/>
                <w:sz w:val="21"/>
                <w:szCs w:val="21"/>
              </w:rPr>
            </w:pPr>
            <w:r>
              <w:rPr>
                <w:rFonts w:hint="eastAsia"/>
                <w:color w:val="000000"/>
                <w:sz w:val="21"/>
                <w:szCs w:val="21"/>
              </w:rPr>
              <w:t>二甲苯</w:t>
            </w:r>
          </w:p>
        </w:tc>
        <w:tc>
          <w:tcPr>
            <w:tcW w:w="2209" w:type="dxa"/>
            <w:vMerge w:val="continue"/>
            <w:vAlign w:val="center"/>
          </w:tcPr>
          <w:p>
            <w:pPr>
              <w:snapToGrid w:val="0"/>
              <w:jc w:val="center"/>
              <w:rPr>
                <w:color w:val="000000"/>
                <w:sz w:val="21"/>
                <w:szCs w:val="21"/>
              </w:rPr>
            </w:pPr>
          </w:p>
        </w:tc>
        <w:tc>
          <w:tcPr>
            <w:tcW w:w="2711" w:type="dxa"/>
            <w:vMerge w:val="continue"/>
            <w:vAlign w:val="center"/>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restart"/>
            <w:vAlign w:val="center"/>
          </w:tcPr>
          <w:p>
            <w:pPr>
              <w:snapToGrid w:val="0"/>
              <w:jc w:val="center"/>
              <w:rPr>
                <w:color w:val="000000"/>
                <w:sz w:val="21"/>
                <w:szCs w:val="21"/>
              </w:rPr>
            </w:pPr>
            <w:r>
              <w:rPr>
                <w:rFonts w:hint="eastAsia"/>
                <w:color w:val="000000"/>
                <w:sz w:val="21"/>
                <w:szCs w:val="21"/>
              </w:rPr>
              <w:t>罐区</w:t>
            </w:r>
          </w:p>
        </w:tc>
        <w:tc>
          <w:tcPr>
            <w:tcW w:w="1647" w:type="dxa"/>
            <w:vAlign w:val="center"/>
          </w:tcPr>
          <w:p>
            <w:pPr>
              <w:snapToGrid w:val="0"/>
              <w:jc w:val="center"/>
              <w:rPr>
                <w:color w:val="000000"/>
                <w:sz w:val="21"/>
                <w:szCs w:val="21"/>
              </w:rPr>
            </w:pPr>
            <w:r>
              <w:rPr>
                <w:color w:val="000000"/>
                <w:sz w:val="21"/>
                <w:szCs w:val="21"/>
              </w:rPr>
              <w:t>VOCs</w:t>
            </w:r>
          </w:p>
        </w:tc>
        <w:tc>
          <w:tcPr>
            <w:tcW w:w="2209" w:type="dxa"/>
            <w:vMerge w:val="restart"/>
            <w:vAlign w:val="center"/>
          </w:tcPr>
          <w:p>
            <w:pPr>
              <w:snapToGrid w:val="0"/>
              <w:jc w:val="center"/>
              <w:rPr>
                <w:color w:val="000000"/>
                <w:sz w:val="21"/>
                <w:szCs w:val="21"/>
              </w:rPr>
            </w:pPr>
            <w:r>
              <w:rPr>
                <w:rFonts w:hint="eastAsia"/>
                <w:color w:val="000000"/>
                <w:sz w:val="21"/>
                <w:szCs w:val="21"/>
              </w:rPr>
              <w:t>无组织排放</w:t>
            </w:r>
          </w:p>
        </w:tc>
        <w:tc>
          <w:tcPr>
            <w:tcW w:w="2711" w:type="dxa"/>
            <w:vMerge w:val="restart"/>
            <w:vAlign w:val="center"/>
          </w:tcPr>
          <w:p>
            <w:pPr>
              <w:snapToGrid w:val="0"/>
              <w:jc w:val="center"/>
              <w:rPr>
                <w:color w:val="000000"/>
                <w:sz w:val="21"/>
                <w:szCs w:val="21"/>
              </w:rPr>
            </w:pPr>
            <w:r>
              <w:rPr>
                <w:rFonts w:hint="eastAsia"/>
                <w:color w:val="000000"/>
                <w:sz w:val="21"/>
                <w:szCs w:val="21"/>
              </w:rPr>
              <w:t>无组织排放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continue"/>
            <w:vAlign w:val="center"/>
          </w:tcPr>
          <w:p>
            <w:pPr>
              <w:snapToGrid w:val="0"/>
              <w:jc w:val="center"/>
              <w:rPr>
                <w:color w:val="000000"/>
                <w:sz w:val="21"/>
                <w:szCs w:val="21"/>
              </w:rPr>
            </w:pPr>
          </w:p>
        </w:tc>
        <w:tc>
          <w:tcPr>
            <w:tcW w:w="1647" w:type="dxa"/>
            <w:vAlign w:val="center"/>
          </w:tcPr>
          <w:p>
            <w:pPr>
              <w:snapToGrid w:val="0"/>
              <w:jc w:val="center"/>
              <w:rPr>
                <w:color w:val="000000"/>
                <w:sz w:val="21"/>
                <w:szCs w:val="21"/>
              </w:rPr>
            </w:pPr>
            <w:r>
              <w:rPr>
                <w:rFonts w:hint="eastAsia"/>
                <w:color w:val="000000"/>
                <w:sz w:val="21"/>
                <w:szCs w:val="21"/>
              </w:rPr>
              <w:t>二甲苯</w:t>
            </w:r>
          </w:p>
        </w:tc>
        <w:tc>
          <w:tcPr>
            <w:tcW w:w="2209" w:type="dxa"/>
            <w:vMerge w:val="continue"/>
            <w:vAlign w:val="center"/>
          </w:tcPr>
          <w:p>
            <w:pPr>
              <w:snapToGrid w:val="0"/>
              <w:jc w:val="center"/>
              <w:rPr>
                <w:color w:val="000000"/>
                <w:sz w:val="21"/>
                <w:szCs w:val="21"/>
              </w:rPr>
            </w:pPr>
          </w:p>
        </w:tc>
        <w:tc>
          <w:tcPr>
            <w:tcW w:w="2711" w:type="dxa"/>
            <w:vMerge w:val="continue"/>
            <w:vAlign w:val="center"/>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Align w:val="center"/>
          </w:tcPr>
          <w:p>
            <w:pPr>
              <w:snapToGrid w:val="0"/>
              <w:jc w:val="center"/>
              <w:rPr>
                <w:color w:val="000000"/>
                <w:sz w:val="21"/>
                <w:szCs w:val="21"/>
              </w:rPr>
            </w:pPr>
            <w:r>
              <w:rPr>
                <w:rFonts w:hint="eastAsia"/>
                <w:color w:val="000000"/>
                <w:sz w:val="21"/>
                <w:szCs w:val="21"/>
              </w:rPr>
              <w:t>污水处理站</w:t>
            </w:r>
          </w:p>
        </w:tc>
        <w:tc>
          <w:tcPr>
            <w:tcW w:w="1647" w:type="dxa"/>
            <w:vAlign w:val="center"/>
          </w:tcPr>
          <w:p>
            <w:pPr>
              <w:snapToGrid w:val="0"/>
              <w:jc w:val="center"/>
              <w:rPr>
                <w:color w:val="000000"/>
                <w:sz w:val="21"/>
                <w:szCs w:val="21"/>
              </w:rPr>
            </w:pPr>
            <w:r>
              <w:rPr>
                <w:rFonts w:hint="eastAsia"/>
                <w:color w:val="000000"/>
                <w:sz w:val="21"/>
                <w:szCs w:val="21"/>
              </w:rPr>
              <w:t>恶臭</w:t>
            </w:r>
          </w:p>
        </w:tc>
        <w:tc>
          <w:tcPr>
            <w:tcW w:w="2209" w:type="dxa"/>
            <w:vAlign w:val="center"/>
          </w:tcPr>
          <w:p>
            <w:pPr>
              <w:snapToGrid w:val="0"/>
              <w:jc w:val="center"/>
              <w:rPr>
                <w:color w:val="000000"/>
                <w:sz w:val="21"/>
                <w:szCs w:val="21"/>
              </w:rPr>
            </w:pPr>
            <w:r>
              <w:rPr>
                <w:rFonts w:hint="eastAsia"/>
                <w:color w:val="000000"/>
                <w:sz w:val="21"/>
                <w:szCs w:val="21"/>
              </w:rPr>
              <w:t>无组织排放</w:t>
            </w:r>
          </w:p>
        </w:tc>
        <w:tc>
          <w:tcPr>
            <w:tcW w:w="2711" w:type="dxa"/>
            <w:vAlign w:val="center"/>
          </w:tcPr>
          <w:p>
            <w:pPr>
              <w:snapToGrid w:val="0"/>
              <w:jc w:val="center"/>
              <w:rPr>
                <w:color w:val="000000"/>
                <w:sz w:val="21"/>
                <w:szCs w:val="21"/>
              </w:rPr>
            </w:pPr>
            <w:r>
              <w:rPr>
                <w:rFonts w:hint="eastAsia"/>
                <w:color w:val="000000"/>
                <w:sz w:val="21"/>
                <w:szCs w:val="21"/>
              </w:rPr>
              <w:t>无组织排放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restart"/>
            <w:vAlign w:val="center"/>
          </w:tcPr>
          <w:p>
            <w:pPr>
              <w:snapToGrid w:val="0"/>
              <w:jc w:val="center"/>
              <w:rPr>
                <w:color w:val="000000"/>
                <w:sz w:val="21"/>
                <w:szCs w:val="21"/>
              </w:rPr>
            </w:pPr>
            <w:r>
              <w:rPr>
                <w:rFonts w:hint="eastAsia"/>
                <w:color w:val="000000"/>
                <w:sz w:val="21"/>
                <w:szCs w:val="21"/>
              </w:rPr>
              <w:t>锅炉</w:t>
            </w:r>
          </w:p>
        </w:tc>
        <w:tc>
          <w:tcPr>
            <w:tcW w:w="1647" w:type="dxa"/>
            <w:vAlign w:val="center"/>
          </w:tcPr>
          <w:p>
            <w:pPr>
              <w:snapToGrid w:val="0"/>
              <w:jc w:val="center"/>
              <w:rPr>
                <w:color w:val="000000"/>
                <w:sz w:val="21"/>
                <w:szCs w:val="21"/>
              </w:rPr>
            </w:pPr>
            <w:r>
              <w:rPr>
                <w:color w:val="000000"/>
                <w:sz w:val="21"/>
                <w:szCs w:val="21"/>
              </w:rPr>
              <w:t>NOx</w:t>
            </w:r>
          </w:p>
        </w:tc>
        <w:tc>
          <w:tcPr>
            <w:tcW w:w="2209" w:type="dxa"/>
            <w:vMerge w:val="restart"/>
            <w:vAlign w:val="center"/>
          </w:tcPr>
          <w:p>
            <w:pPr>
              <w:snapToGrid w:val="0"/>
              <w:jc w:val="center"/>
              <w:rPr>
                <w:color w:val="000000"/>
                <w:sz w:val="21"/>
                <w:szCs w:val="21"/>
              </w:rPr>
            </w:pPr>
            <w:r>
              <w:rPr>
                <w:rFonts w:hint="eastAsia"/>
                <w:color w:val="000000"/>
                <w:sz w:val="21"/>
                <w:szCs w:val="21"/>
              </w:rPr>
              <w:t>布袋</w:t>
            </w:r>
            <w:r>
              <w:rPr>
                <w:color w:val="000000"/>
                <w:sz w:val="21"/>
                <w:szCs w:val="21"/>
              </w:rPr>
              <w:t>+</w:t>
            </w:r>
            <w:r>
              <w:rPr>
                <w:rFonts w:hint="eastAsia"/>
                <w:color w:val="000000"/>
                <w:sz w:val="21"/>
                <w:szCs w:val="21"/>
              </w:rPr>
              <w:t>麻石水膜（碱液喷淋）</w:t>
            </w:r>
            <w:r>
              <w:rPr>
                <w:color w:val="000000"/>
                <w:sz w:val="21"/>
                <w:szCs w:val="21"/>
              </w:rPr>
              <w:t>+45</w:t>
            </w:r>
            <w:r>
              <w:rPr>
                <w:rFonts w:hint="eastAsia"/>
                <w:color w:val="000000"/>
                <w:sz w:val="21"/>
                <w:szCs w:val="21"/>
              </w:rPr>
              <w:t>米高排气筒</w:t>
            </w:r>
          </w:p>
        </w:tc>
        <w:tc>
          <w:tcPr>
            <w:tcW w:w="2711" w:type="dxa"/>
            <w:vMerge w:val="restart"/>
            <w:vAlign w:val="center"/>
          </w:tcPr>
          <w:p>
            <w:pPr>
              <w:snapToGrid w:val="0"/>
              <w:jc w:val="center"/>
              <w:rPr>
                <w:color w:val="000000"/>
                <w:sz w:val="21"/>
                <w:szCs w:val="21"/>
              </w:rPr>
            </w:pPr>
            <w:r>
              <w:rPr>
                <w:rFonts w:hint="eastAsia"/>
                <w:color w:val="000000"/>
                <w:sz w:val="21"/>
                <w:szCs w:val="21"/>
              </w:rPr>
              <w:t>布袋</w:t>
            </w:r>
            <w:r>
              <w:rPr>
                <w:color w:val="000000"/>
                <w:sz w:val="21"/>
                <w:szCs w:val="21"/>
              </w:rPr>
              <w:t>+</w:t>
            </w:r>
            <w:r>
              <w:rPr>
                <w:rFonts w:hint="eastAsia"/>
                <w:color w:val="000000"/>
                <w:sz w:val="21"/>
                <w:szCs w:val="21"/>
              </w:rPr>
              <w:t>麻石水膜（碱液喷淋）</w:t>
            </w:r>
            <w:r>
              <w:rPr>
                <w:color w:val="000000"/>
                <w:sz w:val="21"/>
                <w:szCs w:val="21"/>
              </w:rPr>
              <w:t>+45</w:t>
            </w:r>
            <w:r>
              <w:rPr>
                <w:rFonts w:hint="eastAsia"/>
                <w:color w:val="000000"/>
                <w:sz w:val="21"/>
                <w:szCs w:val="21"/>
              </w:rPr>
              <w:t>米高排气筒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continue"/>
            <w:vAlign w:val="center"/>
          </w:tcPr>
          <w:p>
            <w:pPr>
              <w:snapToGrid w:val="0"/>
              <w:jc w:val="center"/>
              <w:rPr>
                <w:color w:val="000000"/>
                <w:sz w:val="21"/>
                <w:szCs w:val="21"/>
              </w:rPr>
            </w:pPr>
          </w:p>
        </w:tc>
        <w:tc>
          <w:tcPr>
            <w:tcW w:w="1647" w:type="dxa"/>
            <w:vAlign w:val="center"/>
          </w:tcPr>
          <w:p>
            <w:pPr>
              <w:snapToGrid w:val="0"/>
              <w:jc w:val="center"/>
              <w:rPr>
                <w:color w:val="000000"/>
                <w:sz w:val="21"/>
                <w:szCs w:val="21"/>
              </w:rPr>
            </w:pPr>
            <w:r>
              <w:rPr>
                <w:color w:val="000000"/>
                <w:sz w:val="21"/>
                <w:szCs w:val="21"/>
              </w:rPr>
              <w:t>SO</w:t>
            </w:r>
            <w:r>
              <w:rPr>
                <w:color w:val="000000"/>
                <w:sz w:val="21"/>
                <w:szCs w:val="21"/>
                <w:vertAlign w:val="subscript"/>
              </w:rPr>
              <w:t>2</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1169" w:type="dxa"/>
            <w:vMerge w:val="continue"/>
            <w:vAlign w:val="center"/>
          </w:tcPr>
          <w:p>
            <w:pPr>
              <w:snapToGrid w:val="0"/>
              <w:jc w:val="center"/>
              <w:rPr>
                <w:color w:val="000000"/>
                <w:sz w:val="21"/>
                <w:szCs w:val="21"/>
              </w:rPr>
            </w:pPr>
          </w:p>
        </w:tc>
        <w:tc>
          <w:tcPr>
            <w:tcW w:w="1647" w:type="dxa"/>
            <w:vAlign w:val="center"/>
          </w:tcPr>
          <w:p>
            <w:pPr>
              <w:snapToGrid w:val="0"/>
              <w:jc w:val="center"/>
              <w:rPr>
                <w:color w:val="000000"/>
                <w:sz w:val="21"/>
                <w:szCs w:val="21"/>
              </w:rPr>
            </w:pPr>
            <w:r>
              <w:rPr>
                <w:rFonts w:hint="eastAsia"/>
                <w:color w:val="000000"/>
                <w:sz w:val="21"/>
                <w:szCs w:val="21"/>
              </w:rPr>
              <w:t>烟尘</w:t>
            </w:r>
          </w:p>
        </w:tc>
        <w:tc>
          <w:tcPr>
            <w:tcW w:w="2209" w:type="dxa"/>
            <w:vMerge w:val="continue"/>
            <w:vAlign w:val="center"/>
          </w:tcPr>
          <w:p>
            <w:pPr>
              <w:snapToGrid w:val="0"/>
              <w:jc w:val="center"/>
              <w:rPr>
                <w:color w:val="000000"/>
                <w:sz w:val="21"/>
                <w:szCs w:val="21"/>
              </w:rPr>
            </w:pPr>
          </w:p>
        </w:tc>
        <w:tc>
          <w:tcPr>
            <w:tcW w:w="2711" w:type="dxa"/>
            <w:vMerge w:val="continue"/>
          </w:tcPr>
          <w:p>
            <w:pPr>
              <w:snapToGrid w:val="0"/>
              <w:jc w:val="center"/>
              <w:rPr>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restart"/>
            <w:vAlign w:val="center"/>
          </w:tcPr>
          <w:p>
            <w:pPr>
              <w:snapToGrid w:val="0"/>
              <w:jc w:val="center"/>
              <w:rPr>
                <w:color w:val="000000"/>
                <w:sz w:val="21"/>
                <w:szCs w:val="21"/>
              </w:rPr>
            </w:pPr>
            <w:r>
              <w:rPr>
                <w:rFonts w:hint="eastAsia"/>
                <w:color w:val="000000"/>
                <w:sz w:val="21"/>
                <w:szCs w:val="21"/>
              </w:rPr>
              <w:t>固体废物</w:t>
            </w:r>
          </w:p>
        </w:tc>
        <w:tc>
          <w:tcPr>
            <w:tcW w:w="2816" w:type="dxa"/>
            <w:gridSpan w:val="2"/>
            <w:vAlign w:val="center"/>
          </w:tcPr>
          <w:p>
            <w:pPr>
              <w:jc w:val="center"/>
              <w:rPr>
                <w:sz w:val="21"/>
                <w:szCs w:val="21"/>
              </w:rPr>
            </w:pPr>
            <w:r>
              <w:rPr>
                <w:rFonts w:hint="eastAsia"/>
                <w:color w:val="000000"/>
                <w:sz w:val="21"/>
                <w:szCs w:val="21"/>
              </w:rPr>
              <w:t>副产品</w:t>
            </w:r>
            <w:r>
              <w:rPr>
                <w:color w:val="000000"/>
                <w:sz w:val="21"/>
                <w:szCs w:val="21"/>
              </w:rPr>
              <w:t>DT</w:t>
            </w:r>
          </w:p>
        </w:tc>
        <w:tc>
          <w:tcPr>
            <w:tcW w:w="2209" w:type="dxa"/>
          </w:tcPr>
          <w:p>
            <w:pPr>
              <w:jc w:val="center"/>
              <w:rPr>
                <w:sz w:val="21"/>
                <w:szCs w:val="21"/>
              </w:rPr>
            </w:pPr>
            <w:r>
              <w:rPr>
                <w:rFonts w:hint="eastAsia"/>
                <w:sz w:val="21"/>
                <w:szCs w:val="21"/>
              </w:rPr>
              <w:t>外售</w:t>
            </w:r>
          </w:p>
        </w:tc>
        <w:tc>
          <w:tcPr>
            <w:tcW w:w="2711" w:type="dxa"/>
          </w:tcPr>
          <w:p>
            <w:pPr>
              <w:jc w:val="center"/>
              <w:rPr>
                <w:sz w:val="21"/>
                <w:szCs w:val="21"/>
              </w:rPr>
            </w:pPr>
            <w:r>
              <w:rPr>
                <w:rFonts w:hint="eastAsia"/>
                <w:sz w:val="21"/>
                <w:szCs w:val="21"/>
              </w:rPr>
              <w:t>外售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磷酸二氢钙</w:t>
            </w:r>
          </w:p>
        </w:tc>
        <w:tc>
          <w:tcPr>
            <w:tcW w:w="2209" w:type="dxa"/>
            <w:vAlign w:val="center"/>
          </w:tcPr>
          <w:p>
            <w:pPr>
              <w:snapToGrid w:val="0"/>
              <w:jc w:val="center"/>
              <w:rPr>
                <w:color w:val="000000"/>
                <w:sz w:val="21"/>
                <w:szCs w:val="21"/>
              </w:rPr>
            </w:pPr>
            <w:r>
              <w:rPr>
                <w:rFonts w:hint="eastAsia"/>
                <w:color w:val="000000"/>
                <w:sz w:val="21"/>
                <w:szCs w:val="21"/>
              </w:rPr>
              <w:t>外售</w:t>
            </w:r>
          </w:p>
        </w:tc>
        <w:tc>
          <w:tcPr>
            <w:tcW w:w="2711" w:type="dxa"/>
            <w:vAlign w:val="center"/>
          </w:tcPr>
          <w:p>
            <w:pPr>
              <w:snapToGrid w:val="0"/>
              <w:jc w:val="center"/>
              <w:rPr>
                <w:color w:val="000000"/>
                <w:sz w:val="21"/>
                <w:szCs w:val="21"/>
              </w:rPr>
            </w:pPr>
            <w:r>
              <w:rPr>
                <w:rFonts w:hint="eastAsia"/>
                <w:color w:val="000000"/>
                <w:sz w:val="21"/>
                <w:szCs w:val="21"/>
              </w:rPr>
              <w:t>外售</w:t>
            </w:r>
            <w:r>
              <w:rPr>
                <w:color w:val="000000"/>
                <w:sz w:val="21"/>
                <w:szCs w:val="21"/>
              </w:rPr>
              <w:t>/</w:t>
            </w:r>
            <w:r>
              <w:rPr>
                <w:rFonts w:hint="eastAsia"/>
                <w:color w:val="000000"/>
                <w:sz w:val="21"/>
                <w:szCs w:val="21"/>
              </w:rPr>
              <w:t>厂内污水处理站消耗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煤渣</w:t>
            </w:r>
          </w:p>
        </w:tc>
        <w:tc>
          <w:tcPr>
            <w:tcW w:w="2209" w:type="dxa"/>
            <w:vAlign w:val="center"/>
          </w:tcPr>
          <w:p>
            <w:pPr>
              <w:snapToGrid w:val="0"/>
              <w:jc w:val="center"/>
              <w:rPr>
                <w:color w:val="000000"/>
                <w:sz w:val="21"/>
                <w:szCs w:val="21"/>
              </w:rPr>
            </w:pPr>
            <w:r>
              <w:rPr>
                <w:rFonts w:hint="eastAsia"/>
                <w:color w:val="000000"/>
                <w:sz w:val="21"/>
                <w:szCs w:val="21"/>
              </w:rPr>
              <w:t>用做铺路材料</w:t>
            </w:r>
          </w:p>
        </w:tc>
        <w:tc>
          <w:tcPr>
            <w:tcW w:w="2711" w:type="dxa"/>
            <w:vAlign w:val="center"/>
          </w:tcPr>
          <w:p>
            <w:pPr>
              <w:snapToGrid w:val="0"/>
              <w:jc w:val="center"/>
              <w:rPr>
                <w:color w:val="000000"/>
                <w:sz w:val="21"/>
                <w:szCs w:val="21"/>
              </w:rPr>
            </w:pPr>
            <w:r>
              <w:rPr>
                <w:rFonts w:hint="eastAsia"/>
                <w:color w:val="000000"/>
                <w:sz w:val="21"/>
                <w:szCs w:val="21"/>
              </w:rPr>
              <w:t>用做铺路材料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废反渗透膜</w:t>
            </w:r>
          </w:p>
        </w:tc>
        <w:tc>
          <w:tcPr>
            <w:tcW w:w="2209" w:type="dxa"/>
            <w:vAlign w:val="center"/>
          </w:tcPr>
          <w:p>
            <w:pPr>
              <w:jc w:val="center"/>
              <w:rPr>
                <w:color w:val="000000"/>
                <w:sz w:val="21"/>
                <w:szCs w:val="21"/>
              </w:rPr>
            </w:pPr>
            <w:r>
              <w:rPr>
                <w:rFonts w:hint="eastAsia"/>
                <w:color w:val="000000"/>
                <w:sz w:val="21"/>
                <w:szCs w:val="21"/>
              </w:rPr>
              <w:t>环卫部门安全处理</w:t>
            </w:r>
          </w:p>
        </w:tc>
        <w:tc>
          <w:tcPr>
            <w:tcW w:w="2711" w:type="dxa"/>
            <w:vAlign w:val="center"/>
          </w:tcPr>
          <w:p>
            <w:pPr>
              <w:jc w:val="center"/>
              <w:rPr>
                <w:color w:val="000000"/>
                <w:sz w:val="21"/>
                <w:szCs w:val="21"/>
              </w:rPr>
            </w:pPr>
            <w:r>
              <w:rPr>
                <w:rFonts w:hint="eastAsia"/>
                <w:color w:val="000000"/>
                <w:sz w:val="21"/>
                <w:szCs w:val="21"/>
              </w:rPr>
              <w:t>环卫部门安全处理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生活垃圾</w:t>
            </w:r>
          </w:p>
        </w:tc>
        <w:tc>
          <w:tcPr>
            <w:tcW w:w="2209" w:type="dxa"/>
            <w:vAlign w:val="center"/>
          </w:tcPr>
          <w:p>
            <w:pPr>
              <w:jc w:val="center"/>
              <w:rPr>
                <w:color w:val="000000"/>
                <w:sz w:val="21"/>
                <w:szCs w:val="21"/>
              </w:rPr>
            </w:pPr>
            <w:r>
              <w:rPr>
                <w:rFonts w:hint="eastAsia"/>
                <w:color w:val="000000"/>
                <w:sz w:val="21"/>
                <w:szCs w:val="21"/>
              </w:rPr>
              <w:t>环卫部门安全处理</w:t>
            </w:r>
          </w:p>
        </w:tc>
        <w:tc>
          <w:tcPr>
            <w:tcW w:w="2711" w:type="dxa"/>
            <w:vAlign w:val="center"/>
          </w:tcPr>
          <w:p>
            <w:pPr>
              <w:jc w:val="center"/>
              <w:rPr>
                <w:color w:val="000000"/>
                <w:sz w:val="21"/>
                <w:szCs w:val="21"/>
              </w:rPr>
            </w:pPr>
            <w:r>
              <w:rPr>
                <w:rFonts w:hint="eastAsia"/>
                <w:color w:val="000000"/>
                <w:sz w:val="21"/>
                <w:szCs w:val="21"/>
              </w:rPr>
              <w:t>环卫部门安全处理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废水处理站污泥</w:t>
            </w:r>
          </w:p>
        </w:tc>
        <w:tc>
          <w:tcPr>
            <w:tcW w:w="2209" w:type="dxa"/>
            <w:vAlign w:val="center"/>
          </w:tcPr>
          <w:p>
            <w:pPr>
              <w:jc w:val="center"/>
              <w:rPr>
                <w:color w:val="000000"/>
                <w:sz w:val="21"/>
                <w:szCs w:val="21"/>
              </w:rPr>
            </w:pPr>
            <w:r>
              <w:rPr>
                <w:rFonts w:hint="eastAsia"/>
                <w:color w:val="000000"/>
                <w:sz w:val="21"/>
                <w:szCs w:val="21"/>
              </w:rPr>
              <w:t>环卫部门安全处理</w:t>
            </w:r>
          </w:p>
        </w:tc>
        <w:tc>
          <w:tcPr>
            <w:tcW w:w="2711" w:type="dxa"/>
            <w:vAlign w:val="center"/>
          </w:tcPr>
          <w:p>
            <w:pPr>
              <w:jc w:val="center"/>
              <w:rPr>
                <w:color w:val="000000"/>
                <w:sz w:val="21"/>
                <w:szCs w:val="21"/>
              </w:rPr>
            </w:pPr>
            <w:r>
              <w:rPr>
                <w:rFonts w:hint="eastAsia"/>
                <w:color w:val="000000"/>
                <w:sz w:val="21"/>
                <w:szCs w:val="21"/>
              </w:rPr>
              <w:t>环卫部门安全处理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4" w:hRule="atLeast"/>
          <w:jc w:val="center"/>
        </w:trPr>
        <w:tc>
          <w:tcPr>
            <w:tcW w:w="792" w:type="dxa"/>
            <w:vMerge w:val="continue"/>
            <w:vAlign w:val="center"/>
          </w:tcPr>
          <w:p>
            <w:pPr>
              <w:snapToGrid w:val="0"/>
              <w:jc w:val="center"/>
              <w:rPr>
                <w:color w:val="000000"/>
                <w:sz w:val="21"/>
                <w:szCs w:val="21"/>
              </w:rPr>
            </w:pPr>
          </w:p>
        </w:tc>
        <w:tc>
          <w:tcPr>
            <w:tcW w:w="2816" w:type="dxa"/>
            <w:gridSpan w:val="2"/>
            <w:vAlign w:val="center"/>
          </w:tcPr>
          <w:p>
            <w:pPr>
              <w:jc w:val="center"/>
              <w:rPr>
                <w:color w:val="000000"/>
                <w:sz w:val="21"/>
                <w:szCs w:val="21"/>
              </w:rPr>
            </w:pPr>
            <w:r>
              <w:rPr>
                <w:rFonts w:hint="eastAsia"/>
                <w:color w:val="000000"/>
                <w:sz w:val="21"/>
                <w:szCs w:val="21"/>
              </w:rPr>
              <w:t>废活性炭（废气吸附）</w:t>
            </w:r>
          </w:p>
        </w:tc>
        <w:tc>
          <w:tcPr>
            <w:tcW w:w="2209" w:type="dxa"/>
            <w:vAlign w:val="center"/>
          </w:tcPr>
          <w:p>
            <w:pPr>
              <w:snapToGrid w:val="0"/>
              <w:jc w:val="center"/>
              <w:rPr>
                <w:color w:val="000000"/>
                <w:sz w:val="21"/>
                <w:szCs w:val="21"/>
              </w:rPr>
            </w:pPr>
            <w:r>
              <w:rPr>
                <w:rFonts w:hint="eastAsia"/>
                <w:color w:val="000000"/>
                <w:sz w:val="21"/>
                <w:szCs w:val="21"/>
              </w:rPr>
              <w:t>有资质单位安全处置</w:t>
            </w:r>
          </w:p>
        </w:tc>
        <w:tc>
          <w:tcPr>
            <w:tcW w:w="2711" w:type="dxa"/>
            <w:vAlign w:val="center"/>
          </w:tcPr>
          <w:p>
            <w:pPr>
              <w:snapToGrid w:val="0"/>
              <w:jc w:val="center"/>
              <w:rPr>
                <w:color w:val="000000"/>
                <w:sz w:val="21"/>
                <w:szCs w:val="21"/>
              </w:rPr>
            </w:pPr>
            <w:r>
              <w:rPr>
                <w:rFonts w:hint="eastAsia"/>
                <w:color w:val="000000"/>
                <w:sz w:val="21"/>
                <w:szCs w:val="21"/>
              </w:rPr>
              <w:t>交由韶关绿然再生资源有限公司处置</w:t>
            </w:r>
          </w:p>
        </w:tc>
      </w:tr>
    </w:tbl>
    <w:p>
      <w:pPr>
        <w:pStyle w:val="4"/>
      </w:pPr>
      <w:bookmarkStart w:id="27" w:name="_Toc6385"/>
      <w:r>
        <w:t>4.2</w:t>
      </w:r>
      <w:r>
        <w:rPr>
          <w:rFonts w:hint="eastAsia"/>
        </w:rPr>
        <w:t>其他环保设施</w:t>
      </w:r>
      <w:bookmarkEnd w:id="27"/>
    </w:p>
    <w:p>
      <w:pPr>
        <w:pStyle w:val="4"/>
      </w:pPr>
      <w:bookmarkStart w:id="28" w:name="_Toc5462"/>
      <w:r>
        <w:t>4.2.1</w:t>
      </w:r>
      <w:r>
        <w:rPr>
          <w:rFonts w:hint="eastAsia"/>
        </w:rPr>
        <w:t>环境风险防范设施</w:t>
      </w:r>
      <w:bookmarkEnd w:id="28"/>
    </w:p>
    <w:p>
      <w:pPr>
        <w:snapToGrid w:val="0"/>
        <w:spacing w:line="360" w:lineRule="auto"/>
        <w:ind w:firstLine="482"/>
      </w:pPr>
      <w:r>
        <w:rPr>
          <w:rFonts w:hint="eastAsia"/>
        </w:rPr>
        <w:t>根据现场勘测，翁源广业清怡食品科技有限公司已做如下的环境风险防范措施：</w:t>
      </w:r>
    </w:p>
    <w:p>
      <w:pPr>
        <w:snapToGrid w:val="0"/>
        <w:spacing w:line="360" w:lineRule="auto"/>
        <w:ind w:firstLine="482"/>
      </w:pPr>
      <w:r>
        <w:t>1</w:t>
      </w:r>
      <w:r>
        <w:rPr>
          <w:rFonts w:hint="eastAsia"/>
        </w:rPr>
        <w:t>、仓库与周边设施、仓库内部不同种类罐体之间的防火间距符合国家有关规范的要求，并设有消防通道。</w:t>
      </w:r>
    </w:p>
    <w:p>
      <w:pPr>
        <w:snapToGrid w:val="0"/>
        <w:spacing w:line="360" w:lineRule="auto"/>
        <w:ind w:firstLine="482"/>
      </w:pPr>
      <w:r>
        <w:t>2</w:t>
      </w:r>
      <w:r>
        <w:rPr>
          <w:rFonts w:hint="eastAsia"/>
        </w:rPr>
        <w:t>、对仓库内的电气设备，已按《爆炸和火灾危险环境电力装置设计规范》的要求选用相应的防爆电器仪表。爆炸危险区域中的电气设备其防爆等级不低于相应设计规范的要求。</w:t>
      </w:r>
    </w:p>
    <w:p>
      <w:pPr>
        <w:snapToGrid w:val="0"/>
        <w:spacing w:line="360" w:lineRule="auto"/>
        <w:ind w:firstLine="482"/>
      </w:pPr>
      <w:r>
        <w:t>3</w:t>
      </w:r>
      <w:r>
        <w:rPr>
          <w:rFonts w:hint="eastAsia"/>
        </w:rPr>
        <w:t>、仓库内的防雷、防静电设计已严格执行《建筑防雷设计规范》，《工业与民用电力装置的接地设计规范》（试行）的有关规定。</w:t>
      </w:r>
    </w:p>
    <w:p>
      <w:pPr>
        <w:pStyle w:val="160"/>
        <w:ind w:firstLine="482" w:firstLineChars="0"/>
        <w:rPr>
          <w:rFonts w:ascii="Times New Roman"/>
        </w:rPr>
      </w:pPr>
      <w:r>
        <w:rPr>
          <w:rFonts w:ascii="Times New Roman"/>
        </w:rPr>
        <w:t>4</w:t>
      </w:r>
      <w:r>
        <w:rPr>
          <w:rFonts w:hint="eastAsia" w:ascii="Times New Roman"/>
        </w:rPr>
        <w:t>、构筑物的设计已严格执行《建筑设计防火规范》。</w:t>
      </w:r>
    </w:p>
    <w:p>
      <w:pPr>
        <w:snapToGrid w:val="0"/>
        <w:spacing w:line="360" w:lineRule="auto"/>
        <w:ind w:firstLine="482"/>
      </w:pPr>
      <w:r>
        <w:t>5</w:t>
      </w:r>
      <w:r>
        <w:rPr>
          <w:rFonts w:hint="eastAsia"/>
        </w:rPr>
        <w:t>、电缆敷设采用电缆沟充砂方式，防止可燃气体在电缆沟内聚集。</w:t>
      </w:r>
    </w:p>
    <w:p>
      <w:pPr>
        <w:snapToGrid w:val="0"/>
        <w:spacing w:line="360" w:lineRule="auto"/>
        <w:ind w:firstLine="482"/>
      </w:pPr>
      <w:r>
        <w:t>6</w:t>
      </w:r>
      <w:r>
        <w:rPr>
          <w:rFonts w:hint="eastAsia"/>
        </w:rPr>
        <w:t>、在容易聚集易燃爆气体的场所，装置设置可燃气体浓度报警器，报警信号接入主控室。</w:t>
      </w:r>
    </w:p>
    <w:p>
      <w:pPr>
        <w:snapToGrid w:val="0"/>
        <w:spacing w:line="360" w:lineRule="auto"/>
        <w:ind w:firstLine="482"/>
      </w:pPr>
      <w:r>
        <w:t>7</w:t>
      </w:r>
      <w:r>
        <w:rPr>
          <w:rFonts w:hint="eastAsia"/>
        </w:rPr>
        <w:t>、消防设计执行《建筑设计防火规范》、《低倍数泡沫灭系统设计规范》和《建筑灭火器配置设计规范》。</w:t>
      </w:r>
    </w:p>
    <w:p>
      <w:pPr>
        <w:snapToGrid w:val="0"/>
        <w:spacing w:line="360" w:lineRule="auto"/>
        <w:ind w:firstLine="482"/>
      </w:pPr>
      <w:r>
        <w:t>8</w:t>
      </w:r>
      <w:r>
        <w:rPr>
          <w:rFonts w:hint="eastAsia"/>
        </w:rPr>
        <w:t>、厂区设置消防废水收集池和泄漏风险临存池，保证发生火灾或泄漏事故时消防污水或液态物料不外排。</w:t>
      </w:r>
    </w:p>
    <w:p>
      <w:pPr>
        <w:snapToGrid w:val="0"/>
        <w:spacing w:line="360" w:lineRule="auto"/>
        <w:ind w:firstLine="482"/>
        <w:rPr>
          <w:rFonts w:hint="eastAsia"/>
        </w:rPr>
      </w:pPr>
      <w:r>
        <w:t>9</w:t>
      </w:r>
      <w:r>
        <w:rPr>
          <w:rFonts w:hint="eastAsia"/>
        </w:rPr>
        <w:t>、罐区面积为</w:t>
      </w:r>
      <w:r>
        <w:t>1836 m</w:t>
      </w:r>
      <w:r>
        <w:rPr>
          <w:vertAlign w:val="superscript"/>
        </w:rPr>
        <w:t>2</w:t>
      </w:r>
      <w:r>
        <w:rPr>
          <w:rFonts w:hint="eastAsia"/>
        </w:rPr>
        <w:t>，采用围堰隔开，根据现场勘察，围堰高度为</w:t>
      </w:r>
      <w:r>
        <w:t>1 m</w:t>
      </w:r>
      <w:r>
        <w:rPr>
          <w:rFonts w:hint="eastAsia"/>
        </w:rPr>
        <w:t>，去除储罐所占面积，围堰有效容积为</w:t>
      </w:r>
      <w:r>
        <w:t>1575 m</w:t>
      </w:r>
      <w:r>
        <w:rPr>
          <w:vertAlign w:val="superscript"/>
        </w:rPr>
        <w:t>3</w:t>
      </w:r>
      <w:r>
        <w:rPr>
          <w:rFonts w:hint="eastAsia"/>
        </w:rPr>
        <w:t>。</w:t>
      </w:r>
    </w:p>
    <w:p>
      <w:pPr>
        <w:snapToGrid w:val="0"/>
        <w:spacing w:line="360" w:lineRule="auto"/>
        <w:ind w:firstLine="482"/>
        <w:rPr>
          <w:rFonts w:hint="eastAsia"/>
        </w:rPr>
      </w:pPr>
    </w:p>
    <w:p>
      <w:pPr>
        <w:pStyle w:val="4"/>
      </w:pPr>
      <w:bookmarkStart w:id="29" w:name="_Toc25439"/>
      <w:r>
        <w:t>4.2.2</w:t>
      </w:r>
      <w:r>
        <w:rPr>
          <w:rFonts w:hint="eastAsia"/>
        </w:rPr>
        <w:t>在线监测装置</w:t>
      </w:r>
      <w:bookmarkEnd w:id="29"/>
    </w:p>
    <w:p>
      <w:pPr>
        <w:spacing w:line="360" w:lineRule="auto"/>
        <w:ind w:firstLine="480" w:firstLineChars="200"/>
        <w:rPr>
          <w:rFonts w:hint="eastAsia"/>
          <w:color w:val="000000"/>
        </w:rPr>
      </w:pPr>
      <w:r>
        <w:rPr>
          <w:rFonts w:hint="eastAsia"/>
        </w:rPr>
        <w:t>本项目废水排放口装有在线监控装置，监测因子有</w:t>
      </w:r>
      <w:r>
        <w:t>pH</w:t>
      </w:r>
      <w:r>
        <w:rPr>
          <w:rFonts w:hint="eastAsia"/>
        </w:rPr>
        <w:t>值</w:t>
      </w:r>
      <w:r>
        <w:rPr>
          <w:rFonts w:hint="eastAsia"/>
          <w:color w:val="000000"/>
        </w:rPr>
        <w:t>、氨氮、</w:t>
      </w:r>
      <w:r>
        <w:rPr>
          <w:color w:val="000000"/>
        </w:rPr>
        <w:t>COD</w:t>
      </w:r>
      <w:r>
        <w:rPr>
          <w:rFonts w:hint="eastAsia"/>
          <w:color w:val="000000"/>
        </w:rPr>
        <w:t>、流量，在线监控已于</w:t>
      </w:r>
      <w:r>
        <w:rPr>
          <w:color w:val="000000"/>
        </w:rPr>
        <w:t>2015</w:t>
      </w:r>
      <w:r>
        <w:rPr>
          <w:rFonts w:hint="eastAsia"/>
          <w:color w:val="000000"/>
        </w:rPr>
        <w:t>年</w:t>
      </w:r>
      <w:r>
        <w:rPr>
          <w:color w:val="000000"/>
        </w:rPr>
        <w:t>4</w:t>
      </w:r>
      <w:r>
        <w:rPr>
          <w:rFonts w:hint="eastAsia"/>
          <w:color w:val="000000"/>
        </w:rPr>
        <w:t>月由韶关市环境保护局验收，在线监控数据与韶关市环境信息中心联网。</w:t>
      </w:r>
    </w:p>
    <w:p>
      <w:pPr>
        <w:spacing w:line="360" w:lineRule="auto"/>
        <w:ind w:firstLine="480" w:firstLineChars="200"/>
        <w:rPr>
          <w:rFonts w:hint="eastAsia"/>
          <w:color w:val="000000"/>
        </w:rPr>
      </w:pPr>
    </w:p>
    <w:p>
      <w:pPr>
        <w:pStyle w:val="4"/>
      </w:pPr>
      <w:bookmarkStart w:id="30" w:name="_Toc18056"/>
      <w:r>
        <w:t>4.2.3</w:t>
      </w:r>
      <w:r>
        <w:rPr>
          <w:rFonts w:hint="eastAsia"/>
        </w:rPr>
        <w:t>其他设施</w:t>
      </w:r>
      <w:bookmarkEnd w:id="30"/>
    </w:p>
    <w:p>
      <w:pPr>
        <w:spacing w:line="360" w:lineRule="auto"/>
        <w:ind w:firstLine="480" w:firstLineChars="200"/>
      </w:pPr>
      <w:r>
        <w:rPr>
          <w:rFonts w:hint="eastAsia"/>
        </w:rPr>
        <w:t>本项目厂区硬底化地面较完善，绿化面积较广。</w:t>
      </w:r>
    </w:p>
    <w:p>
      <w:pPr>
        <w:pStyle w:val="4"/>
      </w:pPr>
      <w:bookmarkStart w:id="31" w:name="_Toc12400"/>
      <w:r>
        <w:t>4.3</w:t>
      </w:r>
      <w:r>
        <w:rPr>
          <w:rFonts w:hint="eastAsia"/>
        </w:rPr>
        <w:t>环保设施投资及“三同时”落实情况</w:t>
      </w:r>
      <w:bookmarkEnd w:id="31"/>
    </w:p>
    <w:bookmarkEnd w:id="9"/>
    <w:bookmarkEnd w:id="10"/>
    <w:bookmarkEnd w:id="11"/>
    <w:bookmarkEnd w:id="12"/>
    <w:bookmarkEnd w:id="13"/>
    <w:bookmarkEnd w:id="14"/>
    <w:bookmarkEnd w:id="15"/>
    <w:p>
      <w:pPr>
        <w:spacing w:line="360" w:lineRule="auto"/>
        <w:ind w:firstLine="480" w:firstLineChars="200"/>
      </w:pPr>
      <w:bookmarkStart w:id="32" w:name="_Toc1797"/>
      <w:r>
        <w:rPr>
          <w:rFonts w:hint="eastAsia"/>
        </w:rPr>
        <w:t>本项目总投资</w:t>
      </w:r>
      <w:r>
        <w:t>3000</w:t>
      </w:r>
      <w:r>
        <w:rPr>
          <w:rFonts w:hint="eastAsia"/>
        </w:rPr>
        <w:t>万元，其中环保投资</w:t>
      </w:r>
      <w:r>
        <w:t>200</w:t>
      </w:r>
      <w:r>
        <w:rPr>
          <w:rFonts w:hint="eastAsia"/>
        </w:rPr>
        <w:t>万元，占总投资的</w:t>
      </w:r>
      <w:r>
        <w:t>6.7%</w:t>
      </w:r>
      <w:r>
        <w:rPr>
          <w:rFonts w:hint="eastAsia"/>
        </w:rPr>
        <w:t>。具体投资见表</w:t>
      </w:r>
      <w:r>
        <w:t>4-6</w:t>
      </w:r>
      <w:r>
        <w:rPr>
          <w:rFonts w:hint="eastAsia"/>
        </w:rPr>
        <w:t>。</w:t>
      </w:r>
    </w:p>
    <w:p>
      <w:pPr>
        <w:spacing w:line="360" w:lineRule="auto"/>
        <w:jc w:val="center"/>
      </w:pPr>
      <w:r>
        <w:rPr>
          <w:rFonts w:hint="eastAsia"/>
        </w:rPr>
        <w:t>表</w:t>
      </w:r>
      <w:r>
        <w:t xml:space="preserve">4-6   </w:t>
      </w:r>
      <w:r>
        <w:rPr>
          <w:rFonts w:hint="eastAsia"/>
        </w:rPr>
        <w:t>本项目环保投资一览表</w:t>
      </w:r>
    </w:p>
    <w:tbl>
      <w:tblPr>
        <w:tblStyle w:val="47"/>
        <w:tblW w:w="99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54"/>
        <w:gridCol w:w="4487"/>
        <w:gridCol w:w="3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项目</w:t>
            </w:r>
          </w:p>
        </w:tc>
        <w:tc>
          <w:tcPr>
            <w:tcW w:w="4487" w:type="dxa"/>
          </w:tcPr>
          <w:p>
            <w:pPr>
              <w:jc w:val="center"/>
            </w:pPr>
            <w:r>
              <w:rPr>
                <w:rFonts w:hint="eastAsia"/>
              </w:rPr>
              <w:t>治理设施</w:t>
            </w:r>
          </w:p>
        </w:tc>
        <w:tc>
          <w:tcPr>
            <w:tcW w:w="3321" w:type="dxa"/>
          </w:tcPr>
          <w:p>
            <w:pPr>
              <w:jc w:val="center"/>
            </w:pPr>
            <w:r>
              <w:rPr>
                <w:rFonts w:hint="eastAsia"/>
              </w:rPr>
              <w:t>投资额（万元）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车间废气</w:t>
            </w:r>
          </w:p>
        </w:tc>
        <w:tc>
          <w:tcPr>
            <w:tcW w:w="4487" w:type="dxa"/>
          </w:tcPr>
          <w:p>
            <w:pPr>
              <w:jc w:val="center"/>
            </w:pPr>
            <w:r>
              <w:rPr>
                <w:rFonts w:hint="eastAsia"/>
              </w:rPr>
              <w:t>活性炭喷淋设施</w:t>
            </w:r>
          </w:p>
        </w:tc>
        <w:tc>
          <w:tcPr>
            <w:tcW w:w="3321" w:type="dxa"/>
          </w:tcPr>
          <w:p>
            <w:pPr>
              <w:jc w:val="center"/>
            </w:pPr>
            <w: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锅炉废气</w:t>
            </w:r>
          </w:p>
        </w:tc>
        <w:tc>
          <w:tcPr>
            <w:tcW w:w="4487" w:type="dxa"/>
          </w:tcPr>
          <w:p>
            <w:pPr>
              <w:jc w:val="center"/>
            </w:pPr>
            <w:r>
              <w:rPr>
                <w:rFonts w:hint="eastAsia"/>
              </w:rPr>
              <w:t>依托原有环保设施</w:t>
            </w:r>
          </w:p>
        </w:tc>
        <w:tc>
          <w:tcPr>
            <w:tcW w:w="3321" w:type="dxa"/>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废水</w:t>
            </w:r>
          </w:p>
        </w:tc>
        <w:tc>
          <w:tcPr>
            <w:tcW w:w="4487" w:type="dxa"/>
          </w:tcPr>
          <w:p>
            <w:pPr>
              <w:jc w:val="center"/>
            </w:pPr>
            <w:r>
              <w:rPr>
                <w:rFonts w:hint="eastAsia"/>
              </w:rPr>
              <w:t>扩建原有污水处理站，增加处理能力</w:t>
            </w:r>
          </w:p>
        </w:tc>
        <w:tc>
          <w:tcPr>
            <w:tcW w:w="3321" w:type="dxa"/>
          </w:tcPr>
          <w:p>
            <w:pPr>
              <w:jc w:val="center"/>
            </w:pPr>
            <w: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噪声</w:t>
            </w:r>
          </w:p>
        </w:tc>
        <w:tc>
          <w:tcPr>
            <w:tcW w:w="4487" w:type="dxa"/>
          </w:tcPr>
          <w:p>
            <w:pPr>
              <w:jc w:val="center"/>
            </w:pPr>
            <w:r>
              <w:rPr>
                <w:rFonts w:hint="eastAsia" w:hAnsi="宋体"/>
                <w:color w:val="000000"/>
                <w:sz w:val="21"/>
                <w:szCs w:val="21"/>
              </w:rPr>
              <w:t>基础减振、密闭、室内</w:t>
            </w:r>
          </w:p>
        </w:tc>
        <w:tc>
          <w:tcPr>
            <w:tcW w:w="3321" w:type="dxa"/>
          </w:tcPr>
          <w:p>
            <w:pPr>
              <w:jc w:val="center"/>
            </w:pPr>
            <w: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一般固体废物</w:t>
            </w:r>
          </w:p>
        </w:tc>
        <w:tc>
          <w:tcPr>
            <w:tcW w:w="4487" w:type="dxa"/>
          </w:tcPr>
          <w:p>
            <w:pPr>
              <w:jc w:val="center"/>
              <w:rPr>
                <w:rFonts w:hAnsi="宋体"/>
                <w:color w:val="000000"/>
                <w:sz w:val="21"/>
                <w:szCs w:val="21"/>
              </w:rPr>
            </w:pPr>
            <w:r>
              <w:rPr>
                <w:rFonts w:hint="eastAsia" w:hAnsi="宋体"/>
                <w:color w:val="000000"/>
                <w:sz w:val="21"/>
                <w:szCs w:val="21"/>
              </w:rPr>
              <w:t>依托原有环保设施</w:t>
            </w:r>
          </w:p>
        </w:tc>
        <w:tc>
          <w:tcPr>
            <w:tcW w:w="3321" w:type="dxa"/>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危险废物</w:t>
            </w:r>
          </w:p>
        </w:tc>
        <w:tc>
          <w:tcPr>
            <w:tcW w:w="4487" w:type="dxa"/>
          </w:tcPr>
          <w:p>
            <w:pPr>
              <w:jc w:val="center"/>
              <w:rPr>
                <w:rFonts w:hAnsi="宋体"/>
                <w:color w:val="000000"/>
                <w:sz w:val="21"/>
                <w:szCs w:val="21"/>
              </w:rPr>
            </w:pPr>
            <w:r>
              <w:rPr>
                <w:rFonts w:hint="eastAsia" w:hAnsi="宋体"/>
                <w:color w:val="000000"/>
                <w:sz w:val="21"/>
                <w:szCs w:val="21"/>
              </w:rPr>
              <w:t>依托原有环保设施</w:t>
            </w:r>
          </w:p>
        </w:tc>
        <w:tc>
          <w:tcPr>
            <w:tcW w:w="3321" w:type="dxa"/>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绿化及生态</w:t>
            </w:r>
          </w:p>
        </w:tc>
        <w:tc>
          <w:tcPr>
            <w:tcW w:w="4487" w:type="dxa"/>
          </w:tcPr>
          <w:p>
            <w:pPr>
              <w:jc w:val="center"/>
              <w:rPr>
                <w:rFonts w:hAnsi="宋体"/>
                <w:color w:val="000000"/>
                <w:sz w:val="21"/>
                <w:szCs w:val="21"/>
              </w:rPr>
            </w:pPr>
            <w:r>
              <w:rPr>
                <w:rFonts w:hint="eastAsia" w:hAnsi="宋体"/>
                <w:color w:val="000000"/>
                <w:sz w:val="21"/>
                <w:szCs w:val="21"/>
              </w:rPr>
              <w:t>绿化及生态</w:t>
            </w:r>
          </w:p>
        </w:tc>
        <w:tc>
          <w:tcPr>
            <w:tcW w:w="3321" w:type="dxa"/>
          </w:tcPr>
          <w:p>
            <w:pPr>
              <w:jc w:val="center"/>
            </w:pPr>
            <w: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154" w:type="dxa"/>
          </w:tcPr>
          <w:p>
            <w:pPr>
              <w:jc w:val="center"/>
            </w:pPr>
            <w:r>
              <w:rPr>
                <w:rFonts w:hint="eastAsia"/>
              </w:rPr>
              <w:t>其他</w:t>
            </w:r>
          </w:p>
        </w:tc>
        <w:tc>
          <w:tcPr>
            <w:tcW w:w="4487" w:type="dxa"/>
          </w:tcPr>
          <w:p>
            <w:pPr>
              <w:jc w:val="center"/>
              <w:rPr>
                <w:rFonts w:hAnsi="宋体"/>
                <w:color w:val="000000"/>
                <w:sz w:val="21"/>
                <w:szCs w:val="21"/>
              </w:rPr>
            </w:pPr>
            <w:r>
              <w:rPr>
                <w:rFonts w:hint="eastAsia" w:hAnsi="宋体"/>
                <w:color w:val="000000"/>
                <w:sz w:val="21"/>
                <w:szCs w:val="21"/>
              </w:rPr>
              <w:t>其他</w:t>
            </w:r>
          </w:p>
        </w:tc>
        <w:tc>
          <w:tcPr>
            <w:tcW w:w="3321" w:type="dxa"/>
          </w:tcPr>
          <w:p>
            <w:pPr>
              <w:jc w:val="center"/>
            </w:pPr>
            <w:r>
              <w:t>20</w:t>
            </w:r>
          </w:p>
        </w:tc>
      </w:tr>
    </w:tbl>
    <w:p>
      <w:pPr>
        <w:pStyle w:val="4"/>
      </w:pPr>
      <w:r>
        <w:t>5</w:t>
      </w:r>
      <w:r>
        <w:rPr>
          <w:rFonts w:hint="eastAsia"/>
        </w:rPr>
        <w:t>、建设项目环评报告书的主要结论与建议及审批部门审批决定</w:t>
      </w:r>
      <w:bookmarkEnd w:id="32"/>
    </w:p>
    <w:p>
      <w:pPr>
        <w:pStyle w:val="4"/>
      </w:pPr>
      <w:bookmarkStart w:id="33" w:name="_Toc6924"/>
      <w:r>
        <w:t xml:space="preserve">5.1 </w:t>
      </w:r>
      <w:r>
        <w:rPr>
          <w:rFonts w:hint="eastAsia"/>
        </w:rPr>
        <w:t>建设项目环评报告书的主要结论与建议</w:t>
      </w:r>
      <w:bookmarkEnd w:id="33"/>
    </w:p>
    <w:p>
      <w:pPr>
        <w:pStyle w:val="14"/>
        <w:snapToGrid w:val="0"/>
        <w:spacing w:line="360" w:lineRule="auto"/>
        <w:ind w:firstLine="480"/>
        <w:rPr>
          <w:rFonts w:ascii="Times New Roman" w:hAnsi="Times New Roman" w:cs="Times New Roman"/>
        </w:rPr>
      </w:pPr>
      <w:r>
        <w:rPr>
          <w:rFonts w:hint="eastAsia"/>
          <w:b/>
          <w:bCs/>
        </w:rPr>
        <w:t>废水：</w:t>
      </w:r>
      <w:r>
        <w:rPr>
          <w:rFonts w:hint="eastAsia" w:ascii="Times New Roman" w:hAnsi="Times New Roman" w:cs="Times New Roman"/>
        </w:rPr>
        <w:t>本项目废水主要为生产废水、生活污水和初期雨水，产生的废水经管网进入现有的污水处理站，废水处理站采用</w:t>
      </w:r>
      <w:r>
        <w:rPr>
          <w:rFonts w:ascii="Times New Roman" w:hAnsi="Times New Roman" w:cs="Times New Roman"/>
          <w:szCs w:val="24"/>
        </w:rPr>
        <w:t>“</w:t>
      </w:r>
      <w:r>
        <w:rPr>
          <w:rFonts w:hint="eastAsia" w:ascii="Times New Roman" w:hAnsi="Times New Roman" w:cs="Times New Roman"/>
          <w:szCs w:val="24"/>
        </w:rPr>
        <w:t>催化氧化</w:t>
      </w:r>
      <w:r>
        <w:rPr>
          <w:rFonts w:ascii="Times New Roman" w:hAnsi="Times New Roman" w:cs="Times New Roman"/>
          <w:szCs w:val="24"/>
        </w:rPr>
        <w:t>+</w:t>
      </w:r>
      <w:r>
        <w:rPr>
          <w:rFonts w:hint="eastAsia" w:ascii="Times New Roman" w:hAnsi="Times New Roman" w:cs="Times New Roman"/>
          <w:szCs w:val="24"/>
        </w:rPr>
        <w:t>生化</w:t>
      </w:r>
      <w:r>
        <w:rPr>
          <w:rFonts w:ascii="Times New Roman" w:hAnsi="Times New Roman" w:cs="Times New Roman"/>
          <w:szCs w:val="24"/>
        </w:rPr>
        <w:t>+</w:t>
      </w:r>
      <w:r>
        <w:rPr>
          <w:rFonts w:hint="eastAsia" w:ascii="Times New Roman" w:hAnsi="Times New Roman" w:cs="Times New Roman"/>
          <w:szCs w:val="24"/>
        </w:rPr>
        <w:t>深度处理</w:t>
      </w:r>
      <w:r>
        <w:rPr>
          <w:rFonts w:ascii="Times New Roman" w:hAnsi="Times New Roman" w:cs="Times New Roman"/>
          <w:szCs w:val="24"/>
        </w:rPr>
        <w:t>”</w:t>
      </w:r>
      <w:r>
        <w:rPr>
          <w:rFonts w:hint="eastAsia" w:ascii="Times New Roman" w:hAnsi="Times New Roman" w:cs="Times New Roman"/>
          <w:szCs w:val="24"/>
        </w:rPr>
        <w:t>工艺，经处理后的废水达到</w:t>
      </w:r>
      <w:r>
        <w:rPr>
          <w:rFonts w:hint="eastAsia" w:ascii="Times New Roman" w:hAnsi="Times New Roman" w:cs="Times New Roman"/>
        </w:rPr>
        <w:t>广东省《水污染物排放限值》（</w:t>
      </w:r>
      <w:r>
        <w:rPr>
          <w:rFonts w:ascii="Times New Roman" w:hAnsi="Times New Roman" w:cs="Times New Roman"/>
        </w:rPr>
        <w:t>DB 44/26-2001</w:t>
      </w:r>
      <w:r>
        <w:rPr>
          <w:rFonts w:hint="eastAsia" w:ascii="Times New Roman" w:hAnsi="Times New Roman" w:cs="Times New Roman"/>
        </w:rPr>
        <w:t>）第二时段一级标准后，通过污水管网排放至横石水。</w:t>
      </w:r>
    </w:p>
    <w:p>
      <w:pPr>
        <w:snapToGrid w:val="0"/>
        <w:spacing w:line="360" w:lineRule="auto"/>
        <w:ind w:firstLine="482" w:firstLineChars="200"/>
        <w:rPr>
          <w:rFonts w:hAnsi="宋体"/>
          <w:kern w:val="0"/>
          <w:szCs w:val="21"/>
        </w:rPr>
      </w:pPr>
      <w:r>
        <w:rPr>
          <w:rFonts w:hint="eastAsia"/>
          <w:b/>
          <w:bCs/>
        </w:rPr>
        <w:t>废气：</w:t>
      </w:r>
      <w:r>
        <w:rPr>
          <w:rFonts w:hint="eastAsia" w:hAnsi="宋体"/>
          <w:kern w:val="0"/>
          <w:szCs w:val="21"/>
        </w:rPr>
        <w:t>本项目产生的废气主要为车间废气、锅炉烟气和罐区废气。</w:t>
      </w:r>
      <w:r>
        <w:rPr>
          <w:rFonts w:hint="eastAsia"/>
          <w:kern w:val="0"/>
          <w:szCs w:val="21"/>
        </w:rPr>
        <w:t>车间废气采用水喷淋</w:t>
      </w:r>
      <w:r>
        <w:rPr>
          <w:kern w:val="0"/>
          <w:szCs w:val="21"/>
        </w:rPr>
        <w:t>+</w:t>
      </w:r>
      <w:r>
        <w:rPr>
          <w:rFonts w:hint="eastAsia"/>
          <w:kern w:val="0"/>
          <w:szCs w:val="21"/>
        </w:rPr>
        <w:t>活性炭治理措施后，能够满足广东省《大气污染物排放限值》（</w:t>
      </w:r>
      <w:r>
        <w:rPr>
          <w:kern w:val="0"/>
          <w:szCs w:val="21"/>
        </w:rPr>
        <w:t>DB 44/27-2001</w:t>
      </w:r>
      <w:r>
        <w:rPr>
          <w:rFonts w:hint="eastAsia"/>
          <w:kern w:val="0"/>
          <w:szCs w:val="21"/>
        </w:rPr>
        <w:t>）第二时段二</w:t>
      </w:r>
      <w:r>
        <w:rPr>
          <w:rFonts w:hint="eastAsia" w:hAnsi="宋体"/>
          <w:kern w:val="0"/>
          <w:szCs w:val="21"/>
        </w:rPr>
        <w:t>级标准，</w:t>
      </w:r>
      <w:r>
        <w:rPr>
          <w:rFonts w:hint="eastAsia"/>
          <w:color w:val="000000"/>
        </w:rPr>
        <w:t>《家具制造行业挥发性有机化合物排放标准》（</w:t>
      </w:r>
      <w:r>
        <w:rPr>
          <w:color w:val="000000"/>
        </w:rPr>
        <w:t>DB44/814-2010</w:t>
      </w:r>
      <w:r>
        <w:rPr>
          <w:rFonts w:hint="eastAsia"/>
          <w:color w:val="000000"/>
        </w:rPr>
        <w:t>）</w:t>
      </w:r>
      <w:r>
        <w:rPr>
          <w:rFonts w:hint="eastAsia" w:hAnsi="宋体"/>
          <w:kern w:val="0"/>
          <w:szCs w:val="21"/>
        </w:rPr>
        <w:t>，达标的废气经</w:t>
      </w:r>
      <w:r>
        <w:rPr>
          <w:rFonts w:hAnsi="宋体"/>
          <w:kern w:val="0"/>
          <w:szCs w:val="21"/>
        </w:rPr>
        <w:t>15</w:t>
      </w:r>
      <w:r>
        <w:rPr>
          <w:rFonts w:hint="eastAsia" w:hAnsi="宋体"/>
          <w:kern w:val="0"/>
          <w:szCs w:val="21"/>
        </w:rPr>
        <w:t>米高的排气筒外排。</w:t>
      </w:r>
    </w:p>
    <w:p>
      <w:pPr>
        <w:snapToGrid w:val="0"/>
        <w:spacing w:line="360" w:lineRule="auto"/>
        <w:ind w:firstLine="480" w:firstLineChars="200"/>
      </w:pPr>
      <w:r>
        <w:rPr>
          <w:rFonts w:hint="eastAsia" w:hAnsi="宋体"/>
          <w:kern w:val="0"/>
          <w:szCs w:val="21"/>
        </w:rPr>
        <w:t>锅炉烟气采用</w:t>
      </w:r>
      <w:r>
        <w:rPr>
          <w:rFonts w:hint="eastAsia" w:ascii="宋体"/>
        </w:rPr>
        <w:t>“</w:t>
      </w:r>
      <w:r>
        <w:rPr>
          <w:rFonts w:hint="eastAsia" w:ascii="宋体" w:hAnsi="宋体"/>
        </w:rPr>
        <w:t>布袋除尘</w:t>
      </w:r>
      <w:r>
        <w:rPr>
          <w:rFonts w:ascii="宋体" w:hAnsi="宋体"/>
        </w:rPr>
        <w:t>+</w:t>
      </w:r>
      <w:r>
        <w:rPr>
          <w:rFonts w:hint="eastAsia" w:ascii="宋体" w:hAnsi="宋体"/>
        </w:rPr>
        <w:t>麻石水膜</w:t>
      </w:r>
      <w:r>
        <w:rPr>
          <w:rFonts w:hint="eastAsia"/>
        </w:rPr>
        <w:t>（碱液喷淋）”除尘效率达</w:t>
      </w:r>
      <w:r>
        <w:t>99%</w:t>
      </w:r>
      <w:r>
        <w:rPr>
          <w:rFonts w:hint="eastAsia"/>
        </w:rPr>
        <w:t>以上，脱硫率达</w:t>
      </w:r>
      <w:r>
        <w:t>80%</w:t>
      </w:r>
      <w:r>
        <w:rPr>
          <w:rFonts w:hint="eastAsia"/>
        </w:rPr>
        <w:t>以上，可达到广东省地方标准《锅炉大气污染物排放标准》（</w:t>
      </w:r>
      <w:r>
        <w:t>DB44 /765-2010</w:t>
      </w:r>
      <w:r>
        <w:rPr>
          <w:rFonts w:hint="eastAsia"/>
        </w:rPr>
        <w:t>）中</w:t>
      </w:r>
      <w:r>
        <w:t>B</w:t>
      </w:r>
      <w:r>
        <w:rPr>
          <w:rFonts w:hint="eastAsia"/>
        </w:rPr>
        <w:t>区相应限值要求，经处理后的烟气经</w:t>
      </w:r>
      <w:r>
        <w:t>45</w:t>
      </w:r>
      <w:r>
        <w:rPr>
          <w:rFonts w:hint="eastAsia"/>
        </w:rPr>
        <w:t>米高的排气筒外排。</w:t>
      </w:r>
    </w:p>
    <w:p>
      <w:pPr>
        <w:snapToGrid w:val="0"/>
        <w:spacing w:line="360" w:lineRule="auto"/>
        <w:ind w:firstLine="482" w:firstLineChars="200"/>
      </w:pPr>
      <w:r>
        <w:rPr>
          <w:rFonts w:hint="eastAsia"/>
          <w:b/>
          <w:bCs/>
        </w:rPr>
        <w:t>噪声：</w:t>
      </w:r>
      <w:r>
        <w:rPr>
          <w:rFonts w:hint="eastAsia" w:hAnsi="宋体"/>
        </w:rPr>
        <w:t>①选用低噪声泵体等设备；②对车间各种泵体、风机、空压机等安装隔音罩；③水泵与基础之间配置减震器。对噪声强度比较大的设备，采取隔音降噪的措施，同时尽量把这些设备安装在室内，注意维护设备的完好性。</w:t>
      </w:r>
    </w:p>
    <w:p>
      <w:pPr>
        <w:snapToGrid w:val="0"/>
        <w:spacing w:line="360" w:lineRule="auto"/>
        <w:ind w:firstLine="480" w:firstLineChars="200"/>
        <w:rPr>
          <w:rFonts w:ascii="宋体"/>
          <w:kern w:val="0"/>
          <w:szCs w:val="21"/>
        </w:rPr>
      </w:pPr>
      <w:r>
        <w:rPr>
          <w:rFonts w:hint="eastAsia" w:hAnsi="宋体"/>
          <w:kern w:val="0"/>
          <w:szCs w:val="21"/>
        </w:rPr>
        <w:t>经过以上一系列的措施，可以大大降低噪声源强，最大程度减少噪声对周围环境的影响。</w:t>
      </w:r>
    </w:p>
    <w:p>
      <w:pPr>
        <w:adjustRightInd w:val="0"/>
        <w:snapToGrid w:val="0"/>
        <w:spacing w:line="360" w:lineRule="auto"/>
        <w:ind w:firstLine="482" w:firstLineChars="200"/>
      </w:pPr>
      <w:r>
        <w:rPr>
          <w:rFonts w:hint="eastAsia"/>
          <w:b/>
          <w:bCs/>
        </w:rPr>
        <w:t>固体废物：</w:t>
      </w:r>
      <w:r>
        <w:rPr>
          <w:rFonts w:hint="eastAsia"/>
        </w:rPr>
        <w:t>本项目生产过程产生的固体废物主要包括</w:t>
      </w:r>
      <w:r>
        <w:rPr>
          <w:rFonts w:hint="eastAsia" w:hAnsi="宋体"/>
        </w:rPr>
        <w:t>磷酸二氢钙、副产品</w:t>
      </w:r>
      <w:r>
        <w:rPr>
          <w:rFonts w:hAnsi="宋体"/>
        </w:rPr>
        <w:t>DT</w:t>
      </w:r>
      <w:r>
        <w:rPr>
          <w:rFonts w:hint="eastAsia" w:hAnsi="宋体"/>
        </w:rPr>
        <w:t>、煤渣、废反渗透膜、生活垃圾、废水处理站污泥和废活性炭（废气吸附）</w:t>
      </w:r>
      <w:r>
        <w:rPr>
          <w:rFonts w:hint="eastAsia"/>
        </w:rPr>
        <w:t>。建设单位拟实行分类收集、分别处置；磷酸二氢钙和副产品</w:t>
      </w:r>
      <w:r>
        <w:t>DT</w:t>
      </w:r>
      <w:r>
        <w:rPr>
          <w:rFonts w:hint="eastAsia"/>
        </w:rPr>
        <w:t>作为资源，外售；煤渣外运铺路；废反渗透膜、生活垃圾和废水处理站污泥交由环卫部门安全填埋；废活性炭（废气吸附），集中收集，委托具有危险废物处理资质的单位处理。</w:t>
      </w:r>
    </w:p>
    <w:p>
      <w:pPr>
        <w:pStyle w:val="14"/>
        <w:snapToGrid w:val="0"/>
        <w:spacing w:line="360" w:lineRule="auto"/>
        <w:ind w:firstLine="480"/>
        <w:rPr>
          <w:szCs w:val="21"/>
        </w:rPr>
      </w:pPr>
      <w:r>
        <w:rPr>
          <w:rFonts w:hint="eastAsia"/>
          <w:szCs w:val="21"/>
        </w:rPr>
        <w:t>本项目利用厂区已有的一般固体废物储存区和危险固废储存区，各储存区分开并设有明显标志，按照《一般工业固体废物贮存、处理场污染控制标准》（</w:t>
      </w:r>
      <w:r>
        <w:rPr>
          <w:szCs w:val="21"/>
        </w:rPr>
        <w:t>GB 18599-2001</w:t>
      </w:r>
      <w:r>
        <w:rPr>
          <w:rFonts w:hint="eastAsia"/>
          <w:szCs w:val="21"/>
        </w:rPr>
        <w:t>）和《危险废物贮存污染控制标准》（</w:t>
      </w:r>
      <w:r>
        <w:rPr>
          <w:szCs w:val="21"/>
        </w:rPr>
        <w:t>GB 18597-2001</w:t>
      </w:r>
      <w:r>
        <w:rPr>
          <w:rFonts w:hint="eastAsia"/>
          <w:szCs w:val="21"/>
        </w:rPr>
        <w:t>）规范建设和使用。</w:t>
      </w:r>
    </w:p>
    <w:p>
      <w:pPr>
        <w:pStyle w:val="14"/>
        <w:snapToGrid w:val="0"/>
        <w:spacing w:line="360" w:lineRule="auto"/>
        <w:ind w:firstLine="480"/>
        <w:rPr>
          <w:szCs w:val="24"/>
        </w:rPr>
      </w:pPr>
      <w:r>
        <w:rPr>
          <w:rFonts w:hint="eastAsia"/>
          <w:b/>
          <w:bCs/>
        </w:rPr>
        <w:t>项目政策相符性和选址合理性：</w:t>
      </w:r>
      <w:r>
        <w:rPr>
          <w:rFonts w:hint="eastAsia"/>
          <w:szCs w:val="24"/>
        </w:rPr>
        <w:t>本项目建设符合国家相关产业政策；符合广东省和韶关市区域发展规划；符合翁源县翁城镇工业总体规划；符合《食品添加剂生产企业卫生规范》（卫法监发</w:t>
      </w:r>
      <w:r>
        <w:rPr>
          <w:szCs w:val="24"/>
        </w:rPr>
        <w:t>[2002]159</w:t>
      </w:r>
      <w:r>
        <w:rPr>
          <w:rFonts w:hint="eastAsia"/>
          <w:szCs w:val="24"/>
        </w:rPr>
        <w:t>号）的相关要求；总体布局合理。</w:t>
      </w:r>
    </w:p>
    <w:p>
      <w:pPr>
        <w:pStyle w:val="14"/>
        <w:snapToGrid w:val="0"/>
        <w:spacing w:line="360" w:lineRule="auto"/>
        <w:ind w:firstLine="480"/>
        <w:rPr>
          <w:rFonts w:ascii="Times New Roman" w:hAnsi="Times New Roman" w:cs="Times New Roman"/>
          <w:color w:val="FF0000"/>
        </w:rPr>
      </w:pPr>
      <w:r>
        <w:rPr>
          <w:rFonts w:hint="eastAsia"/>
          <w:b/>
          <w:bCs/>
        </w:rPr>
        <w:t>清洁生产以及总量控制指标：</w:t>
      </w:r>
      <w:r>
        <w:rPr>
          <w:rFonts w:hint="eastAsia" w:ascii="Times New Roman" w:hAnsi="Times New Roman" w:cs="Times New Roman"/>
        </w:rPr>
        <w:t>项目采用了先进的生产工艺和生产设备，实现节能减排的生产要求，对环境影响小，清洁生产水平基本达到国内先进水平。</w:t>
      </w:r>
    </w:p>
    <w:p>
      <w:pPr>
        <w:pStyle w:val="14"/>
        <w:snapToGrid w:val="0"/>
        <w:spacing w:line="360" w:lineRule="auto"/>
        <w:ind w:firstLine="480"/>
        <w:rPr>
          <w:rFonts w:ascii="Times New Roman" w:hAnsi="Times New Roman" w:cs="Times New Roman"/>
          <w:szCs w:val="24"/>
        </w:rPr>
      </w:pPr>
      <w:r>
        <w:rPr>
          <w:rFonts w:hint="eastAsia" w:ascii="Times New Roman" w:hAnsi="Times New Roman" w:cs="Times New Roman"/>
        </w:rPr>
        <w:t>建议各总量控制指标为：</w:t>
      </w:r>
      <w:r>
        <w:rPr>
          <w:rFonts w:ascii="Times New Roman" w:hAnsi="Times New Roman" w:cs="Times New Roman"/>
          <w:szCs w:val="24"/>
        </w:rPr>
        <w:t>COD=2.70t/a</w:t>
      </w:r>
      <w:r>
        <w:rPr>
          <w:rFonts w:hint="eastAsia" w:ascii="Times New Roman" w:hAnsi="Times New Roman" w:cs="Times New Roman"/>
          <w:szCs w:val="24"/>
        </w:rPr>
        <w:t>、</w:t>
      </w:r>
      <w:r>
        <w:rPr>
          <w:rFonts w:ascii="Times New Roman" w:hAnsi="Times New Roman" w:cs="Times New Roman"/>
          <w:szCs w:val="24"/>
        </w:rPr>
        <w:t>NH</w:t>
      </w:r>
      <w:r>
        <w:rPr>
          <w:rFonts w:ascii="Times New Roman" w:hAnsi="Times New Roman" w:cs="Times New Roman"/>
          <w:szCs w:val="24"/>
          <w:vertAlign w:val="subscript"/>
        </w:rPr>
        <w:t>3</w:t>
      </w:r>
      <w:r>
        <w:rPr>
          <w:rFonts w:ascii="Times New Roman" w:hAnsi="Times New Roman" w:cs="Times New Roman"/>
          <w:szCs w:val="24"/>
        </w:rPr>
        <w:t>-N=0.30t/a</w:t>
      </w:r>
      <w:r>
        <w:rPr>
          <w:rFonts w:hint="eastAsia" w:ascii="Times New Roman" w:hAnsi="Times New Roman" w:cs="Times New Roman"/>
          <w:szCs w:val="24"/>
        </w:rPr>
        <w:t>、</w:t>
      </w:r>
      <w:r>
        <w:rPr>
          <w:rFonts w:ascii="Times New Roman" w:hAnsi="Times New Roman" w:cs="Times New Roman"/>
          <w:szCs w:val="24"/>
        </w:rPr>
        <w:t>SO</w:t>
      </w:r>
      <w:r>
        <w:rPr>
          <w:rFonts w:ascii="Times New Roman" w:hAnsi="Times New Roman" w:cs="Times New Roman"/>
          <w:szCs w:val="24"/>
          <w:vertAlign w:val="subscript"/>
        </w:rPr>
        <w:t>2</w:t>
      </w:r>
      <w:r>
        <w:rPr>
          <w:rFonts w:ascii="Times New Roman" w:hAnsi="Times New Roman" w:cs="Times New Roman"/>
          <w:szCs w:val="24"/>
        </w:rPr>
        <w:t>=5.35t/a</w:t>
      </w:r>
      <w:r>
        <w:rPr>
          <w:rFonts w:hint="eastAsia" w:ascii="Times New Roman" w:hAnsi="Times New Roman" w:cs="Times New Roman"/>
          <w:szCs w:val="24"/>
        </w:rPr>
        <w:t>、</w:t>
      </w:r>
      <w:r>
        <w:rPr>
          <w:rFonts w:ascii="Times New Roman" w:hAnsi="Times New Roman" w:cs="Times New Roman"/>
          <w:szCs w:val="24"/>
        </w:rPr>
        <w:t>NOx=8.25t/a</w:t>
      </w:r>
      <w:r>
        <w:rPr>
          <w:rFonts w:hint="eastAsia" w:ascii="Times New Roman" w:hAnsi="Times New Roman" w:cs="Times New Roman"/>
          <w:szCs w:val="24"/>
        </w:rPr>
        <w:t>、烟粉尘</w:t>
      </w:r>
      <w:r>
        <w:rPr>
          <w:rFonts w:ascii="Times New Roman" w:hAnsi="Times New Roman" w:cs="Times New Roman"/>
          <w:szCs w:val="24"/>
        </w:rPr>
        <w:t>=0.67t/a</w:t>
      </w:r>
      <w:r>
        <w:rPr>
          <w:rFonts w:hint="eastAsia" w:ascii="Times New Roman" w:hAnsi="Times New Roman" w:cs="Times New Roman"/>
          <w:szCs w:val="24"/>
        </w:rPr>
        <w:t>、挥发性有机物</w:t>
      </w:r>
      <w:r>
        <w:rPr>
          <w:rFonts w:ascii="Times New Roman" w:hAnsi="Times New Roman" w:cs="Times New Roman"/>
          <w:szCs w:val="24"/>
        </w:rPr>
        <w:t>=0.28t/a</w:t>
      </w:r>
      <w:r>
        <w:rPr>
          <w:rFonts w:hint="eastAsia" w:ascii="Times New Roman" w:hAnsi="Times New Roman" w:cs="Times New Roman"/>
          <w:szCs w:val="24"/>
        </w:rPr>
        <w:t>。</w:t>
      </w:r>
    </w:p>
    <w:p>
      <w:pPr>
        <w:pStyle w:val="14"/>
        <w:snapToGrid w:val="0"/>
        <w:spacing w:line="360" w:lineRule="auto"/>
        <w:ind w:firstLine="480"/>
        <w:rPr>
          <w:rFonts w:ascii="Times New Roman" w:hAnsi="Times New Roman" w:cs="Times New Roman"/>
          <w:szCs w:val="24"/>
        </w:rPr>
      </w:pPr>
      <w:r>
        <w:rPr>
          <w:rFonts w:hint="eastAsia"/>
          <w:b/>
          <w:bCs/>
          <w:szCs w:val="24"/>
        </w:rPr>
        <w:t>最终结论：</w:t>
      </w:r>
      <w:r>
        <w:rPr>
          <w:rFonts w:hint="eastAsia" w:ascii="Times New Roman" w:hAnsi="Times New Roman" w:cs="Times New Roman"/>
          <w:szCs w:val="24"/>
        </w:rPr>
        <w:t>翁源广业清怡食品科技有限公司年产</w:t>
      </w:r>
      <w:r>
        <w:rPr>
          <w:rFonts w:ascii="Times New Roman" w:hAnsi="Times New Roman" w:cs="Times New Roman"/>
          <w:szCs w:val="24"/>
        </w:rPr>
        <w:t>600</w:t>
      </w:r>
      <w:r>
        <w:rPr>
          <w:rFonts w:hint="eastAsia" w:ascii="Times New Roman" w:hAnsi="Times New Roman" w:cs="Times New Roman"/>
          <w:szCs w:val="24"/>
        </w:rPr>
        <w:t>吨食品抗氧化剂</w:t>
      </w:r>
      <w:r>
        <w:rPr>
          <w:rFonts w:ascii="Times New Roman" w:hAnsi="Times New Roman" w:cs="Times New Roman"/>
          <w:szCs w:val="24"/>
        </w:rPr>
        <w:t>TBHQ</w:t>
      </w:r>
      <w:r>
        <w:rPr>
          <w:rFonts w:hint="eastAsia" w:ascii="Times New Roman" w:hAnsi="Times New Roman" w:cs="Times New Roman"/>
          <w:szCs w:val="24"/>
        </w:rPr>
        <w:t>建设项目符合国家和广东省相关产业政策，符合翁源县相关土地利用规划，选址合理；建设单位对项目产生的各种污染物，提出了有效的环保治理方案，经过预测评价，正常排放不会导致环境质量超标，环境质量保持在现有功能标准内；项目环境风险在可控制范围；项目清洁生产水平可达到国内清洁生产先进企业水平；公众调查结果表明没有反对意见；项目具有良好的经济效益和社会效益。</w:t>
      </w:r>
    </w:p>
    <w:p>
      <w:pPr>
        <w:pStyle w:val="14"/>
        <w:snapToGrid w:val="0"/>
        <w:spacing w:line="360" w:lineRule="auto"/>
        <w:ind w:firstLine="480"/>
        <w:rPr>
          <w:rFonts w:ascii="Times New Roman" w:hAnsi="Times New Roman" w:cs="Times New Roman"/>
          <w:color w:val="000000"/>
          <w:szCs w:val="28"/>
          <w:lang w:val="zh-CN"/>
        </w:rPr>
      </w:pPr>
      <w:r>
        <w:rPr>
          <w:rFonts w:hint="eastAsia" w:ascii="Times New Roman" w:hAnsi="Times New Roman" w:cs="Times New Roman"/>
          <w:szCs w:val="24"/>
        </w:rPr>
        <w:t>综上所述，从环境保护角度考虑，翁源广业清怡食品科技有限公司年产</w:t>
      </w:r>
      <w:r>
        <w:rPr>
          <w:rFonts w:ascii="Times New Roman" w:hAnsi="Times New Roman" w:cs="Times New Roman"/>
          <w:szCs w:val="24"/>
        </w:rPr>
        <w:t>600</w:t>
      </w:r>
      <w:r>
        <w:rPr>
          <w:rFonts w:hint="eastAsia" w:ascii="Times New Roman" w:hAnsi="Times New Roman" w:cs="Times New Roman"/>
          <w:szCs w:val="24"/>
        </w:rPr>
        <w:t>吨食品抗氧化剂</w:t>
      </w:r>
      <w:r>
        <w:rPr>
          <w:rFonts w:ascii="Times New Roman" w:hAnsi="Times New Roman" w:cs="Times New Roman"/>
          <w:szCs w:val="24"/>
        </w:rPr>
        <w:t>TBHQ</w:t>
      </w:r>
      <w:r>
        <w:rPr>
          <w:rFonts w:hint="eastAsia" w:ascii="Times New Roman" w:hAnsi="Times New Roman" w:cs="Times New Roman"/>
          <w:szCs w:val="24"/>
        </w:rPr>
        <w:t>建设项目是可行的。</w:t>
      </w:r>
    </w:p>
    <w:p>
      <w:pPr>
        <w:pStyle w:val="4"/>
      </w:pPr>
      <w:bookmarkStart w:id="34" w:name="_Toc22927"/>
      <w:r>
        <w:t>5.2</w:t>
      </w:r>
      <w:r>
        <w:rPr>
          <w:rFonts w:hint="eastAsia"/>
        </w:rPr>
        <w:t>环境影响评价批复的要求</w:t>
      </w:r>
      <w:bookmarkEnd w:id="34"/>
    </w:p>
    <w:p>
      <w:pPr>
        <w:adjustRightInd w:val="0"/>
        <w:snapToGrid w:val="0"/>
        <w:spacing w:line="360" w:lineRule="auto"/>
        <w:ind w:firstLine="480" w:firstLineChars="200"/>
        <w:rPr>
          <w:rFonts w:ascii="??_GB2312" w:hAnsi="宋体"/>
          <w:szCs w:val="28"/>
        </w:rPr>
      </w:pPr>
      <w:r>
        <w:rPr>
          <w:rFonts w:hint="eastAsia" w:ascii="??_GB2312" w:hAnsi="宋体"/>
          <w:szCs w:val="28"/>
        </w:rPr>
        <w:t>项目在运营期应落实《报告书》提出的各项环境管理措施，并重点做好如下工作：</w:t>
      </w:r>
    </w:p>
    <w:p>
      <w:pPr>
        <w:numPr>
          <w:ilvl w:val="0"/>
          <w:numId w:val="6"/>
        </w:numPr>
        <w:adjustRightInd w:val="0"/>
        <w:snapToGrid w:val="0"/>
        <w:spacing w:line="360" w:lineRule="auto"/>
        <w:ind w:firstLine="480" w:firstLineChars="200"/>
        <w:rPr>
          <w:szCs w:val="28"/>
        </w:rPr>
      </w:pPr>
      <w:r>
        <w:rPr>
          <w:rFonts w:hint="eastAsia"/>
          <w:szCs w:val="28"/>
        </w:rPr>
        <w:t>项目运营期生产废水（烷基化反应生成废水、水提纯废水、车间喷淋废水、凉水塔清洗废水、锅炉废水、树脂清洗废水）、生活污水（经三级化粪池预处理）和初期雨水（经事故应急池收集、暂存），须经收集后，送废水处理站，采用</w:t>
      </w:r>
      <w:r>
        <w:rPr>
          <w:szCs w:val="28"/>
        </w:rPr>
        <w:t>“</w:t>
      </w:r>
      <w:r>
        <w:rPr>
          <w:rFonts w:hint="eastAsia"/>
          <w:szCs w:val="28"/>
        </w:rPr>
        <w:t>预酸化池</w:t>
      </w:r>
      <w:r>
        <w:rPr>
          <w:szCs w:val="28"/>
        </w:rPr>
        <w:t>+IC</w:t>
      </w:r>
      <w:r>
        <w:rPr>
          <w:rFonts w:hint="eastAsia"/>
          <w:szCs w:val="28"/>
        </w:rPr>
        <w:t>厌氧池</w:t>
      </w:r>
      <w:r>
        <w:rPr>
          <w:szCs w:val="28"/>
        </w:rPr>
        <w:t>+</w:t>
      </w:r>
      <w:r>
        <w:rPr>
          <w:rFonts w:hint="eastAsia"/>
          <w:szCs w:val="28"/>
        </w:rPr>
        <w:t>生化</w:t>
      </w:r>
      <w:r>
        <w:rPr>
          <w:szCs w:val="28"/>
        </w:rPr>
        <w:t>+</w:t>
      </w:r>
      <w:r>
        <w:rPr>
          <w:rFonts w:hint="eastAsia"/>
          <w:szCs w:val="28"/>
        </w:rPr>
        <w:t>深度处理</w:t>
      </w:r>
      <w:r>
        <w:rPr>
          <w:szCs w:val="28"/>
        </w:rPr>
        <w:t>”</w:t>
      </w:r>
      <w:r>
        <w:rPr>
          <w:rFonts w:hint="eastAsia"/>
          <w:szCs w:val="28"/>
        </w:rPr>
        <w:t>工艺处理达到广东省地方标准《水污染物排放限值》（</w:t>
      </w:r>
      <w:r>
        <w:rPr>
          <w:szCs w:val="28"/>
        </w:rPr>
        <w:t>DB44/26-2001</w:t>
      </w:r>
      <w:r>
        <w:rPr>
          <w:rFonts w:hint="eastAsia"/>
          <w:szCs w:val="28"/>
        </w:rPr>
        <w:t>）第二时段一级标准通过排污管网排入横石水。</w:t>
      </w:r>
    </w:p>
    <w:p>
      <w:pPr>
        <w:numPr>
          <w:ilvl w:val="0"/>
          <w:numId w:val="6"/>
        </w:numPr>
        <w:adjustRightInd w:val="0"/>
        <w:snapToGrid w:val="0"/>
        <w:spacing w:line="360" w:lineRule="auto"/>
        <w:ind w:firstLine="480" w:firstLineChars="200"/>
        <w:rPr>
          <w:szCs w:val="28"/>
        </w:rPr>
      </w:pPr>
      <w:r>
        <w:rPr>
          <w:rFonts w:hint="eastAsia"/>
          <w:szCs w:val="28"/>
        </w:rPr>
        <w:t>项目废气主要为车间废气、锅炉烟气和罐区废气。车间废气须采用“水喷淋</w:t>
      </w:r>
      <w:r>
        <w:rPr>
          <w:szCs w:val="28"/>
        </w:rPr>
        <w:t>+</w:t>
      </w:r>
      <w:r>
        <w:rPr>
          <w:rFonts w:hint="eastAsia"/>
          <w:szCs w:val="28"/>
        </w:rPr>
        <w:t>活性炭治理”措施处理后，污染物二甲苯确保达到《大气污染物排放限值》（</w:t>
      </w:r>
      <w:r>
        <w:rPr>
          <w:szCs w:val="28"/>
        </w:rPr>
        <w:t>DB44/27-2001</w:t>
      </w:r>
      <w:r>
        <w:rPr>
          <w:rFonts w:hint="eastAsia"/>
          <w:szCs w:val="28"/>
        </w:rPr>
        <w:t>）第二时段二级标准、</w:t>
      </w:r>
      <w:r>
        <w:rPr>
          <w:szCs w:val="28"/>
        </w:rPr>
        <w:t>VOCs</w:t>
      </w:r>
      <w:r>
        <w:rPr>
          <w:rFonts w:hint="eastAsia"/>
          <w:szCs w:val="28"/>
        </w:rPr>
        <w:t>达到《家具制造行业挥发性有机化合物排放标准》（</w:t>
      </w:r>
      <w:r>
        <w:rPr>
          <w:szCs w:val="28"/>
        </w:rPr>
        <w:t>DB44/814-2010</w:t>
      </w:r>
      <w:r>
        <w:rPr>
          <w:rFonts w:hint="eastAsia"/>
          <w:szCs w:val="28"/>
        </w:rPr>
        <w:t>），废气须通过</w:t>
      </w:r>
      <w:r>
        <w:rPr>
          <w:szCs w:val="28"/>
        </w:rPr>
        <w:t>15m</w:t>
      </w:r>
      <w:r>
        <w:rPr>
          <w:rFonts w:hint="eastAsia"/>
          <w:szCs w:val="28"/>
        </w:rPr>
        <w:t>高的排气筒外排；</w:t>
      </w:r>
      <w:r>
        <w:rPr>
          <w:szCs w:val="28"/>
        </w:rPr>
        <w:t>2016</w:t>
      </w:r>
      <w:r>
        <w:rPr>
          <w:rFonts w:hint="eastAsia"/>
          <w:szCs w:val="28"/>
        </w:rPr>
        <w:t>年</w:t>
      </w:r>
      <w:r>
        <w:rPr>
          <w:szCs w:val="28"/>
        </w:rPr>
        <w:t>6</w:t>
      </w:r>
      <w:r>
        <w:rPr>
          <w:rFonts w:hint="eastAsia"/>
          <w:szCs w:val="28"/>
        </w:rPr>
        <w:t>月</w:t>
      </w:r>
      <w:r>
        <w:rPr>
          <w:szCs w:val="28"/>
        </w:rPr>
        <w:t>30</w:t>
      </w:r>
      <w:r>
        <w:rPr>
          <w:rFonts w:hint="eastAsia"/>
          <w:szCs w:val="28"/>
        </w:rPr>
        <w:t>日前锅炉烟气须采用“布袋除尘</w:t>
      </w:r>
      <w:r>
        <w:rPr>
          <w:szCs w:val="28"/>
        </w:rPr>
        <w:t>+</w:t>
      </w:r>
      <w:r>
        <w:rPr>
          <w:rFonts w:hint="eastAsia"/>
          <w:szCs w:val="28"/>
        </w:rPr>
        <w:t>麻石水膜（碱液喷淋）”工艺处理，污染物</w:t>
      </w:r>
      <w:r>
        <w:rPr>
          <w:szCs w:val="28"/>
        </w:rPr>
        <w:t>SO</w:t>
      </w:r>
      <w:r>
        <w:rPr>
          <w:szCs w:val="28"/>
          <w:vertAlign w:val="subscript"/>
        </w:rPr>
        <w:t>2</w:t>
      </w:r>
      <w:r>
        <w:rPr>
          <w:rFonts w:hint="eastAsia"/>
          <w:szCs w:val="28"/>
        </w:rPr>
        <w:t>、</w:t>
      </w:r>
      <w:r>
        <w:rPr>
          <w:szCs w:val="28"/>
        </w:rPr>
        <w:t>NO</w:t>
      </w:r>
      <w:r>
        <w:rPr>
          <w:rFonts w:hint="eastAsia"/>
          <w:szCs w:val="28"/>
          <w:vertAlign w:val="subscript"/>
          <w:lang w:val="en-US" w:eastAsia="zh-CN"/>
        </w:rPr>
        <w:t>x</w:t>
      </w:r>
      <w:r>
        <w:rPr>
          <w:rFonts w:hint="eastAsia"/>
          <w:szCs w:val="28"/>
        </w:rPr>
        <w:t>、烟尘和烟气黑度排放确保达到《锅炉大气污染物排放标准》（</w:t>
      </w:r>
      <w:r>
        <w:rPr>
          <w:szCs w:val="28"/>
        </w:rPr>
        <w:t>DB44/765-2010</w:t>
      </w:r>
      <w:r>
        <w:rPr>
          <w:rFonts w:hint="eastAsia"/>
          <w:szCs w:val="28"/>
        </w:rPr>
        <w:t>），废气须通过</w:t>
      </w:r>
      <w:r>
        <w:rPr>
          <w:szCs w:val="28"/>
        </w:rPr>
        <w:t>45m</w:t>
      </w:r>
      <w:r>
        <w:rPr>
          <w:rFonts w:hint="eastAsia"/>
          <w:szCs w:val="28"/>
        </w:rPr>
        <w:t>高的排气筒外排；</w:t>
      </w:r>
      <w:r>
        <w:rPr>
          <w:szCs w:val="28"/>
        </w:rPr>
        <w:t>2016</w:t>
      </w:r>
      <w:r>
        <w:rPr>
          <w:rFonts w:hint="eastAsia"/>
          <w:szCs w:val="28"/>
        </w:rPr>
        <w:t>年</w:t>
      </w:r>
      <w:r>
        <w:rPr>
          <w:szCs w:val="28"/>
        </w:rPr>
        <w:t>7</w:t>
      </w:r>
      <w:r>
        <w:rPr>
          <w:rFonts w:hint="eastAsia"/>
          <w:szCs w:val="28"/>
        </w:rPr>
        <w:t>月</w:t>
      </w:r>
      <w:r>
        <w:rPr>
          <w:szCs w:val="28"/>
        </w:rPr>
        <w:t>1</w:t>
      </w:r>
      <w:r>
        <w:rPr>
          <w:rFonts w:hint="eastAsia"/>
          <w:szCs w:val="28"/>
        </w:rPr>
        <w:t>日起锅炉烟气须经处理后，污染物</w:t>
      </w:r>
      <w:r>
        <w:rPr>
          <w:szCs w:val="28"/>
        </w:rPr>
        <w:t>SO</w:t>
      </w:r>
      <w:r>
        <w:rPr>
          <w:szCs w:val="28"/>
          <w:vertAlign w:val="subscript"/>
        </w:rPr>
        <w:t>2</w:t>
      </w:r>
      <w:r>
        <w:rPr>
          <w:rFonts w:hint="eastAsia"/>
          <w:szCs w:val="28"/>
        </w:rPr>
        <w:t>、</w:t>
      </w:r>
      <w:r>
        <w:rPr>
          <w:szCs w:val="28"/>
        </w:rPr>
        <w:t>NO</w:t>
      </w:r>
      <w:r>
        <w:rPr>
          <w:szCs w:val="28"/>
          <w:vertAlign w:val="subscript"/>
        </w:rPr>
        <w:t>2</w:t>
      </w:r>
      <w:r>
        <w:rPr>
          <w:rFonts w:hint="eastAsia"/>
          <w:szCs w:val="28"/>
        </w:rPr>
        <w:t>、烟尘和烟气黑度排放执行《锅炉大气污染物排放标准》（</w:t>
      </w:r>
      <w:r>
        <w:rPr>
          <w:szCs w:val="28"/>
        </w:rPr>
        <w:t>GB13271-2014</w:t>
      </w:r>
      <w:r>
        <w:rPr>
          <w:rFonts w:hint="eastAsia"/>
          <w:szCs w:val="28"/>
        </w:rPr>
        <w:t>）中表</w:t>
      </w:r>
      <w:r>
        <w:rPr>
          <w:szCs w:val="28"/>
        </w:rPr>
        <w:t>1</w:t>
      </w:r>
      <w:r>
        <w:rPr>
          <w:rFonts w:hint="eastAsia"/>
          <w:szCs w:val="28"/>
        </w:rPr>
        <w:t>规定的大气污染物排放限值，废气须通过</w:t>
      </w:r>
      <w:r>
        <w:rPr>
          <w:szCs w:val="28"/>
        </w:rPr>
        <w:t>45m</w:t>
      </w:r>
      <w:r>
        <w:rPr>
          <w:rFonts w:hint="eastAsia"/>
          <w:szCs w:val="28"/>
        </w:rPr>
        <w:t>高的排气筒外排。车间废气、锅炉烟气和罐区无组织排放废气须通过加强车间和罐区的排风、淋水降温、强化自然扩散稀释、注意容器的密闭性、减少挥发量等措施来减少无组织工艺废气排放。</w:t>
      </w:r>
    </w:p>
    <w:p>
      <w:pPr>
        <w:numPr>
          <w:ilvl w:val="0"/>
          <w:numId w:val="6"/>
        </w:numPr>
        <w:adjustRightInd w:val="0"/>
        <w:snapToGrid w:val="0"/>
        <w:spacing w:line="360" w:lineRule="auto"/>
        <w:ind w:firstLine="480" w:firstLineChars="200"/>
        <w:rPr>
          <w:szCs w:val="28"/>
        </w:rPr>
      </w:pPr>
      <w:r>
        <w:rPr>
          <w:rFonts w:hint="eastAsia"/>
          <w:szCs w:val="28"/>
        </w:rPr>
        <w:t>采取减震、隔声、消声等有效措施防治生产过程中产生的噪声对周围环境的影响，噪声排放须满足《工业企业厂界环境噪声排放标准》（</w:t>
      </w:r>
      <w:r>
        <w:rPr>
          <w:szCs w:val="28"/>
        </w:rPr>
        <w:t>GB12348-2008</w:t>
      </w:r>
      <w:r>
        <w:rPr>
          <w:rFonts w:hint="eastAsia"/>
          <w:szCs w:val="28"/>
        </w:rPr>
        <w:t>）</w:t>
      </w:r>
      <w:r>
        <w:rPr>
          <w:szCs w:val="28"/>
        </w:rPr>
        <w:t>3</w:t>
      </w:r>
      <w:r>
        <w:rPr>
          <w:rFonts w:hint="eastAsia"/>
          <w:szCs w:val="28"/>
        </w:rPr>
        <w:t>类标准。</w:t>
      </w:r>
    </w:p>
    <w:p>
      <w:pPr>
        <w:numPr>
          <w:ilvl w:val="0"/>
          <w:numId w:val="6"/>
        </w:numPr>
        <w:adjustRightInd w:val="0"/>
        <w:snapToGrid w:val="0"/>
        <w:spacing w:line="360" w:lineRule="auto"/>
        <w:ind w:firstLine="480" w:firstLineChars="200"/>
        <w:rPr>
          <w:szCs w:val="28"/>
        </w:rPr>
      </w:pPr>
      <w:r>
        <w:rPr>
          <w:rFonts w:hint="eastAsia"/>
          <w:szCs w:val="28"/>
        </w:rPr>
        <w:t>按照“减量化、资源化、无害化”的原则，建立固体废物的分类收集、储运及处置系统。须严格按照《一般工业固体废物贮存、处置场污染控制标准》（</w:t>
      </w:r>
      <w:r>
        <w:rPr>
          <w:szCs w:val="28"/>
        </w:rPr>
        <w:t>GB18597-2001</w:t>
      </w:r>
      <w:r>
        <w:rPr>
          <w:rFonts w:hint="eastAsia"/>
          <w:szCs w:val="28"/>
        </w:rPr>
        <w:t>）的要求进行设计、建设固废堆场，场地须硬底化，具有防渗透、防雨、防风、防流失等措施。项目生产过程中产生的废活性炭属于危险废物，禁止混入一般性固体废物。危险废物应委托有相应处理资质的单位进行处理处置，并严格执行危险废物转移联单制度；副产品</w:t>
      </w:r>
      <w:r>
        <w:rPr>
          <w:szCs w:val="28"/>
        </w:rPr>
        <w:t>DT</w:t>
      </w:r>
      <w:r>
        <w:rPr>
          <w:rFonts w:hint="eastAsia"/>
          <w:szCs w:val="28"/>
        </w:rPr>
        <w:t>和磷酸二氢钙，须经分类妥善收集贮存后、定期出售，不外排；废反渗透膜、废水处理站污泥和生活垃圾，须经分类妥善收集后定期委托环卫部门安全处理，不外排；煤渣须经收集后直接作为铺路材料外售。</w:t>
      </w:r>
    </w:p>
    <w:p>
      <w:pPr>
        <w:numPr>
          <w:ilvl w:val="0"/>
          <w:numId w:val="6"/>
        </w:numPr>
        <w:adjustRightInd w:val="0"/>
        <w:snapToGrid w:val="0"/>
        <w:spacing w:line="360" w:lineRule="auto"/>
        <w:ind w:firstLine="480" w:firstLineChars="200"/>
      </w:pPr>
      <w:r>
        <w:rPr>
          <w:rFonts w:hint="eastAsia"/>
          <w:szCs w:val="28"/>
        </w:rPr>
        <w:t>按照《危险化学品安全管理条例》等有关要求，制定危险化学品安全管理制度，强化贮存和使用过程的管理，结合危险化学品类别制定有效、可操作性的环境风险事故防范措施和应急预案，最大限度地降低环境风险，确保环境安全。</w:t>
      </w:r>
    </w:p>
    <w:p>
      <w:pPr>
        <w:numPr>
          <w:ilvl w:val="0"/>
          <w:numId w:val="6"/>
        </w:numPr>
        <w:adjustRightInd w:val="0"/>
        <w:snapToGrid w:val="0"/>
        <w:spacing w:line="360" w:lineRule="auto"/>
        <w:ind w:firstLine="480" w:firstLineChars="200"/>
      </w:pPr>
      <w:r>
        <w:rPr>
          <w:rFonts w:hint="eastAsia"/>
          <w:szCs w:val="28"/>
        </w:rPr>
        <w:t>提高企业清洁生产水平。建立健全清洁生产组织机构、完善生产管理制度，加强岗位责任制，严格按操作规程</w:t>
      </w:r>
      <w:r>
        <w:rPr>
          <w:rFonts w:hint="eastAsia" w:ascii="宋体" w:hAnsi="宋体" w:cs="宋体"/>
          <w:kern w:val="0"/>
        </w:rPr>
        <w:t>进行工艺控制。减少设备</w:t>
      </w:r>
      <w:r>
        <w:rPr>
          <w:rFonts w:hint="eastAsia" w:ascii="宋体" w:cs="宋体"/>
          <w:kern w:val="0"/>
        </w:rPr>
        <w:t>“</w:t>
      </w:r>
      <w:r>
        <w:rPr>
          <w:rFonts w:hint="eastAsia" w:ascii="宋体" w:hAnsi="宋体" w:cs="宋体"/>
          <w:kern w:val="0"/>
        </w:rPr>
        <w:t>跑、冒、滴、漏</w:t>
      </w:r>
      <w:r>
        <w:rPr>
          <w:rFonts w:hint="eastAsia" w:ascii="宋体" w:cs="宋体"/>
          <w:kern w:val="0"/>
        </w:rPr>
        <w:t>”</w:t>
      </w:r>
      <w:r>
        <w:rPr>
          <w:rFonts w:hint="eastAsia" w:ascii="宋体" w:hAnsi="宋体" w:cs="宋体"/>
          <w:kern w:val="0"/>
        </w:rPr>
        <w:t>，采取新生产工艺和技术提高资源利用率，减少能耗、消耗。</w:t>
      </w:r>
      <w:r>
        <w:rPr>
          <w:rFonts w:ascii="宋体" w:hAnsi="宋体" w:cs="宋体"/>
          <w:kern w:val="0"/>
        </w:rPr>
        <w:t xml:space="preserve"> </w:t>
      </w:r>
    </w:p>
    <w:p>
      <w:pPr>
        <w:numPr>
          <w:ilvl w:val="0"/>
          <w:numId w:val="6"/>
        </w:numPr>
        <w:adjustRightInd w:val="0"/>
        <w:snapToGrid w:val="0"/>
        <w:spacing w:line="360" w:lineRule="auto"/>
        <w:ind w:firstLine="480" w:firstLineChars="200"/>
        <w:rPr>
          <w:szCs w:val="28"/>
        </w:rPr>
      </w:pPr>
      <w:r>
        <w:rPr>
          <w:rFonts w:hint="eastAsia"/>
          <w:szCs w:val="28"/>
        </w:rPr>
        <w:t>落实《报告书》提出设置</w:t>
      </w:r>
      <w:r>
        <w:rPr>
          <w:szCs w:val="28"/>
        </w:rPr>
        <w:t>100</w:t>
      </w:r>
      <w:r>
        <w:rPr>
          <w:rFonts w:hint="eastAsia"/>
          <w:szCs w:val="28"/>
        </w:rPr>
        <w:t>米的卫生防护距离的要求。</w:t>
      </w:r>
    </w:p>
    <w:p>
      <w:pPr>
        <w:numPr>
          <w:ilvl w:val="0"/>
          <w:numId w:val="6"/>
        </w:numPr>
        <w:adjustRightInd w:val="0"/>
        <w:snapToGrid w:val="0"/>
        <w:spacing w:line="360" w:lineRule="auto"/>
        <w:ind w:firstLine="480" w:firstLineChars="200"/>
        <w:rPr>
          <w:szCs w:val="28"/>
        </w:rPr>
      </w:pPr>
      <w:r>
        <w:rPr>
          <w:rFonts w:hint="eastAsia"/>
          <w:szCs w:val="28"/>
        </w:rPr>
        <w:t>同意《报告书》提出的污染物排放总量控制指标：</w:t>
      </w:r>
      <w:r>
        <w:rPr>
          <w:szCs w:val="28"/>
        </w:rPr>
        <w:t>SO</w:t>
      </w:r>
      <w:r>
        <w:rPr>
          <w:szCs w:val="28"/>
          <w:vertAlign w:val="subscript"/>
        </w:rPr>
        <w:t>2</w:t>
      </w:r>
      <w:r>
        <w:rPr>
          <w:rFonts w:hint="eastAsia"/>
          <w:szCs w:val="28"/>
        </w:rPr>
        <w:t>：</w:t>
      </w:r>
      <w:r>
        <w:rPr>
          <w:szCs w:val="28"/>
        </w:rPr>
        <w:t>5.35t/a</w:t>
      </w:r>
      <w:r>
        <w:rPr>
          <w:rFonts w:hint="eastAsia"/>
          <w:szCs w:val="28"/>
        </w:rPr>
        <w:t>；</w:t>
      </w:r>
      <w:r>
        <w:rPr>
          <w:szCs w:val="28"/>
        </w:rPr>
        <w:t>COD</w:t>
      </w:r>
      <w:r>
        <w:rPr>
          <w:rFonts w:hint="eastAsia"/>
          <w:szCs w:val="28"/>
        </w:rPr>
        <w:t>：</w:t>
      </w:r>
      <w:r>
        <w:rPr>
          <w:szCs w:val="28"/>
        </w:rPr>
        <w:t>2.7t/a</w:t>
      </w:r>
      <w:r>
        <w:rPr>
          <w:rFonts w:hint="eastAsia"/>
          <w:szCs w:val="28"/>
        </w:rPr>
        <w:t>；</w:t>
      </w:r>
      <w:r>
        <w:rPr>
          <w:szCs w:val="28"/>
        </w:rPr>
        <w:t>NOx</w:t>
      </w:r>
      <w:r>
        <w:rPr>
          <w:rFonts w:hint="eastAsia"/>
          <w:szCs w:val="28"/>
        </w:rPr>
        <w:t>：</w:t>
      </w:r>
      <w:r>
        <w:rPr>
          <w:szCs w:val="28"/>
        </w:rPr>
        <w:t>8.25t/a</w:t>
      </w:r>
      <w:r>
        <w:rPr>
          <w:rFonts w:hint="eastAsia"/>
          <w:szCs w:val="28"/>
        </w:rPr>
        <w:t>；</w:t>
      </w:r>
      <w:r>
        <w:rPr>
          <w:szCs w:val="28"/>
        </w:rPr>
        <w:t>NH</w:t>
      </w:r>
      <w:r>
        <w:rPr>
          <w:szCs w:val="28"/>
          <w:vertAlign w:val="subscript"/>
        </w:rPr>
        <w:t>3</w:t>
      </w:r>
      <w:r>
        <w:rPr>
          <w:szCs w:val="28"/>
        </w:rPr>
        <w:t>-N</w:t>
      </w:r>
      <w:r>
        <w:rPr>
          <w:rFonts w:hint="eastAsia"/>
          <w:szCs w:val="28"/>
        </w:rPr>
        <w:t>：</w:t>
      </w:r>
      <w:r>
        <w:rPr>
          <w:szCs w:val="28"/>
        </w:rPr>
        <w:t>0.3t/a</w:t>
      </w:r>
      <w:r>
        <w:rPr>
          <w:rFonts w:hint="eastAsia"/>
          <w:szCs w:val="28"/>
        </w:rPr>
        <w:t>；</w:t>
      </w:r>
      <w:r>
        <w:rPr>
          <w:szCs w:val="28"/>
        </w:rPr>
        <w:t>TVOC</w:t>
      </w:r>
      <w:r>
        <w:rPr>
          <w:rFonts w:hint="eastAsia"/>
          <w:szCs w:val="28"/>
        </w:rPr>
        <w:t>：</w:t>
      </w:r>
      <w:r>
        <w:rPr>
          <w:szCs w:val="28"/>
        </w:rPr>
        <w:t>0.28t/a</w:t>
      </w:r>
      <w:r>
        <w:rPr>
          <w:rFonts w:hint="eastAsia"/>
          <w:szCs w:val="28"/>
        </w:rPr>
        <w:t>；粉尘：</w:t>
      </w:r>
      <w:r>
        <w:rPr>
          <w:szCs w:val="28"/>
        </w:rPr>
        <w:t>0.67t/a</w:t>
      </w:r>
      <w:r>
        <w:rPr>
          <w:rFonts w:hint="eastAsia"/>
          <w:szCs w:val="28"/>
        </w:rPr>
        <w:t>。总量控制指标由翁源县安排。</w:t>
      </w:r>
    </w:p>
    <w:p>
      <w:pPr>
        <w:numPr>
          <w:ilvl w:val="0"/>
          <w:numId w:val="6"/>
        </w:numPr>
        <w:adjustRightInd w:val="0"/>
        <w:snapToGrid w:val="0"/>
        <w:spacing w:line="360" w:lineRule="auto"/>
        <w:ind w:firstLine="480" w:firstLineChars="200"/>
      </w:pPr>
      <w:r>
        <w:rPr>
          <w:rFonts w:hint="eastAsia"/>
          <w:szCs w:val="28"/>
        </w:rPr>
        <w:t>该项目必须科学制定污染物处理设施及污染预防配套措施的建设方案，确保环境安全，化解环境风险。</w:t>
      </w:r>
    </w:p>
    <w:p>
      <w:pPr>
        <w:pStyle w:val="4"/>
      </w:pPr>
      <w:bookmarkStart w:id="35" w:name="_Toc10348"/>
      <w:r>
        <w:t>6</w:t>
      </w:r>
      <w:r>
        <w:rPr>
          <w:rFonts w:hint="eastAsia"/>
        </w:rPr>
        <w:t>、验收监测评价标准</w:t>
      </w:r>
      <w:bookmarkEnd w:id="35"/>
    </w:p>
    <w:p>
      <w:pPr>
        <w:spacing w:line="360" w:lineRule="auto"/>
        <w:ind w:firstLine="360" w:firstLineChars="150"/>
        <w:rPr>
          <w:rFonts w:ascii="??_GB2312"/>
          <w:szCs w:val="28"/>
        </w:rPr>
      </w:pPr>
      <w:r>
        <w:rPr>
          <w:rFonts w:hint="eastAsia" w:ascii="??_GB2312"/>
          <w:szCs w:val="28"/>
        </w:rPr>
        <w:t>环评批复要求、环保主管部门的总量指标、环评报告书和现行标准为本次验收监测执行标准。</w:t>
      </w:r>
    </w:p>
    <w:p>
      <w:pPr>
        <w:pStyle w:val="4"/>
      </w:pPr>
      <w:bookmarkStart w:id="36" w:name="_Toc28180"/>
      <w:r>
        <w:t>6.1</w:t>
      </w:r>
      <w:r>
        <w:rPr>
          <w:rFonts w:hint="eastAsia"/>
        </w:rPr>
        <w:t>废水排放验收监测评价标准</w:t>
      </w:r>
      <w:bookmarkEnd w:id="36"/>
    </w:p>
    <w:p>
      <w:pPr>
        <w:adjustRightInd w:val="0"/>
        <w:snapToGrid w:val="0"/>
        <w:spacing w:line="360" w:lineRule="auto"/>
        <w:ind w:firstLine="480" w:firstLineChars="200"/>
      </w:pPr>
      <w:r>
        <w:rPr>
          <w:rFonts w:hint="eastAsia"/>
          <w:szCs w:val="28"/>
        </w:rPr>
        <w:t>本项目外排废水执行广东省《水污染物排放限值》（</w:t>
      </w:r>
      <w:r>
        <w:rPr>
          <w:szCs w:val="28"/>
        </w:rPr>
        <w:t>DB 44/26-2001</w:t>
      </w:r>
      <w:r>
        <w:rPr>
          <w:rFonts w:hint="eastAsia"/>
          <w:szCs w:val="28"/>
        </w:rPr>
        <w:t>）第二时段一级标准。各污染物排放限值见表</w:t>
      </w:r>
      <w:r>
        <w:rPr>
          <w:szCs w:val="28"/>
        </w:rPr>
        <w:t>6-1</w:t>
      </w:r>
      <w:r>
        <w:rPr>
          <w:rFonts w:hint="eastAsia"/>
          <w:szCs w:val="28"/>
        </w:rPr>
        <w:t>。</w:t>
      </w:r>
      <w:r>
        <w:t xml:space="preserve"> </w:t>
      </w:r>
    </w:p>
    <w:p>
      <w:pPr>
        <w:spacing w:beforeLines="50" w:line="360" w:lineRule="auto"/>
        <w:jc w:val="center"/>
        <w:rPr>
          <w:rFonts w:ascii="宋体"/>
          <w:b/>
        </w:rPr>
      </w:pPr>
      <w:r>
        <w:rPr>
          <w:rFonts w:hint="eastAsia" w:ascii="宋体" w:hAnsi="宋体"/>
          <w:b/>
        </w:rPr>
        <w:t>表</w:t>
      </w:r>
      <w:r>
        <w:rPr>
          <w:rFonts w:ascii="宋体" w:hAnsi="宋体"/>
          <w:b/>
        </w:rPr>
        <w:t xml:space="preserve">6-1     </w:t>
      </w:r>
      <w:r>
        <w:rPr>
          <w:rFonts w:hint="eastAsia" w:ascii="宋体" w:hAnsi="宋体"/>
          <w:b/>
        </w:rPr>
        <w:t>废水污染物验收标准</w:t>
      </w:r>
    </w:p>
    <w:tbl>
      <w:tblPr>
        <w:tblStyle w:val="47"/>
        <w:tblW w:w="7925" w:type="dxa"/>
        <w:jc w:val="center"/>
        <w:tblInd w:w="108"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495"/>
        <w:gridCol w:w="2055"/>
        <w:gridCol w:w="3375"/>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tcBorders>
              <w:top w:val="single" w:color="auto" w:sz="12" w:space="0"/>
            </w:tcBorders>
            <w:vAlign w:val="center"/>
          </w:tcPr>
          <w:p>
            <w:pPr>
              <w:jc w:val="center"/>
              <w:rPr>
                <w:sz w:val="21"/>
                <w:szCs w:val="21"/>
              </w:rPr>
            </w:pPr>
            <w:r>
              <w:rPr>
                <w:rFonts w:hint="eastAsia"/>
                <w:sz w:val="21"/>
                <w:szCs w:val="21"/>
              </w:rPr>
              <w:t>污染物名称</w:t>
            </w:r>
          </w:p>
        </w:tc>
        <w:tc>
          <w:tcPr>
            <w:tcW w:w="2055" w:type="dxa"/>
            <w:tcBorders>
              <w:top w:val="single" w:color="auto" w:sz="12" w:space="0"/>
            </w:tcBorders>
            <w:vAlign w:val="center"/>
          </w:tcPr>
          <w:p>
            <w:pPr>
              <w:jc w:val="center"/>
              <w:rPr>
                <w:sz w:val="21"/>
                <w:szCs w:val="21"/>
              </w:rPr>
            </w:pPr>
            <w:r>
              <w:rPr>
                <w:rFonts w:hint="eastAsia"/>
                <w:sz w:val="21"/>
                <w:szCs w:val="21"/>
              </w:rPr>
              <w:t>单位</w:t>
            </w:r>
          </w:p>
        </w:tc>
        <w:tc>
          <w:tcPr>
            <w:tcW w:w="3375" w:type="dxa"/>
            <w:tcBorders>
              <w:top w:val="single" w:color="auto" w:sz="12" w:space="0"/>
            </w:tcBorders>
            <w:vAlign w:val="center"/>
          </w:tcPr>
          <w:p>
            <w:pPr>
              <w:jc w:val="center"/>
              <w:rPr>
                <w:sz w:val="21"/>
                <w:szCs w:val="21"/>
              </w:rPr>
            </w:pPr>
            <w:r>
              <w:rPr>
                <w:sz w:val="21"/>
                <w:szCs w:val="21"/>
              </w:rPr>
              <w:t>DB44/26-2001</w:t>
            </w:r>
            <w:r>
              <w:rPr>
                <w:rFonts w:hint="eastAsia"/>
                <w:sz w:val="21"/>
                <w:szCs w:val="21"/>
              </w:rPr>
              <w:t>第二时段一级标准</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sz w:val="21"/>
                <w:szCs w:val="21"/>
              </w:rPr>
              <w:t>pH</w:t>
            </w:r>
            <w:r>
              <w:rPr>
                <w:rFonts w:hint="eastAsia"/>
                <w:sz w:val="21"/>
                <w:szCs w:val="21"/>
              </w:rPr>
              <w:t>值</w:t>
            </w:r>
          </w:p>
        </w:tc>
        <w:tc>
          <w:tcPr>
            <w:tcW w:w="2055" w:type="dxa"/>
            <w:vAlign w:val="center"/>
          </w:tcPr>
          <w:p>
            <w:pPr>
              <w:jc w:val="center"/>
              <w:rPr>
                <w:sz w:val="21"/>
                <w:szCs w:val="21"/>
              </w:rPr>
            </w:pPr>
            <w:r>
              <w:rPr>
                <w:sz w:val="21"/>
                <w:szCs w:val="21"/>
              </w:rPr>
              <w:t>--</w:t>
            </w:r>
          </w:p>
        </w:tc>
        <w:tc>
          <w:tcPr>
            <w:tcW w:w="3375" w:type="dxa"/>
            <w:vAlign w:val="center"/>
          </w:tcPr>
          <w:p>
            <w:pPr>
              <w:jc w:val="center"/>
              <w:rPr>
                <w:sz w:val="21"/>
                <w:szCs w:val="21"/>
              </w:rPr>
            </w:pPr>
            <w:r>
              <w:rPr>
                <w:sz w:val="21"/>
                <w:szCs w:val="21"/>
              </w:rPr>
              <w:t>6</w:t>
            </w:r>
            <w:r>
              <w:rPr>
                <w:rFonts w:hint="eastAsia"/>
                <w:sz w:val="21"/>
                <w:szCs w:val="21"/>
              </w:rPr>
              <w:t>～</w:t>
            </w:r>
            <w:r>
              <w:rPr>
                <w:sz w:val="21"/>
                <w:szCs w:val="21"/>
              </w:rPr>
              <w:t>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化学需氧量</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90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悬浮物</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60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动植物油</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10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氨氮</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10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五日生化需氧量</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vAlign w:val="center"/>
          </w:tcPr>
          <w:p>
            <w:pPr>
              <w:jc w:val="center"/>
              <w:rPr>
                <w:sz w:val="21"/>
                <w:szCs w:val="21"/>
              </w:rPr>
            </w:pPr>
            <w:r>
              <w:rPr>
                <w:rFonts w:hint="eastAsia"/>
                <w:sz w:val="21"/>
                <w:szCs w:val="21"/>
              </w:rPr>
              <w:t>阴离子表面活性剂</w:t>
            </w:r>
          </w:p>
        </w:tc>
        <w:tc>
          <w:tcPr>
            <w:tcW w:w="2055" w:type="dxa"/>
            <w:vAlign w:val="center"/>
          </w:tcPr>
          <w:p>
            <w:pPr>
              <w:jc w:val="center"/>
              <w:rPr>
                <w:sz w:val="21"/>
                <w:szCs w:val="21"/>
              </w:rPr>
            </w:pPr>
            <w:r>
              <w:rPr>
                <w:sz w:val="21"/>
                <w:szCs w:val="21"/>
              </w:rPr>
              <w:t>mg/L</w:t>
            </w:r>
          </w:p>
        </w:tc>
        <w:tc>
          <w:tcPr>
            <w:tcW w:w="3375" w:type="dxa"/>
            <w:vAlign w:val="center"/>
          </w:tcPr>
          <w:p>
            <w:pPr>
              <w:jc w:val="center"/>
              <w:rPr>
                <w:sz w:val="21"/>
                <w:szCs w:val="21"/>
              </w:rPr>
            </w:pPr>
            <w:r>
              <w:rPr>
                <w:sz w:val="21"/>
                <w:szCs w:val="21"/>
              </w:rPr>
              <w:t>5.0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2495" w:type="dxa"/>
            <w:tcBorders>
              <w:bottom w:val="single" w:color="auto" w:sz="12" w:space="0"/>
            </w:tcBorders>
            <w:vAlign w:val="center"/>
          </w:tcPr>
          <w:p>
            <w:pPr>
              <w:jc w:val="center"/>
              <w:rPr>
                <w:sz w:val="21"/>
                <w:szCs w:val="21"/>
              </w:rPr>
            </w:pPr>
            <w:r>
              <w:rPr>
                <w:rFonts w:hint="eastAsia"/>
                <w:sz w:val="21"/>
                <w:szCs w:val="21"/>
              </w:rPr>
              <w:t>总磷</w:t>
            </w:r>
          </w:p>
        </w:tc>
        <w:tc>
          <w:tcPr>
            <w:tcW w:w="2055" w:type="dxa"/>
            <w:tcBorders>
              <w:bottom w:val="single" w:color="auto" w:sz="12" w:space="0"/>
            </w:tcBorders>
            <w:vAlign w:val="center"/>
          </w:tcPr>
          <w:p>
            <w:pPr>
              <w:jc w:val="center"/>
              <w:rPr>
                <w:sz w:val="21"/>
                <w:szCs w:val="21"/>
              </w:rPr>
            </w:pPr>
            <w:r>
              <w:rPr>
                <w:sz w:val="21"/>
                <w:szCs w:val="21"/>
              </w:rPr>
              <w:t>mg/L</w:t>
            </w:r>
          </w:p>
        </w:tc>
        <w:tc>
          <w:tcPr>
            <w:tcW w:w="3375" w:type="dxa"/>
            <w:tcBorders>
              <w:bottom w:val="single" w:color="auto" w:sz="12" w:space="0"/>
            </w:tcBorders>
            <w:vAlign w:val="center"/>
          </w:tcPr>
          <w:p>
            <w:pPr>
              <w:jc w:val="center"/>
              <w:rPr>
                <w:sz w:val="21"/>
                <w:szCs w:val="21"/>
              </w:rPr>
            </w:pPr>
            <w:r>
              <w:rPr>
                <w:sz w:val="21"/>
                <w:szCs w:val="21"/>
              </w:rPr>
              <w:t>0.5</w:t>
            </w:r>
          </w:p>
        </w:tc>
      </w:tr>
    </w:tbl>
    <w:p>
      <w:pPr>
        <w:pStyle w:val="4"/>
      </w:pPr>
      <w:bookmarkStart w:id="37" w:name="_Toc21008"/>
      <w:r>
        <w:t>6.2</w:t>
      </w:r>
      <w:r>
        <w:rPr>
          <w:rFonts w:hint="eastAsia"/>
        </w:rPr>
        <w:t>废气排放验收监测评价标准</w:t>
      </w:r>
      <w:bookmarkEnd w:id="37"/>
    </w:p>
    <w:p>
      <w:pPr>
        <w:pStyle w:val="13"/>
        <w:adjustRightInd w:val="0"/>
        <w:snapToGrid w:val="0"/>
        <w:spacing w:after="0" w:line="360" w:lineRule="auto"/>
        <w:ind w:firstLine="480" w:firstLineChars="200"/>
        <w:rPr>
          <w:rFonts w:ascii="宋体"/>
          <w:b/>
        </w:rPr>
      </w:pPr>
      <w:r>
        <w:rPr>
          <w:rFonts w:hint="eastAsia"/>
          <w:szCs w:val="28"/>
        </w:rPr>
        <w:t>本项目车间废气二甲苯执行广东省地方《大气污染物排放限值》（</w:t>
      </w:r>
      <w:r>
        <w:rPr>
          <w:szCs w:val="28"/>
        </w:rPr>
        <w:t>DB44/27-2001</w:t>
      </w:r>
      <w:r>
        <w:rPr>
          <w:rFonts w:hint="eastAsia"/>
          <w:szCs w:val="28"/>
        </w:rPr>
        <w:t>）第二时段二级标准、</w:t>
      </w:r>
      <w:r>
        <w:rPr>
          <w:szCs w:val="28"/>
        </w:rPr>
        <w:t>VOCs</w:t>
      </w:r>
      <w:r>
        <w:rPr>
          <w:rFonts w:hint="eastAsia"/>
          <w:szCs w:val="28"/>
        </w:rPr>
        <w:t>达到《家具制造行业挥发性有机化合物排放标准》（</w:t>
      </w:r>
      <w:r>
        <w:rPr>
          <w:szCs w:val="28"/>
        </w:rPr>
        <w:t>DB44/814-2010</w:t>
      </w:r>
      <w:r>
        <w:rPr>
          <w:rFonts w:hint="eastAsia"/>
          <w:szCs w:val="28"/>
        </w:rPr>
        <w:t>）标准限值，锅炉废气执行《锅炉大气污染物排放标准》（</w:t>
      </w:r>
      <w:r>
        <w:rPr>
          <w:szCs w:val="28"/>
        </w:rPr>
        <w:t>GB13271-2014</w:t>
      </w:r>
      <w:r>
        <w:rPr>
          <w:rFonts w:hint="eastAsia"/>
          <w:szCs w:val="28"/>
        </w:rPr>
        <w:t>）中表</w:t>
      </w:r>
      <w:r>
        <w:rPr>
          <w:szCs w:val="28"/>
        </w:rPr>
        <w:t>1</w:t>
      </w:r>
      <w:r>
        <w:rPr>
          <w:rFonts w:hint="eastAsia"/>
          <w:szCs w:val="28"/>
        </w:rPr>
        <w:t>规定的大气污染物排放限值，车间、罐区无组织废气</w:t>
      </w:r>
      <w:r>
        <w:rPr>
          <w:szCs w:val="28"/>
        </w:rPr>
        <w:t>TSP</w:t>
      </w:r>
      <w:r>
        <w:rPr>
          <w:rFonts w:hint="eastAsia"/>
          <w:szCs w:val="28"/>
        </w:rPr>
        <w:t>、二甲苯排放执行广东省地方标准《大气污染物排放限值》（</w:t>
      </w:r>
      <w:r>
        <w:rPr>
          <w:szCs w:val="28"/>
        </w:rPr>
        <w:t>DB44/27-2001</w:t>
      </w:r>
      <w:r>
        <w:rPr>
          <w:rFonts w:hint="eastAsia"/>
          <w:szCs w:val="28"/>
        </w:rPr>
        <w:t>）第二时段无组织排放限值，</w:t>
      </w:r>
      <w:r>
        <w:rPr>
          <w:szCs w:val="28"/>
        </w:rPr>
        <w:t>VOCs</w:t>
      </w:r>
      <w:r>
        <w:rPr>
          <w:rFonts w:hint="eastAsia"/>
          <w:szCs w:val="28"/>
        </w:rPr>
        <w:t>执行《家具制造行业挥发性有机化合物排放标准》（</w:t>
      </w:r>
      <w:r>
        <w:rPr>
          <w:szCs w:val="28"/>
        </w:rPr>
        <w:t>DB44/814-2010</w:t>
      </w:r>
      <w:r>
        <w:rPr>
          <w:rFonts w:hint="eastAsia"/>
          <w:szCs w:val="28"/>
        </w:rPr>
        <w:t>）中无组织排放限值，臭气浓度、氨、硫化氢排放执行</w:t>
      </w:r>
      <w:r>
        <w:rPr>
          <w:rFonts w:hint="eastAsia"/>
          <w:bCs/>
          <w:szCs w:val="21"/>
        </w:rPr>
        <w:t>《恶臭污染物排放标准》（</w:t>
      </w:r>
      <w:r>
        <w:rPr>
          <w:bCs/>
          <w:szCs w:val="21"/>
        </w:rPr>
        <w:t>GB14554-1993</w:t>
      </w:r>
      <w:r>
        <w:rPr>
          <w:rFonts w:hint="eastAsia"/>
          <w:bCs/>
          <w:szCs w:val="21"/>
        </w:rPr>
        <w:t>）中表</w:t>
      </w:r>
      <w:r>
        <w:rPr>
          <w:bCs/>
          <w:szCs w:val="21"/>
        </w:rPr>
        <w:t>1</w:t>
      </w:r>
      <w:r>
        <w:rPr>
          <w:rFonts w:hint="eastAsia"/>
          <w:bCs/>
          <w:szCs w:val="21"/>
        </w:rPr>
        <w:t>二级新扩改建标准限值。</w:t>
      </w:r>
    </w:p>
    <w:p>
      <w:pPr>
        <w:adjustRightInd w:val="0"/>
        <w:snapToGrid w:val="0"/>
        <w:spacing w:line="360" w:lineRule="auto"/>
        <w:jc w:val="center"/>
        <w:rPr>
          <w:rFonts w:ascii="??_GB2312" w:hAnsi="宋体"/>
        </w:rPr>
      </w:pPr>
      <w:r>
        <w:rPr>
          <w:rFonts w:hint="eastAsia" w:ascii="宋体" w:hAnsi="宋体"/>
          <w:b/>
        </w:rPr>
        <w:t>表</w:t>
      </w:r>
      <w:r>
        <w:rPr>
          <w:rFonts w:ascii="宋体" w:hAnsi="宋体"/>
          <w:b/>
        </w:rPr>
        <w:t xml:space="preserve">6-2   </w:t>
      </w:r>
      <w:r>
        <w:rPr>
          <w:rFonts w:hint="eastAsia" w:ascii="宋体" w:hAnsi="宋体"/>
          <w:b/>
        </w:rPr>
        <w:t>集中排放废气污染物排放限值</w:t>
      </w:r>
    </w:p>
    <w:tbl>
      <w:tblPr>
        <w:tblStyle w:val="47"/>
        <w:tblW w:w="9390" w:type="dxa"/>
        <w:jc w:val="center"/>
        <w:tblInd w:w="-937"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878"/>
        <w:gridCol w:w="1878"/>
        <w:gridCol w:w="1878"/>
        <w:gridCol w:w="1878"/>
        <w:gridCol w:w="187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779" w:hRule="atLeast"/>
          <w:jc w:val="center"/>
        </w:trPr>
        <w:tc>
          <w:tcPr>
            <w:tcW w:w="1878" w:type="dxa"/>
            <w:tcBorders>
              <w:top w:val="single" w:color="auto" w:sz="12" w:space="0"/>
            </w:tcBorders>
            <w:vAlign w:val="center"/>
          </w:tcPr>
          <w:p>
            <w:pPr>
              <w:spacing w:line="240" w:lineRule="atLeast"/>
              <w:jc w:val="center"/>
            </w:pPr>
            <w:r>
              <w:rPr>
                <w:rFonts w:hint="eastAsia"/>
              </w:rPr>
              <w:t>污染物名称</w:t>
            </w:r>
          </w:p>
        </w:tc>
        <w:tc>
          <w:tcPr>
            <w:tcW w:w="1878" w:type="dxa"/>
            <w:tcBorders>
              <w:top w:val="single" w:color="auto" w:sz="12" w:space="0"/>
            </w:tcBorders>
            <w:vAlign w:val="center"/>
          </w:tcPr>
          <w:p>
            <w:pPr>
              <w:spacing w:line="240" w:lineRule="atLeast"/>
              <w:jc w:val="center"/>
            </w:pPr>
            <w:r>
              <w:rPr>
                <w:rFonts w:hint="eastAsia"/>
              </w:rPr>
              <w:t>执行标准</w:t>
            </w:r>
          </w:p>
        </w:tc>
        <w:tc>
          <w:tcPr>
            <w:tcW w:w="1878" w:type="dxa"/>
            <w:tcBorders>
              <w:top w:val="single" w:color="auto" w:sz="12" w:space="0"/>
            </w:tcBorders>
            <w:vAlign w:val="center"/>
          </w:tcPr>
          <w:p>
            <w:pPr>
              <w:spacing w:line="240" w:lineRule="atLeast"/>
              <w:jc w:val="center"/>
            </w:pPr>
            <w:r>
              <w:rPr>
                <w:rFonts w:hint="eastAsia"/>
              </w:rPr>
              <w:t>排气筒高度</w:t>
            </w:r>
          </w:p>
          <w:p>
            <w:pPr>
              <w:spacing w:line="240" w:lineRule="atLeast"/>
              <w:jc w:val="center"/>
            </w:pPr>
            <w:r>
              <w:rPr>
                <w:rFonts w:hint="eastAsia"/>
              </w:rPr>
              <w:t>（</w:t>
            </w:r>
            <w:r>
              <w:t>m</w:t>
            </w:r>
            <w:r>
              <w:rPr>
                <w:rFonts w:hint="eastAsia"/>
              </w:rPr>
              <w:t>）</w:t>
            </w:r>
          </w:p>
        </w:tc>
        <w:tc>
          <w:tcPr>
            <w:tcW w:w="1878" w:type="dxa"/>
            <w:tcBorders>
              <w:top w:val="single" w:color="auto" w:sz="12" w:space="0"/>
            </w:tcBorders>
            <w:vAlign w:val="center"/>
          </w:tcPr>
          <w:p>
            <w:pPr>
              <w:spacing w:line="240" w:lineRule="atLeast"/>
              <w:jc w:val="center"/>
            </w:pPr>
            <w:r>
              <w:rPr>
                <w:rFonts w:hint="eastAsia"/>
              </w:rPr>
              <w:t>排放浓度（</w:t>
            </w:r>
            <w:r>
              <w:t>mg/m</w:t>
            </w:r>
            <w:r>
              <w:rPr>
                <w:vertAlign w:val="superscript"/>
              </w:rPr>
              <w:t>3</w:t>
            </w:r>
            <w:r>
              <w:rPr>
                <w:rFonts w:hint="eastAsia"/>
              </w:rPr>
              <w:t>）</w:t>
            </w:r>
          </w:p>
        </w:tc>
        <w:tc>
          <w:tcPr>
            <w:tcW w:w="1878" w:type="dxa"/>
            <w:tcBorders>
              <w:top w:val="single" w:color="auto" w:sz="12" w:space="0"/>
            </w:tcBorders>
            <w:vAlign w:val="center"/>
          </w:tcPr>
          <w:p>
            <w:pPr>
              <w:spacing w:line="240" w:lineRule="atLeast"/>
              <w:jc w:val="center"/>
            </w:pPr>
            <w:r>
              <w:rPr>
                <w:rFonts w:hint="eastAsia"/>
              </w:rPr>
              <w:t>排放速率</w:t>
            </w:r>
          </w:p>
          <w:p>
            <w:pPr>
              <w:spacing w:line="240" w:lineRule="atLeast"/>
              <w:jc w:val="center"/>
            </w:pPr>
            <w:r>
              <w:rPr>
                <w:rFonts w:hint="eastAsia"/>
              </w:rPr>
              <w:t>（</w:t>
            </w:r>
            <w:r>
              <w:t>kg/h</w:t>
            </w:r>
            <w:r>
              <w:rPr>
                <w:rFonts w:hint="eastAsia"/>
              </w:rP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vAlign w:val="center"/>
          </w:tcPr>
          <w:p>
            <w:pPr>
              <w:jc w:val="center"/>
            </w:pPr>
            <w:r>
              <w:rPr>
                <w:rFonts w:hint="eastAsia"/>
              </w:rPr>
              <w:t>颗粒物</w:t>
            </w:r>
          </w:p>
        </w:tc>
        <w:tc>
          <w:tcPr>
            <w:tcW w:w="1878" w:type="dxa"/>
            <w:vMerge w:val="restart"/>
            <w:vAlign w:val="center"/>
          </w:tcPr>
          <w:p>
            <w:pPr>
              <w:jc w:val="center"/>
            </w:pPr>
            <w:r>
              <w:t>GB13271-2014</w:t>
            </w:r>
            <w:r>
              <w:rPr>
                <w:rFonts w:hint="eastAsia"/>
              </w:rPr>
              <w:t>表</w:t>
            </w:r>
            <w:r>
              <w:t>1</w:t>
            </w:r>
            <w:r>
              <w:rPr>
                <w:rFonts w:hint="eastAsia"/>
              </w:rPr>
              <w:t>规定的大气污染物排放限值</w:t>
            </w:r>
          </w:p>
        </w:tc>
        <w:tc>
          <w:tcPr>
            <w:tcW w:w="1878" w:type="dxa"/>
            <w:vAlign w:val="center"/>
          </w:tcPr>
          <w:p>
            <w:pPr>
              <w:jc w:val="center"/>
            </w:pPr>
            <w:r>
              <w:t>45</w:t>
            </w:r>
          </w:p>
        </w:tc>
        <w:tc>
          <w:tcPr>
            <w:tcW w:w="1878" w:type="dxa"/>
            <w:vAlign w:val="center"/>
          </w:tcPr>
          <w:p>
            <w:pPr>
              <w:jc w:val="center"/>
            </w:pPr>
            <w:r>
              <w:t>80</w:t>
            </w:r>
          </w:p>
        </w:tc>
        <w:tc>
          <w:tcPr>
            <w:tcW w:w="1878" w:type="dxa"/>
            <w:vAlign w:val="center"/>
          </w:tcPr>
          <w:p>
            <w:pPr>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vAlign w:val="center"/>
          </w:tcPr>
          <w:p>
            <w:pPr>
              <w:jc w:val="center"/>
            </w:pPr>
            <w:r>
              <w:rPr>
                <w:rFonts w:hint="eastAsia"/>
              </w:rPr>
              <w:t>氮氧化物</w:t>
            </w:r>
          </w:p>
        </w:tc>
        <w:tc>
          <w:tcPr>
            <w:tcW w:w="1878" w:type="dxa"/>
            <w:vMerge w:val="continue"/>
            <w:vAlign w:val="center"/>
          </w:tcPr>
          <w:p>
            <w:pPr>
              <w:jc w:val="center"/>
            </w:pPr>
          </w:p>
        </w:tc>
        <w:tc>
          <w:tcPr>
            <w:tcW w:w="1878" w:type="dxa"/>
            <w:vAlign w:val="center"/>
          </w:tcPr>
          <w:p>
            <w:pPr>
              <w:jc w:val="center"/>
            </w:pPr>
            <w:r>
              <w:t>45</w:t>
            </w:r>
          </w:p>
        </w:tc>
        <w:tc>
          <w:tcPr>
            <w:tcW w:w="1878" w:type="dxa"/>
            <w:vAlign w:val="center"/>
          </w:tcPr>
          <w:p>
            <w:pPr>
              <w:jc w:val="center"/>
            </w:pPr>
            <w:r>
              <w:t>400</w:t>
            </w:r>
          </w:p>
        </w:tc>
        <w:tc>
          <w:tcPr>
            <w:tcW w:w="1878" w:type="dxa"/>
            <w:vAlign w:val="center"/>
          </w:tcPr>
          <w:p>
            <w:pPr>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vAlign w:val="center"/>
          </w:tcPr>
          <w:p>
            <w:pPr>
              <w:jc w:val="center"/>
            </w:pPr>
            <w:r>
              <w:rPr>
                <w:rFonts w:hint="eastAsia"/>
              </w:rPr>
              <w:t>二氧化硫</w:t>
            </w:r>
          </w:p>
        </w:tc>
        <w:tc>
          <w:tcPr>
            <w:tcW w:w="1878" w:type="dxa"/>
            <w:vMerge w:val="continue"/>
            <w:vAlign w:val="center"/>
          </w:tcPr>
          <w:p>
            <w:pPr>
              <w:jc w:val="center"/>
            </w:pPr>
          </w:p>
        </w:tc>
        <w:tc>
          <w:tcPr>
            <w:tcW w:w="1878" w:type="dxa"/>
            <w:vAlign w:val="center"/>
          </w:tcPr>
          <w:p>
            <w:pPr>
              <w:jc w:val="center"/>
            </w:pPr>
            <w:r>
              <w:t>45</w:t>
            </w:r>
          </w:p>
        </w:tc>
        <w:tc>
          <w:tcPr>
            <w:tcW w:w="1878" w:type="dxa"/>
            <w:vAlign w:val="center"/>
          </w:tcPr>
          <w:p>
            <w:pPr>
              <w:jc w:val="center"/>
            </w:pPr>
            <w:r>
              <w:t>400</w:t>
            </w:r>
          </w:p>
        </w:tc>
        <w:tc>
          <w:tcPr>
            <w:tcW w:w="1878" w:type="dxa"/>
            <w:vAlign w:val="center"/>
          </w:tcPr>
          <w:p>
            <w:pPr>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vAlign w:val="center"/>
          </w:tcPr>
          <w:p>
            <w:pPr>
              <w:jc w:val="center"/>
            </w:pPr>
            <w:r>
              <w:rPr>
                <w:rFonts w:hint="eastAsia"/>
              </w:rPr>
              <w:t>烟气黑度</w:t>
            </w:r>
          </w:p>
        </w:tc>
        <w:tc>
          <w:tcPr>
            <w:tcW w:w="1878" w:type="dxa"/>
            <w:vMerge w:val="continue"/>
            <w:vAlign w:val="center"/>
          </w:tcPr>
          <w:p>
            <w:pPr>
              <w:jc w:val="center"/>
            </w:pPr>
          </w:p>
        </w:tc>
        <w:tc>
          <w:tcPr>
            <w:tcW w:w="1878" w:type="dxa"/>
            <w:vAlign w:val="center"/>
          </w:tcPr>
          <w:p>
            <w:pPr>
              <w:jc w:val="center"/>
            </w:pPr>
            <w:r>
              <w:t>45</w:t>
            </w:r>
          </w:p>
        </w:tc>
        <w:tc>
          <w:tcPr>
            <w:tcW w:w="1878" w:type="dxa"/>
            <w:vAlign w:val="center"/>
          </w:tcPr>
          <w:p>
            <w:pPr>
              <w:jc w:val="center"/>
            </w:pPr>
            <w:r>
              <w:t>1</w:t>
            </w:r>
          </w:p>
        </w:tc>
        <w:tc>
          <w:tcPr>
            <w:tcW w:w="1878" w:type="dxa"/>
            <w:vAlign w:val="center"/>
          </w:tcPr>
          <w:p>
            <w:pPr>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vAlign w:val="center"/>
          </w:tcPr>
          <w:p>
            <w:pPr>
              <w:jc w:val="center"/>
            </w:pPr>
            <w:r>
              <w:t>VOCs</w:t>
            </w:r>
          </w:p>
        </w:tc>
        <w:tc>
          <w:tcPr>
            <w:tcW w:w="1878" w:type="dxa"/>
            <w:vAlign w:val="center"/>
          </w:tcPr>
          <w:p>
            <w:pPr>
              <w:jc w:val="center"/>
            </w:pPr>
            <w:r>
              <w:rPr>
                <w:szCs w:val="28"/>
              </w:rPr>
              <w:t>DB44/814-2010</w:t>
            </w:r>
          </w:p>
        </w:tc>
        <w:tc>
          <w:tcPr>
            <w:tcW w:w="1878" w:type="dxa"/>
            <w:vAlign w:val="center"/>
          </w:tcPr>
          <w:p>
            <w:pPr>
              <w:jc w:val="center"/>
            </w:pPr>
            <w:r>
              <w:t>15</w:t>
            </w:r>
          </w:p>
        </w:tc>
        <w:tc>
          <w:tcPr>
            <w:tcW w:w="1878" w:type="dxa"/>
            <w:vAlign w:val="center"/>
          </w:tcPr>
          <w:p>
            <w:pPr>
              <w:jc w:val="center"/>
            </w:pPr>
            <w:r>
              <w:t>30</w:t>
            </w:r>
          </w:p>
        </w:tc>
        <w:tc>
          <w:tcPr>
            <w:tcW w:w="1878" w:type="dxa"/>
            <w:vAlign w:val="center"/>
          </w:tcPr>
          <w:p>
            <w:pPr>
              <w:jc w:val="center"/>
            </w:pPr>
            <w:r>
              <w:t>2.9</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878" w:type="dxa"/>
            <w:tcBorders>
              <w:bottom w:val="single" w:color="auto" w:sz="12" w:space="0"/>
            </w:tcBorders>
            <w:vAlign w:val="center"/>
          </w:tcPr>
          <w:p>
            <w:pPr>
              <w:jc w:val="center"/>
            </w:pPr>
            <w:r>
              <w:rPr>
                <w:rFonts w:hint="eastAsia"/>
              </w:rPr>
              <w:t>二甲苯</w:t>
            </w:r>
          </w:p>
        </w:tc>
        <w:tc>
          <w:tcPr>
            <w:tcW w:w="1878" w:type="dxa"/>
            <w:tcBorders>
              <w:bottom w:val="single" w:color="auto" w:sz="12" w:space="0"/>
            </w:tcBorders>
            <w:vAlign w:val="center"/>
          </w:tcPr>
          <w:p>
            <w:pPr>
              <w:jc w:val="center"/>
            </w:pPr>
            <w:r>
              <w:t>DB44/27-2001</w:t>
            </w:r>
            <w:r>
              <w:rPr>
                <w:rFonts w:hint="eastAsia"/>
              </w:rPr>
              <w:t>标准第二时段二级标准限值</w:t>
            </w:r>
          </w:p>
        </w:tc>
        <w:tc>
          <w:tcPr>
            <w:tcW w:w="1878" w:type="dxa"/>
            <w:tcBorders>
              <w:bottom w:val="single" w:color="auto" w:sz="12" w:space="0"/>
            </w:tcBorders>
            <w:vAlign w:val="center"/>
          </w:tcPr>
          <w:p>
            <w:pPr>
              <w:jc w:val="center"/>
            </w:pPr>
            <w:r>
              <w:t>15</w:t>
            </w:r>
          </w:p>
        </w:tc>
        <w:tc>
          <w:tcPr>
            <w:tcW w:w="1878" w:type="dxa"/>
            <w:tcBorders>
              <w:bottom w:val="single" w:color="auto" w:sz="12" w:space="0"/>
            </w:tcBorders>
            <w:vAlign w:val="center"/>
          </w:tcPr>
          <w:p>
            <w:pPr>
              <w:jc w:val="center"/>
            </w:pPr>
            <w:r>
              <w:t>70</w:t>
            </w:r>
          </w:p>
        </w:tc>
        <w:tc>
          <w:tcPr>
            <w:tcW w:w="1878" w:type="dxa"/>
            <w:tcBorders>
              <w:bottom w:val="single" w:color="auto" w:sz="12" w:space="0"/>
            </w:tcBorders>
            <w:vAlign w:val="center"/>
          </w:tcPr>
          <w:p>
            <w:pPr>
              <w:jc w:val="center"/>
            </w:pPr>
            <w:r>
              <w:t>0.84</w:t>
            </w:r>
          </w:p>
        </w:tc>
      </w:tr>
    </w:tbl>
    <w:p>
      <w:pPr>
        <w:adjustRightInd w:val="0"/>
        <w:snapToGrid w:val="0"/>
        <w:jc w:val="center"/>
        <w:rPr>
          <w:rFonts w:ascii="??_GB2312" w:hAnsi="宋体"/>
        </w:rPr>
      </w:pPr>
      <w:r>
        <w:rPr>
          <w:rFonts w:hint="eastAsia" w:ascii="宋体" w:hAnsi="宋体"/>
          <w:b/>
        </w:rPr>
        <w:t>表</w:t>
      </w:r>
      <w:r>
        <w:rPr>
          <w:rFonts w:ascii="宋体" w:hAnsi="宋体"/>
          <w:b/>
        </w:rPr>
        <w:t xml:space="preserve">6-3  </w:t>
      </w:r>
      <w:r>
        <w:rPr>
          <w:rFonts w:hint="eastAsia" w:ascii="宋体" w:hAnsi="宋体"/>
          <w:b/>
        </w:rPr>
        <w:t>无组织排放废气污染物排放限值</w:t>
      </w:r>
    </w:p>
    <w:tbl>
      <w:tblPr>
        <w:tblStyle w:val="47"/>
        <w:tblW w:w="9644" w:type="dxa"/>
        <w:jc w:val="center"/>
        <w:tblInd w:w="-1080"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470"/>
        <w:gridCol w:w="1080"/>
        <w:gridCol w:w="2280"/>
        <w:gridCol w:w="2355"/>
        <w:gridCol w:w="2459"/>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510" w:hRule="atLeast"/>
          <w:jc w:val="center"/>
        </w:trPr>
        <w:tc>
          <w:tcPr>
            <w:tcW w:w="1470" w:type="dxa"/>
            <w:tcBorders>
              <w:top w:val="single" w:color="auto" w:sz="12" w:space="0"/>
            </w:tcBorders>
            <w:vAlign w:val="center"/>
          </w:tcPr>
          <w:p>
            <w:pPr>
              <w:adjustRightInd w:val="0"/>
              <w:snapToGrid w:val="0"/>
              <w:jc w:val="center"/>
            </w:pPr>
            <w:r>
              <w:rPr>
                <w:rFonts w:hint="eastAsia"/>
              </w:rPr>
              <w:t>污染物名称</w:t>
            </w:r>
          </w:p>
        </w:tc>
        <w:tc>
          <w:tcPr>
            <w:tcW w:w="1080" w:type="dxa"/>
            <w:tcBorders>
              <w:top w:val="single" w:color="auto" w:sz="12" w:space="0"/>
            </w:tcBorders>
            <w:vAlign w:val="center"/>
          </w:tcPr>
          <w:p>
            <w:pPr>
              <w:adjustRightInd w:val="0"/>
              <w:snapToGrid w:val="0"/>
              <w:jc w:val="center"/>
            </w:pPr>
            <w:r>
              <w:rPr>
                <w:rFonts w:hint="eastAsia"/>
              </w:rPr>
              <w:t>单位</w:t>
            </w:r>
          </w:p>
        </w:tc>
        <w:tc>
          <w:tcPr>
            <w:tcW w:w="2280" w:type="dxa"/>
            <w:tcBorders>
              <w:top w:val="single" w:color="auto" w:sz="12" w:space="0"/>
            </w:tcBorders>
            <w:vAlign w:val="center"/>
          </w:tcPr>
          <w:p>
            <w:pPr>
              <w:adjustRightInd w:val="0"/>
              <w:snapToGrid w:val="0"/>
              <w:jc w:val="center"/>
            </w:pPr>
            <w:r>
              <w:t>DB 44/27-2001</w:t>
            </w:r>
            <w:r>
              <w:rPr>
                <w:rFonts w:hint="eastAsia"/>
              </w:rPr>
              <w:t>标准第二时段无组织排放限值</w:t>
            </w:r>
            <w:r>
              <w:t xml:space="preserve"> </w:t>
            </w:r>
          </w:p>
        </w:tc>
        <w:tc>
          <w:tcPr>
            <w:tcW w:w="2355" w:type="dxa"/>
            <w:tcBorders>
              <w:top w:val="single" w:color="auto" w:sz="12" w:space="0"/>
            </w:tcBorders>
            <w:vAlign w:val="center"/>
          </w:tcPr>
          <w:p>
            <w:pPr>
              <w:adjustRightInd w:val="0"/>
              <w:snapToGrid w:val="0"/>
              <w:jc w:val="center"/>
            </w:pPr>
            <w:r>
              <w:rPr>
                <w:rFonts w:hint="eastAsia"/>
              </w:rPr>
              <w:t>（</w:t>
            </w:r>
            <w:r>
              <w:t>DB44/814-2010</w:t>
            </w:r>
            <w:r>
              <w:rPr>
                <w:rFonts w:hint="eastAsia"/>
              </w:rPr>
              <w:t>）中无组织排放限值标准</w:t>
            </w:r>
          </w:p>
        </w:tc>
        <w:tc>
          <w:tcPr>
            <w:tcW w:w="2459" w:type="dxa"/>
            <w:tcBorders>
              <w:top w:val="single" w:color="auto" w:sz="12" w:space="0"/>
            </w:tcBorders>
            <w:vAlign w:val="center"/>
          </w:tcPr>
          <w:p>
            <w:pPr>
              <w:adjustRightInd w:val="0"/>
              <w:snapToGrid w:val="0"/>
              <w:jc w:val="center"/>
            </w:pPr>
            <w:r>
              <w:rPr>
                <w:rFonts w:hint="eastAsia"/>
                <w:bCs/>
                <w:szCs w:val="21"/>
              </w:rPr>
              <w:t>（</w:t>
            </w:r>
            <w:r>
              <w:rPr>
                <w:bCs/>
                <w:szCs w:val="21"/>
              </w:rPr>
              <w:t>GB14554-1993</w:t>
            </w:r>
            <w:r>
              <w:rPr>
                <w:rFonts w:hint="eastAsia"/>
                <w:bCs/>
                <w:szCs w:val="21"/>
              </w:rPr>
              <w:t>）中表</w:t>
            </w:r>
            <w:r>
              <w:rPr>
                <w:bCs/>
                <w:szCs w:val="21"/>
              </w:rPr>
              <w:t>1</w:t>
            </w:r>
            <w:r>
              <w:rPr>
                <w:rFonts w:hint="eastAsia"/>
                <w:bCs/>
                <w:szCs w:val="21"/>
              </w:rPr>
              <w:t>二级新扩改建标准限值</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470" w:type="dxa"/>
            <w:vAlign w:val="center"/>
          </w:tcPr>
          <w:p>
            <w:pPr>
              <w:jc w:val="center"/>
            </w:pPr>
            <w:r>
              <w:t>TSP</w:t>
            </w:r>
          </w:p>
        </w:tc>
        <w:tc>
          <w:tcPr>
            <w:tcW w:w="1080" w:type="dxa"/>
            <w:vAlign w:val="center"/>
          </w:tcPr>
          <w:p>
            <w:pPr>
              <w:adjustRightInd w:val="0"/>
              <w:snapToGrid w:val="0"/>
              <w:jc w:val="center"/>
            </w:pPr>
            <w:r>
              <w:t>mg/m</w:t>
            </w:r>
            <w:r>
              <w:rPr>
                <w:vertAlign w:val="superscript"/>
              </w:rPr>
              <w:t>3</w:t>
            </w:r>
          </w:p>
        </w:tc>
        <w:tc>
          <w:tcPr>
            <w:tcW w:w="2280" w:type="dxa"/>
            <w:vAlign w:val="center"/>
          </w:tcPr>
          <w:p>
            <w:pPr>
              <w:adjustRightInd w:val="0"/>
              <w:snapToGrid w:val="0"/>
              <w:jc w:val="center"/>
            </w:pPr>
            <w:r>
              <w:t>1.0</w:t>
            </w:r>
          </w:p>
        </w:tc>
        <w:tc>
          <w:tcPr>
            <w:tcW w:w="2355" w:type="dxa"/>
            <w:vAlign w:val="center"/>
          </w:tcPr>
          <w:p>
            <w:pPr>
              <w:adjustRightInd w:val="0"/>
              <w:snapToGrid w:val="0"/>
              <w:jc w:val="center"/>
            </w:pPr>
            <w:r>
              <w:t>--</w:t>
            </w:r>
          </w:p>
        </w:tc>
        <w:tc>
          <w:tcPr>
            <w:tcW w:w="2459" w:type="dxa"/>
            <w:vAlign w:val="center"/>
          </w:tcPr>
          <w:p>
            <w:pPr>
              <w:adjustRightInd w:val="0"/>
              <w:snapToGrid w:val="0"/>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470" w:type="dxa"/>
            <w:vAlign w:val="center"/>
          </w:tcPr>
          <w:p>
            <w:pPr>
              <w:jc w:val="center"/>
            </w:pPr>
            <w:r>
              <w:rPr>
                <w:rFonts w:hint="eastAsia"/>
              </w:rPr>
              <w:t>二甲苯</w:t>
            </w:r>
          </w:p>
        </w:tc>
        <w:tc>
          <w:tcPr>
            <w:tcW w:w="1080" w:type="dxa"/>
            <w:vAlign w:val="center"/>
          </w:tcPr>
          <w:p>
            <w:pPr>
              <w:jc w:val="center"/>
            </w:pPr>
            <w:r>
              <w:t>mg/m</w:t>
            </w:r>
            <w:r>
              <w:rPr>
                <w:vertAlign w:val="superscript"/>
              </w:rPr>
              <w:t>3</w:t>
            </w:r>
          </w:p>
        </w:tc>
        <w:tc>
          <w:tcPr>
            <w:tcW w:w="2280" w:type="dxa"/>
            <w:vAlign w:val="center"/>
          </w:tcPr>
          <w:p>
            <w:pPr>
              <w:adjustRightInd w:val="0"/>
              <w:snapToGrid w:val="0"/>
              <w:jc w:val="center"/>
            </w:pPr>
            <w:r>
              <w:t>1.2</w:t>
            </w:r>
          </w:p>
        </w:tc>
        <w:tc>
          <w:tcPr>
            <w:tcW w:w="2355" w:type="dxa"/>
            <w:vAlign w:val="center"/>
          </w:tcPr>
          <w:p>
            <w:pPr>
              <w:adjustRightInd w:val="0"/>
              <w:snapToGrid w:val="0"/>
              <w:jc w:val="center"/>
            </w:pPr>
            <w:r>
              <w:t>--</w:t>
            </w:r>
          </w:p>
        </w:tc>
        <w:tc>
          <w:tcPr>
            <w:tcW w:w="2459" w:type="dxa"/>
            <w:vAlign w:val="center"/>
          </w:tcPr>
          <w:p>
            <w:pPr>
              <w:adjustRightInd w:val="0"/>
              <w:snapToGrid w:val="0"/>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17" w:hRule="atLeast"/>
          <w:jc w:val="center"/>
        </w:trPr>
        <w:tc>
          <w:tcPr>
            <w:tcW w:w="1470" w:type="dxa"/>
            <w:vAlign w:val="center"/>
          </w:tcPr>
          <w:p>
            <w:pPr>
              <w:jc w:val="center"/>
            </w:pPr>
            <w:r>
              <w:t>VOCs</w:t>
            </w:r>
          </w:p>
        </w:tc>
        <w:tc>
          <w:tcPr>
            <w:tcW w:w="1080" w:type="dxa"/>
            <w:vAlign w:val="center"/>
          </w:tcPr>
          <w:p>
            <w:pPr>
              <w:jc w:val="center"/>
            </w:pPr>
            <w:r>
              <w:t>mg/m</w:t>
            </w:r>
            <w:r>
              <w:rPr>
                <w:vertAlign w:val="superscript"/>
              </w:rPr>
              <w:t>3</w:t>
            </w:r>
          </w:p>
        </w:tc>
        <w:tc>
          <w:tcPr>
            <w:tcW w:w="2280" w:type="dxa"/>
            <w:vAlign w:val="center"/>
          </w:tcPr>
          <w:p>
            <w:pPr>
              <w:adjustRightInd w:val="0"/>
              <w:snapToGrid w:val="0"/>
              <w:jc w:val="center"/>
            </w:pPr>
            <w:r>
              <w:t>--</w:t>
            </w:r>
          </w:p>
        </w:tc>
        <w:tc>
          <w:tcPr>
            <w:tcW w:w="2355" w:type="dxa"/>
            <w:vAlign w:val="center"/>
          </w:tcPr>
          <w:p>
            <w:pPr>
              <w:jc w:val="center"/>
            </w:pPr>
            <w:r>
              <w:t>2.0</w:t>
            </w:r>
          </w:p>
        </w:tc>
        <w:tc>
          <w:tcPr>
            <w:tcW w:w="2459" w:type="dxa"/>
            <w:vAlign w:val="center"/>
          </w:tcPr>
          <w:p>
            <w:pPr>
              <w:jc w:val="center"/>
            </w:pPr>
            <w:r>
              <w: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470" w:type="dxa"/>
            <w:vAlign w:val="center"/>
          </w:tcPr>
          <w:p>
            <w:pPr>
              <w:jc w:val="center"/>
            </w:pPr>
            <w:r>
              <w:rPr>
                <w:rFonts w:hint="eastAsia"/>
              </w:rPr>
              <w:t>臭气浓度</w:t>
            </w:r>
          </w:p>
        </w:tc>
        <w:tc>
          <w:tcPr>
            <w:tcW w:w="1080" w:type="dxa"/>
            <w:vAlign w:val="center"/>
          </w:tcPr>
          <w:p>
            <w:pPr>
              <w:jc w:val="center"/>
            </w:pPr>
            <w:r>
              <w:rPr>
                <w:rFonts w:hint="eastAsia"/>
              </w:rPr>
              <w:t>无量纲</w:t>
            </w:r>
          </w:p>
        </w:tc>
        <w:tc>
          <w:tcPr>
            <w:tcW w:w="2280" w:type="dxa"/>
            <w:vAlign w:val="center"/>
          </w:tcPr>
          <w:p>
            <w:pPr>
              <w:adjustRightInd w:val="0"/>
              <w:snapToGrid w:val="0"/>
              <w:jc w:val="center"/>
            </w:pPr>
            <w:r>
              <w:t>--</w:t>
            </w:r>
          </w:p>
        </w:tc>
        <w:tc>
          <w:tcPr>
            <w:tcW w:w="2355" w:type="dxa"/>
            <w:vAlign w:val="center"/>
          </w:tcPr>
          <w:p>
            <w:pPr>
              <w:jc w:val="center"/>
            </w:pPr>
            <w:r>
              <w:t>--</w:t>
            </w:r>
          </w:p>
        </w:tc>
        <w:tc>
          <w:tcPr>
            <w:tcW w:w="2459" w:type="dxa"/>
            <w:vAlign w:val="center"/>
          </w:tcPr>
          <w:p>
            <w:pPr>
              <w:jc w:val="center"/>
            </w:pPr>
            <w:r>
              <w:t>20</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470" w:type="dxa"/>
            <w:vAlign w:val="center"/>
          </w:tcPr>
          <w:p>
            <w:pPr>
              <w:jc w:val="center"/>
            </w:pPr>
            <w:r>
              <w:rPr>
                <w:rFonts w:hint="eastAsia"/>
              </w:rPr>
              <w:t>氨</w:t>
            </w:r>
          </w:p>
        </w:tc>
        <w:tc>
          <w:tcPr>
            <w:tcW w:w="1080" w:type="dxa"/>
            <w:vAlign w:val="center"/>
          </w:tcPr>
          <w:p>
            <w:pPr>
              <w:jc w:val="center"/>
            </w:pPr>
            <w:r>
              <w:t>mg/m</w:t>
            </w:r>
            <w:r>
              <w:rPr>
                <w:vertAlign w:val="superscript"/>
              </w:rPr>
              <w:t>3</w:t>
            </w:r>
          </w:p>
        </w:tc>
        <w:tc>
          <w:tcPr>
            <w:tcW w:w="2280" w:type="dxa"/>
            <w:vAlign w:val="center"/>
          </w:tcPr>
          <w:p>
            <w:pPr>
              <w:adjustRightInd w:val="0"/>
              <w:snapToGrid w:val="0"/>
              <w:jc w:val="center"/>
            </w:pPr>
            <w:r>
              <w:t>--</w:t>
            </w:r>
          </w:p>
        </w:tc>
        <w:tc>
          <w:tcPr>
            <w:tcW w:w="2355" w:type="dxa"/>
            <w:vAlign w:val="center"/>
          </w:tcPr>
          <w:p>
            <w:pPr>
              <w:jc w:val="center"/>
            </w:pPr>
            <w:r>
              <w:t>--</w:t>
            </w:r>
          </w:p>
        </w:tc>
        <w:tc>
          <w:tcPr>
            <w:tcW w:w="2459" w:type="dxa"/>
            <w:vAlign w:val="center"/>
          </w:tcPr>
          <w:p>
            <w:pPr>
              <w:jc w:val="center"/>
            </w:pPr>
            <w:r>
              <w:t>1.5</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397" w:hRule="atLeast"/>
          <w:jc w:val="center"/>
        </w:trPr>
        <w:tc>
          <w:tcPr>
            <w:tcW w:w="1470" w:type="dxa"/>
            <w:tcBorders>
              <w:bottom w:val="single" w:color="auto" w:sz="12" w:space="0"/>
            </w:tcBorders>
            <w:vAlign w:val="center"/>
          </w:tcPr>
          <w:p>
            <w:pPr>
              <w:jc w:val="center"/>
            </w:pPr>
            <w:r>
              <w:rPr>
                <w:rFonts w:hint="eastAsia"/>
              </w:rPr>
              <w:t>硫化氢</w:t>
            </w:r>
          </w:p>
        </w:tc>
        <w:tc>
          <w:tcPr>
            <w:tcW w:w="1080" w:type="dxa"/>
            <w:tcBorders>
              <w:bottom w:val="single" w:color="auto" w:sz="12" w:space="0"/>
            </w:tcBorders>
            <w:vAlign w:val="center"/>
          </w:tcPr>
          <w:p>
            <w:pPr>
              <w:jc w:val="center"/>
            </w:pPr>
            <w:r>
              <w:t>mg/m</w:t>
            </w:r>
            <w:r>
              <w:rPr>
                <w:vertAlign w:val="superscript"/>
              </w:rPr>
              <w:t>3</w:t>
            </w:r>
          </w:p>
        </w:tc>
        <w:tc>
          <w:tcPr>
            <w:tcW w:w="2280" w:type="dxa"/>
            <w:tcBorders>
              <w:bottom w:val="single" w:color="auto" w:sz="12" w:space="0"/>
            </w:tcBorders>
            <w:vAlign w:val="center"/>
          </w:tcPr>
          <w:p>
            <w:pPr>
              <w:adjustRightInd w:val="0"/>
              <w:snapToGrid w:val="0"/>
              <w:jc w:val="center"/>
            </w:pPr>
            <w:r>
              <w:t>--</w:t>
            </w:r>
          </w:p>
        </w:tc>
        <w:tc>
          <w:tcPr>
            <w:tcW w:w="2355" w:type="dxa"/>
            <w:tcBorders>
              <w:bottom w:val="single" w:color="auto" w:sz="12" w:space="0"/>
            </w:tcBorders>
            <w:vAlign w:val="center"/>
          </w:tcPr>
          <w:p>
            <w:pPr>
              <w:jc w:val="center"/>
            </w:pPr>
            <w:r>
              <w:t>--</w:t>
            </w:r>
          </w:p>
        </w:tc>
        <w:tc>
          <w:tcPr>
            <w:tcW w:w="2459" w:type="dxa"/>
            <w:tcBorders>
              <w:bottom w:val="single" w:color="auto" w:sz="12" w:space="0"/>
            </w:tcBorders>
            <w:vAlign w:val="center"/>
          </w:tcPr>
          <w:p>
            <w:pPr>
              <w:jc w:val="center"/>
            </w:pPr>
            <w:r>
              <w:t>0.06</w:t>
            </w:r>
          </w:p>
        </w:tc>
      </w:tr>
    </w:tbl>
    <w:p>
      <w:pPr>
        <w:pStyle w:val="4"/>
      </w:pPr>
      <w:bookmarkStart w:id="38" w:name="_Toc25651"/>
      <w:r>
        <w:t>6.3</w:t>
      </w:r>
      <w:r>
        <w:rPr>
          <w:rFonts w:hint="eastAsia"/>
        </w:rPr>
        <w:t>厂界噪声验收标准</w:t>
      </w:r>
      <w:bookmarkEnd w:id="38"/>
    </w:p>
    <w:p>
      <w:pPr>
        <w:adjustRightInd w:val="0"/>
        <w:snapToGrid w:val="0"/>
        <w:spacing w:line="360" w:lineRule="auto"/>
        <w:ind w:firstLine="480" w:firstLineChars="200"/>
        <w:rPr>
          <w:rFonts w:ascii="宋体"/>
          <w:b/>
        </w:rPr>
      </w:pPr>
      <w:r>
        <w:rPr>
          <w:rFonts w:hint="eastAsia"/>
          <w:szCs w:val="28"/>
        </w:rPr>
        <w:t>厂界噪声执行</w:t>
      </w:r>
      <w:r>
        <w:rPr>
          <w:rStyle w:val="42"/>
          <w:rFonts w:hint="eastAsia"/>
          <w:b w:val="0"/>
          <w:szCs w:val="28"/>
        </w:rPr>
        <w:t>《工业企业厂界环境噪声排放标准》（</w:t>
      </w:r>
      <w:r>
        <w:rPr>
          <w:rStyle w:val="42"/>
          <w:b w:val="0"/>
          <w:szCs w:val="28"/>
        </w:rPr>
        <w:t>GB 12348-2008</w:t>
      </w:r>
      <w:r>
        <w:rPr>
          <w:rStyle w:val="42"/>
          <w:rFonts w:hint="eastAsia"/>
          <w:b w:val="0"/>
          <w:szCs w:val="28"/>
        </w:rPr>
        <w:t>）</w:t>
      </w:r>
      <w:r>
        <w:rPr>
          <w:rFonts w:hint="eastAsia"/>
        </w:rPr>
        <w:t>中的</w:t>
      </w:r>
      <w:r>
        <w:t>3</w:t>
      </w:r>
      <w:r>
        <w:rPr>
          <w:rFonts w:hint="eastAsia"/>
        </w:rPr>
        <w:t>类标准，详见表</w:t>
      </w:r>
      <w:r>
        <w:t>6-4</w:t>
      </w:r>
      <w:r>
        <w:rPr>
          <w:rFonts w:hint="eastAsia"/>
        </w:rPr>
        <w:t>。</w:t>
      </w:r>
    </w:p>
    <w:p>
      <w:pPr>
        <w:adjustRightInd w:val="0"/>
        <w:snapToGrid w:val="0"/>
        <w:spacing w:line="360" w:lineRule="auto"/>
        <w:jc w:val="center"/>
        <w:rPr>
          <w:rFonts w:ascii="宋体"/>
          <w:b/>
        </w:rPr>
      </w:pPr>
      <w:r>
        <w:rPr>
          <w:rFonts w:hint="eastAsia" w:ascii="宋体" w:hAnsi="宋体"/>
          <w:b/>
        </w:rPr>
        <w:t>表</w:t>
      </w:r>
      <w:r>
        <w:rPr>
          <w:rFonts w:ascii="宋体" w:hAnsi="宋体"/>
          <w:b/>
        </w:rPr>
        <w:t xml:space="preserve">6-4 </w:t>
      </w:r>
      <w:r>
        <w:rPr>
          <w:rFonts w:hint="eastAsia" w:ascii="宋体" w:hAnsi="宋体"/>
          <w:b/>
        </w:rPr>
        <w:t>工业企业厂界噪声标准限值</w:t>
      </w:r>
      <w:r>
        <w:rPr>
          <w:rFonts w:ascii="宋体" w:hAnsi="宋体"/>
          <w:b/>
        </w:rPr>
        <w:t xml:space="preserve">  </w:t>
      </w:r>
      <w:r>
        <w:rPr>
          <w:rFonts w:hint="eastAsia" w:ascii="宋体" w:hAnsi="宋体"/>
          <w:b/>
        </w:rPr>
        <w:t>单位：</w:t>
      </w:r>
      <w:r>
        <w:rPr>
          <w:rFonts w:ascii="宋体" w:hAnsi="宋体"/>
          <w:b/>
        </w:rPr>
        <w:t>Leq[dB(A)]</w:t>
      </w:r>
    </w:p>
    <w:tbl>
      <w:tblPr>
        <w:tblStyle w:val="47"/>
        <w:tblW w:w="8414" w:type="dxa"/>
        <w:jc w:val="center"/>
        <w:tblInd w:w="108" w:type="dxa"/>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732"/>
        <w:gridCol w:w="2841"/>
        <w:gridCol w:w="2841"/>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441" w:hRule="atLeast"/>
          <w:jc w:val="center"/>
        </w:trPr>
        <w:tc>
          <w:tcPr>
            <w:tcW w:w="2732" w:type="dxa"/>
            <w:tcBorders>
              <w:top w:val="single" w:color="auto" w:sz="12" w:space="0"/>
            </w:tcBorders>
            <w:vAlign w:val="center"/>
          </w:tcPr>
          <w:p>
            <w:pPr>
              <w:jc w:val="center"/>
              <w:rPr>
                <w:sz w:val="21"/>
                <w:szCs w:val="21"/>
              </w:rPr>
            </w:pPr>
            <w:r>
              <w:rPr>
                <w:rFonts w:hint="eastAsia"/>
                <w:sz w:val="21"/>
                <w:szCs w:val="21"/>
              </w:rPr>
              <w:t>类别</w:t>
            </w:r>
          </w:p>
        </w:tc>
        <w:tc>
          <w:tcPr>
            <w:tcW w:w="2841" w:type="dxa"/>
            <w:tcBorders>
              <w:top w:val="single" w:color="auto" w:sz="12" w:space="0"/>
            </w:tcBorders>
            <w:vAlign w:val="center"/>
          </w:tcPr>
          <w:p>
            <w:pPr>
              <w:jc w:val="center"/>
              <w:rPr>
                <w:sz w:val="21"/>
                <w:szCs w:val="21"/>
              </w:rPr>
            </w:pPr>
            <w:r>
              <w:rPr>
                <w:rFonts w:hint="eastAsia"/>
                <w:sz w:val="21"/>
                <w:szCs w:val="21"/>
              </w:rPr>
              <w:t>昼间</w:t>
            </w:r>
          </w:p>
        </w:tc>
        <w:tc>
          <w:tcPr>
            <w:tcW w:w="2841" w:type="dxa"/>
            <w:tcBorders>
              <w:top w:val="single" w:color="auto" w:sz="12" w:space="0"/>
            </w:tcBorders>
            <w:vAlign w:val="center"/>
          </w:tcPr>
          <w:p>
            <w:pPr>
              <w:jc w:val="center"/>
              <w:rPr>
                <w:sz w:val="21"/>
                <w:szCs w:val="21"/>
              </w:rPr>
            </w:pPr>
            <w:r>
              <w:rPr>
                <w:rFonts w:hint="eastAsia"/>
                <w:sz w:val="21"/>
                <w:szCs w:val="21"/>
              </w:rPr>
              <w:t>夜间</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Ex>
        <w:trPr>
          <w:trHeight w:val="269" w:hRule="atLeast"/>
          <w:jc w:val="center"/>
        </w:trPr>
        <w:tc>
          <w:tcPr>
            <w:tcW w:w="2732" w:type="dxa"/>
            <w:tcBorders>
              <w:bottom w:val="single" w:color="auto" w:sz="12" w:space="0"/>
            </w:tcBorders>
            <w:vAlign w:val="center"/>
          </w:tcPr>
          <w:p>
            <w:pPr>
              <w:jc w:val="center"/>
              <w:rPr>
                <w:sz w:val="21"/>
                <w:szCs w:val="21"/>
              </w:rPr>
            </w:pPr>
            <w:r>
              <w:rPr>
                <w:sz w:val="21"/>
                <w:szCs w:val="21"/>
              </w:rPr>
              <w:t>GB 12348-2008</w:t>
            </w:r>
            <w:r>
              <w:rPr>
                <w:rFonts w:hint="eastAsia"/>
                <w:sz w:val="21"/>
                <w:szCs w:val="21"/>
              </w:rPr>
              <w:t>厂界外声环境功能区类别</w:t>
            </w:r>
            <w:r>
              <w:rPr>
                <w:sz w:val="21"/>
                <w:szCs w:val="21"/>
              </w:rPr>
              <w:t>3</w:t>
            </w:r>
            <w:r>
              <w:rPr>
                <w:rFonts w:hint="eastAsia"/>
                <w:sz w:val="21"/>
                <w:szCs w:val="21"/>
              </w:rPr>
              <w:t>类</w:t>
            </w:r>
          </w:p>
        </w:tc>
        <w:tc>
          <w:tcPr>
            <w:tcW w:w="2841" w:type="dxa"/>
            <w:tcBorders>
              <w:bottom w:val="single" w:color="auto" w:sz="12" w:space="0"/>
            </w:tcBorders>
            <w:vAlign w:val="center"/>
          </w:tcPr>
          <w:p>
            <w:pPr>
              <w:jc w:val="center"/>
              <w:rPr>
                <w:sz w:val="21"/>
                <w:szCs w:val="21"/>
              </w:rPr>
            </w:pPr>
            <w:r>
              <w:rPr>
                <w:sz w:val="21"/>
                <w:szCs w:val="21"/>
              </w:rPr>
              <w:t>65</w:t>
            </w:r>
          </w:p>
        </w:tc>
        <w:tc>
          <w:tcPr>
            <w:tcW w:w="2841" w:type="dxa"/>
            <w:tcBorders>
              <w:bottom w:val="single" w:color="auto" w:sz="12" w:space="0"/>
            </w:tcBorders>
            <w:vAlign w:val="center"/>
          </w:tcPr>
          <w:p>
            <w:pPr>
              <w:jc w:val="center"/>
              <w:rPr>
                <w:sz w:val="21"/>
                <w:szCs w:val="21"/>
              </w:rPr>
            </w:pPr>
            <w:r>
              <w:rPr>
                <w:sz w:val="21"/>
                <w:szCs w:val="21"/>
              </w:rPr>
              <w:t>55</w:t>
            </w:r>
          </w:p>
        </w:tc>
      </w:tr>
    </w:tbl>
    <w:p>
      <w:pPr>
        <w:pStyle w:val="4"/>
      </w:pPr>
      <w:bookmarkStart w:id="39" w:name="_Toc7346"/>
      <w:r>
        <w:t>6.4</w:t>
      </w:r>
      <w:r>
        <w:rPr>
          <w:rFonts w:hint="eastAsia"/>
        </w:rPr>
        <w:t>总量控制指标</w:t>
      </w:r>
      <w:bookmarkEnd w:id="39"/>
    </w:p>
    <w:p>
      <w:pPr>
        <w:adjustRightInd w:val="0"/>
        <w:snapToGrid w:val="0"/>
        <w:spacing w:line="360" w:lineRule="auto"/>
        <w:ind w:firstLine="480" w:firstLineChars="200"/>
        <w:rPr>
          <w:szCs w:val="28"/>
        </w:rPr>
      </w:pPr>
      <w:r>
        <w:rPr>
          <w:rFonts w:hint="eastAsia"/>
        </w:rPr>
        <w:t>根据</w:t>
      </w:r>
      <w:r>
        <w:rPr>
          <w:rFonts w:hint="eastAsia"/>
          <w:szCs w:val="28"/>
        </w:rPr>
        <w:t>韶环审</w:t>
      </w:r>
      <w:r>
        <w:rPr>
          <w:szCs w:val="28"/>
        </w:rPr>
        <w:t>[2015]348</w:t>
      </w:r>
      <w:r>
        <w:rPr>
          <w:rFonts w:hint="eastAsia"/>
          <w:szCs w:val="28"/>
        </w:rPr>
        <w:t>号《关于翁源广业清怡食品科技有限公司年产</w:t>
      </w:r>
      <w:r>
        <w:rPr>
          <w:szCs w:val="28"/>
        </w:rPr>
        <w:t>600</w:t>
      </w:r>
      <w:r>
        <w:rPr>
          <w:rFonts w:hint="eastAsia"/>
          <w:szCs w:val="28"/>
        </w:rPr>
        <w:t>吨食品抗氧化剂</w:t>
      </w:r>
      <w:r>
        <w:rPr>
          <w:szCs w:val="28"/>
        </w:rPr>
        <w:t>TBHQ</w:t>
      </w:r>
      <w:r>
        <w:rPr>
          <w:rFonts w:hint="eastAsia"/>
          <w:szCs w:val="28"/>
        </w:rPr>
        <w:t>建设项目环境影响报告书审批意见的函》</w:t>
      </w:r>
      <w:r>
        <w:rPr>
          <w:rFonts w:hint="eastAsia"/>
        </w:rPr>
        <w:t>下达</w:t>
      </w:r>
      <w:r>
        <w:rPr>
          <w:rFonts w:hint="eastAsia"/>
          <w:szCs w:val="28"/>
        </w:rPr>
        <w:t>本次验收</w:t>
      </w:r>
      <w:r>
        <w:rPr>
          <w:rFonts w:hint="eastAsia"/>
        </w:rPr>
        <w:t>的</w:t>
      </w:r>
      <w:r>
        <w:rPr>
          <w:rFonts w:hint="eastAsia"/>
          <w:szCs w:val="28"/>
        </w:rPr>
        <w:t>总量控制指标为：</w:t>
      </w:r>
      <w:r>
        <w:rPr>
          <w:szCs w:val="28"/>
        </w:rPr>
        <w:t>SO</w:t>
      </w:r>
      <w:r>
        <w:rPr>
          <w:szCs w:val="28"/>
          <w:vertAlign w:val="subscript"/>
        </w:rPr>
        <w:t>2</w:t>
      </w:r>
      <w:r>
        <w:rPr>
          <w:rFonts w:hint="eastAsia"/>
          <w:szCs w:val="28"/>
        </w:rPr>
        <w:t>：</w:t>
      </w:r>
      <w:r>
        <w:rPr>
          <w:szCs w:val="28"/>
        </w:rPr>
        <w:t>5.35t/a</w:t>
      </w:r>
      <w:r>
        <w:rPr>
          <w:rFonts w:hint="eastAsia"/>
          <w:szCs w:val="28"/>
        </w:rPr>
        <w:t>；</w:t>
      </w:r>
      <w:r>
        <w:rPr>
          <w:szCs w:val="28"/>
        </w:rPr>
        <w:t>COD</w:t>
      </w:r>
      <w:r>
        <w:rPr>
          <w:szCs w:val="28"/>
          <w:vertAlign w:val="subscript"/>
        </w:rPr>
        <w:t>cr</w:t>
      </w:r>
      <w:r>
        <w:rPr>
          <w:szCs w:val="28"/>
        </w:rPr>
        <w:t>:2.7t/a</w:t>
      </w:r>
      <w:r>
        <w:rPr>
          <w:rFonts w:hint="eastAsia"/>
          <w:szCs w:val="28"/>
        </w:rPr>
        <w:t>；</w:t>
      </w:r>
      <w:r>
        <w:rPr>
          <w:szCs w:val="28"/>
        </w:rPr>
        <w:t>NOx: 8.25t/a</w:t>
      </w:r>
      <w:r>
        <w:rPr>
          <w:rFonts w:hint="eastAsia"/>
          <w:szCs w:val="28"/>
        </w:rPr>
        <w:t>；</w:t>
      </w:r>
      <w:r>
        <w:rPr>
          <w:szCs w:val="28"/>
        </w:rPr>
        <w:t>NH</w:t>
      </w:r>
      <w:r>
        <w:rPr>
          <w:szCs w:val="28"/>
          <w:vertAlign w:val="subscript"/>
        </w:rPr>
        <w:t>3</w:t>
      </w:r>
      <w:r>
        <w:rPr>
          <w:szCs w:val="28"/>
        </w:rPr>
        <w:t>-N</w:t>
      </w:r>
      <w:r>
        <w:rPr>
          <w:rFonts w:hint="eastAsia"/>
          <w:szCs w:val="28"/>
        </w:rPr>
        <w:t>：</w:t>
      </w:r>
      <w:r>
        <w:rPr>
          <w:szCs w:val="28"/>
        </w:rPr>
        <w:t>0.3t/a</w:t>
      </w:r>
      <w:r>
        <w:rPr>
          <w:rFonts w:hint="eastAsia"/>
          <w:szCs w:val="28"/>
        </w:rPr>
        <w:t>；</w:t>
      </w:r>
      <w:r>
        <w:rPr>
          <w:szCs w:val="28"/>
        </w:rPr>
        <w:t>TVOC</w:t>
      </w:r>
      <w:r>
        <w:rPr>
          <w:rFonts w:hint="eastAsia"/>
          <w:szCs w:val="28"/>
        </w:rPr>
        <w:t>：</w:t>
      </w:r>
      <w:r>
        <w:rPr>
          <w:szCs w:val="28"/>
        </w:rPr>
        <w:t xml:space="preserve">0.28t/a </w:t>
      </w:r>
      <w:r>
        <w:rPr>
          <w:rFonts w:hint="eastAsia"/>
          <w:szCs w:val="28"/>
        </w:rPr>
        <w:t>；粉尘：</w:t>
      </w:r>
      <w:r>
        <w:rPr>
          <w:szCs w:val="28"/>
        </w:rPr>
        <w:t>0.67 t/a</w:t>
      </w:r>
      <w:r>
        <w:rPr>
          <w:rFonts w:hint="eastAsia"/>
          <w:szCs w:val="28"/>
        </w:rPr>
        <w:t>。</w:t>
      </w:r>
      <w:r>
        <w:rPr>
          <w:szCs w:val="28"/>
        </w:rPr>
        <w:t xml:space="preserve"> </w:t>
      </w:r>
    </w:p>
    <w:p>
      <w:pPr>
        <w:pStyle w:val="4"/>
      </w:pPr>
      <w:bookmarkStart w:id="40" w:name="_Toc27378"/>
      <w:r>
        <w:t>6.5</w:t>
      </w:r>
      <w:r>
        <w:rPr>
          <w:rFonts w:hint="eastAsia"/>
        </w:rPr>
        <w:t>卫生防护距离</w:t>
      </w:r>
      <w:bookmarkEnd w:id="40"/>
    </w:p>
    <w:p>
      <w:pPr>
        <w:adjustRightInd w:val="0"/>
        <w:snapToGrid w:val="0"/>
        <w:spacing w:line="360" w:lineRule="auto"/>
        <w:ind w:firstLine="480" w:firstLineChars="200"/>
        <w:rPr>
          <w:rFonts w:ascii="??_GB2312" w:hAnsi="宋体"/>
        </w:rPr>
      </w:pPr>
      <w:r>
        <w:rPr>
          <w:rFonts w:hint="eastAsia"/>
        </w:rPr>
        <w:t>根据</w:t>
      </w:r>
      <w:r>
        <w:rPr>
          <w:rFonts w:hint="eastAsia"/>
          <w:szCs w:val="28"/>
        </w:rPr>
        <w:t>韶环审</w:t>
      </w:r>
      <w:r>
        <w:rPr>
          <w:szCs w:val="28"/>
        </w:rPr>
        <w:t>[2015]348</w:t>
      </w:r>
      <w:r>
        <w:rPr>
          <w:rFonts w:hint="eastAsia"/>
          <w:szCs w:val="28"/>
        </w:rPr>
        <w:t>号《关于翁源广业清怡食品科技有限公司年产</w:t>
      </w:r>
      <w:r>
        <w:rPr>
          <w:szCs w:val="28"/>
        </w:rPr>
        <w:t>600</w:t>
      </w:r>
      <w:r>
        <w:rPr>
          <w:rFonts w:hint="eastAsia"/>
          <w:szCs w:val="28"/>
        </w:rPr>
        <w:t>吨食品抗氧化剂</w:t>
      </w:r>
      <w:r>
        <w:rPr>
          <w:szCs w:val="28"/>
        </w:rPr>
        <w:t>TBHQ</w:t>
      </w:r>
      <w:r>
        <w:rPr>
          <w:rFonts w:hint="eastAsia"/>
          <w:szCs w:val="28"/>
        </w:rPr>
        <w:t>建设项目环境影响报告书审批意见的函》</w:t>
      </w:r>
      <w:r>
        <w:rPr>
          <w:rFonts w:hint="eastAsia" w:ascii="??_GB2312" w:hAnsi="宋体"/>
        </w:rPr>
        <w:t>文要求本项目</w:t>
      </w:r>
      <w:r>
        <w:rPr>
          <w:rFonts w:hint="eastAsia" w:ascii="??_GB2312" w:hAnsi="宋体"/>
          <w:szCs w:val="28"/>
        </w:rPr>
        <w:t>须设置</w:t>
      </w:r>
      <w:r>
        <w:rPr>
          <w:szCs w:val="28"/>
        </w:rPr>
        <w:t>100</w:t>
      </w:r>
      <w:r>
        <w:rPr>
          <w:rFonts w:hint="eastAsia" w:ascii="??_GB2312" w:hAnsi="宋体"/>
          <w:szCs w:val="28"/>
        </w:rPr>
        <w:t>米的卫生防护距离，要本项目卫生防护距离未落实的条件下，不得进行生产或试生产。</w:t>
      </w:r>
    </w:p>
    <w:p>
      <w:pPr>
        <w:pStyle w:val="4"/>
        <w:numPr>
          <w:ilvl w:val="0"/>
          <w:numId w:val="7"/>
        </w:numPr>
      </w:pPr>
      <w:bookmarkStart w:id="41" w:name="_Toc2988"/>
      <w:r>
        <w:rPr>
          <w:rFonts w:hint="eastAsia"/>
        </w:rPr>
        <w:t>验收监测内容</w:t>
      </w:r>
      <w:bookmarkEnd w:id="41"/>
    </w:p>
    <w:p>
      <w:pPr>
        <w:adjustRightInd w:val="0"/>
        <w:snapToGrid w:val="0"/>
        <w:spacing w:line="360" w:lineRule="auto"/>
        <w:ind w:firstLine="570"/>
        <w:rPr>
          <w:szCs w:val="28"/>
        </w:rPr>
      </w:pPr>
      <w:r>
        <w:rPr>
          <w:rFonts w:hint="eastAsia"/>
          <w:szCs w:val="28"/>
        </w:rPr>
        <w:t>广东中誉科诚检测技术有限公司按照《翁源广业清怡食品科技有限公司年产</w:t>
      </w:r>
      <w:r>
        <w:rPr>
          <w:szCs w:val="28"/>
        </w:rPr>
        <w:t>600</w:t>
      </w:r>
      <w:r>
        <w:rPr>
          <w:rFonts w:hint="eastAsia"/>
          <w:szCs w:val="28"/>
        </w:rPr>
        <w:t>吨抗氧化剂</w:t>
      </w:r>
      <w:r>
        <w:rPr>
          <w:szCs w:val="28"/>
        </w:rPr>
        <w:t>TBHQ</w:t>
      </w:r>
      <w:r>
        <w:rPr>
          <w:rFonts w:hint="eastAsia"/>
          <w:szCs w:val="28"/>
        </w:rPr>
        <w:t>建设项目环境保护设施“三同时”竣工验收监测方案》的要求对此项目排放的废水、废气以及厂界噪声进行了现场监测。</w:t>
      </w:r>
      <w:r>
        <w:rPr>
          <w:rFonts w:hint="eastAsia"/>
          <w:bCs/>
          <w:szCs w:val="28"/>
        </w:rPr>
        <w:t>验收监测在工况稳定、生产负荷达到</w:t>
      </w:r>
      <w:r>
        <w:rPr>
          <w:bCs/>
          <w:szCs w:val="28"/>
        </w:rPr>
        <w:t>75%</w:t>
      </w:r>
      <w:r>
        <w:rPr>
          <w:rFonts w:hint="eastAsia"/>
          <w:bCs/>
          <w:szCs w:val="28"/>
        </w:rPr>
        <w:t>以上的情况下进行。检测因子与频次见表</w:t>
      </w:r>
      <w:r>
        <w:rPr>
          <w:bCs/>
          <w:szCs w:val="28"/>
        </w:rPr>
        <w:t>7-1</w:t>
      </w:r>
      <w:r>
        <w:rPr>
          <w:rFonts w:hint="eastAsia"/>
          <w:bCs/>
          <w:szCs w:val="28"/>
        </w:rPr>
        <w:t>。</w:t>
      </w:r>
    </w:p>
    <w:p>
      <w:pPr>
        <w:adjustRightInd w:val="0"/>
        <w:snapToGrid w:val="0"/>
        <w:spacing w:line="360" w:lineRule="auto"/>
        <w:ind w:firstLine="570"/>
        <w:jc w:val="center"/>
        <w:rPr>
          <w:szCs w:val="28"/>
        </w:rPr>
      </w:pPr>
      <w:r>
        <w:rPr>
          <w:rFonts w:hint="eastAsia"/>
          <w:szCs w:val="28"/>
        </w:rPr>
        <w:t>表</w:t>
      </w:r>
      <w:r>
        <w:rPr>
          <w:szCs w:val="28"/>
        </w:rPr>
        <w:t xml:space="preserve">7-1    </w:t>
      </w:r>
      <w:r>
        <w:rPr>
          <w:rFonts w:hint="eastAsia"/>
          <w:szCs w:val="28"/>
        </w:rPr>
        <w:t>监测因子与监测频次</w:t>
      </w:r>
    </w:p>
    <w:tbl>
      <w:tblPr>
        <w:tblStyle w:val="47"/>
        <w:tblW w:w="10123" w:type="dxa"/>
        <w:jc w:val="center"/>
        <w:tblInd w:w="-41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20"/>
        <w:gridCol w:w="990"/>
        <w:gridCol w:w="2644"/>
        <w:gridCol w:w="3234"/>
        <w:gridCol w:w="25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4354" w:type="dxa"/>
            <w:gridSpan w:val="3"/>
            <w:vAlign w:val="center"/>
          </w:tcPr>
          <w:p>
            <w:pPr>
              <w:tabs>
                <w:tab w:val="left" w:pos="920"/>
                <w:tab w:val="left" w:pos="1480"/>
                <w:tab w:val="left" w:pos="2040"/>
              </w:tabs>
              <w:autoSpaceDE w:val="0"/>
              <w:autoSpaceDN w:val="0"/>
              <w:adjustRightInd w:val="0"/>
              <w:ind w:right="-20"/>
              <w:jc w:val="center"/>
              <w:rPr>
                <w:b/>
                <w:spacing w:val="1"/>
                <w:kern w:val="0"/>
              </w:rPr>
            </w:pPr>
            <w:r>
              <w:rPr>
                <w:rFonts w:hint="eastAsia"/>
                <w:b/>
                <w:kern w:val="0"/>
              </w:rPr>
              <w:t>验收项目</w:t>
            </w:r>
          </w:p>
        </w:tc>
        <w:tc>
          <w:tcPr>
            <w:tcW w:w="3234" w:type="dxa"/>
            <w:vAlign w:val="center"/>
          </w:tcPr>
          <w:p>
            <w:pPr>
              <w:autoSpaceDE w:val="0"/>
              <w:autoSpaceDN w:val="0"/>
              <w:adjustRightInd w:val="0"/>
              <w:ind w:right="-20"/>
              <w:jc w:val="center"/>
              <w:rPr>
                <w:b/>
                <w:spacing w:val="1"/>
                <w:kern w:val="0"/>
              </w:rPr>
            </w:pPr>
            <w:r>
              <w:rPr>
                <w:rFonts w:hint="eastAsia"/>
                <w:b/>
                <w:kern w:val="0"/>
              </w:rPr>
              <w:t>监测因子</w:t>
            </w:r>
          </w:p>
        </w:tc>
        <w:tc>
          <w:tcPr>
            <w:tcW w:w="2535" w:type="dxa"/>
            <w:vAlign w:val="center"/>
          </w:tcPr>
          <w:p>
            <w:pPr>
              <w:autoSpaceDE w:val="0"/>
              <w:autoSpaceDN w:val="0"/>
              <w:adjustRightInd w:val="0"/>
              <w:ind w:left="547" w:right="-20"/>
              <w:rPr>
                <w:b/>
                <w:spacing w:val="1"/>
                <w:kern w:val="0"/>
              </w:rPr>
            </w:pPr>
            <w:r>
              <w:rPr>
                <w:rFonts w:hint="eastAsia"/>
                <w:b/>
                <w:kern w:val="0"/>
              </w:rPr>
              <w:t>监测频次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6" w:hRule="atLeast"/>
          <w:jc w:val="center"/>
        </w:trPr>
        <w:tc>
          <w:tcPr>
            <w:tcW w:w="720" w:type="dxa"/>
            <w:vMerge w:val="restart"/>
            <w:vAlign w:val="center"/>
          </w:tcPr>
          <w:p>
            <w:pPr>
              <w:jc w:val="center"/>
              <w:rPr>
                <w:kern w:val="0"/>
                <w:position w:val="-2"/>
              </w:rPr>
            </w:pPr>
            <w:r>
              <w:rPr>
                <w:rFonts w:hint="eastAsia"/>
                <w:kern w:val="0"/>
                <w:position w:val="-2"/>
              </w:rPr>
              <w:t>废水</w:t>
            </w:r>
          </w:p>
        </w:tc>
        <w:tc>
          <w:tcPr>
            <w:tcW w:w="3634" w:type="dxa"/>
            <w:gridSpan w:val="2"/>
            <w:vAlign w:val="center"/>
          </w:tcPr>
          <w:p>
            <w:pPr>
              <w:jc w:val="center"/>
              <w:rPr>
                <w:color w:val="000000"/>
              </w:rPr>
            </w:pPr>
            <w:r>
              <w:rPr>
                <w:rFonts w:hint="eastAsia"/>
                <w:color w:val="000000"/>
              </w:rPr>
              <w:t>污水处理设施进水口</w:t>
            </w:r>
          </w:p>
        </w:tc>
        <w:tc>
          <w:tcPr>
            <w:tcW w:w="3234" w:type="dxa"/>
            <w:vMerge w:val="restart"/>
            <w:vAlign w:val="center"/>
          </w:tcPr>
          <w:p>
            <w:pPr>
              <w:jc w:val="center"/>
            </w:pPr>
            <w:r>
              <w:t>pH</w:t>
            </w:r>
            <w:r>
              <w:rPr>
                <w:rFonts w:hint="eastAsia"/>
              </w:rPr>
              <w:t>值、悬浮物、化学需氧量</w:t>
            </w:r>
            <w:r>
              <w:t xml:space="preserve"> </w:t>
            </w:r>
          </w:p>
          <w:p>
            <w:r>
              <w:rPr>
                <w:rFonts w:hint="eastAsia"/>
              </w:rPr>
              <w:t>、五日生化需氧量、氨氮、总磷、动植物油、阴离子表面活性剂</w:t>
            </w:r>
          </w:p>
        </w:tc>
        <w:tc>
          <w:tcPr>
            <w:tcW w:w="2535" w:type="dxa"/>
            <w:vAlign w:val="center"/>
          </w:tcPr>
          <w:p>
            <w:pPr>
              <w:jc w:val="center"/>
            </w:pPr>
            <w:r>
              <w:t>3</w:t>
            </w:r>
            <w:r>
              <w:rPr>
                <w:rFonts w:hint="eastAsia"/>
              </w:rPr>
              <w:t>次</w:t>
            </w:r>
            <w:r>
              <w:t>/</w:t>
            </w:r>
            <w:r>
              <w:rPr>
                <w:rFonts w:hint="eastAsia"/>
              </w:rPr>
              <w:t>天，</w:t>
            </w:r>
            <w:r>
              <w:rPr>
                <w:rFonts w:hint="eastAsia"/>
                <w:kern w:val="0"/>
                <w:position w:val="-2"/>
              </w:rPr>
              <w:t>连续监测</w:t>
            </w:r>
            <w:r>
              <w:t>2</w:t>
            </w:r>
            <w:r>
              <w:rPr>
                <w:rFonts w:hint="eastAsia"/>
              </w:rPr>
              <w:t>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jc w:val="center"/>
        </w:trPr>
        <w:tc>
          <w:tcPr>
            <w:tcW w:w="720" w:type="dxa"/>
            <w:vMerge w:val="continue"/>
            <w:vAlign w:val="center"/>
          </w:tcPr>
          <w:p>
            <w:pPr>
              <w:jc w:val="center"/>
              <w:rPr>
                <w:kern w:val="0"/>
                <w:position w:val="-2"/>
              </w:rPr>
            </w:pPr>
          </w:p>
        </w:tc>
        <w:tc>
          <w:tcPr>
            <w:tcW w:w="3634" w:type="dxa"/>
            <w:gridSpan w:val="2"/>
            <w:vAlign w:val="center"/>
          </w:tcPr>
          <w:p>
            <w:pPr>
              <w:jc w:val="center"/>
              <w:rPr>
                <w:color w:val="000000"/>
              </w:rPr>
            </w:pPr>
            <w:r>
              <w:rPr>
                <w:rFonts w:hint="eastAsia"/>
                <w:color w:val="000000"/>
              </w:rPr>
              <w:t>污水处理设施排放口</w:t>
            </w:r>
          </w:p>
        </w:tc>
        <w:tc>
          <w:tcPr>
            <w:tcW w:w="3234" w:type="dxa"/>
            <w:vMerge w:val="continue"/>
            <w:vAlign w:val="center"/>
          </w:tcPr>
          <w:p>
            <w:pPr>
              <w:adjustRightInd w:val="0"/>
              <w:snapToGrid w:val="0"/>
              <w:spacing w:line="240" w:lineRule="atLeast"/>
              <w:jc w:val="center"/>
            </w:pPr>
          </w:p>
        </w:tc>
        <w:tc>
          <w:tcPr>
            <w:tcW w:w="2535" w:type="dxa"/>
            <w:vAlign w:val="center"/>
          </w:tcPr>
          <w:p>
            <w:pPr>
              <w:wordWrap w:val="0"/>
              <w:jc w:val="center"/>
              <w:rPr>
                <w:kern w:val="0"/>
                <w:position w:val="-2"/>
              </w:rPr>
            </w:pPr>
            <w:r>
              <w:t>3</w:t>
            </w:r>
            <w:r>
              <w:rPr>
                <w:rFonts w:hint="eastAsia"/>
              </w:rPr>
              <w:t>次</w:t>
            </w:r>
            <w:r>
              <w:t>/</w:t>
            </w:r>
            <w:r>
              <w:rPr>
                <w:rFonts w:hint="eastAsia"/>
              </w:rPr>
              <w:t>天，</w:t>
            </w:r>
            <w:r>
              <w:rPr>
                <w:rFonts w:hint="eastAsia"/>
                <w:kern w:val="0"/>
                <w:position w:val="-2"/>
              </w:rPr>
              <w:t>连续监测</w:t>
            </w:r>
            <w:r>
              <w:t>2</w:t>
            </w:r>
            <w:r>
              <w:rPr>
                <w:rFonts w:hint="eastAsia"/>
              </w:rPr>
              <w:t>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30" w:hRule="atLeast"/>
          <w:jc w:val="center"/>
        </w:trPr>
        <w:tc>
          <w:tcPr>
            <w:tcW w:w="720" w:type="dxa"/>
            <w:vMerge w:val="restart"/>
            <w:vAlign w:val="center"/>
          </w:tcPr>
          <w:p>
            <w:pPr>
              <w:jc w:val="center"/>
              <w:rPr>
                <w:kern w:val="0"/>
                <w:position w:val="-2"/>
              </w:rPr>
            </w:pPr>
            <w:r>
              <w:rPr>
                <w:rFonts w:hint="eastAsia"/>
                <w:kern w:val="0"/>
                <w:position w:val="-2"/>
              </w:rPr>
              <w:t>废气</w:t>
            </w:r>
          </w:p>
        </w:tc>
        <w:tc>
          <w:tcPr>
            <w:tcW w:w="990" w:type="dxa"/>
            <w:vMerge w:val="restart"/>
            <w:vAlign w:val="center"/>
          </w:tcPr>
          <w:p>
            <w:pPr>
              <w:jc w:val="center"/>
              <w:rPr>
                <w:kern w:val="0"/>
                <w:position w:val="-2"/>
              </w:rPr>
            </w:pPr>
            <w:r>
              <w:rPr>
                <w:rFonts w:hint="eastAsia"/>
                <w:kern w:val="0"/>
                <w:position w:val="-2"/>
              </w:rPr>
              <w:t>有组织</w:t>
            </w:r>
          </w:p>
        </w:tc>
        <w:tc>
          <w:tcPr>
            <w:tcW w:w="2644" w:type="dxa"/>
            <w:vAlign w:val="center"/>
          </w:tcPr>
          <w:p>
            <w:pPr>
              <w:jc w:val="center"/>
              <w:rPr>
                <w:kern w:val="0"/>
                <w:position w:val="-2"/>
              </w:rPr>
            </w:pPr>
            <w:r>
              <w:rPr>
                <w:rFonts w:hint="eastAsia"/>
                <w:kern w:val="0"/>
                <w:position w:val="-2"/>
              </w:rPr>
              <w:t>车间废气排气筒采样口</w:t>
            </w:r>
          </w:p>
        </w:tc>
        <w:tc>
          <w:tcPr>
            <w:tcW w:w="3234" w:type="dxa"/>
            <w:vAlign w:val="center"/>
          </w:tcPr>
          <w:p>
            <w:pPr>
              <w:jc w:val="center"/>
            </w:pPr>
            <w:r>
              <w:t>VOCs</w:t>
            </w:r>
            <w:r>
              <w:rPr>
                <w:rFonts w:hint="eastAsia"/>
              </w:rPr>
              <w:t>、二甲苯、废气流量</w:t>
            </w:r>
          </w:p>
        </w:tc>
        <w:tc>
          <w:tcPr>
            <w:tcW w:w="2535" w:type="dxa"/>
            <w:vMerge w:val="restart"/>
            <w:vAlign w:val="center"/>
          </w:tcPr>
          <w:p>
            <w:pPr>
              <w:jc w:val="center"/>
            </w:pPr>
            <w:r>
              <w:t>3</w:t>
            </w:r>
            <w:r>
              <w:rPr>
                <w:rFonts w:hint="eastAsia"/>
              </w:rPr>
              <w:t>次</w:t>
            </w:r>
            <w:r>
              <w:t>/</w:t>
            </w:r>
            <w:r>
              <w:rPr>
                <w:rFonts w:hint="eastAsia"/>
              </w:rPr>
              <w:t>天，</w:t>
            </w:r>
            <w:r>
              <w:rPr>
                <w:rFonts w:hint="eastAsia"/>
                <w:kern w:val="0"/>
                <w:position w:val="-2"/>
              </w:rPr>
              <w:t>连续监测</w:t>
            </w:r>
            <w:r>
              <w:t>2</w:t>
            </w:r>
            <w:r>
              <w:rPr>
                <w:rFonts w:hint="eastAsia"/>
              </w:rPr>
              <w:t>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2" w:hRule="atLeast"/>
          <w:jc w:val="center"/>
        </w:trPr>
        <w:tc>
          <w:tcPr>
            <w:tcW w:w="720" w:type="dxa"/>
            <w:vMerge w:val="continue"/>
            <w:vAlign w:val="center"/>
          </w:tcPr>
          <w:p>
            <w:pPr>
              <w:jc w:val="center"/>
              <w:rPr>
                <w:kern w:val="0"/>
                <w:position w:val="-2"/>
              </w:rPr>
            </w:pPr>
          </w:p>
        </w:tc>
        <w:tc>
          <w:tcPr>
            <w:tcW w:w="990" w:type="dxa"/>
            <w:vMerge w:val="continue"/>
            <w:vAlign w:val="center"/>
          </w:tcPr>
          <w:p>
            <w:pPr>
              <w:jc w:val="center"/>
              <w:rPr>
                <w:kern w:val="0"/>
                <w:position w:val="-2"/>
              </w:rPr>
            </w:pPr>
          </w:p>
        </w:tc>
        <w:tc>
          <w:tcPr>
            <w:tcW w:w="2644" w:type="dxa"/>
            <w:vAlign w:val="center"/>
          </w:tcPr>
          <w:p>
            <w:pPr>
              <w:jc w:val="center"/>
              <w:rPr>
                <w:kern w:val="0"/>
                <w:position w:val="-2"/>
              </w:rPr>
            </w:pPr>
            <w:r>
              <w:rPr>
                <w:rFonts w:hint="eastAsia"/>
                <w:kern w:val="0"/>
                <w:position w:val="-2"/>
              </w:rPr>
              <w:t>锅炉废气排气筒采样口</w:t>
            </w:r>
          </w:p>
        </w:tc>
        <w:tc>
          <w:tcPr>
            <w:tcW w:w="3234" w:type="dxa"/>
            <w:vAlign w:val="center"/>
          </w:tcPr>
          <w:p>
            <w:pPr>
              <w:jc w:val="center"/>
            </w:pPr>
            <w:r>
              <w:t>SO</w:t>
            </w:r>
            <w:r>
              <w:rPr>
                <w:vertAlign w:val="subscript"/>
              </w:rPr>
              <w:t>2</w:t>
            </w:r>
            <w:r>
              <w:rPr>
                <w:rFonts w:hint="eastAsia"/>
              </w:rPr>
              <w:t>、</w:t>
            </w:r>
            <w:r>
              <w:t>NO</w:t>
            </w:r>
            <w:r>
              <w:rPr>
                <w:vertAlign w:val="subscript"/>
              </w:rPr>
              <w:t>X</w:t>
            </w:r>
            <w:r>
              <w:rPr>
                <w:rFonts w:hint="eastAsia"/>
              </w:rPr>
              <w:t>、烟尘、烟气黑度、废气流量</w:t>
            </w:r>
          </w:p>
        </w:tc>
        <w:tc>
          <w:tcPr>
            <w:tcW w:w="2535" w:type="dxa"/>
            <w:vMerge w:val="continue"/>
            <w:vAlign w:val="center"/>
          </w:tcPr>
          <w:p>
            <w:pPr>
              <w:wordWrap w:val="0"/>
              <w:autoSpaceDE w:val="0"/>
              <w:autoSpaceDN w:val="0"/>
              <w:adjustRightInd w:val="0"/>
              <w:spacing w:line="312" w:lineRule="exact"/>
              <w:ind w:left="108" w:right="39"/>
              <w:jc w:val="center"/>
              <w:rPr>
                <w:kern w:val="0"/>
                <w:position w:val="-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91" w:hRule="atLeast"/>
          <w:jc w:val="center"/>
        </w:trPr>
        <w:tc>
          <w:tcPr>
            <w:tcW w:w="720" w:type="dxa"/>
            <w:vMerge w:val="continue"/>
            <w:vAlign w:val="center"/>
          </w:tcPr>
          <w:p>
            <w:pPr>
              <w:jc w:val="center"/>
              <w:rPr>
                <w:kern w:val="0"/>
                <w:position w:val="-2"/>
              </w:rPr>
            </w:pPr>
          </w:p>
        </w:tc>
        <w:tc>
          <w:tcPr>
            <w:tcW w:w="990" w:type="dxa"/>
            <w:vMerge w:val="restart"/>
            <w:vAlign w:val="center"/>
          </w:tcPr>
          <w:p>
            <w:pPr>
              <w:jc w:val="center"/>
              <w:rPr>
                <w:kern w:val="0"/>
                <w:position w:val="-2"/>
              </w:rPr>
            </w:pPr>
            <w:r>
              <w:rPr>
                <w:rFonts w:hint="eastAsia"/>
                <w:kern w:val="0"/>
                <w:position w:val="-2"/>
              </w:rPr>
              <w:t>无组织</w:t>
            </w:r>
          </w:p>
        </w:tc>
        <w:tc>
          <w:tcPr>
            <w:tcW w:w="2644" w:type="dxa"/>
            <w:vAlign w:val="center"/>
          </w:tcPr>
          <w:p>
            <w:pPr>
              <w:jc w:val="center"/>
              <w:rPr>
                <w:kern w:val="0"/>
                <w:position w:val="-2"/>
              </w:rPr>
            </w:pPr>
            <w:r>
              <w:rPr>
                <w:rFonts w:hint="eastAsia"/>
                <w:kern w:val="0"/>
                <w:position w:val="-2"/>
              </w:rPr>
              <w:t>厂界上风向一个</w:t>
            </w:r>
          </w:p>
        </w:tc>
        <w:tc>
          <w:tcPr>
            <w:tcW w:w="3234" w:type="dxa"/>
            <w:vMerge w:val="restart"/>
            <w:vAlign w:val="center"/>
          </w:tcPr>
          <w:p>
            <w:pPr>
              <w:jc w:val="center"/>
            </w:pPr>
            <w:r>
              <w:t>VOC</w:t>
            </w:r>
            <w:r>
              <w:rPr>
                <w:vertAlign w:val="subscript"/>
              </w:rPr>
              <w:t>s</w:t>
            </w:r>
            <w:r>
              <w:rPr>
                <w:rFonts w:hint="eastAsia"/>
              </w:rPr>
              <w:t>、二甲苯、</w:t>
            </w:r>
            <w:r>
              <w:t>TSP</w:t>
            </w:r>
            <w:r>
              <w:rPr>
                <w:rFonts w:hint="eastAsia"/>
              </w:rPr>
              <w:t>、</w:t>
            </w:r>
          </w:p>
          <w:p>
            <w:pPr>
              <w:jc w:val="center"/>
            </w:pPr>
            <w:r>
              <w:rPr>
                <w:rFonts w:hint="eastAsia"/>
              </w:rPr>
              <w:t>臭气浓度、氨、硫化氢</w:t>
            </w:r>
          </w:p>
        </w:tc>
        <w:tc>
          <w:tcPr>
            <w:tcW w:w="2535" w:type="dxa"/>
            <w:vMerge w:val="restart"/>
            <w:vAlign w:val="center"/>
          </w:tcPr>
          <w:p>
            <w:pPr>
              <w:wordWrap w:val="0"/>
              <w:autoSpaceDE w:val="0"/>
              <w:autoSpaceDN w:val="0"/>
              <w:adjustRightInd w:val="0"/>
              <w:spacing w:line="312" w:lineRule="exact"/>
              <w:ind w:left="108" w:right="39"/>
              <w:jc w:val="center"/>
              <w:rPr>
                <w:kern w:val="0"/>
                <w:position w:val="-2"/>
              </w:rPr>
            </w:pPr>
            <w:r>
              <w:rPr>
                <w:kern w:val="0"/>
                <w:position w:val="-2"/>
              </w:rPr>
              <w:t>1</w:t>
            </w:r>
            <w:r>
              <w:rPr>
                <w:rFonts w:hint="eastAsia"/>
                <w:kern w:val="0"/>
                <w:position w:val="-2"/>
              </w:rPr>
              <w:t>次</w:t>
            </w:r>
            <w:r>
              <w:rPr>
                <w:kern w:val="0"/>
                <w:position w:val="-2"/>
              </w:rPr>
              <w:t>/</w:t>
            </w:r>
            <w:r>
              <w:rPr>
                <w:rFonts w:hint="eastAsia"/>
                <w:kern w:val="0"/>
                <w:position w:val="-2"/>
              </w:rPr>
              <w:t>天，连续监测</w:t>
            </w:r>
            <w:r>
              <w:rPr>
                <w:kern w:val="0"/>
                <w:position w:val="-2"/>
              </w:rPr>
              <w:t>2</w:t>
            </w:r>
            <w:r>
              <w:rPr>
                <w:rFonts w:hint="eastAsia"/>
                <w:kern w:val="0"/>
                <w:position w:val="-2"/>
              </w:rPr>
              <w:t>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3" w:hRule="atLeast"/>
          <w:jc w:val="center"/>
        </w:trPr>
        <w:tc>
          <w:tcPr>
            <w:tcW w:w="720" w:type="dxa"/>
            <w:vMerge w:val="continue"/>
            <w:vAlign w:val="center"/>
          </w:tcPr>
          <w:p>
            <w:pPr>
              <w:jc w:val="center"/>
              <w:rPr>
                <w:kern w:val="0"/>
                <w:position w:val="-2"/>
              </w:rPr>
            </w:pPr>
          </w:p>
        </w:tc>
        <w:tc>
          <w:tcPr>
            <w:tcW w:w="990" w:type="dxa"/>
            <w:vMerge w:val="continue"/>
            <w:vAlign w:val="center"/>
          </w:tcPr>
          <w:p>
            <w:pPr>
              <w:jc w:val="center"/>
              <w:rPr>
                <w:kern w:val="0"/>
                <w:position w:val="-2"/>
              </w:rPr>
            </w:pPr>
          </w:p>
        </w:tc>
        <w:tc>
          <w:tcPr>
            <w:tcW w:w="2644" w:type="dxa"/>
            <w:vAlign w:val="center"/>
          </w:tcPr>
          <w:p>
            <w:pPr>
              <w:jc w:val="center"/>
              <w:rPr>
                <w:kern w:val="0"/>
                <w:position w:val="-2"/>
              </w:rPr>
            </w:pPr>
            <w:r>
              <w:rPr>
                <w:rFonts w:hint="eastAsia"/>
                <w:kern w:val="0"/>
                <w:position w:val="-2"/>
              </w:rPr>
              <w:t>厂界下风向三个</w:t>
            </w:r>
          </w:p>
        </w:tc>
        <w:tc>
          <w:tcPr>
            <w:tcW w:w="3234" w:type="dxa"/>
            <w:vMerge w:val="continue"/>
            <w:vAlign w:val="center"/>
          </w:tcPr>
          <w:p>
            <w:pPr>
              <w:jc w:val="center"/>
              <w:rPr>
                <w:kern w:val="0"/>
                <w:position w:val="-2"/>
              </w:rPr>
            </w:pPr>
          </w:p>
        </w:tc>
        <w:tc>
          <w:tcPr>
            <w:tcW w:w="2535" w:type="dxa"/>
            <w:vMerge w:val="continue"/>
            <w:vAlign w:val="center"/>
          </w:tcPr>
          <w:p>
            <w:pPr>
              <w:wordWrap w:val="0"/>
              <w:autoSpaceDE w:val="0"/>
              <w:autoSpaceDN w:val="0"/>
              <w:adjustRightInd w:val="0"/>
              <w:spacing w:line="312" w:lineRule="exact"/>
              <w:ind w:left="108" w:right="39"/>
              <w:jc w:val="center"/>
              <w:rPr>
                <w:kern w:val="0"/>
                <w:position w:val="-2"/>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jc w:val="center"/>
        </w:trPr>
        <w:tc>
          <w:tcPr>
            <w:tcW w:w="720" w:type="dxa"/>
            <w:vAlign w:val="center"/>
          </w:tcPr>
          <w:p>
            <w:pPr>
              <w:jc w:val="center"/>
              <w:rPr>
                <w:kern w:val="0"/>
                <w:position w:val="-2"/>
              </w:rPr>
            </w:pPr>
            <w:r>
              <w:rPr>
                <w:rFonts w:hint="eastAsia"/>
                <w:kern w:val="0"/>
                <w:position w:val="-2"/>
              </w:rPr>
              <w:t>噪声</w:t>
            </w:r>
          </w:p>
        </w:tc>
        <w:tc>
          <w:tcPr>
            <w:tcW w:w="3634" w:type="dxa"/>
            <w:gridSpan w:val="2"/>
            <w:vAlign w:val="center"/>
          </w:tcPr>
          <w:p>
            <w:pPr>
              <w:wordWrap w:val="0"/>
              <w:topLinePunct/>
              <w:jc w:val="center"/>
              <w:rPr>
                <w:kern w:val="0"/>
                <w:position w:val="-2"/>
              </w:rPr>
            </w:pPr>
            <w:r>
              <w:rPr>
                <w:rFonts w:hint="eastAsia"/>
                <w:kern w:val="0"/>
                <w:position w:val="-2"/>
              </w:rPr>
              <w:t>厂界四个边界各布设</w:t>
            </w:r>
            <w:r>
              <w:rPr>
                <w:kern w:val="0"/>
                <w:position w:val="-2"/>
              </w:rPr>
              <w:t xml:space="preserve">1 </w:t>
            </w:r>
            <w:r>
              <w:rPr>
                <w:rFonts w:hint="eastAsia"/>
                <w:kern w:val="0"/>
                <w:position w:val="-2"/>
              </w:rPr>
              <w:t>个监测点位，共</w:t>
            </w:r>
            <w:r>
              <w:rPr>
                <w:kern w:val="0"/>
                <w:position w:val="-2"/>
              </w:rPr>
              <w:t>4</w:t>
            </w:r>
            <w:r>
              <w:rPr>
                <w:rFonts w:hint="eastAsia"/>
                <w:kern w:val="0"/>
                <w:position w:val="-2"/>
              </w:rPr>
              <w:t>个监测点位。</w:t>
            </w:r>
          </w:p>
        </w:tc>
        <w:tc>
          <w:tcPr>
            <w:tcW w:w="3234" w:type="dxa"/>
            <w:vAlign w:val="center"/>
          </w:tcPr>
          <w:p>
            <w:pPr>
              <w:autoSpaceDE w:val="0"/>
              <w:autoSpaceDN w:val="0"/>
              <w:adjustRightInd w:val="0"/>
              <w:ind w:right="-20"/>
              <w:jc w:val="center"/>
              <w:rPr>
                <w:kern w:val="0"/>
                <w:position w:val="-2"/>
              </w:rPr>
            </w:pPr>
            <w:r>
              <w:rPr>
                <w:rFonts w:hint="eastAsia"/>
                <w:kern w:val="0"/>
                <w:position w:val="-2"/>
              </w:rPr>
              <w:t>厂界噪声</w:t>
            </w:r>
          </w:p>
        </w:tc>
        <w:tc>
          <w:tcPr>
            <w:tcW w:w="2535" w:type="dxa"/>
            <w:vAlign w:val="center"/>
          </w:tcPr>
          <w:p>
            <w:pPr>
              <w:wordWrap w:val="0"/>
              <w:autoSpaceDE w:val="0"/>
              <w:autoSpaceDN w:val="0"/>
              <w:adjustRightInd w:val="0"/>
              <w:spacing w:line="312" w:lineRule="exact"/>
              <w:ind w:left="108" w:right="37"/>
              <w:jc w:val="center"/>
              <w:rPr>
                <w:kern w:val="0"/>
                <w:position w:val="-2"/>
              </w:rPr>
            </w:pPr>
            <w:r>
              <w:rPr>
                <w:rFonts w:hint="eastAsia"/>
                <w:kern w:val="0"/>
                <w:position w:val="-2"/>
              </w:rPr>
              <w:t>连续监测</w:t>
            </w:r>
            <w:r>
              <w:rPr>
                <w:kern w:val="0"/>
                <w:position w:val="-2"/>
              </w:rPr>
              <w:t>2</w:t>
            </w:r>
            <w:r>
              <w:rPr>
                <w:rFonts w:hint="eastAsia"/>
                <w:kern w:val="0"/>
                <w:position w:val="-2"/>
              </w:rPr>
              <w:t>天，于昼、夜间监测各</w:t>
            </w:r>
            <w:r>
              <w:rPr>
                <w:kern w:val="0"/>
                <w:position w:val="-2"/>
              </w:rPr>
              <w:t>1</w:t>
            </w:r>
            <w:r>
              <w:rPr>
                <w:rFonts w:hint="eastAsia"/>
                <w:kern w:val="0"/>
                <w:position w:val="-2"/>
              </w:rPr>
              <w:t>次。</w:t>
            </w:r>
          </w:p>
        </w:tc>
      </w:tr>
    </w:tbl>
    <w:p/>
    <w:p>
      <w:pPr>
        <w:pStyle w:val="4"/>
      </w:pPr>
      <w:bookmarkStart w:id="42" w:name="_Toc28418"/>
      <w:r>
        <w:t>8</w:t>
      </w:r>
      <w:r>
        <w:rPr>
          <w:rFonts w:hint="eastAsia"/>
        </w:rPr>
        <w:t>、验收监测数据的质量控制和质量保证</w:t>
      </w:r>
      <w:bookmarkEnd w:id="42"/>
    </w:p>
    <w:p>
      <w:pPr>
        <w:pStyle w:val="4"/>
      </w:pPr>
      <w:bookmarkStart w:id="43" w:name="_Toc31907"/>
      <w:r>
        <w:t xml:space="preserve">8.1 </w:t>
      </w:r>
      <w:r>
        <w:rPr>
          <w:rFonts w:hint="eastAsia"/>
        </w:rPr>
        <w:t>分析方法</w:t>
      </w:r>
      <w:bookmarkEnd w:id="43"/>
    </w:p>
    <w:p>
      <w:pPr>
        <w:adjustRightInd w:val="0"/>
        <w:snapToGrid w:val="0"/>
        <w:spacing w:line="360" w:lineRule="auto"/>
        <w:rPr>
          <w:rFonts w:ascii="??_GB2312" w:hAnsi="宋体"/>
          <w:szCs w:val="28"/>
        </w:rPr>
      </w:pPr>
      <w:r>
        <w:rPr>
          <w:rFonts w:hint="eastAsia"/>
          <w:szCs w:val="28"/>
        </w:rPr>
        <w:t>监测分析方法，见表</w:t>
      </w:r>
      <w:r>
        <w:rPr>
          <w:szCs w:val="28"/>
        </w:rPr>
        <w:t>8-1</w:t>
      </w:r>
      <w:r>
        <w:rPr>
          <w:rFonts w:hint="eastAsia"/>
          <w:szCs w:val="28"/>
        </w:rPr>
        <w:t>。</w:t>
      </w: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rPr>
          <w:rFonts w:ascii="宋体"/>
          <w:b/>
        </w:rPr>
      </w:pPr>
    </w:p>
    <w:p>
      <w:pPr>
        <w:adjustRightInd w:val="0"/>
        <w:snapToGrid w:val="0"/>
        <w:spacing w:line="360" w:lineRule="auto"/>
        <w:jc w:val="center"/>
      </w:pPr>
      <w:r>
        <w:rPr>
          <w:rFonts w:hint="eastAsia" w:ascii="宋体" w:hAnsi="宋体"/>
          <w:b/>
        </w:rPr>
        <w:t>表</w:t>
      </w:r>
      <w:r>
        <w:rPr>
          <w:rFonts w:ascii="宋体" w:hAnsi="宋体"/>
          <w:b/>
        </w:rPr>
        <w:t xml:space="preserve">8-1       </w:t>
      </w:r>
      <w:r>
        <w:rPr>
          <w:rFonts w:hint="eastAsia" w:ascii="宋体" w:hAnsi="宋体"/>
          <w:b/>
        </w:rPr>
        <w:t>监测分析的方法</w:t>
      </w:r>
    </w:p>
    <w:tbl>
      <w:tblPr>
        <w:tblStyle w:val="47"/>
        <w:tblW w:w="10142" w:type="dxa"/>
        <w:jc w:val="center"/>
        <w:tblInd w:w="-16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7"/>
        <w:gridCol w:w="1470"/>
        <w:gridCol w:w="3645"/>
        <w:gridCol w:w="1545"/>
        <w:gridCol w:w="22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Align w:val="center"/>
          </w:tcPr>
          <w:p>
            <w:pPr>
              <w:tabs>
                <w:tab w:val="left" w:pos="6996"/>
              </w:tabs>
              <w:jc w:val="center"/>
              <w:rPr>
                <w:b/>
              </w:rPr>
            </w:pPr>
            <w:r>
              <w:rPr>
                <w:rFonts w:hint="eastAsia"/>
                <w:b/>
                <w:kern w:val="0"/>
              </w:rPr>
              <w:t>检测类型</w:t>
            </w:r>
          </w:p>
        </w:tc>
        <w:tc>
          <w:tcPr>
            <w:tcW w:w="1470" w:type="dxa"/>
            <w:vAlign w:val="center"/>
          </w:tcPr>
          <w:p>
            <w:pPr>
              <w:tabs>
                <w:tab w:val="left" w:pos="6996"/>
              </w:tabs>
              <w:jc w:val="center"/>
              <w:rPr>
                <w:b/>
              </w:rPr>
            </w:pPr>
            <w:r>
              <w:rPr>
                <w:rFonts w:hint="eastAsia"/>
                <w:b/>
              </w:rPr>
              <w:t>检测项目</w:t>
            </w:r>
          </w:p>
        </w:tc>
        <w:tc>
          <w:tcPr>
            <w:tcW w:w="3645" w:type="dxa"/>
            <w:vAlign w:val="center"/>
          </w:tcPr>
          <w:p>
            <w:pPr>
              <w:tabs>
                <w:tab w:val="left" w:pos="6996"/>
              </w:tabs>
              <w:jc w:val="center"/>
              <w:rPr>
                <w:b/>
              </w:rPr>
            </w:pPr>
            <w:r>
              <w:rPr>
                <w:rFonts w:hint="eastAsia"/>
                <w:b/>
              </w:rPr>
              <w:t>检测方法编号（含年号）</w:t>
            </w:r>
          </w:p>
        </w:tc>
        <w:tc>
          <w:tcPr>
            <w:tcW w:w="1545" w:type="dxa"/>
            <w:vAlign w:val="center"/>
          </w:tcPr>
          <w:p>
            <w:pPr>
              <w:tabs>
                <w:tab w:val="left" w:pos="6996"/>
              </w:tabs>
              <w:jc w:val="center"/>
              <w:rPr>
                <w:b/>
              </w:rPr>
            </w:pPr>
            <w:r>
              <w:rPr>
                <w:rFonts w:hint="eastAsia"/>
                <w:b/>
              </w:rPr>
              <w:t>检出限</w:t>
            </w:r>
          </w:p>
        </w:tc>
        <w:tc>
          <w:tcPr>
            <w:tcW w:w="2265" w:type="dxa"/>
            <w:vAlign w:val="center"/>
          </w:tcPr>
          <w:p>
            <w:pPr>
              <w:tabs>
                <w:tab w:val="left" w:pos="6996"/>
              </w:tabs>
              <w:jc w:val="center"/>
              <w:rPr>
                <w:b/>
              </w:rPr>
            </w:pPr>
            <w:r>
              <w:rPr>
                <w:rFonts w:hint="eastAsia"/>
                <w:b/>
              </w:rPr>
              <w:t>检测仪器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restart"/>
            <w:vAlign w:val="center"/>
          </w:tcPr>
          <w:p>
            <w:pPr>
              <w:jc w:val="center"/>
              <w:rPr>
                <w:bCs/>
                <w:color w:val="000000"/>
              </w:rPr>
            </w:pPr>
            <w:r>
              <w:rPr>
                <w:rFonts w:hint="eastAsia"/>
                <w:bCs/>
                <w:color w:val="000000"/>
              </w:rPr>
              <w:t>废水</w:t>
            </w:r>
          </w:p>
        </w:tc>
        <w:tc>
          <w:tcPr>
            <w:tcW w:w="1470" w:type="dxa"/>
            <w:vAlign w:val="center"/>
          </w:tcPr>
          <w:p>
            <w:pPr>
              <w:jc w:val="center"/>
            </w:pPr>
            <w:r>
              <w:t>pH</w:t>
            </w:r>
            <w:r>
              <w:rPr>
                <w:rFonts w:hint="eastAsia"/>
              </w:rPr>
              <w:t>值</w:t>
            </w:r>
          </w:p>
        </w:tc>
        <w:tc>
          <w:tcPr>
            <w:tcW w:w="3645" w:type="dxa"/>
            <w:vAlign w:val="center"/>
          </w:tcPr>
          <w:p>
            <w:pPr>
              <w:jc w:val="center"/>
            </w:pPr>
            <w:r>
              <w:t>GB/T6920-1986</w:t>
            </w:r>
          </w:p>
        </w:tc>
        <w:tc>
          <w:tcPr>
            <w:tcW w:w="1545" w:type="dxa"/>
            <w:vAlign w:val="center"/>
          </w:tcPr>
          <w:p>
            <w:pPr>
              <w:pStyle w:val="159"/>
              <w:tabs>
                <w:tab w:val="left" w:pos="7740"/>
              </w:tabs>
              <w:jc w:val="center"/>
              <w:rPr>
                <w:sz w:val="24"/>
              </w:rPr>
            </w:pPr>
            <w:r>
              <w:rPr>
                <w:sz w:val="24"/>
              </w:rPr>
              <w:t>/</w:t>
            </w:r>
          </w:p>
        </w:tc>
        <w:tc>
          <w:tcPr>
            <w:tcW w:w="2265" w:type="dxa"/>
            <w:vAlign w:val="center"/>
          </w:tcPr>
          <w:p>
            <w:pPr>
              <w:pStyle w:val="159"/>
              <w:tabs>
                <w:tab w:val="left" w:pos="7740"/>
              </w:tabs>
              <w:jc w:val="center"/>
              <w:rPr>
                <w:sz w:val="24"/>
              </w:rPr>
            </w:pPr>
            <w:r>
              <w:rPr>
                <w:sz w:val="24"/>
              </w:rPr>
              <w:t>pH</w:t>
            </w:r>
            <w:r>
              <w:rPr>
                <w:rFonts w:hint="eastAsia"/>
                <w:sz w:val="24"/>
              </w:rPr>
              <w:t>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90" w:hRule="exact"/>
          <w:jc w:val="center"/>
        </w:trPr>
        <w:tc>
          <w:tcPr>
            <w:tcW w:w="1217" w:type="dxa"/>
            <w:vMerge w:val="continue"/>
            <w:vAlign w:val="center"/>
          </w:tcPr>
          <w:p>
            <w:pPr>
              <w:jc w:val="center"/>
              <w:rPr>
                <w:bCs/>
                <w:color w:val="000000"/>
              </w:rPr>
            </w:pPr>
          </w:p>
        </w:tc>
        <w:tc>
          <w:tcPr>
            <w:tcW w:w="1470" w:type="dxa"/>
            <w:vAlign w:val="center"/>
          </w:tcPr>
          <w:p>
            <w:pPr>
              <w:jc w:val="center"/>
            </w:pPr>
            <w:r>
              <w:rPr>
                <w:bCs/>
                <w:color w:val="000000"/>
              </w:rPr>
              <w:t>SS</w:t>
            </w:r>
          </w:p>
        </w:tc>
        <w:tc>
          <w:tcPr>
            <w:tcW w:w="3645" w:type="dxa"/>
            <w:vAlign w:val="center"/>
          </w:tcPr>
          <w:p>
            <w:pPr>
              <w:pStyle w:val="159"/>
              <w:tabs>
                <w:tab w:val="left" w:pos="7740"/>
              </w:tabs>
              <w:jc w:val="center"/>
              <w:rPr>
                <w:sz w:val="24"/>
              </w:rPr>
            </w:pPr>
            <w:r>
              <w:rPr>
                <w:sz w:val="24"/>
              </w:rPr>
              <w:t xml:space="preserve"> 11901-1989</w:t>
            </w:r>
          </w:p>
        </w:tc>
        <w:tc>
          <w:tcPr>
            <w:tcW w:w="1545" w:type="dxa"/>
            <w:vAlign w:val="center"/>
          </w:tcPr>
          <w:p>
            <w:pPr>
              <w:pStyle w:val="159"/>
              <w:tabs>
                <w:tab w:val="left" w:pos="7740"/>
              </w:tabs>
              <w:jc w:val="center"/>
              <w:rPr>
                <w:sz w:val="24"/>
              </w:rPr>
            </w:pPr>
            <w:r>
              <w:rPr>
                <w:sz w:val="24"/>
              </w:rPr>
              <w:t>4mg/L</w:t>
            </w:r>
          </w:p>
        </w:tc>
        <w:tc>
          <w:tcPr>
            <w:tcW w:w="2265" w:type="dxa"/>
            <w:vAlign w:val="center"/>
          </w:tcPr>
          <w:p>
            <w:pPr>
              <w:jc w:val="center"/>
              <w:rPr>
                <w:bCs/>
              </w:rPr>
            </w:pPr>
            <w:r>
              <w:rPr>
                <w:rFonts w:hint="eastAsia"/>
                <w:bCs/>
              </w:rPr>
              <w:t>电子天平</w:t>
            </w:r>
          </w:p>
          <w:p>
            <w:pPr>
              <w:pStyle w:val="159"/>
              <w:tabs>
                <w:tab w:val="left" w:pos="7740"/>
              </w:tabs>
              <w:jc w:val="center"/>
              <w:rPr>
                <w:bCs/>
                <w:sz w:val="24"/>
              </w:rPr>
            </w:pPr>
            <w:r>
              <w:rPr>
                <w:rFonts w:hint="eastAsia"/>
                <w:bCs/>
                <w:sz w:val="24"/>
              </w:rPr>
              <w:t>恒温鼓风干燥箱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0" w:hRule="exact"/>
          <w:jc w:val="center"/>
        </w:trPr>
        <w:tc>
          <w:tcPr>
            <w:tcW w:w="1217" w:type="dxa"/>
            <w:vMerge w:val="continue"/>
            <w:vAlign w:val="center"/>
          </w:tcPr>
          <w:p>
            <w:pPr>
              <w:pStyle w:val="159"/>
              <w:tabs>
                <w:tab w:val="left" w:pos="7740"/>
              </w:tabs>
              <w:jc w:val="center"/>
              <w:rPr>
                <w:bCs/>
                <w:color w:val="000000"/>
                <w:sz w:val="24"/>
              </w:rPr>
            </w:pPr>
          </w:p>
        </w:tc>
        <w:tc>
          <w:tcPr>
            <w:tcW w:w="1470" w:type="dxa"/>
            <w:vAlign w:val="center"/>
          </w:tcPr>
          <w:p>
            <w:pPr>
              <w:pStyle w:val="159"/>
              <w:tabs>
                <w:tab w:val="left" w:pos="7740"/>
              </w:tabs>
              <w:jc w:val="center"/>
              <w:rPr>
                <w:sz w:val="24"/>
              </w:rPr>
            </w:pPr>
            <w:r>
              <w:rPr>
                <w:sz w:val="24"/>
              </w:rPr>
              <w:t>CODcr</w:t>
            </w:r>
          </w:p>
        </w:tc>
        <w:tc>
          <w:tcPr>
            <w:tcW w:w="3645" w:type="dxa"/>
            <w:vAlign w:val="center"/>
          </w:tcPr>
          <w:p>
            <w:pPr>
              <w:pStyle w:val="159"/>
              <w:tabs>
                <w:tab w:val="left" w:pos="7740"/>
              </w:tabs>
              <w:jc w:val="center"/>
              <w:rPr>
                <w:b/>
                <w:bCs/>
                <w:sz w:val="24"/>
              </w:rPr>
            </w:pPr>
            <w:r>
              <w:rPr>
                <w:rFonts w:hint="eastAsia"/>
                <w:sz w:val="24"/>
              </w:rPr>
              <w:t>《水和废水监测分析方法》（第四版增补版）（</w:t>
            </w:r>
            <w:r>
              <w:rPr>
                <w:sz w:val="24"/>
              </w:rPr>
              <w:t>3.3.2.3</w:t>
            </w:r>
            <w:r>
              <w:rPr>
                <w:rFonts w:hint="eastAsia"/>
                <w:sz w:val="24"/>
              </w:rPr>
              <w:t>）</w:t>
            </w:r>
          </w:p>
        </w:tc>
        <w:tc>
          <w:tcPr>
            <w:tcW w:w="1545" w:type="dxa"/>
            <w:vAlign w:val="center"/>
          </w:tcPr>
          <w:p>
            <w:pPr>
              <w:pStyle w:val="159"/>
              <w:tabs>
                <w:tab w:val="left" w:pos="7740"/>
              </w:tabs>
              <w:jc w:val="center"/>
              <w:rPr>
                <w:sz w:val="24"/>
              </w:rPr>
            </w:pPr>
            <w:r>
              <w:rPr>
                <w:sz w:val="24"/>
              </w:rPr>
              <w:t>2mg/L</w:t>
            </w:r>
          </w:p>
        </w:tc>
        <w:tc>
          <w:tcPr>
            <w:tcW w:w="2265" w:type="dxa"/>
            <w:vAlign w:val="center"/>
          </w:tcPr>
          <w:p>
            <w:pPr>
              <w:jc w:val="center"/>
            </w:pPr>
            <w:r>
              <w:rPr>
                <w:rFonts w:hint="eastAsia"/>
              </w:rPr>
              <w:t>聚四氟乙烯滴定管</w:t>
            </w:r>
          </w:p>
          <w:p>
            <w:pPr>
              <w:pStyle w:val="159"/>
              <w:tabs>
                <w:tab w:val="left" w:pos="7740"/>
              </w:tabs>
              <w:jc w:val="center"/>
              <w:rPr>
                <w:sz w:val="24"/>
              </w:rPr>
            </w:pPr>
            <w:r>
              <w:rPr>
                <w:sz w:val="24"/>
              </w:rPr>
              <w:t>COD</w:t>
            </w:r>
            <w:r>
              <w:rPr>
                <w:rFonts w:hint="eastAsia"/>
                <w:sz w:val="24"/>
              </w:rPr>
              <w:t>消解装置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0" w:hRule="exact"/>
          <w:jc w:val="center"/>
        </w:trPr>
        <w:tc>
          <w:tcPr>
            <w:tcW w:w="1217" w:type="dxa"/>
            <w:vMerge w:val="continue"/>
            <w:vAlign w:val="center"/>
          </w:tcPr>
          <w:p>
            <w:pPr>
              <w:jc w:val="center"/>
              <w:rPr>
                <w:bCs/>
                <w:color w:val="000000"/>
              </w:rPr>
            </w:pPr>
          </w:p>
        </w:tc>
        <w:tc>
          <w:tcPr>
            <w:tcW w:w="1470" w:type="dxa"/>
            <w:vAlign w:val="center"/>
          </w:tcPr>
          <w:p>
            <w:pPr>
              <w:jc w:val="center"/>
            </w:pPr>
            <w:r>
              <w:rPr>
                <w:bCs/>
                <w:color w:val="000000"/>
              </w:rPr>
              <w:t>BOD</w:t>
            </w:r>
            <w:r>
              <w:rPr>
                <w:bCs/>
                <w:color w:val="000000"/>
                <w:vertAlign w:val="subscript"/>
              </w:rPr>
              <w:t>5</w:t>
            </w:r>
          </w:p>
        </w:tc>
        <w:tc>
          <w:tcPr>
            <w:tcW w:w="3645" w:type="dxa"/>
            <w:vAlign w:val="center"/>
          </w:tcPr>
          <w:p>
            <w:pPr>
              <w:pStyle w:val="159"/>
              <w:tabs>
                <w:tab w:val="left" w:pos="7740"/>
              </w:tabs>
              <w:jc w:val="center"/>
              <w:rPr>
                <w:b/>
                <w:bCs/>
                <w:sz w:val="24"/>
              </w:rPr>
            </w:pPr>
            <w:r>
              <w:rPr>
                <w:sz w:val="24"/>
              </w:rPr>
              <w:t xml:space="preserve"> HJ 505-2009</w:t>
            </w:r>
          </w:p>
        </w:tc>
        <w:tc>
          <w:tcPr>
            <w:tcW w:w="1545" w:type="dxa"/>
            <w:vAlign w:val="center"/>
          </w:tcPr>
          <w:p>
            <w:pPr>
              <w:pStyle w:val="159"/>
              <w:tabs>
                <w:tab w:val="left" w:pos="7740"/>
              </w:tabs>
              <w:jc w:val="center"/>
              <w:rPr>
                <w:sz w:val="24"/>
              </w:rPr>
            </w:pPr>
            <w:r>
              <w:rPr>
                <w:sz w:val="24"/>
              </w:rPr>
              <w:t>0.5mg/L</w:t>
            </w:r>
          </w:p>
        </w:tc>
        <w:tc>
          <w:tcPr>
            <w:tcW w:w="2265" w:type="dxa"/>
            <w:vAlign w:val="center"/>
          </w:tcPr>
          <w:p>
            <w:pPr>
              <w:pStyle w:val="159"/>
              <w:tabs>
                <w:tab w:val="left" w:pos="7740"/>
              </w:tabs>
              <w:jc w:val="center"/>
              <w:rPr>
                <w:sz w:val="24"/>
              </w:rPr>
            </w:pPr>
            <w:r>
              <w:rPr>
                <w:rFonts w:hint="eastAsia"/>
                <w:sz w:val="24"/>
              </w:rPr>
              <w:t>溶解氧仪</w:t>
            </w:r>
          </w:p>
          <w:p>
            <w:pPr>
              <w:pStyle w:val="159"/>
              <w:tabs>
                <w:tab w:val="left" w:pos="7740"/>
              </w:tabs>
              <w:jc w:val="center"/>
              <w:rPr>
                <w:sz w:val="24"/>
              </w:rPr>
            </w:pPr>
            <w:r>
              <w:rPr>
                <w:rFonts w:hint="eastAsia"/>
                <w:sz w:val="24"/>
              </w:rPr>
              <w:t>生化培养箱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pStyle w:val="159"/>
              <w:tabs>
                <w:tab w:val="left" w:pos="7740"/>
              </w:tabs>
              <w:jc w:val="center"/>
              <w:rPr>
                <w:bCs/>
                <w:color w:val="000000"/>
                <w:sz w:val="24"/>
              </w:rPr>
            </w:pPr>
          </w:p>
        </w:tc>
        <w:tc>
          <w:tcPr>
            <w:tcW w:w="1470" w:type="dxa"/>
            <w:vAlign w:val="center"/>
          </w:tcPr>
          <w:p>
            <w:pPr>
              <w:pStyle w:val="159"/>
              <w:tabs>
                <w:tab w:val="left" w:pos="7740"/>
              </w:tabs>
              <w:jc w:val="center"/>
              <w:rPr>
                <w:sz w:val="24"/>
              </w:rPr>
            </w:pPr>
            <w:r>
              <w:rPr>
                <w:sz w:val="24"/>
              </w:rPr>
              <w:t>LAS</w:t>
            </w:r>
          </w:p>
        </w:tc>
        <w:tc>
          <w:tcPr>
            <w:tcW w:w="3645" w:type="dxa"/>
            <w:vAlign w:val="center"/>
          </w:tcPr>
          <w:p>
            <w:pPr>
              <w:pStyle w:val="159"/>
              <w:tabs>
                <w:tab w:val="left" w:pos="7740"/>
              </w:tabs>
              <w:jc w:val="center"/>
              <w:rPr>
                <w:b/>
                <w:bCs/>
                <w:sz w:val="24"/>
              </w:rPr>
            </w:pPr>
            <w:r>
              <w:rPr>
                <w:sz w:val="24"/>
              </w:rPr>
              <w:t xml:space="preserve"> GB/T 7494-1987</w:t>
            </w:r>
          </w:p>
        </w:tc>
        <w:tc>
          <w:tcPr>
            <w:tcW w:w="1545" w:type="dxa"/>
            <w:vAlign w:val="center"/>
          </w:tcPr>
          <w:p>
            <w:pPr>
              <w:pStyle w:val="159"/>
              <w:tabs>
                <w:tab w:val="left" w:pos="7740"/>
              </w:tabs>
              <w:jc w:val="center"/>
              <w:rPr>
                <w:sz w:val="24"/>
              </w:rPr>
            </w:pPr>
            <w:r>
              <w:rPr>
                <w:sz w:val="24"/>
              </w:rPr>
              <w:t>0.05mg/L</w:t>
            </w:r>
          </w:p>
        </w:tc>
        <w:tc>
          <w:tcPr>
            <w:tcW w:w="2265" w:type="dxa"/>
            <w:vMerge w:val="restart"/>
            <w:vAlign w:val="center"/>
          </w:tcPr>
          <w:p>
            <w:pPr>
              <w:pStyle w:val="159"/>
              <w:tabs>
                <w:tab w:val="left" w:pos="7740"/>
              </w:tabs>
              <w:jc w:val="center"/>
              <w:rPr>
                <w:sz w:val="24"/>
              </w:rPr>
            </w:pPr>
            <w:r>
              <w:rPr>
                <w:rFonts w:hint="eastAsia"/>
                <w:sz w:val="24"/>
              </w:rPr>
              <w:t>紫外可见</w:t>
            </w:r>
          </w:p>
          <w:p>
            <w:pPr>
              <w:pStyle w:val="159"/>
              <w:tabs>
                <w:tab w:val="left" w:pos="7740"/>
              </w:tabs>
              <w:jc w:val="center"/>
              <w:rPr>
                <w:sz w:val="24"/>
              </w:rPr>
            </w:pPr>
            <w:r>
              <w:rPr>
                <w:rFonts w:hint="eastAsia"/>
                <w:sz w:val="24"/>
              </w:rPr>
              <w:t>分光光度计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pStyle w:val="159"/>
              <w:tabs>
                <w:tab w:val="left" w:pos="7740"/>
              </w:tabs>
              <w:jc w:val="center"/>
              <w:rPr>
                <w:bCs/>
                <w:color w:val="000000"/>
                <w:sz w:val="24"/>
              </w:rPr>
            </w:pPr>
          </w:p>
        </w:tc>
        <w:tc>
          <w:tcPr>
            <w:tcW w:w="1470" w:type="dxa"/>
            <w:vAlign w:val="center"/>
          </w:tcPr>
          <w:p>
            <w:pPr>
              <w:pStyle w:val="159"/>
              <w:tabs>
                <w:tab w:val="left" w:pos="7740"/>
              </w:tabs>
              <w:jc w:val="center"/>
              <w:rPr>
                <w:sz w:val="24"/>
              </w:rPr>
            </w:pPr>
            <w:r>
              <w:rPr>
                <w:rFonts w:hint="eastAsia"/>
                <w:sz w:val="24"/>
              </w:rPr>
              <w:t>氨氮</w:t>
            </w:r>
          </w:p>
        </w:tc>
        <w:tc>
          <w:tcPr>
            <w:tcW w:w="3645" w:type="dxa"/>
            <w:vAlign w:val="center"/>
          </w:tcPr>
          <w:p>
            <w:pPr>
              <w:pStyle w:val="159"/>
              <w:tabs>
                <w:tab w:val="left" w:pos="7740"/>
              </w:tabs>
              <w:jc w:val="center"/>
              <w:rPr>
                <w:b/>
                <w:bCs/>
                <w:sz w:val="24"/>
              </w:rPr>
            </w:pPr>
            <w:r>
              <w:rPr>
                <w:sz w:val="24"/>
              </w:rPr>
              <w:t>HJ 535-2009</w:t>
            </w:r>
          </w:p>
        </w:tc>
        <w:tc>
          <w:tcPr>
            <w:tcW w:w="1545" w:type="dxa"/>
            <w:vAlign w:val="center"/>
          </w:tcPr>
          <w:p>
            <w:pPr>
              <w:pStyle w:val="159"/>
              <w:tabs>
                <w:tab w:val="left" w:pos="7740"/>
              </w:tabs>
              <w:jc w:val="center"/>
              <w:rPr>
                <w:sz w:val="24"/>
              </w:rPr>
            </w:pPr>
            <w:r>
              <w:rPr>
                <w:sz w:val="24"/>
              </w:rPr>
              <w:t>0.025mg/L</w:t>
            </w:r>
          </w:p>
        </w:tc>
        <w:tc>
          <w:tcPr>
            <w:tcW w:w="2265" w:type="dxa"/>
            <w:vMerge w:val="continue"/>
            <w:vAlign w:val="center"/>
          </w:tcPr>
          <w:p>
            <w:pPr>
              <w:pStyle w:val="159"/>
              <w:tabs>
                <w:tab w:val="left" w:pos="7740"/>
              </w:tabs>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pStyle w:val="159"/>
              <w:tabs>
                <w:tab w:val="left" w:pos="7740"/>
              </w:tabs>
              <w:jc w:val="center"/>
              <w:rPr>
                <w:color w:val="0000FF"/>
                <w:sz w:val="24"/>
              </w:rPr>
            </w:pPr>
          </w:p>
        </w:tc>
        <w:tc>
          <w:tcPr>
            <w:tcW w:w="1470" w:type="dxa"/>
            <w:vAlign w:val="center"/>
          </w:tcPr>
          <w:p>
            <w:pPr>
              <w:pStyle w:val="159"/>
              <w:tabs>
                <w:tab w:val="left" w:pos="7740"/>
              </w:tabs>
              <w:jc w:val="center"/>
              <w:rPr>
                <w:sz w:val="24"/>
              </w:rPr>
            </w:pPr>
            <w:r>
              <w:rPr>
                <w:rFonts w:hint="eastAsia"/>
                <w:sz w:val="24"/>
              </w:rPr>
              <w:t>总磷</w:t>
            </w:r>
          </w:p>
        </w:tc>
        <w:tc>
          <w:tcPr>
            <w:tcW w:w="3645" w:type="dxa"/>
            <w:vAlign w:val="center"/>
          </w:tcPr>
          <w:p>
            <w:pPr>
              <w:pStyle w:val="159"/>
              <w:tabs>
                <w:tab w:val="left" w:pos="7740"/>
              </w:tabs>
              <w:jc w:val="center"/>
              <w:rPr>
                <w:sz w:val="24"/>
              </w:rPr>
            </w:pPr>
            <w:r>
              <w:rPr>
                <w:sz w:val="24"/>
              </w:rPr>
              <w:t>GB11893-1989</w:t>
            </w:r>
          </w:p>
        </w:tc>
        <w:tc>
          <w:tcPr>
            <w:tcW w:w="1545" w:type="dxa"/>
            <w:vAlign w:val="center"/>
          </w:tcPr>
          <w:p>
            <w:pPr>
              <w:pStyle w:val="159"/>
              <w:tabs>
                <w:tab w:val="left" w:pos="7740"/>
              </w:tabs>
              <w:jc w:val="center"/>
              <w:rPr>
                <w:sz w:val="24"/>
              </w:rPr>
            </w:pPr>
            <w:r>
              <w:rPr>
                <w:sz w:val="24"/>
              </w:rPr>
              <w:t>0.01mg/L</w:t>
            </w:r>
          </w:p>
        </w:tc>
        <w:tc>
          <w:tcPr>
            <w:tcW w:w="2265" w:type="dxa"/>
            <w:vMerge w:val="continue"/>
            <w:vAlign w:val="center"/>
          </w:tcPr>
          <w:p>
            <w:pPr>
              <w:pStyle w:val="159"/>
              <w:tabs>
                <w:tab w:val="left" w:pos="7740"/>
              </w:tabs>
              <w:jc w:val="center"/>
              <w:rPr>
                <w:color w:val="0000FF"/>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pStyle w:val="159"/>
              <w:tabs>
                <w:tab w:val="left" w:pos="7740"/>
              </w:tabs>
              <w:jc w:val="center"/>
              <w:rPr>
                <w:bCs/>
                <w:color w:val="000000"/>
                <w:sz w:val="24"/>
              </w:rPr>
            </w:pPr>
          </w:p>
        </w:tc>
        <w:tc>
          <w:tcPr>
            <w:tcW w:w="1470" w:type="dxa"/>
            <w:vAlign w:val="center"/>
          </w:tcPr>
          <w:p>
            <w:pPr>
              <w:pStyle w:val="159"/>
              <w:tabs>
                <w:tab w:val="left" w:pos="7740"/>
              </w:tabs>
              <w:jc w:val="center"/>
              <w:rPr>
                <w:sz w:val="24"/>
              </w:rPr>
            </w:pPr>
            <w:r>
              <w:rPr>
                <w:rFonts w:hint="eastAsia"/>
                <w:sz w:val="24"/>
              </w:rPr>
              <w:t>动植物油</w:t>
            </w:r>
          </w:p>
        </w:tc>
        <w:tc>
          <w:tcPr>
            <w:tcW w:w="3645" w:type="dxa"/>
            <w:vAlign w:val="center"/>
          </w:tcPr>
          <w:p>
            <w:pPr>
              <w:pStyle w:val="159"/>
              <w:tabs>
                <w:tab w:val="left" w:pos="7740"/>
              </w:tabs>
              <w:jc w:val="center"/>
              <w:rPr>
                <w:b/>
                <w:bCs/>
                <w:sz w:val="24"/>
              </w:rPr>
            </w:pPr>
            <w:r>
              <w:rPr>
                <w:sz w:val="24"/>
              </w:rPr>
              <w:t xml:space="preserve"> HJ 637-2012</w:t>
            </w:r>
          </w:p>
        </w:tc>
        <w:tc>
          <w:tcPr>
            <w:tcW w:w="1545" w:type="dxa"/>
            <w:vAlign w:val="center"/>
          </w:tcPr>
          <w:p>
            <w:pPr>
              <w:pStyle w:val="159"/>
              <w:tabs>
                <w:tab w:val="left" w:pos="7740"/>
              </w:tabs>
              <w:jc w:val="center"/>
              <w:rPr>
                <w:sz w:val="24"/>
              </w:rPr>
            </w:pPr>
            <w:r>
              <w:rPr>
                <w:sz w:val="24"/>
              </w:rPr>
              <w:t>0.04mg/L</w:t>
            </w:r>
          </w:p>
        </w:tc>
        <w:tc>
          <w:tcPr>
            <w:tcW w:w="2265" w:type="dxa"/>
            <w:vAlign w:val="center"/>
          </w:tcPr>
          <w:p>
            <w:pPr>
              <w:pStyle w:val="159"/>
              <w:tabs>
                <w:tab w:val="left" w:pos="7740"/>
              </w:tabs>
              <w:jc w:val="center"/>
              <w:rPr>
                <w:sz w:val="24"/>
              </w:rPr>
            </w:pPr>
            <w:r>
              <w:rPr>
                <w:rFonts w:hint="eastAsia"/>
                <w:sz w:val="24"/>
              </w:rPr>
              <w:t>红外分光测油仪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5" w:hRule="exact"/>
          <w:jc w:val="center"/>
        </w:trPr>
        <w:tc>
          <w:tcPr>
            <w:tcW w:w="1217" w:type="dxa"/>
            <w:vMerge w:val="restart"/>
            <w:vAlign w:val="center"/>
          </w:tcPr>
          <w:p>
            <w:pPr>
              <w:spacing w:line="400" w:lineRule="exact"/>
              <w:jc w:val="center"/>
              <w:rPr>
                <w:spacing w:val="20"/>
              </w:rPr>
            </w:pPr>
            <w:r>
              <w:rPr>
                <w:rFonts w:hint="eastAsia"/>
                <w:spacing w:val="20"/>
              </w:rPr>
              <w:t>有</w:t>
            </w:r>
          </w:p>
          <w:p>
            <w:pPr>
              <w:spacing w:line="400" w:lineRule="exact"/>
              <w:jc w:val="center"/>
              <w:rPr>
                <w:spacing w:val="20"/>
              </w:rPr>
            </w:pPr>
            <w:r>
              <w:rPr>
                <w:rFonts w:hint="eastAsia"/>
                <w:spacing w:val="20"/>
              </w:rPr>
              <w:t>组</w:t>
            </w:r>
          </w:p>
          <w:p>
            <w:pPr>
              <w:spacing w:line="400" w:lineRule="exact"/>
              <w:jc w:val="center"/>
              <w:rPr>
                <w:spacing w:val="20"/>
              </w:rPr>
            </w:pPr>
            <w:r>
              <w:rPr>
                <w:rFonts w:hint="eastAsia"/>
                <w:spacing w:val="20"/>
              </w:rPr>
              <w:t>织</w:t>
            </w:r>
          </w:p>
          <w:p>
            <w:pPr>
              <w:spacing w:line="400" w:lineRule="exact"/>
              <w:jc w:val="center"/>
              <w:rPr>
                <w:spacing w:val="20"/>
              </w:rPr>
            </w:pPr>
            <w:r>
              <w:rPr>
                <w:rFonts w:hint="eastAsia"/>
                <w:spacing w:val="20"/>
              </w:rPr>
              <w:t>废</w:t>
            </w:r>
          </w:p>
          <w:p>
            <w:pPr>
              <w:spacing w:line="400" w:lineRule="exact"/>
              <w:jc w:val="center"/>
              <w:rPr>
                <w:spacing w:val="20"/>
              </w:rPr>
            </w:pPr>
            <w:r>
              <w:rPr>
                <w:rFonts w:hint="eastAsia"/>
                <w:spacing w:val="20"/>
              </w:rPr>
              <w:t>气</w:t>
            </w:r>
          </w:p>
        </w:tc>
        <w:tc>
          <w:tcPr>
            <w:tcW w:w="1470" w:type="dxa"/>
            <w:vAlign w:val="center"/>
          </w:tcPr>
          <w:p>
            <w:pPr>
              <w:spacing w:line="400" w:lineRule="exact"/>
              <w:jc w:val="center"/>
              <w:rPr>
                <w:spacing w:val="20"/>
              </w:rPr>
            </w:pPr>
            <w:r>
              <w:rPr>
                <w:rFonts w:hint="eastAsia"/>
                <w:spacing w:val="20"/>
              </w:rPr>
              <w:t>烟尘</w:t>
            </w:r>
          </w:p>
        </w:tc>
        <w:tc>
          <w:tcPr>
            <w:tcW w:w="3645" w:type="dxa"/>
            <w:vAlign w:val="center"/>
          </w:tcPr>
          <w:p>
            <w:pPr>
              <w:pStyle w:val="159"/>
              <w:tabs>
                <w:tab w:val="left" w:pos="7740"/>
              </w:tabs>
              <w:jc w:val="center"/>
              <w:rPr>
                <w:spacing w:val="20"/>
                <w:sz w:val="24"/>
              </w:rPr>
            </w:pPr>
            <w:r>
              <w:rPr>
                <w:sz w:val="24"/>
              </w:rPr>
              <w:t>GB/T 16157-1996</w:t>
            </w:r>
          </w:p>
        </w:tc>
        <w:tc>
          <w:tcPr>
            <w:tcW w:w="1545" w:type="dxa"/>
            <w:vAlign w:val="center"/>
          </w:tcPr>
          <w:p>
            <w:pPr>
              <w:pStyle w:val="159"/>
              <w:tabs>
                <w:tab w:val="left" w:pos="7740"/>
              </w:tabs>
              <w:jc w:val="center"/>
              <w:rPr>
                <w:bCs/>
                <w:sz w:val="24"/>
              </w:rPr>
            </w:pPr>
            <w:r>
              <w:rPr>
                <w:bCs/>
                <w:sz w:val="24"/>
              </w:rPr>
              <w:t>/</w:t>
            </w:r>
          </w:p>
        </w:tc>
        <w:tc>
          <w:tcPr>
            <w:tcW w:w="2265" w:type="dxa"/>
            <w:vAlign w:val="center"/>
          </w:tcPr>
          <w:p>
            <w:pPr>
              <w:pStyle w:val="159"/>
              <w:tabs>
                <w:tab w:val="left" w:pos="7740"/>
              </w:tabs>
              <w:jc w:val="center"/>
              <w:rPr>
                <w:sz w:val="24"/>
              </w:rPr>
            </w:pPr>
            <w:r>
              <w:rPr>
                <w:rFonts w:hint="eastAsia"/>
                <w:sz w:val="24"/>
              </w:rPr>
              <w:t>电子天平</w:t>
            </w:r>
          </w:p>
          <w:p>
            <w:pPr>
              <w:pStyle w:val="159"/>
              <w:tabs>
                <w:tab w:val="left" w:pos="7740"/>
              </w:tabs>
              <w:jc w:val="center"/>
              <w:rPr>
                <w:sz w:val="24"/>
              </w:rPr>
            </w:pPr>
            <w:r>
              <w:rPr>
                <w:rFonts w:hint="eastAsia"/>
                <w:sz w:val="24"/>
              </w:rPr>
              <w:t>恒温恒湿箱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pPr>
            <w:r>
              <w:rPr>
                <w:rFonts w:hint="eastAsia"/>
              </w:rPr>
              <w:t>二甲苯</w:t>
            </w:r>
          </w:p>
        </w:tc>
        <w:tc>
          <w:tcPr>
            <w:tcW w:w="3645" w:type="dxa"/>
            <w:vAlign w:val="center"/>
          </w:tcPr>
          <w:p>
            <w:pPr>
              <w:pStyle w:val="159"/>
              <w:tabs>
                <w:tab w:val="left" w:pos="7740"/>
              </w:tabs>
              <w:jc w:val="center"/>
              <w:rPr>
                <w:bCs/>
                <w:color w:val="000000"/>
                <w:sz w:val="24"/>
              </w:rPr>
            </w:pPr>
            <w:r>
              <w:rPr>
                <w:rFonts w:hint="eastAsia"/>
                <w:sz w:val="24"/>
              </w:rPr>
              <w:t>空气和废气检测分析方法（第四增补版）（</w:t>
            </w:r>
            <w:r>
              <w:rPr>
                <w:sz w:val="24"/>
              </w:rPr>
              <w:t>6.2.1.2</w:t>
            </w:r>
            <w:r>
              <w:rPr>
                <w:rFonts w:hint="eastAsia"/>
                <w:sz w:val="24"/>
              </w:rPr>
              <w:t>）</w:t>
            </w:r>
          </w:p>
        </w:tc>
        <w:tc>
          <w:tcPr>
            <w:tcW w:w="1545" w:type="dxa"/>
            <w:vAlign w:val="center"/>
          </w:tcPr>
          <w:p>
            <w:pPr>
              <w:pStyle w:val="159"/>
              <w:tabs>
                <w:tab w:val="left" w:pos="7740"/>
              </w:tabs>
              <w:jc w:val="center"/>
              <w:rPr>
                <w:sz w:val="24"/>
              </w:rPr>
            </w:pPr>
            <w:r>
              <w:rPr>
                <w:bCs/>
                <w:color w:val="000000"/>
                <w:sz w:val="24"/>
              </w:rPr>
              <w:t>0.001mg/m</w:t>
            </w:r>
            <w:r>
              <w:rPr>
                <w:bCs/>
                <w:color w:val="000000"/>
                <w:sz w:val="24"/>
                <w:vertAlign w:val="superscript"/>
              </w:rPr>
              <w:t>3</w:t>
            </w:r>
          </w:p>
        </w:tc>
        <w:tc>
          <w:tcPr>
            <w:tcW w:w="2265" w:type="dxa"/>
            <w:vMerge w:val="restart"/>
            <w:vAlign w:val="center"/>
          </w:tcPr>
          <w:p>
            <w:pPr>
              <w:pStyle w:val="159"/>
              <w:tabs>
                <w:tab w:val="left" w:pos="7740"/>
              </w:tabs>
              <w:jc w:val="center"/>
              <w:rPr>
                <w:sz w:val="24"/>
              </w:rPr>
            </w:pPr>
            <w:r>
              <w:rPr>
                <w:rFonts w:hint="eastAsia"/>
                <w:sz w:val="24"/>
              </w:rPr>
              <w:t>气相色谱仪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spacing w:line="400" w:lineRule="exact"/>
              <w:jc w:val="center"/>
              <w:rPr>
                <w:spacing w:val="20"/>
              </w:rPr>
            </w:pPr>
          </w:p>
        </w:tc>
        <w:tc>
          <w:tcPr>
            <w:tcW w:w="1470" w:type="dxa"/>
            <w:vAlign w:val="center"/>
          </w:tcPr>
          <w:p>
            <w:pPr>
              <w:spacing w:line="400" w:lineRule="exact"/>
              <w:jc w:val="center"/>
            </w:pPr>
            <w:r>
              <w:t>VOCs</w:t>
            </w:r>
          </w:p>
        </w:tc>
        <w:tc>
          <w:tcPr>
            <w:tcW w:w="3645" w:type="dxa"/>
            <w:vAlign w:val="center"/>
          </w:tcPr>
          <w:p>
            <w:pPr>
              <w:pStyle w:val="159"/>
              <w:tabs>
                <w:tab w:val="left" w:pos="7740"/>
              </w:tabs>
              <w:jc w:val="center"/>
              <w:rPr>
                <w:color w:val="000000"/>
                <w:spacing w:val="20"/>
                <w:sz w:val="24"/>
              </w:rPr>
            </w:pPr>
            <w:r>
              <w:rPr>
                <w:sz w:val="24"/>
              </w:rPr>
              <w:t>DB44/814-2010</w:t>
            </w:r>
          </w:p>
        </w:tc>
        <w:tc>
          <w:tcPr>
            <w:tcW w:w="1545" w:type="dxa"/>
            <w:vAlign w:val="center"/>
          </w:tcPr>
          <w:p>
            <w:pPr>
              <w:pStyle w:val="159"/>
              <w:tabs>
                <w:tab w:val="left" w:pos="7740"/>
              </w:tabs>
              <w:jc w:val="center"/>
              <w:rPr>
                <w:bCs/>
                <w:sz w:val="24"/>
              </w:rPr>
            </w:pPr>
            <w:r>
              <w:rPr>
                <w:bCs/>
                <w:color w:val="000000"/>
                <w:sz w:val="24"/>
              </w:rPr>
              <w:t>0.001mg/m</w:t>
            </w:r>
            <w:r>
              <w:rPr>
                <w:bCs/>
                <w:color w:val="000000"/>
                <w:sz w:val="24"/>
                <w:vertAlign w:val="superscript"/>
              </w:rPr>
              <w:t>3</w:t>
            </w:r>
          </w:p>
        </w:tc>
        <w:tc>
          <w:tcPr>
            <w:tcW w:w="2265" w:type="dxa"/>
            <w:vMerge w:val="continue"/>
            <w:vAlign w:val="center"/>
          </w:tcPr>
          <w:p>
            <w:pPr>
              <w:pStyle w:val="159"/>
              <w:tabs>
                <w:tab w:val="left" w:pos="7740"/>
              </w:tabs>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spacing w:line="400" w:lineRule="exact"/>
              <w:jc w:val="center"/>
              <w:rPr>
                <w:b/>
                <w:bCs/>
              </w:rPr>
            </w:pPr>
          </w:p>
        </w:tc>
        <w:tc>
          <w:tcPr>
            <w:tcW w:w="1470" w:type="dxa"/>
            <w:vAlign w:val="center"/>
          </w:tcPr>
          <w:p>
            <w:pPr>
              <w:spacing w:line="400" w:lineRule="exact"/>
              <w:jc w:val="center"/>
              <w:rPr>
                <w:spacing w:val="20"/>
              </w:rPr>
            </w:pPr>
            <w:r>
              <w:rPr>
                <w:rFonts w:hint="eastAsia"/>
              </w:rPr>
              <w:t>二氧化硫</w:t>
            </w:r>
          </w:p>
        </w:tc>
        <w:tc>
          <w:tcPr>
            <w:tcW w:w="3645" w:type="dxa"/>
            <w:vAlign w:val="center"/>
          </w:tcPr>
          <w:p>
            <w:pPr>
              <w:pStyle w:val="159"/>
              <w:tabs>
                <w:tab w:val="left" w:pos="7740"/>
              </w:tabs>
              <w:jc w:val="center"/>
              <w:rPr>
                <w:bCs/>
                <w:sz w:val="24"/>
              </w:rPr>
            </w:pPr>
            <w:r>
              <w:rPr>
                <w:sz w:val="24"/>
              </w:rPr>
              <w:t xml:space="preserve"> HJ/T 57-2000</w:t>
            </w:r>
          </w:p>
        </w:tc>
        <w:tc>
          <w:tcPr>
            <w:tcW w:w="1545" w:type="dxa"/>
            <w:vMerge w:val="restart"/>
            <w:vAlign w:val="center"/>
          </w:tcPr>
          <w:p>
            <w:pPr>
              <w:pStyle w:val="159"/>
              <w:tabs>
                <w:tab w:val="left" w:pos="7740"/>
              </w:tabs>
              <w:jc w:val="center"/>
              <w:rPr>
                <w:sz w:val="24"/>
              </w:rPr>
            </w:pPr>
            <w:r>
              <w:rPr>
                <w:bCs/>
                <w:color w:val="000000"/>
                <w:sz w:val="24"/>
              </w:rPr>
              <w:t>3mg/m</w:t>
            </w:r>
            <w:r>
              <w:rPr>
                <w:bCs/>
                <w:color w:val="000000"/>
                <w:sz w:val="24"/>
                <w:vertAlign w:val="superscript"/>
              </w:rPr>
              <w:t>3</w:t>
            </w:r>
          </w:p>
        </w:tc>
        <w:tc>
          <w:tcPr>
            <w:tcW w:w="2265" w:type="dxa"/>
            <w:vMerge w:val="restart"/>
            <w:vAlign w:val="center"/>
          </w:tcPr>
          <w:p>
            <w:pPr>
              <w:pStyle w:val="159"/>
              <w:tabs>
                <w:tab w:val="left" w:pos="7740"/>
              </w:tabs>
              <w:jc w:val="center"/>
              <w:rPr>
                <w:sz w:val="24"/>
              </w:rPr>
            </w:pPr>
            <w:r>
              <w:rPr>
                <w:rFonts w:hint="eastAsia"/>
                <w:sz w:val="24"/>
              </w:rPr>
              <w:t>自动烟尘测试仪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pPr>
            <w:r>
              <w:rPr>
                <w:rFonts w:hint="eastAsia"/>
              </w:rPr>
              <w:t>氮氧化物</w:t>
            </w:r>
          </w:p>
        </w:tc>
        <w:tc>
          <w:tcPr>
            <w:tcW w:w="3645" w:type="dxa"/>
            <w:vAlign w:val="center"/>
          </w:tcPr>
          <w:p>
            <w:pPr>
              <w:pStyle w:val="159"/>
              <w:tabs>
                <w:tab w:val="left" w:pos="7740"/>
              </w:tabs>
              <w:jc w:val="center"/>
              <w:rPr>
                <w:sz w:val="24"/>
              </w:rPr>
            </w:pPr>
            <w:r>
              <w:rPr>
                <w:sz w:val="24"/>
              </w:rPr>
              <w:t>HJ693-2014</w:t>
            </w:r>
          </w:p>
        </w:tc>
        <w:tc>
          <w:tcPr>
            <w:tcW w:w="1545" w:type="dxa"/>
            <w:vMerge w:val="continue"/>
            <w:vAlign w:val="center"/>
          </w:tcPr>
          <w:p>
            <w:pPr>
              <w:pStyle w:val="159"/>
              <w:tabs>
                <w:tab w:val="left" w:pos="7740"/>
              </w:tabs>
              <w:jc w:val="center"/>
              <w:rPr>
                <w:sz w:val="24"/>
              </w:rPr>
            </w:pPr>
          </w:p>
        </w:tc>
        <w:tc>
          <w:tcPr>
            <w:tcW w:w="2265" w:type="dxa"/>
            <w:vMerge w:val="continue"/>
            <w:vAlign w:val="center"/>
          </w:tcPr>
          <w:p>
            <w:pPr>
              <w:pStyle w:val="159"/>
              <w:tabs>
                <w:tab w:val="left" w:pos="7740"/>
              </w:tabs>
              <w:jc w:val="center"/>
              <w:rPr>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30"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rPr>
                <w:spacing w:val="20"/>
              </w:rPr>
            </w:pPr>
            <w:r>
              <w:rPr>
                <w:rFonts w:hint="eastAsia"/>
              </w:rPr>
              <w:t>烟气黑度</w:t>
            </w:r>
          </w:p>
        </w:tc>
        <w:tc>
          <w:tcPr>
            <w:tcW w:w="3645" w:type="dxa"/>
            <w:vAlign w:val="center"/>
          </w:tcPr>
          <w:p>
            <w:pPr>
              <w:pStyle w:val="159"/>
              <w:tabs>
                <w:tab w:val="left" w:pos="7740"/>
              </w:tabs>
              <w:jc w:val="center"/>
              <w:rPr>
                <w:bCs/>
                <w:sz w:val="24"/>
              </w:rPr>
            </w:pPr>
            <w:r>
              <w:rPr>
                <w:rFonts w:hint="eastAsia"/>
                <w:sz w:val="24"/>
              </w:rPr>
              <w:t>测烟望远镜法《空气和废气监测分析方法》（第四版补增版）</w:t>
            </w:r>
            <w:r>
              <w:rPr>
                <w:sz w:val="24"/>
              </w:rPr>
              <w:t>5.3.3.1</w:t>
            </w:r>
          </w:p>
        </w:tc>
        <w:tc>
          <w:tcPr>
            <w:tcW w:w="1545" w:type="dxa"/>
            <w:vAlign w:val="center"/>
          </w:tcPr>
          <w:p>
            <w:pPr>
              <w:pStyle w:val="159"/>
              <w:tabs>
                <w:tab w:val="left" w:pos="7740"/>
              </w:tabs>
              <w:jc w:val="center"/>
              <w:rPr>
                <w:sz w:val="24"/>
              </w:rPr>
            </w:pPr>
            <w:r>
              <w:rPr>
                <w:bCs/>
                <w:sz w:val="24"/>
              </w:rPr>
              <w:t>3mg/m</w:t>
            </w:r>
            <w:r>
              <w:rPr>
                <w:bCs/>
                <w:sz w:val="24"/>
                <w:vertAlign w:val="superscript"/>
              </w:rPr>
              <w:t>3</w:t>
            </w:r>
          </w:p>
        </w:tc>
        <w:tc>
          <w:tcPr>
            <w:tcW w:w="2265" w:type="dxa"/>
            <w:vAlign w:val="center"/>
          </w:tcPr>
          <w:p>
            <w:pPr>
              <w:pStyle w:val="159"/>
              <w:tabs>
                <w:tab w:val="left" w:pos="7740"/>
              </w:tabs>
              <w:jc w:val="center"/>
              <w:rPr>
                <w:bCs/>
                <w:sz w:val="24"/>
              </w:rPr>
            </w:pPr>
            <w:r>
              <w:rPr>
                <w:rFonts w:hint="eastAsia"/>
                <w:bCs/>
                <w:sz w:val="24"/>
              </w:rPr>
              <w:t>林格曼测烟望远镜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5" w:hRule="exact"/>
          <w:jc w:val="center"/>
        </w:trPr>
        <w:tc>
          <w:tcPr>
            <w:tcW w:w="1217" w:type="dxa"/>
            <w:vMerge w:val="restart"/>
            <w:vAlign w:val="center"/>
          </w:tcPr>
          <w:p>
            <w:pPr>
              <w:spacing w:line="400" w:lineRule="exact"/>
              <w:jc w:val="center"/>
            </w:pPr>
            <w:r>
              <w:rPr>
                <w:rFonts w:hint="eastAsia"/>
              </w:rPr>
              <w:t>无</w:t>
            </w:r>
          </w:p>
          <w:p>
            <w:pPr>
              <w:spacing w:line="400" w:lineRule="exact"/>
              <w:jc w:val="center"/>
            </w:pPr>
            <w:r>
              <w:rPr>
                <w:rFonts w:hint="eastAsia"/>
              </w:rPr>
              <w:t>组</w:t>
            </w:r>
          </w:p>
          <w:p>
            <w:pPr>
              <w:spacing w:line="400" w:lineRule="exact"/>
              <w:jc w:val="center"/>
            </w:pPr>
            <w:r>
              <w:rPr>
                <w:rFonts w:hint="eastAsia"/>
              </w:rPr>
              <w:t>织</w:t>
            </w:r>
          </w:p>
          <w:p>
            <w:pPr>
              <w:spacing w:line="400" w:lineRule="exact"/>
              <w:jc w:val="center"/>
            </w:pPr>
            <w:r>
              <w:rPr>
                <w:rFonts w:hint="eastAsia"/>
              </w:rPr>
              <w:t>废</w:t>
            </w:r>
          </w:p>
          <w:p>
            <w:pPr>
              <w:spacing w:line="400" w:lineRule="exact"/>
              <w:jc w:val="center"/>
            </w:pPr>
            <w:r>
              <w:rPr>
                <w:rFonts w:hint="eastAsia"/>
              </w:rPr>
              <w:t>气</w:t>
            </w:r>
          </w:p>
        </w:tc>
        <w:tc>
          <w:tcPr>
            <w:tcW w:w="1470" w:type="dxa"/>
            <w:vAlign w:val="center"/>
          </w:tcPr>
          <w:p>
            <w:pPr>
              <w:spacing w:line="400" w:lineRule="exact"/>
              <w:jc w:val="center"/>
            </w:pPr>
            <w:r>
              <w:rPr>
                <w:rFonts w:hint="eastAsia"/>
              </w:rPr>
              <w:t>二甲苯</w:t>
            </w:r>
          </w:p>
        </w:tc>
        <w:tc>
          <w:tcPr>
            <w:tcW w:w="3645" w:type="dxa"/>
            <w:vAlign w:val="center"/>
          </w:tcPr>
          <w:p>
            <w:pPr>
              <w:pStyle w:val="159"/>
              <w:tabs>
                <w:tab w:val="left" w:pos="7740"/>
              </w:tabs>
              <w:jc w:val="center"/>
              <w:rPr>
                <w:sz w:val="24"/>
              </w:rPr>
            </w:pPr>
            <w:r>
              <w:rPr>
                <w:rFonts w:hint="eastAsia"/>
                <w:sz w:val="24"/>
              </w:rPr>
              <w:t>空气和废气检测分析方法（第四增补版）（</w:t>
            </w:r>
            <w:r>
              <w:rPr>
                <w:sz w:val="24"/>
              </w:rPr>
              <w:t>6.2.1.2</w:t>
            </w:r>
            <w:r>
              <w:rPr>
                <w:rFonts w:hint="eastAsia"/>
                <w:sz w:val="24"/>
              </w:rPr>
              <w:t>）</w:t>
            </w:r>
          </w:p>
        </w:tc>
        <w:tc>
          <w:tcPr>
            <w:tcW w:w="1545" w:type="dxa"/>
            <w:vAlign w:val="center"/>
          </w:tcPr>
          <w:p>
            <w:pPr>
              <w:pStyle w:val="159"/>
              <w:tabs>
                <w:tab w:val="left" w:pos="7740"/>
              </w:tabs>
              <w:jc w:val="center"/>
              <w:rPr>
                <w:bCs/>
                <w:sz w:val="24"/>
              </w:rPr>
            </w:pPr>
            <w:r>
              <w:rPr>
                <w:bCs/>
                <w:color w:val="000000"/>
                <w:sz w:val="24"/>
              </w:rPr>
              <w:t>0.001mg/m</w:t>
            </w:r>
            <w:r>
              <w:rPr>
                <w:bCs/>
                <w:color w:val="000000"/>
                <w:sz w:val="24"/>
                <w:vertAlign w:val="superscript"/>
              </w:rPr>
              <w:t>3</w:t>
            </w:r>
          </w:p>
        </w:tc>
        <w:tc>
          <w:tcPr>
            <w:tcW w:w="2265" w:type="dxa"/>
            <w:vMerge w:val="restart"/>
            <w:vAlign w:val="center"/>
          </w:tcPr>
          <w:p>
            <w:pPr>
              <w:pStyle w:val="159"/>
              <w:tabs>
                <w:tab w:val="left" w:pos="7740"/>
              </w:tabs>
              <w:jc w:val="center"/>
              <w:rPr>
                <w:bCs/>
                <w:sz w:val="24"/>
              </w:rPr>
            </w:pPr>
            <w:r>
              <w:rPr>
                <w:rFonts w:hint="eastAsia"/>
                <w:sz w:val="24"/>
              </w:rPr>
              <w:t>气相色谱仪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pPr>
            <w:r>
              <w:t>VOCs</w:t>
            </w:r>
          </w:p>
        </w:tc>
        <w:tc>
          <w:tcPr>
            <w:tcW w:w="3645" w:type="dxa"/>
            <w:vAlign w:val="center"/>
          </w:tcPr>
          <w:p>
            <w:pPr>
              <w:pStyle w:val="159"/>
              <w:tabs>
                <w:tab w:val="left" w:pos="7740"/>
              </w:tabs>
              <w:jc w:val="center"/>
              <w:rPr>
                <w:sz w:val="24"/>
              </w:rPr>
            </w:pPr>
            <w:r>
              <w:rPr>
                <w:sz w:val="24"/>
              </w:rPr>
              <w:t>DB44/814-2010</w:t>
            </w:r>
          </w:p>
        </w:tc>
        <w:tc>
          <w:tcPr>
            <w:tcW w:w="1545" w:type="dxa"/>
            <w:vAlign w:val="center"/>
          </w:tcPr>
          <w:p>
            <w:pPr>
              <w:pStyle w:val="159"/>
              <w:tabs>
                <w:tab w:val="left" w:pos="7740"/>
              </w:tabs>
              <w:jc w:val="center"/>
              <w:rPr>
                <w:bCs/>
                <w:sz w:val="24"/>
              </w:rPr>
            </w:pPr>
            <w:r>
              <w:rPr>
                <w:bCs/>
                <w:color w:val="000000"/>
                <w:sz w:val="24"/>
              </w:rPr>
              <w:t>0.001mg/m</w:t>
            </w:r>
            <w:r>
              <w:rPr>
                <w:bCs/>
                <w:color w:val="000000"/>
                <w:sz w:val="24"/>
                <w:vertAlign w:val="superscript"/>
              </w:rPr>
              <w:t>3</w:t>
            </w:r>
          </w:p>
        </w:tc>
        <w:tc>
          <w:tcPr>
            <w:tcW w:w="2265" w:type="dxa"/>
            <w:vMerge w:val="continue"/>
            <w:vAlign w:val="center"/>
          </w:tcPr>
          <w:p>
            <w:pPr>
              <w:pStyle w:val="159"/>
              <w:tabs>
                <w:tab w:val="left" w:pos="7740"/>
              </w:tabs>
              <w:jc w:val="center"/>
              <w:rPr>
                <w:bCs/>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49"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rPr>
                <w:spacing w:val="20"/>
              </w:rPr>
            </w:pPr>
            <w:r>
              <w:t>TSP</w:t>
            </w:r>
          </w:p>
        </w:tc>
        <w:tc>
          <w:tcPr>
            <w:tcW w:w="3645" w:type="dxa"/>
            <w:vAlign w:val="center"/>
          </w:tcPr>
          <w:p>
            <w:pPr>
              <w:jc w:val="center"/>
              <w:rPr>
                <w:bCs/>
              </w:rPr>
            </w:pPr>
            <w:r>
              <w:rPr>
                <w:spacing w:val="20"/>
              </w:rPr>
              <w:t>GB/T 15432-1995</w:t>
            </w:r>
          </w:p>
        </w:tc>
        <w:tc>
          <w:tcPr>
            <w:tcW w:w="1545" w:type="dxa"/>
            <w:vAlign w:val="center"/>
          </w:tcPr>
          <w:p>
            <w:pPr>
              <w:pStyle w:val="159"/>
              <w:tabs>
                <w:tab w:val="left" w:pos="7740"/>
              </w:tabs>
              <w:jc w:val="center"/>
              <w:rPr>
                <w:sz w:val="24"/>
              </w:rPr>
            </w:pPr>
            <w:r>
              <w:rPr>
                <w:sz w:val="24"/>
              </w:rPr>
              <w:t>0.001</w:t>
            </w:r>
            <w:r>
              <w:rPr>
                <w:bCs/>
                <w:sz w:val="24"/>
              </w:rPr>
              <w:t>mg/m</w:t>
            </w:r>
            <w:r>
              <w:rPr>
                <w:bCs/>
                <w:sz w:val="24"/>
                <w:vertAlign w:val="superscript"/>
              </w:rPr>
              <w:t>3</w:t>
            </w:r>
          </w:p>
        </w:tc>
        <w:tc>
          <w:tcPr>
            <w:tcW w:w="2265" w:type="dxa"/>
            <w:vAlign w:val="center"/>
          </w:tcPr>
          <w:p>
            <w:pPr>
              <w:pStyle w:val="159"/>
              <w:tabs>
                <w:tab w:val="left" w:pos="7740"/>
              </w:tabs>
              <w:jc w:val="center"/>
              <w:rPr>
                <w:sz w:val="24"/>
              </w:rPr>
            </w:pPr>
            <w:r>
              <w:rPr>
                <w:rFonts w:hint="eastAsia"/>
                <w:sz w:val="24"/>
              </w:rPr>
              <w:t>电子天平</w:t>
            </w:r>
          </w:p>
          <w:p>
            <w:pPr>
              <w:pStyle w:val="159"/>
              <w:tabs>
                <w:tab w:val="left" w:pos="7740"/>
              </w:tabs>
              <w:jc w:val="center"/>
              <w:rPr>
                <w:sz w:val="24"/>
              </w:rPr>
            </w:pPr>
            <w:r>
              <w:rPr>
                <w:rFonts w:hint="eastAsia"/>
                <w:sz w:val="24"/>
              </w:rPr>
              <w:t>恒温恒湿箱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rPr>
                <w:spacing w:val="20"/>
              </w:rPr>
            </w:pPr>
            <w:r>
              <w:rPr>
                <w:rFonts w:hint="eastAsia"/>
              </w:rPr>
              <w:t>臭气浓度</w:t>
            </w:r>
          </w:p>
        </w:tc>
        <w:tc>
          <w:tcPr>
            <w:tcW w:w="3645" w:type="dxa"/>
            <w:vAlign w:val="center"/>
          </w:tcPr>
          <w:p>
            <w:pPr>
              <w:jc w:val="center"/>
              <w:rPr>
                <w:bCs/>
              </w:rPr>
            </w:pPr>
            <w:r>
              <w:rPr>
                <w:bCs/>
              </w:rPr>
              <w:t>GB/T14675-1993</w:t>
            </w:r>
          </w:p>
        </w:tc>
        <w:tc>
          <w:tcPr>
            <w:tcW w:w="1545" w:type="dxa"/>
            <w:vAlign w:val="center"/>
          </w:tcPr>
          <w:p>
            <w:pPr>
              <w:pStyle w:val="159"/>
              <w:tabs>
                <w:tab w:val="left" w:pos="7740"/>
              </w:tabs>
              <w:jc w:val="center"/>
              <w:rPr>
                <w:sz w:val="24"/>
              </w:rPr>
            </w:pPr>
            <w:r>
              <w:rPr>
                <w:bCs/>
                <w:sz w:val="24"/>
              </w:rPr>
              <w:t>/</w:t>
            </w:r>
          </w:p>
        </w:tc>
        <w:tc>
          <w:tcPr>
            <w:tcW w:w="2265" w:type="dxa"/>
            <w:vAlign w:val="center"/>
          </w:tcPr>
          <w:p>
            <w:pPr>
              <w:pStyle w:val="159"/>
              <w:tabs>
                <w:tab w:val="left" w:pos="7740"/>
              </w:tabs>
              <w:jc w:val="center"/>
              <w:rPr>
                <w:sz w:val="24"/>
              </w:rPr>
            </w:pPr>
            <w:r>
              <w:rPr>
                <w:rFonts w:hint="eastAsia"/>
                <w:sz w:val="24"/>
              </w:rPr>
              <w:t>无油空气压缩机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rPr>
                <w:spacing w:val="20"/>
              </w:rPr>
            </w:pPr>
            <w:r>
              <w:rPr>
                <w:rFonts w:hint="eastAsia"/>
              </w:rPr>
              <w:t>氨</w:t>
            </w:r>
          </w:p>
        </w:tc>
        <w:tc>
          <w:tcPr>
            <w:tcW w:w="3645" w:type="dxa"/>
            <w:vAlign w:val="center"/>
          </w:tcPr>
          <w:p>
            <w:pPr>
              <w:jc w:val="center"/>
              <w:rPr>
                <w:bCs/>
              </w:rPr>
            </w:pPr>
            <w:r>
              <w:rPr>
                <w:bCs/>
              </w:rPr>
              <w:t>HJ533-2009</w:t>
            </w:r>
          </w:p>
        </w:tc>
        <w:tc>
          <w:tcPr>
            <w:tcW w:w="1545" w:type="dxa"/>
            <w:vAlign w:val="center"/>
          </w:tcPr>
          <w:p>
            <w:pPr>
              <w:pStyle w:val="159"/>
              <w:tabs>
                <w:tab w:val="left" w:pos="7740"/>
              </w:tabs>
              <w:jc w:val="center"/>
              <w:rPr>
                <w:sz w:val="24"/>
              </w:rPr>
            </w:pPr>
            <w:r>
              <w:rPr>
                <w:bCs/>
                <w:sz w:val="24"/>
              </w:rPr>
              <w:t>0.01mg/m</w:t>
            </w:r>
            <w:r>
              <w:rPr>
                <w:bCs/>
                <w:sz w:val="24"/>
                <w:vertAlign w:val="superscript"/>
              </w:rPr>
              <w:t>3</w:t>
            </w:r>
          </w:p>
        </w:tc>
        <w:tc>
          <w:tcPr>
            <w:tcW w:w="2265" w:type="dxa"/>
            <w:vMerge w:val="restart"/>
            <w:vAlign w:val="center"/>
          </w:tcPr>
          <w:p>
            <w:pPr>
              <w:pStyle w:val="159"/>
              <w:tabs>
                <w:tab w:val="left" w:pos="7740"/>
              </w:tabs>
              <w:jc w:val="center"/>
              <w:rPr>
                <w:sz w:val="24"/>
              </w:rPr>
            </w:pPr>
            <w:r>
              <w:rPr>
                <w:rFonts w:hint="eastAsia"/>
                <w:sz w:val="24"/>
              </w:rPr>
              <w:t>紫外可见</w:t>
            </w:r>
          </w:p>
          <w:p>
            <w:pPr>
              <w:tabs>
                <w:tab w:val="left" w:pos="6996"/>
              </w:tabs>
              <w:jc w:val="center"/>
            </w:pPr>
            <w:r>
              <w:rPr>
                <w:rFonts w:hint="eastAsia"/>
              </w:rPr>
              <w:t>分光光度计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29" w:hRule="exact"/>
          <w:jc w:val="center"/>
        </w:trPr>
        <w:tc>
          <w:tcPr>
            <w:tcW w:w="1217" w:type="dxa"/>
            <w:vMerge w:val="continue"/>
            <w:vAlign w:val="center"/>
          </w:tcPr>
          <w:p>
            <w:pPr>
              <w:spacing w:line="400" w:lineRule="exact"/>
              <w:jc w:val="center"/>
            </w:pPr>
          </w:p>
        </w:tc>
        <w:tc>
          <w:tcPr>
            <w:tcW w:w="1470" w:type="dxa"/>
            <w:vAlign w:val="center"/>
          </w:tcPr>
          <w:p>
            <w:pPr>
              <w:spacing w:line="400" w:lineRule="exact"/>
              <w:jc w:val="center"/>
              <w:rPr>
                <w:spacing w:val="20"/>
              </w:rPr>
            </w:pPr>
            <w:r>
              <w:rPr>
                <w:rFonts w:hint="eastAsia"/>
              </w:rPr>
              <w:t>硫化氢</w:t>
            </w:r>
          </w:p>
        </w:tc>
        <w:tc>
          <w:tcPr>
            <w:tcW w:w="3645" w:type="dxa"/>
            <w:vAlign w:val="center"/>
          </w:tcPr>
          <w:p>
            <w:pPr>
              <w:jc w:val="center"/>
              <w:rPr>
                <w:bCs/>
              </w:rPr>
            </w:pPr>
            <w:r>
              <w:rPr>
                <w:rFonts w:hint="eastAsia"/>
              </w:rPr>
              <w:t>空气和废气检测分析方法（第四增补版）（</w:t>
            </w:r>
            <w:r>
              <w:t>5.4.10.3</w:t>
            </w:r>
            <w:r>
              <w:rPr>
                <w:rFonts w:hint="eastAsia"/>
              </w:rPr>
              <w:t>）</w:t>
            </w:r>
          </w:p>
        </w:tc>
        <w:tc>
          <w:tcPr>
            <w:tcW w:w="1545" w:type="dxa"/>
            <w:vAlign w:val="center"/>
          </w:tcPr>
          <w:p>
            <w:pPr>
              <w:pStyle w:val="159"/>
              <w:tabs>
                <w:tab w:val="left" w:pos="7740"/>
              </w:tabs>
              <w:jc w:val="center"/>
              <w:rPr>
                <w:sz w:val="24"/>
              </w:rPr>
            </w:pPr>
            <w:r>
              <w:rPr>
                <w:sz w:val="24"/>
              </w:rPr>
              <w:t>0.0025</w:t>
            </w:r>
            <w:r>
              <w:rPr>
                <w:bCs/>
                <w:sz w:val="24"/>
              </w:rPr>
              <w:t>mg/m</w:t>
            </w:r>
            <w:r>
              <w:rPr>
                <w:bCs/>
                <w:sz w:val="24"/>
                <w:vertAlign w:val="superscript"/>
              </w:rPr>
              <w:t>3</w:t>
            </w:r>
          </w:p>
        </w:tc>
        <w:tc>
          <w:tcPr>
            <w:tcW w:w="2265" w:type="dxa"/>
            <w:vMerge w:val="continue"/>
            <w:vAlign w:val="center"/>
          </w:tcPr>
          <w:p>
            <w:pPr>
              <w:tabs>
                <w:tab w:val="left" w:pos="6996"/>
              </w:tabs>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217" w:type="dxa"/>
            <w:vAlign w:val="center"/>
          </w:tcPr>
          <w:p>
            <w:pPr>
              <w:tabs>
                <w:tab w:val="left" w:pos="6996"/>
              </w:tabs>
              <w:jc w:val="center"/>
            </w:pPr>
            <w:r>
              <w:rPr>
                <w:rFonts w:hint="eastAsia"/>
                <w:spacing w:val="20"/>
              </w:rPr>
              <w:t>噪声</w:t>
            </w:r>
          </w:p>
        </w:tc>
        <w:tc>
          <w:tcPr>
            <w:tcW w:w="1470" w:type="dxa"/>
            <w:vAlign w:val="center"/>
          </w:tcPr>
          <w:p>
            <w:pPr>
              <w:tabs>
                <w:tab w:val="left" w:pos="6996"/>
              </w:tabs>
              <w:jc w:val="center"/>
              <w:rPr>
                <w:spacing w:val="20"/>
              </w:rPr>
            </w:pPr>
            <w:r>
              <w:rPr>
                <w:rFonts w:hint="eastAsia"/>
                <w:spacing w:val="20"/>
              </w:rPr>
              <w:t>厂界噪声</w:t>
            </w:r>
          </w:p>
        </w:tc>
        <w:tc>
          <w:tcPr>
            <w:tcW w:w="3645" w:type="dxa"/>
            <w:vAlign w:val="center"/>
          </w:tcPr>
          <w:p>
            <w:pPr>
              <w:widowControl/>
              <w:adjustRightInd w:val="0"/>
              <w:snapToGrid w:val="0"/>
              <w:jc w:val="center"/>
              <w:rPr>
                <w:bCs/>
              </w:rPr>
            </w:pPr>
            <w:r>
              <w:rPr>
                <w:spacing w:val="20"/>
              </w:rPr>
              <w:t>GB 12348-2008</w:t>
            </w:r>
          </w:p>
        </w:tc>
        <w:tc>
          <w:tcPr>
            <w:tcW w:w="1545" w:type="dxa"/>
            <w:vAlign w:val="center"/>
          </w:tcPr>
          <w:p>
            <w:pPr>
              <w:pStyle w:val="159"/>
              <w:tabs>
                <w:tab w:val="left" w:pos="7740"/>
              </w:tabs>
              <w:jc w:val="center"/>
              <w:rPr>
                <w:sz w:val="24"/>
              </w:rPr>
            </w:pPr>
            <w:r>
              <w:rPr>
                <w:sz w:val="24"/>
              </w:rPr>
              <w:t>/</w:t>
            </w:r>
          </w:p>
        </w:tc>
        <w:tc>
          <w:tcPr>
            <w:tcW w:w="2265" w:type="dxa"/>
            <w:vAlign w:val="center"/>
          </w:tcPr>
          <w:p>
            <w:pPr>
              <w:pStyle w:val="159"/>
              <w:tabs>
                <w:tab w:val="left" w:pos="7740"/>
              </w:tabs>
              <w:jc w:val="center"/>
              <w:rPr>
                <w:bCs/>
                <w:sz w:val="24"/>
              </w:rPr>
            </w:pPr>
            <w:r>
              <w:rPr>
                <w:rFonts w:hint="eastAsia"/>
                <w:bCs/>
                <w:sz w:val="24"/>
              </w:rPr>
              <w:t>多功能声级计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restart"/>
            <w:vAlign w:val="center"/>
          </w:tcPr>
          <w:p>
            <w:pPr>
              <w:tabs>
                <w:tab w:val="left" w:pos="6996"/>
              </w:tabs>
              <w:jc w:val="center"/>
              <w:rPr>
                <w:spacing w:val="20"/>
              </w:rPr>
            </w:pPr>
            <w:r>
              <w:rPr>
                <w:rFonts w:hint="eastAsia"/>
                <w:spacing w:val="20"/>
              </w:rPr>
              <w:t>样品采</w:t>
            </w:r>
          </w:p>
          <w:p>
            <w:pPr>
              <w:tabs>
                <w:tab w:val="left" w:pos="6996"/>
              </w:tabs>
              <w:jc w:val="center"/>
            </w:pPr>
            <w:r>
              <w:rPr>
                <w:rFonts w:hint="eastAsia"/>
                <w:spacing w:val="20"/>
              </w:rPr>
              <w:t>集依据</w:t>
            </w:r>
          </w:p>
        </w:tc>
        <w:tc>
          <w:tcPr>
            <w:tcW w:w="8925" w:type="dxa"/>
            <w:gridSpan w:val="4"/>
            <w:vAlign w:val="center"/>
          </w:tcPr>
          <w:p>
            <w:pPr>
              <w:tabs>
                <w:tab w:val="left" w:pos="6996"/>
              </w:tabs>
              <w:jc w:val="left"/>
            </w:pPr>
            <w:r>
              <w:rPr>
                <w:rFonts w:hint="eastAsia"/>
              </w:rPr>
              <w:t>地表水和污水监测技术规范</w:t>
            </w:r>
            <w:r>
              <w:t>HJ/T 91-2002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tabs>
                <w:tab w:val="left" w:pos="6996"/>
              </w:tabs>
            </w:pPr>
          </w:p>
        </w:tc>
        <w:tc>
          <w:tcPr>
            <w:tcW w:w="8925" w:type="dxa"/>
            <w:gridSpan w:val="4"/>
            <w:vAlign w:val="center"/>
          </w:tcPr>
          <w:p>
            <w:pPr>
              <w:tabs>
                <w:tab w:val="left" w:pos="6996"/>
              </w:tabs>
              <w:jc w:val="left"/>
            </w:pPr>
            <w:r>
              <w:rPr>
                <w:rFonts w:hint="eastAsia"/>
              </w:rPr>
              <w:t>固定污染源排气中颗粒物测定与气态污染物采样方法</w:t>
            </w:r>
            <w:r>
              <w:t>GB/T 16157-1996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217" w:type="dxa"/>
            <w:vMerge w:val="continue"/>
            <w:vAlign w:val="center"/>
          </w:tcPr>
          <w:p>
            <w:pPr>
              <w:tabs>
                <w:tab w:val="left" w:pos="6996"/>
              </w:tabs>
              <w:jc w:val="left"/>
            </w:pPr>
          </w:p>
        </w:tc>
        <w:tc>
          <w:tcPr>
            <w:tcW w:w="8925" w:type="dxa"/>
            <w:gridSpan w:val="4"/>
            <w:vAlign w:val="center"/>
          </w:tcPr>
          <w:p>
            <w:pPr>
              <w:tabs>
                <w:tab w:val="left" w:pos="6996"/>
              </w:tabs>
              <w:jc w:val="left"/>
              <w:rPr>
                <w:spacing w:val="20"/>
              </w:rPr>
            </w:pPr>
            <w:r>
              <w:rPr>
                <w:rFonts w:hint="eastAsia"/>
                <w:spacing w:val="20"/>
              </w:rPr>
              <w:t>大气污染物无组织排放监测技术导则</w:t>
            </w:r>
            <w:r>
              <w:rPr>
                <w:spacing w:val="20"/>
              </w:rPr>
              <w:t xml:space="preserve"> HJ/T 55-2000 </w:t>
            </w:r>
          </w:p>
        </w:tc>
      </w:tr>
    </w:tbl>
    <w:p>
      <w:pPr>
        <w:pStyle w:val="4"/>
      </w:pPr>
      <w:bookmarkStart w:id="44" w:name="_Toc21574"/>
      <w:r>
        <w:t xml:space="preserve">8.2 </w:t>
      </w:r>
      <w:r>
        <w:rPr>
          <w:rFonts w:hint="eastAsia"/>
        </w:rPr>
        <w:t>验收监测数据的质量控制和质量保证措施</w:t>
      </w:r>
      <w:bookmarkEnd w:id="44"/>
      <w:r>
        <w:t xml:space="preserve"> </w:t>
      </w:r>
    </w:p>
    <w:p>
      <w:pPr>
        <w:adjustRightInd w:val="0"/>
        <w:snapToGrid w:val="0"/>
        <w:spacing w:line="360" w:lineRule="auto"/>
        <w:jc w:val="left"/>
        <w:rPr>
          <w:szCs w:val="28"/>
        </w:rPr>
      </w:pPr>
      <w:r>
        <w:rPr>
          <w:szCs w:val="28"/>
        </w:rPr>
        <w:t>8.2.1</w:t>
      </w:r>
      <w:r>
        <w:rPr>
          <w:rFonts w:hint="eastAsia"/>
          <w:szCs w:val="28"/>
        </w:rPr>
        <w:t>及时了解工况情况，保证了监测过程中工况负荷满足有关要求。</w:t>
      </w:r>
    </w:p>
    <w:p>
      <w:pPr>
        <w:adjustRightInd w:val="0"/>
        <w:snapToGrid w:val="0"/>
        <w:spacing w:line="360" w:lineRule="auto"/>
        <w:jc w:val="left"/>
        <w:rPr>
          <w:szCs w:val="28"/>
        </w:rPr>
      </w:pPr>
      <w:r>
        <w:rPr>
          <w:szCs w:val="28"/>
        </w:rPr>
        <w:t>8.2.2</w:t>
      </w:r>
      <w:r>
        <w:rPr>
          <w:rFonts w:hint="eastAsia"/>
          <w:szCs w:val="28"/>
        </w:rPr>
        <w:t>编制了监测方案，保证了各监测点位布设的科学性和可比性。</w:t>
      </w:r>
    </w:p>
    <w:p>
      <w:pPr>
        <w:adjustRightInd w:val="0"/>
        <w:snapToGrid w:val="0"/>
        <w:spacing w:line="360" w:lineRule="auto"/>
        <w:jc w:val="left"/>
        <w:rPr>
          <w:szCs w:val="28"/>
        </w:rPr>
      </w:pPr>
      <w:r>
        <w:rPr>
          <w:szCs w:val="28"/>
        </w:rPr>
        <w:t>8.2.3</w:t>
      </w:r>
      <w:r>
        <w:rPr>
          <w:rFonts w:hint="eastAsia"/>
          <w:szCs w:val="28"/>
        </w:rPr>
        <w:t>采用的监测分析方法均为国家有关部门颁布的标准（或推荐）分析方法，监测人员都持有上岗证。</w:t>
      </w:r>
    </w:p>
    <w:p>
      <w:pPr>
        <w:adjustRightInd w:val="0"/>
        <w:snapToGrid w:val="0"/>
        <w:spacing w:line="360" w:lineRule="auto"/>
        <w:jc w:val="left"/>
        <w:rPr>
          <w:szCs w:val="28"/>
        </w:rPr>
      </w:pPr>
      <w:r>
        <w:rPr>
          <w:szCs w:val="28"/>
        </w:rPr>
        <w:t>8.2.4</w:t>
      </w:r>
      <w:r>
        <w:rPr>
          <w:rFonts w:hint="eastAsia"/>
          <w:szCs w:val="28"/>
        </w:rPr>
        <w:t>按照国家环境环保局发布的《环境监测技术规范》和《空气和废气监测质量保证手册》（第四版）的要求进行了全过程质量控制，现场采样和测试前，采样仪器均用标准流量计进行了流量校准。</w:t>
      </w:r>
    </w:p>
    <w:p>
      <w:pPr>
        <w:adjustRightInd w:val="0"/>
        <w:snapToGrid w:val="0"/>
        <w:spacing w:line="360" w:lineRule="auto"/>
        <w:jc w:val="left"/>
        <w:rPr>
          <w:szCs w:val="28"/>
        </w:rPr>
      </w:pPr>
      <w:r>
        <w:rPr>
          <w:szCs w:val="28"/>
        </w:rPr>
        <w:t>8.2.5</w:t>
      </w:r>
      <w:r>
        <w:rPr>
          <w:rFonts w:hint="eastAsia"/>
          <w:szCs w:val="28"/>
        </w:rPr>
        <w:t>在监测期间，为保证验收监测分析结果的准确可靠性，样品采集、运输、保存均按国家标准和《环境水质监测质量保证手册（第二版）》的技术要求进行。</w:t>
      </w:r>
    </w:p>
    <w:p>
      <w:pPr>
        <w:adjustRightInd w:val="0"/>
        <w:snapToGrid w:val="0"/>
        <w:spacing w:line="360" w:lineRule="auto"/>
        <w:rPr>
          <w:szCs w:val="28"/>
        </w:rPr>
      </w:pPr>
      <w:r>
        <w:rPr>
          <w:szCs w:val="28"/>
        </w:rPr>
        <w:t>8.2.6</w:t>
      </w:r>
      <w:r>
        <w:rPr>
          <w:rFonts w:hint="eastAsia"/>
          <w:szCs w:val="28"/>
        </w:rPr>
        <w:t>噪声仪在使用前后均用声校准器进行校准，使用前后测定声校准器的读数差均未大于</w:t>
      </w:r>
      <w:r>
        <w:rPr>
          <w:szCs w:val="28"/>
        </w:rPr>
        <w:t>0.5</w:t>
      </w:r>
      <w:r>
        <w:rPr>
          <w:rFonts w:hint="eastAsia"/>
          <w:szCs w:val="28"/>
        </w:rPr>
        <w:t>分贝，符合标准规范要求。</w:t>
      </w:r>
    </w:p>
    <w:p>
      <w:pPr>
        <w:adjustRightInd w:val="0"/>
        <w:snapToGrid w:val="0"/>
        <w:spacing w:line="360" w:lineRule="auto"/>
        <w:jc w:val="left"/>
        <w:rPr>
          <w:szCs w:val="28"/>
        </w:rPr>
      </w:pPr>
      <w:r>
        <w:rPr>
          <w:szCs w:val="28"/>
        </w:rPr>
        <w:t>8.2.7</w:t>
      </w:r>
      <w:r>
        <w:rPr>
          <w:rFonts w:hint="eastAsia"/>
          <w:szCs w:val="28"/>
        </w:rPr>
        <w:t>监测数据均严格实行三级审核制度，经过校对、校核，最后由授权签字人审定。</w:t>
      </w:r>
    </w:p>
    <w:p>
      <w:pPr>
        <w:autoSpaceDE w:val="0"/>
        <w:autoSpaceDN w:val="0"/>
        <w:adjustRightInd w:val="0"/>
        <w:spacing w:line="360" w:lineRule="auto"/>
        <w:ind w:firstLine="480"/>
        <w:jc w:val="left"/>
        <w:rPr>
          <w:rFonts w:ascii="??_GB2312"/>
          <w:kern w:val="0"/>
        </w:rPr>
      </w:pPr>
      <w:r>
        <w:rPr>
          <w:rFonts w:hint="eastAsia"/>
          <w:kern w:val="0"/>
        </w:rPr>
        <w:t>表</w:t>
      </w:r>
      <w:r>
        <w:rPr>
          <w:kern w:val="0"/>
        </w:rPr>
        <w:t>8-2</w:t>
      </w:r>
      <w:r>
        <w:rPr>
          <w:rFonts w:hint="eastAsia"/>
          <w:kern w:val="0"/>
        </w:rPr>
        <w:t>多功能声级计校准结果，表</w:t>
      </w:r>
      <w:r>
        <w:rPr>
          <w:kern w:val="0"/>
        </w:rPr>
        <w:t>8-3</w:t>
      </w:r>
      <w:r>
        <w:rPr>
          <w:rFonts w:hint="eastAsia"/>
          <w:kern w:val="0"/>
        </w:rPr>
        <w:t>为烟气分析污染物浓度标定结果，表</w:t>
      </w:r>
      <w:r>
        <w:rPr>
          <w:kern w:val="0"/>
        </w:rPr>
        <w:t>8-4</w:t>
      </w:r>
      <w:r>
        <w:rPr>
          <w:rFonts w:hint="eastAsia"/>
          <w:kern w:val="0"/>
        </w:rPr>
        <w:t>为烟尘采集器流量标定结果，表</w:t>
      </w:r>
      <w:r>
        <w:rPr>
          <w:kern w:val="0"/>
        </w:rPr>
        <w:t>8-5</w:t>
      </w:r>
      <w:r>
        <w:rPr>
          <w:rFonts w:hint="eastAsia"/>
          <w:kern w:val="0"/>
        </w:rPr>
        <w:t>为平行样、加标回收样分析结果。</w:t>
      </w:r>
    </w:p>
    <w:p>
      <w:pPr>
        <w:autoSpaceDE w:val="0"/>
        <w:autoSpaceDN w:val="0"/>
        <w:adjustRightInd w:val="0"/>
        <w:spacing w:line="360" w:lineRule="auto"/>
        <w:ind w:firstLine="480"/>
        <w:jc w:val="center"/>
        <w:rPr>
          <w:rFonts w:ascii="??_GB2312"/>
          <w:kern w:val="0"/>
        </w:rPr>
      </w:pPr>
      <w:r>
        <w:rPr>
          <w:rFonts w:hint="eastAsia" w:ascii="??_GB2312"/>
          <w:kern w:val="0"/>
        </w:rPr>
        <w:t>表</w:t>
      </w:r>
      <w:r>
        <w:rPr>
          <w:rFonts w:ascii="??_GB2312"/>
          <w:kern w:val="0"/>
        </w:rPr>
        <w:t xml:space="preserve">8-2  </w:t>
      </w:r>
      <w:r>
        <w:rPr>
          <w:rFonts w:hint="eastAsia" w:ascii="??_GB2312"/>
          <w:kern w:val="0"/>
        </w:rPr>
        <w:t>多功能声级计校准结果</w:t>
      </w:r>
    </w:p>
    <w:tbl>
      <w:tblPr>
        <w:tblStyle w:val="47"/>
        <w:tblW w:w="10344" w:type="dxa"/>
        <w:jc w:val="center"/>
        <w:tblInd w:w="28"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952"/>
        <w:gridCol w:w="1395"/>
        <w:gridCol w:w="1770"/>
        <w:gridCol w:w="982"/>
        <w:gridCol w:w="1545"/>
        <w:gridCol w:w="1590"/>
        <w:gridCol w:w="1110"/>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952" w:type="dxa"/>
            <w:tcBorders>
              <w:top w:val="single" w:color="auto" w:sz="12" w:space="0"/>
            </w:tcBorders>
            <w:vAlign w:val="center"/>
          </w:tcPr>
          <w:p>
            <w:pPr>
              <w:widowControl/>
              <w:jc w:val="center"/>
              <w:rPr>
                <w:b/>
                <w:kern w:val="0"/>
                <w:sz w:val="21"/>
                <w:szCs w:val="21"/>
              </w:rPr>
            </w:pPr>
            <w:r>
              <w:rPr>
                <w:rFonts w:hint="eastAsia"/>
                <w:b/>
                <w:kern w:val="0"/>
                <w:sz w:val="21"/>
                <w:szCs w:val="21"/>
              </w:rPr>
              <w:t>校准日期</w:t>
            </w:r>
          </w:p>
        </w:tc>
        <w:tc>
          <w:tcPr>
            <w:tcW w:w="1395" w:type="dxa"/>
            <w:tcBorders>
              <w:top w:val="single" w:color="auto" w:sz="12" w:space="0"/>
            </w:tcBorders>
            <w:vAlign w:val="center"/>
          </w:tcPr>
          <w:p>
            <w:pPr>
              <w:widowControl/>
              <w:jc w:val="center"/>
              <w:rPr>
                <w:b/>
                <w:kern w:val="0"/>
                <w:sz w:val="21"/>
                <w:szCs w:val="21"/>
              </w:rPr>
            </w:pPr>
            <w:r>
              <w:rPr>
                <w:rFonts w:hint="eastAsia"/>
                <w:b/>
                <w:kern w:val="0"/>
                <w:sz w:val="21"/>
                <w:szCs w:val="21"/>
              </w:rPr>
              <w:t>仪器型号</w:t>
            </w:r>
          </w:p>
        </w:tc>
        <w:tc>
          <w:tcPr>
            <w:tcW w:w="1770" w:type="dxa"/>
            <w:tcBorders>
              <w:top w:val="single" w:color="auto" w:sz="12" w:space="0"/>
            </w:tcBorders>
            <w:vAlign w:val="center"/>
          </w:tcPr>
          <w:p>
            <w:pPr>
              <w:widowControl/>
              <w:jc w:val="center"/>
              <w:rPr>
                <w:b/>
                <w:kern w:val="0"/>
                <w:sz w:val="21"/>
                <w:szCs w:val="21"/>
              </w:rPr>
            </w:pPr>
            <w:r>
              <w:rPr>
                <w:rFonts w:hint="eastAsia"/>
                <w:b/>
                <w:kern w:val="0"/>
                <w:sz w:val="21"/>
                <w:szCs w:val="21"/>
              </w:rPr>
              <w:t>仪器编号</w:t>
            </w:r>
          </w:p>
        </w:tc>
        <w:tc>
          <w:tcPr>
            <w:tcW w:w="982" w:type="dxa"/>
            <w:tcBorders>
              <w:top w:val="single" w:color="auto" w:sz="12" w:space="0"/>
            </w:tcBorders>
            <w:vAlign w:val="center"/>
          </w:tcPr>
          <w:p>
            <w:pPr>
              <w:widowControl/>
              <w:jc w:val="center"/>
              <w:rPr>
                <w:b/>
                <w:kern w:val="0"/>
                <w:sz w:val="21"/>
                <w:szCs w:val="21"/>
              </w:rPr>
            </w:pPr>
            <w:r>
              <w:rPr>
                <w:rFonts w:hint="eastAsia"/>
                <w:b/>
                <w:kern w:val="0"/>
                <w:sz w:val="21"/>
                <w:szCs w:val="21"/>
              </w:rPr>
              <w:t>单位</w:t>
            </w:r>
          </w:p>
        </w:tc>
        <w:tc>
          <w:tcPr>
            <w:tcW w:w="1545" w:type="dxa"/>
            <w:tcBorders>
              <w:top w:val="single" w:color="auto" w:sz="12" w:space="0"/>
            </w:tcBorders>
            <w:vAlign w:val="center"/>
          </w:tcPr>
          <w:p>
            <w:pPr>
              <w:widowControl/>
              <w:jc w:val="center"/>
              <w:rPr>
                <w:b/>
                <w:kern w:val="0"/>
                <w:sz w:val="21"/>
                <w:szCs w:val="21"/>
              </w:rPr>
            </w:pPr>
            <w:r>
              <w:rPr>
                <w:rFonts w:hint="eastAsia"/>
                <w:b/>
                <w:kern w:val="0"/>
                <w:sz w:val="21"/>
                <w:szCs w:val="21"/>
              </w:rPr>
              <w:t>监测前校准值</w:t>
            </w:r>
          </w:p>
        </w:tc>
        <w:tc>
          <w:tcPr>
            <w:tcW w:w="1590" w:type="dxa"/>
            <w:tcBorders>
              <w:top w:val="single" w:color="auto" w:sz="12" w:space="0"/>
            </w:tcBorders>
            <w:vAlign w:val="center"/>
          </w:tcPr>
          <w:p>
            <w:pPr>
              <w:widowControl/>
              <w:jc w:val="center"/>
              <w:rPr>
                <w:b/>
                <w:kern w:val="0"/>
                <w:sz w:val="21"/>
                <w:szCs w:val="21"/>
              </w:rPr>
            </w:pPr>
            <w:r>
              <w:rPr>
                <w:rFonts w:hint="eastAsia"/>
                <w:b/>
                <w:kern w:val="0"/>
                <w:sz w:val="21"/>
                <w:szCs w:val="21"/>
              </w:rPr>
              <w:t>监测后校准值</w:t>
            </w:r>
          </w:p>
        </w:tc>
        <w:tc>
          <w:tcPr>
            <w:tcW w:w="1110" w:type="dxa"/>
            <w:tcBorders>
              <w:top w:val="single" w:color="auto" w:sz="12" w:space="0"/>
            </w:tcBorders>
            <w:vAlign w:val="center"/>
          </w:tcPr>
          <w:p>
            <w:pPr>
              <w:widowControl/>
              <w:jc w:val="center"/>
              <w:rPr>
                <w:b/>
                <w:kern w:val="0"/>
                <w:sz w:val="21"/>
                <w:szCs w:val="21"/>
              </w:rPr>
            </w:pPr>
            <w:r>
              <w:rPr>
                <w:rFonts w:hint="eastAsia"/>
                <w:b/>
                <w:kern w:val="0"/>
                <w:sz w:val="21"/>
                <w:szCs w:val="21"/>
              </w:rPr>
              <w:t>合格与否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952" w:type="dxa"/>
            <w:vMerge w:val="restart"/>
            <w:vAlign w:val="center"/>
          </w:tcPr>
          <w:p>
            <w:pPr>
              <w:widowControl/>
              <w:jc w:val="center"/>
              <w:rPr>
                <w:color w:val="000000"/>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05</w:t>
            </w:r>
            <w:r>
              <w:rPr>
                <w:rFonts w:hint="eastAsia"/>
                <w:color w:val="000000"/>
                <w:kern w:val="0"/>
                <w:sz w:val="21"/>
                <w:szCs w:val="21"/>
              </w:rPr>
              <w:t>日</w:t>
            </w:r>
          </w:p>
        </w:tc>
        <w:tc>
          <w:tcPr>
            <w:tcW w:w="1395" w:type="dxa"/>
            <w:vMerge w:val="restart"/>
            <w:vAlign w:val="center"/>
          </w:tcPr>
          <w:p>
            <w:pPr>
              <w:widowControl/>
              <w:jc w:val="center"/>
              <w:rPr>
                <w:color w:val="000000"/>
                <w:kern w:val="0"/>
                <w:sz w:val="21"/>
                <w:szCs w:val="21"/>
              </w:rPr>
            </w:pPr>
            <w:r>
              <w:rPr>
                <w:color w:val="000000"/>
                <w:kern w:val="0"/>
                <w:sz w:val="21"/>
                <w:szCs w:val="21"/>
              </w:rPr>
              <w:t>AWA6221A</w:t>
            </w:r>
          </w:p>
        </w:tc>
        <w:tc>
          <w:tcPr>
            <w:tcW w:w="1770" w:type="dxa"/>
            <w:vMerge w:val="restart"/>
            <w:vAlign w:val="center"/>
          </w:tcPr>
          <w:p>
            <w:pPr>
              <w:widowControl/>
              <w:jc w:val="center"/>
              <w:rPr>
                <w:color w:val="000000"/>
                <w:kern w:val="0"/>
                <w:sz w:val="21"/>
                <w:szCs w:val="21"/>
              </w:rPr>
            </w:pPr>
            <w:r>
              <w:rPr>
                <w:color w:val="000000"/>
                <w:kern w:val="0"/>
                <w:sz w:val="21"/>
                <w:szCs w:val="21"/>
              </w:rPr>
              <w:t>ZYKC-ES-21102</w:t>
            </w:r>
          </w:p>
        </w:tc>
        <w:tc>
          <w:tcPr>
            <w:tcW w:w="982" w:type="dxa"/>
            <w:vMerge w:val="restart"/>
            <w:vAlign w:val="center"/>
          </w:tcPr>
          <w:p>
            <w:pPr>
              <w:widowControl/>
              <w:jc w:val="center"/>
              <w:rPr>
                <w:color w:val="000000"/>
                <w:kern w:val="0"/>
                <w:sz w:val="21"/>
                <w:szCs w:val="21"/>
              </w:rPr>
            </w:pPr>
            <w:r>
              <w:rPr>
                <w:color w:val="000000"/>
                <w:kern w:val="0"/>
                <w:sz w:val="21"/>
                <w:szCs w:val="21"/>
              </w:rPr>
              <w:t>dB(A)</w:t>
            </w:r>
          </w:p>
        </w:tc>
        <w:tc>
          <w:tcPr>
            <w:tcW w:w="1545" w:type="dxa"/>
            <w:vAlign w:val="center"/>
          </w:tcPr>
          <w:p>
            <w:pPr>
              <w:widowControl/>
              <w:jc w:val="center"/>
              <w:rPr>
                <w:color w:val="000000"/>
                <w:kern w:val="0"/>
                <w:sz w:val="21"/>
                <w:szCs w:val="21"/>
              </w:rPr>
            </w:pPr>
            <w:r>
              <w:rPr>
                <w:color w:val="000000"/>
                <w:kern w:val="0"/>
                <w:sz w:val="21"/>
                <w:szCs w:val="21"/>
              </w:rPr>
              <w:t>93.5</w:t>
            </w:r>
          </w:p>
        </w:tc>
        <w:tc>
          <w:tcPr>
            <w:tcW w:w="1590" w:type="dxa"/>
            <w:vAlign w:val="center"/>
          </w:tcPr>
          <w:p>
            <w:pPr>
              <w:widowControl/>
              <w:jc w:val="center"/>
              <w:rPr>
                <w:color w:val="000000"/>
                <w:kern w:val="0"/>
                <w:sz w:val="21"/>
                <w:szCs w:val="21"/>
              </w:rPr>
            </w:pPr>
            <w:r>
              <w:rPr>
                <w:color w:val="000000"/>
                <w:kern w:val="0"/>
                <w:sz w:val="21"/>
                <w:szCs w:val="21"/>
              </w:rPr>
              <w:t>93.6</w:t>
            </w:r>
          </w:p>
        </w:tc>
        <w:tc>
          <w:tcPr>
            <w:tcW w:w="1110" w:type="dxa"/>
            <w:vAlign w:val="center"/>
          </w:tcPr>
          <w:p>
            <w:pPr>
              <w:widowControl/>
              <w:jc w:val="center"/>
              <w:rPr>
                <w:color w:val="000000"/>
                <w:kern w:val="0"/>
                <w:sz w:val="21"/>
                <w:szCs w:val="21"/>
              </w:rPr>
            </w:pPr>
            <w:r>
              <w:rPr>
                <w:rFonts w:hint="eastAsia"/>
                <w:color w:val="000000"/>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952" w:type="dxa"/>
            <w:vMerge w:val="continue"/>
            <w:vAlign w:val="center"/>
          </w:tcPr>
          <w:p>
            <w:pPr>
              <w:widowControl/>
              <w:jc w:val="center"/>
              <w:rPr>
                <w:color w:val="000000"/>
              </w:rPr>
            </w:pPr>
          </w:p>
        </w:tc>
        <w:tc>
          <w:tcPr>
            <w:tcW w:w="1395" w:type="dxa"/>
            <w:vMerge w:val="continue"/>
            <w:vAlign w:val="center"/>
          </w:tcPr>
          <w:p>
            <w:pPr>
              <w:widowControl/>
              <w:jc w:val="center"/>
              <w:rPr>
                <w:color w:val="000000"/>
              </w:rPr>
            </w:pPr>
          </w:p>
        </w:tc>
        <w:tc>
          <w:tcPr>
            <w:tcW w:w="1770" w:type="dxa"/>
            <w:vMerge w:val="continue"/>
            <w:vAlign w:val="center"/>
          </w:tcPr>
          <w:p>
            <w:pPr>
              <w:widowControl/>
              <w:jc w:val="center"/>
              <w:rPr>
                <w:color w:val="000000"/>
              </w:rPr>
            </w:pPr>
          </w:p>
        </w:tc>
        <w:tc>
          <w:tcPr>
            <w:tcW w:w="982" w:type="dxa"/>
            <w:vMerge w:val="continue"/>
            <w:vAlign w:val="center"/>
          </w:tcPr>
          <w:p>
            <w:pPr>
              <w:widowControl/>
              <w:jc w:val="center"/>
              <w:rPr>
                <w:color w:val="000000"/>
              </w:rPr>
            </w:pPr>
          </w:p>
        </w:tc>
        <w:tc>
          <w:tcPr>
            <w:tcW w:w="1545" w:type="dxa"/>
            <w:vAlign w:val="center"/>
          </w:tcPr>
          <w:p>
            <w:pPr>
              <w:widowControl/>
              <w:jc w:val="center"/>
              <w:rPr>
                <w:color w:val="000000"/>
                <w:kern w:val="0"/>
                <w:sz w:val="21"/>
                <w:szCs w:val="21"/>
              </w:rPr>
            </w:pPr>
            <w:r>
              <w:rPr>
                <w:color w:val="000000"/>
                <w:kern w:val="0"/>
                <w:sz w:val="21"/>
                <w:szCs w:val="21"/>
              </w:rPr>
              <w:t>93.7</w:t>
            </w:r>
          </w:p>
        </w:tc>
        <w:tc>
          <w:tcPr>
            <w:tcW w:w="1590" w:type="dxa"/>
            <w:vAlign w:val="center"/>
          </w:tcPr>
          <w:p>
            <w:pPr>
              <w:widowControl/>
              <w:jc w:val="center"/>
              <w:rPr>
                <w:color w:val="000000"/>
                <w:kern w:val="0"/>
                <w:sz w:val="21"/>
                <w:szCs w:val="21"/>
              </w:rPr>
            </w:pPr>
            <w:r>
              <w:rPr>
                <w:color w:val="000000"/>
                <w:kern w:val="0"/>
                <w:sz w:val="21"/>
                <w:szCs w:val="21"/>
              </w:rPr>
              <w:t>93.7</w:t>
            </w:r>
          </w:p>
        </w:tc>
        <w:tc>
          <w:tcPr>
            <w:tcW w:w="1110" w:type="dxa"/>
            <w:vAlign w:val="center"/>
          </w:tcPr>
          <w:p>
            <w:pPr>
              <w:widowControl/>
              <w:jc w:val="center"/>
              <w:rPr>
                <w:color w:val="000000"/>
                <w:kern w:val="0"/>
                <w:sz w:val="21"/>
                <w:szCs w:val="21"/>
              </w:rPr>
            </w:pPr>
            <w:r>
              <w:rPr>
                <w:rFonts w:hint="eastAsia"/>
                <w:color w:val="000000"/>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952" w:type="dxa"/>
            <w:vMerge w:val="restart"/>
            <w:vAlign w:val="center"/>
          </w:tcPr>
          <w:p>
            <w:pPr>
              <w:widowControl/>
              <w:jc w:val="center"/>
              <w:rPr>
                <w:color w:val="000000"/>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06</w:t>
            </w:r>
            <w:r>
              <w:rPr>
                <w:rFonts w:hint="eastAsia"/>
                <w:color w:val="000000"/>
                <w:kern w:val="0"/>
                <w:sz w:val="21"/>
                <w:szCs w:val="21"/>
              </w:rPr>
              <w:t>日</w:t>
            </w:r>
          </w:p>
        </w:tc>
        <w:tc>
          <w:tcPr>
            <w:tcW w:w="1395" w:type="dxa"/>
            <w:vMerge w:val="restart"/>
            <w:vAlign w:val="center"/>
          </w:tcPr>
          <w:p>
            <w:pPr>
              <w:widowControl/>
              <w:jc w:val="center"/>
              <w:rPr>
                <w:color w:val="000000"/>
                <w:kern w:val="0"/>
                <w:sz w:val="21"/>
                <w:szCs w:val="21"/>
              </w:rPr>
            </w:pPr>
            <w:r>
              <w:rPr>
                <w:color w:val="000000"/>
                <w:kern w:val="0"/>
                <w:sz w:val="21"/>
                <w:szCs w:val="21"/>
              </w:rPr>
              <w:t>AWA6221A</w:t>
            </w:r>
          </w:p>
        </w:tc>
        <w:tc>
          <w:tcPr>
            <w:tcW w:w="1770" w:type="dxa"/>
            <w:vMerge w:val="restart"/>
            <w:vAlign w:val="center"/>
          </w:tcPr>
          <w:p>
            <w:pPr>
              <w:widowControl/>
              <w:jc w:val="center"/>
              <w:rPr>
                <w:color w:val="000000"/>
                <w:kern w:val="0"/>
                <w:sz w:val="21"/>
                <w:szCs w:val="21"/>
              </w:rPr>
            </w:pPr>
            <w:r>
              <w:rPr>
                <w:color w:val="000000"/>
                <w:kern w:val="0"/>
                <w:sz w:val="21"/>
                <w:szCs w:val="21"/>
              </w:rPr>
              <w:t>ZYKC-ES-21102</w:t>
            </w:r>
          </w:p>
        </w:tc>
        <w:tc>
          <w:tcPr>
            <w:tcW w:w="982" w:type="dxa"/>
            <w:vMerge w:val="continue"/>
            <w:tcBorders>
              <w:bottom w:val="single" w:color="auto" w:sz="12" w:space="0"/>
            </w:tcBorders>
            <w:vAlign w:val="center"/>
          </w:tcPr>
          <w:p>
            <w:pPr>
              <w:widowControl/>
              <w:jc w:val="center"/>
              <w:rPr>
                <w:color w:val="000000"/>
                <w:kern w:val="0"/>
                <w:sz w:val="21"/>
                <w:szCs w:val="21"/>
              </w:rPr>
            </w:pPr>
          </w:p>
        </w:tc>
        <w:tc>
          <w:tcPr>
            <w:tcW w:w="1545" w:type="dxa"/>
            <w:tcBorders>
              <w:bottom w:val="single" w:color="auto" w:sz="4" w:space="0"/>
            </w:tcBorders>
            <w:vAlign w:val="center"/>
          </w:tcPr>
          <w:p>
            <w:pPr>
              <w:widowControl/>
              <w:jc w:val="center"/>
              <w:rPr>
                <w:color w:val="000000"/>
                <w:kern w:val="0"/>
                <w:sz w:val="21"/>
                <w:szCs w:val="21"/>
              </w:rPr>
            </w:pPr>
            <w:r>
              <w:rPr>
                <w:color w:val="000000"/>
                <w:kern w:val="0"/>
                <w:sz w:val="21"/>
                <w:szCs w:val="21"/>
              </w:rPr>
              <w:t>93.6</w:t>
            </w:r>
          </w:p>
        </w:tc>
        <w:tc>
          <w:tcPr>
            <w:tcW w:w="1590" w:type="dxa"/>
            <w:tcBorders>
              <w:bottom w:val="single" w:color="auto" w:sz="4" w:space="0"/>
            </w:tcBorders>
            <w:vAlign w:val="center"/>
          </w:tcPr>
          <w:p>
            <w:pPr>
              <w:widowControl/>
              <w:jc w:val="center"/>
              <w:rPr>
                <w:color w:val="000000"/>
                <w:kern w:val="0"/>
                <w:sz w:val="21"/>
                <w:szCs w:val="21"/>
              </w:rPr>
            </w:pPr>
            <w:r>
              <w:rPr>
                <w:color w:val="000000"/>
                <w:kern w:val="0"/>
                <w:sz w:val="21"/>
                <w:szCs w:val="21"/>
              </w:rPr>
              <w:t xml:space="preserve">93.7 </w:t>
            </w:r>
          </w:p>
        </w:tc>
        <w:tc>
          <w:tcPr>
            <w:tcW w:w="1110" w:type="dxa"/>
            <w:tcBorders>
              <w:bottom w:val="single" w:color="auto" w:sz="4" w:space="0"/>
            </w:tcBorders>
            <w:vAlign w:val="center"/>
          </w:tcPr>
          <w:p>
            <w:pPr>
              <w:widowControl/>
              <w:jc w:val="center"/>
              <w:rPr>
                <w:color w:val="000000"/>
                <w:kern w:val="0"/>
                <w:sz w:val="21"/>
                <w:szCs w:val="21"/>
              </w:rPr>
            </w:pPr>
            <w:r>
              <w:rPr>
                <w:rFonts w:hint="eastAsia"/>
                <w:color w:val="000000"/>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952" w:type="dxa"/>
            <w:vMerge w:val="continue"/>
            <w:vAlign w:val="center"/>
          </w:tcPr>
          <w:p>
            <w:pPr>
              <w:widowControl/>
              <w:jc w:val="center"/>
              <w:rPr>
                <w:color w:val="000000"/>
              </w:rPr>
            </w:pPr>
          </w:p>
        </w:tc>
        <w:tc>
          <w:tcPr>
            <w:tcW w:w="1395" w:type="dxa"/>
            <w:vMerge w:val="continue"/>
            <w:vAlign w:val="center"/>
          </w:tcPr>
          <w:p>
            <w:pPr>
              <w:widowControl/>
              <w:jc w:val="center"/>
              <w:rPr>
                <w:color w:val="000000"/>
              </w:rPr>
            </w:pPr>
          </w:p>
        </w:tc>
        <w:tc>
          <w:tcPr>
            <w:tcW w:w="1770" w:type="dxa"/>
            <w:vMerge w:val="continue"/>
            <w:vAlign w:val="center"/>
          </w:tcPr>
          <w:p>
            <w:pPr>
              <w:widowControl/>
              <w:jc w:val="center"/>
              <w:rPr>
                <w:color w:val="000000"/>
              </w:rPr>
            </w:pPr>
          </w:p>
        </w:tc>
        <w:tc>
          <w:tcPr>
            <w:tcW w:w="982" w:type="dxa"/>
            <w:vMerge w:val="continue"/>
            <w:vAlign w:val="center"/>
          </w:tcPr>
          <w:p>
            <w:pPr>
              <w:widowControl/>
              <w:jc w:val="center"/>
              <w:rPr>
                <w:color w:val="000000"/>
              </w:rPr>
            </w:pPr>
          </w:p>
        </w:tc>
        <w:tc>
          <w:tcPr>
            <w:tcW w:w="1545" w:type="dxa"/>
            <w:tcBorders>
              <w:top w:val="single" w:color="auto" w:sz="4" w:space="0"/>
              <w:bottom w:val="single" w:color="auto" w:sz="4" w:space="0"/>
            </w:tcBorders>
            <w:vAlign w:val="center"/>
          </w:tcPr>
          <w:p>
            <w:pPr>
              <w:widowControl/>
              <w:jc w:val="center"/>
              <w:rPr>
                <w:color w:val="000000"/>
                <w:kern w:val="0"/>
                <w:sz w:val="21"/>
                <w:szCs w:val="21"/>
              </w:rPr>
            </w:pPr>
            <w:r>
              <w:rPr>
                <w:color w:val="000000"/>
                <w:kern w:val="0"/>
                <w:sz w:val="21"/>
                <w:szCs w:val="21"/>
              </w:rPr>
              <w:t>93.5</w:t>
            </w:r>
          </w:p>
        </w:tc>
        <w:tc>
          <w:tcPr>
            <w:tcW w:w="1590" w:type="dxa"/>
            <w:tcBorders>
              <w:top w:val="single" w:color="auto" w:sz="4" w:space="0"/>
              <w:bottom w:val="single" w:color="auto" w:sz="4" w:space="0"/>
            </w:tcBorders>
            <w:vAlign w:val="center"/>
          </w:tcPr>
          <w:p>
            <w:pPr>
              <w:widowControl/>
              <w:jc w:val="center"/>
              <w:rPr>
                <w:color w:val="000000"/>
                <w:kern w:val="0"/>
                <w:sz w:val="21"/>
                <w:szCs w:val="21"/>
              </w:rPr>
            </w:pPr>
            <w:r>
              <w:rPr>
                <w:color w:val="000000"/>
                <w:kern w:val="0"/>
                <w:sz w:val="21"/>
                <w:szCs w:val="21"/>
              </w:rPr>
              <w:t>93.6</w:t>
            </w:r>
          </w:p>
        </w:tc>
        <w:tc>
          <w:tcPr>
            <w:tcW w:w="1110" w:type="dxa"/>
            <w:tcBorders>
              <w:top w:val="single" w:color="auto" w:sz="4" w:space="0"/>
              <w:bottom w:val="single" w:color="auto" w:sz="4" w:space="0"/>
            </w:tcBorders>
            <w:vAlign w:val="center"/>
          </w:tcPr>
          <w:p>
            <w:pPr>
              <w:widowControl/>
              <w:jc w:val="center"/>
              <w:rPr>
                <w:color w:val="000000"/>
                <w:kern w:val="0"/>
                <w:sz w:val="21"/>
                <w:szCs w:val="21"/>
              </w:rPr>
            </w:pPr>
            <w:r>
              <w:rPr>
                <w:rFonts w:hint="eastAsia"/>
                <w:color w:val="000000"/>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67" w:hRule="exact"/>
          <w:jc w:val="center"/>
        </w:trPr>
        <w:tc>
          <w:tcPr>
            <w:tcW w:w="10344" w:type="dxa"/>
            <w:gridSpan w:val="7"/>
            <w:tcBorders>
              <w:bottom w:val="single" w:color="auto" w:sz="12" w:space="0"/>
            </w:tcBorders>
            <w:vAlign w:val="center"/>
          </w:tcPr>
          <w:p>
            <w:pPr>
              <w:widowControl/>
              <w:jc w:val="center"/>
              <w:rPr>
                <w:color w:val="000000"/>
                <w:kern w:val="0"/>
                <w:sz w:val="21"/>
                <w:szCs w:val="21"/>
              </w:rPr>
            </w:pPr>
            <w:r>
              <w:rPr>
                <w:rFonts w:hint="eastAsia"/>
                <w:kern w:val="0"/>
                <w:position w:val="-2"/>
              </w:rPr>
              <w:t>噪声仪在使用前后用声校准器进行校准，使用前后测定声校准器读数差应不大于</w:t>
            </w:r>
            <w:r>
              <w:rPr>
                <w:kern w:val="0"/>
                <w:position w:val="-2"/>
              </w:rPr>
              <w:t>0.5</w:t>
            </w:r>
            <w:r>
              <w:rPr>
                <w:rFonts w:hint="eastAsia"/>
                <w:kern w:val="0"/>
                <w:position w:val="-2"/>
              </w:rPr>
              <w:t>分贝。</w:t>
            </w:r>
          </w:p>
        </w:tc>
      </w:tr>
    </w:tbl>
    <w:p>
      <w:pPr>
        <w:autoSpaceDE w:val="0"/>
        <w:autoSpaceDN w:val="0"/>
        <w:adjustRightInd w:val="0"/>
        <w:spacing w:line="360" w:lineRule="auto"/>
        <w:jc w:val="center"/>
        <w:rPr>
          <w:rFonts w:ascii="??_GB2312"/>
          <w:kern w:val="0"/>
        </w:rPr>
      </w:pPr>
    </w:p>
    <w:p>
      <w:pPr>
        <w:autoSpaceDE w:val="0"/>
        <w:autoSpaceDN w:val="0"/>
        <w:adjustRightInd w:val="0"/>
        <w:spacing w:line="360" w:lineRule="auto"/>
        <w:jc w:val="center"/>
        <w:rPr>
          <w:rFonts w:ascii="??_GB2312"/>
          <w:kern w:val="0"/>
        </w:rPr>
      </w:pPr>
    </w:p>
    <w:p>
      <w:pPr>
        <w:autoSpaceDE w:val="0"/>
        <w:autoSpaceDN w:val="0"/>
        <w:adjustRightInd w:val="0"/>
        <w:spacing w:line="360" w:lineRule="auto"/>
        <w:jc w:val="center"/>
        <w:rPr>
          <w:rFonts w:ascii="??_GB2312"/>
          <w:kern w:val="0"/>
        </w:rPr>
      </w:pPr>
    </w:p>
    <w:p>
      <w:pPr>
        <w:autoSpaceDE w:val="0"/>
        <w:autoSpaceDN w:val="0"/>
        <w:adjustRightInd w:val="0"/>
        <w:spacing w:line="360" w:lineRule="auto"/>
        <w:jc w:val="center"/>
        <w:rPr>
          <w:rFonts w:ascii="??_GB2312"/>
          <w:kern w:val="0"/>
        </w:rPr>
      </w:pPr>
    </w:p>
    <w:p>
      <w:pPr>
        <w:autoSpaceDE w:val="0"/>
        <w:autoSpaceDN w:val="0"/>
        <w:adjustRightInd w:val="0"/>
        <w:spacing w:line="360" w:lineRule="auto"/>
        <w:jc w:val="center"/>
        <w:rPr>
          <w:rFonts w:ascii="??_GB2312"/>
          <w:kern w:val="0"/>
        </w:rPr>
      </w:pPr>
      <w:r>
        <w:rPr>
          <w:rFonts w:hint="eastAsia" w:ascii="??_GB2312"/>
          <w:kern w:val="0"/>
        </w:rPr>
        <w:t>表</w:t>
      </w:r>
      <w:r>
        <w:rPr>
          <w:rFonts w:ascii="??_GB2312"/>
          <w:kern w:val="0"/>
        </w:rPr>
        <w:t xml:space="preserve">8-3  </w:t>
      </w:r>
      <w:r>
        <w:rPr>
          <w:rFonts w:hint="eastAsia" w:ascii="??_GB2312"/>
          <w:kern w:val="0"/>
        </w:rPr>
        <w:t>烟气分析污染物浓度标定结果</w:t>
      </w:r>
    </w:p>
    <w:tbl>
      <w:tblPr>
        <w:tblStyle w:val="47"/>
        <w:tblW w:w="10476" w:type="dxa"/>
        <w:jc w:val="center"/>
        <w:tblInd w:w="-253" w:type="dxa"/>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128"/>
        <w:gridCol w:w="1088"/>
        <w:gridCol w:w="1252"/>
        <w:gridCol w:w="1384"/>
        <w:gridCol w:w="896"/>
        <w:gridCol w:w="1380"/>
        <w:gridCol w:w="1185"/>
        <w:gridCol w:w="1350"/>
        <w:gridCol w:w="813"/>
      </w:tblGrid>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454" w:hRule="exact"/>
          <w:jc w:val="center"/>
        </w:trPr>
        <w:tc>
          <w:tcPr>
            <w:tcW w:w="1128"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校准日期</w:t>
            </w:r>
          </w:p>
        </w:tc>
        <w:tc>
          <w:tcPr>
            <w:tcW w:w="1088"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仪器型号</w:t>
            </w:r>
          </w:p>
        </w:tc>
        <w:tc>
          <w:tcPr>
            <w:tcW w:w="1252"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仪器</w:t>
            </w:r>
          </w:p>
          <w:p>
            <w:pPr>
              <w:widowControl/>
              <w:jc w:val="center"/>
              <w:rPr>
                <w:b/>
                <w:kern w:val="0"/>
                <w:sz w:val="21"/>
                <w:szCs w:val="21"/>
              </w:rPr>
            </w:pPr>
            <w:r>
              <w:rPr>
                <w:rFonts w:hint="eastAsia"/>
                <w:b/>
                <w:kern w:val="0"/>
                <w:sz w:val="21"/>
                <w:szCs w:val="21"/>
              </w:rPr>
              <w:t>编号</w:t>
            </w:r>
          </w:p>
        </w:tc>
        <w:tc>
          <w:tcPr>
            <w:tcW w:w="1384"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因子</w:t>
            </w:r>
          </w:p>
        </w:tc>
        <w:tc>
          <w:tcPr>
            <w:tcW w:w="896"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单位</w:t>
            </w:r>
          </w:p>
        </w:tc>
        <w:tc>
          <w:tcPr>
            <w:tcW w:w="1380"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标气示值</w:t>
            </w:r>
          </w:p>
        </w:tc>
        <w:tc>
          <w:tcPr>
            <w:tcW w:w="2535" w:type="dxa"/>
            <w:gridSpan w:val="2"/>
            <w:tcBorders>
              <w:top w:val="single" w:color="auto" w:sz="12" w:space="0"/>
            </w:tcBorders>
            <w:vAlign w:val="center"/>
          </w:tcPr>
          <w:p>
            <w:pPr>
              <w:widowControl/>
              <w:jc w:val="center"/>
              <w:rPr>
                <w:b/>
                <w:kern w:val="0"/>
                <w:sz w:val="21"/>
                <w:szCs w:val="21"/>
              </w:rPr>
            </w:pPr>
            <w:r>
              <w:rPr>
                <w:rFonts w:hint="eastAsia"/>
                <w:b/>
                <w:kern w:val="0"/>
                <w:sz w:val="21"/>
                <w:szCs w:val="21"/>
              </w:rPr>
              <w:t>监测前</w:t>
            </w:r>
          </w:p>
        </w:tc>
        <w:tc>
          <w:tcPr>
            <w:tcW w:w="813" w:type="dxa"/>
            <w:vMerge w:val="restart"/>
            <w:tcBorders>
              <w:top w:val="single" w:color="auto" w:sz="12" w:space="0"/>
            </w:tcBorders>
            <w:vAlign w:val="center"/>
          </w:tcPr>
          <w:p>
            <w:pPr>
              <w:widowControl/>
              <w:jc w:val="center"/>
              <w:rPr>
                <w:b/>
                <w:kern w:val="0"/>
                <w:sz w:val="21"/>
                <w:szCs w:val="21"/>
              </w:rPr>
            </w:pPr>
            <w:r>
              <w:rPr>
                <w:rFonts w:hint="eastAsia"/>
                <w:b/>
                <w:kern w:val="0"/>
                <w:sz w:val="21"/>
                <w:szCs w:val="21"/>
              </w:rPr>
              <w:t>合格与否</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59" w:hRule="exact"/>
          <w:jc w:val="center"/>
        </w:trPr>
        <w:tc>
          <w:tcPr>
            <w:tcW w:w="1128" w:type="dxa"/>
            <w:vMerge w:val="continue"/>
            <w:vAlign w:val="center"/>
          </w:tcPr>
          <w:p>
            <w:pPr>
              <w:widowControl/>
              <w:jc w:val="center"/>
              <w:rPr>
                <w:b/>
                <w:kern w:val="0"/>
                <w:sz w:val="21"/>
                <w:szCs w:val="21"/>
              </w:rPr>
            </w:pPr>
          </w:p>
        </w:tc>
        <w:tc>
          <w:tcPr>
            <w:tcW w:w="1088" w:type="dxa"/>
            <w:vMerge w:val="continue"/>
            <w:vAlign w:val="center"/>
          </w:tcPr>
          <w:p>
            <w:pPr>
              <w:widowControl/>
              <w:jc w:val="center"/>
              <w:rPr>
                <w:b/>
                <w:kern w:val="0"/>
                <w:sz w:val="21"/>
                <w:szCs w:val="21"/>
              </w:rPr>
            </w:pPr>
          </w:p>
        </w:tc>
        <w:tc>
          <w:tcPr>
            <w:tcW w:w="1252" w:type="dxa"/>
            <w:vMerge w:val="continue"/>
            <w:vAlign w:val="center"/>
          </w:tcPr>
          <w:p>
            <w:pPr>
              <w:widowControl/>
              <w:jc w:val="center"/>
              <w:rPr>
                <w:b/>
                <w:kern w:val="0"/>
                <w:sz w:val="21"/>
                <w:szCs w:val="21"/>
              </w:rPr>
            </w:pPr>
          </w:p>
        </w:tc>
        <w:tc>
          <w:tcPr>
            <w:tcW w:w="1384" w:type="dxa"/>
            <w:vMerge w:val="continue"/>
            <w:vAlign w:val="center"/>
          </w:tcPr>
          <w:p>
            <w:pPr>
              <w:widowControl/>
              <w:jc w:val="center"/>
              <w:rPr>
                <w:b/>
                <w:kern w:val="0"/>
                <w:sz w:val="21"/>
                <w:szCs w:val="21"/>
              </w:rPr>
            </w:pPr>
          </w:p>
        </w:tc>
        <w:tc>
          <w:tcPr>
            <w:tcW w:w="896" w:type="dxa"/>
            <w:vMerge w:val="continue"/>
            <w:vAlign w:val="center"/>
          </w:tcPr>
          <w:p>
            <w:pPr>
              <w:widowControl/>
              <w:jc w:val="center"/>
              <w:rPr>
                <w:b/>
                <w:kern w:val="0"/>
                <w:sz w:val="21"/>
                <w:szCs w:val="21"/>
              </w:rPr>
            </w:pPr>
          </w:p>
        </w:tc>
        <w:tc>
          <w:tcPr>
            <w:tcW w:w="1380" w:type="dxa"/>
            <w:vMerge w:val="continue"/>
            <w:vAlign w:val="center"/>
          </w:tcPr>
          <w:p>
            <w:pPr>
              <w:widowControl/>
              <w:jc w:val="center"/>
              <w:rPr>
                <w:b/>
                <w:kern w:val="0"/>
                <w:sz w:val="21"/>
                <w:szCs w:val="21"/>
              </w:rPr>
            </w:pPr>
          </w:p>
        </w:tc>
        <w:tc>
          <w:tcPr>
            <w:tcW w:w="1185" w:type="dxa"/>
            <w:vAlign w:val="center"/>
          </w:tcPr>
          <w:p>
            <w:pPr>
              <w:widowControl/>
              <w:jc w:val="center"/>
              <w:rPr>
                <w:b/>
                <w:kern w:val="0"/>
                <w:sz w:val="21"/>
                <w:szCs w:val="21"/>
              </w:rPr>
            </w:pPr>
            <w:r>
              <w:rPr>
                <w:rFonts w:hint="eastAsia"/>
                <w:b/>
                <w:kern w:val="0"/>
                <w:sz w:val="21"/>
                <w:szCs w:val="21"/>
              </w:rPr>
              <w:t>测量值</w:t>
            </w:r>
          </w:p>
        </w:tc>
        <w:tc>
          <w:tcPr>
            <w:tcW w:w="1350" w:type="dxa"/>
            <w:vAlign w:val="center"/>
          </w:tcPr>
          <w:p>
            <w:pPr>
              <w:widowControl/>
              <w:jc w:val="center"/>
              <w:rPr>
                <w:b/>
                <w:kern w:val="0"/>
                <w:sz w:val="21"/>
                <w:szCs w:val="21"/>
              </w:rPr>
            </w:pPr>
            <w:r>
              <w:rPr>
                <w:rFonts w:hint="eastAsia"/>
                <w:b/>
                <w:kern w:val="0"/>
                <w:sz w:val="21"/>
                <w:szCs w:val="21"/>
              </w:rPr>
              <w:t>示值偏差（</w:t>
            </w:r>
            <w:r>
              <w:rPr>
                <w:b/>
                <w:kern w:val="0"/>
                <w:sz w:val="21"/>
                <w:szCs w:val="21"/>
              </w:rPr>
              <w:t>%</w:t>
            </w:r>
            <w:r>
              <w:rPr>
                <w:rFonts w:hint="eastAsia"/>
                <w:b/>
                <w:kern w:val="0"/>
                <w:sz w:val="21"/>
                <w:szCs w:val="21"/>
              </w:rPr>
              <w:t>）</w:t>
            </w:r>
          </w:p>
        </w:tc>
        <w:tc>
          <w:tcPr>
            <w:tcW w:w="813" w:type="dxa"/>
            <w:vMerge w:val="continue"/>
            <w:vAlign w:val="center"/>
          </w:tcPr>
          <w:p>
            <w:pPr>
              <w:widowControl/>
              <w:jc w:val="center"/>
              <w:rPr>
                <w:b/>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restart"/>
            <w:vAlign w:val="center"/>
          </w:tcPr>
          <w:p>
            <w:pPr>
              <w:widowControl/>
              <w:jc w:val="center"/>
              <w:rPr>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05</w:t>
            </w:r>
            <w:r>
              <w:rPr>
                <w:rFonts w:hint="eastAsia"/>
                <w:color w:val="000000"/>
                <w:kern w:val="0"/>
                <w:sz w:val="21"/>
                <w:szCs w:val="21"/>
              </w:rPr>
              <w:t>日</w:t>
            </w:r>
          </w:p>
        </w:tc>
        <w:tc>
          <w:tcPr>
            <w:tcW w:w="1088" w:type="dxa"/>
            <w:vMerge w:val="restart"/>
            <w:vAlign w:val="center"/>
          </w:tcPr>
          <w:p>
            <w:pPr>
              <w:widowControl/>
              <w:jc w:val="center"/>
              <w:rPr>
                <w:kern w:val="0"/>
                <w:sz w:val="21"/>
                <w:szCs w:val="21"/>
              </w:rPr>
            </w:pPr>
            <w:r>
              <w:rPr>
                <w:kern w:val="0"/>
                <w:sz w:val="21"/>
                <w:szCs w:val="21"/>
              </w:rPr>
              <w:t>GH60E</w:t>
            </w:r>
          </w:p>
        </w:tc>
        <w:tc>
          <w:tcPr>
            <w:tcW w:w="1252" w:type="dxa"/>
            <w:vMerge w:val="restart"/>
            <w:vAlign w:val="center"/>
          </w:tcPr>
          <w:p>
            <w:pPr>
              <w:widowControl/>
              <w:jc w:val="center"/>
              <w:rPr>
                <w:kern w:val="0"/>
                <w:sz w:val="21"/>
                <w:szCs w:val="21"/>
              </w:rPr>
            </w:pPr>
            <w:r>
              <w:rPr>
                <w:kern w:val="0"/>
                <w:sz w:val="21"/>
                <w:szCs w:val="21"/>
              </w:rPr>
              <w:t>ZYKC-ES-Z0602</w:t>
            </w: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49.1</w:t>
            </w:r>
          </w:p>
        </w:tc>
        <w:tc>
          <w:tcPr>
            <w:tcW w:w="1185" w:type="dxa"/>
            <w:vAlign w:val="center"/>
          </w:tcPr>
          <w:p>
            <w:pPr>
              <w:widowControl/>
              <w:jc w:val="center"/>
              <w:rPr>
                <w:color w:val="000000"/>
                <w:kern w:val="0"/>
                <w:sz w:val="21"/>
                <w:szCs w:val="21"/>
              </w:rPr>
            </w:pPr>
            <w:r>
              <w:rPr>
                <w:color w:val="000000"/>
                <w:kern w:val="0"/>
                <w:sz w:val="21"/>
                <w:szCs w:val="21"/>
              </w:rPr>
              <w:t>51.3</w:t>
            </w:r>
          </w:p>
        </w:tc>
        <w:tc>
          <w:tcPr>
            <w:tcW w:w="1350" w:type="dxa"/>
            <w:vAlign w:val="center"/>
          </w:tcPr>
          <w:p>
            <w:pPr>
              <w:widowControl/>
              <w:jc w:val="center"/>
              <w:rPr>
                <w:color w:val="000000"/>
                <w:kern w:val="0"/>
                <w:sz w:val="21"/>
                <w:szCs w:val="21"/>
              </w:rPr>
            </w:pPr>
            <w:r>
              <w:rPr>
                <w:color w:val="000000"/>
                <w:kern w:val="0"/>
                <w:sz w:val="21"/>
                <w:szCs w:val="21"/>
              </w:rPr>
              <w:t>4.5</w:t>
            </w:r>
          </w:p>
        </w:tc>
        <w:tc>
          <w:tcPr>
            <w:tcW w:w="813" w:type="dxa"/>
            <w:vMerge w:val="restart"/>
            <w:vAlign w:val="center"/>
          </w:tcPr>
          <w:p>
            <w:pPr>
              <w:widowControl/>
              <w:jc w:val="center"/>
              <w:rPr>
                <w:kern w:val="0"/>
                <w:sz w:val="21"/>
                <w:szCs w:val="21"/>
              </w:rPr>
            </w:pPr>
            <w:r>
              <w:rPr>
                <w:rFonts w:hint="eastAsia"/>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428</w:t>
            </w:r>
          </w:p>
        </w:tc>
        <w:tc>
          <w:tcPr>
            <w:tcW w:w="1185" w:type="dxa"/>
            <w:vAlign w:val="center"/>
          </w:tcPr>
          <w:p>
            <w:pPr>
              <w:widowControl/>
              <w:jc w:val="center"/>
              <w:rPr>
                <w:color w:val="000000"/>
                <w:kern w:val="0"/>
                <w:sz w:val="21"/>
                <w:szCs w:val="21"/>
              </w:rPr>
            </w:pPr>
            <w:r>
              <w:rPr>
                <w:color w:val="000000"/>
                <w:kern w:val="0"/>
                <w:sz w:val="21"/>
                <w:szCs w:val="21"/>
              </w:rPr>
              <w:t>428</w:t>
            </w:r>
          </w:p>
        </w:tc>
        <w:tc>
          <w:tcPr>
            <w:tcW w:w="1350" w:type="dxa"/>
            <w:vAlign w:val="center"/>
          </w:tcPr>
          <w:p>
            <w:pPr>
              <w:widowControl/>
              <w:jc w:val="center"/>
              <w:rPr>
                <w:color w:val="000000"/>
                <w:kern w:val="0"/>
                <w:sz w:val="21"/>
                <w:szCs w:val="21"/>
              </w:rPr>
            </w:pPr>
            <w:r>
              <w:rPr>
                <w:color w:val="000000"/>
                <w:kern w:val="0"/>
                <w:sz w:val="21"/>
                <w:szCs w:val="21"/>
              </w:rPr>
              <w:t>0.0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48.6</w:t>
            </w:r>
          </w:p>
        </w:tc>
        <w:tc>
          <w:tcPr>
            <w:tcW w:w="1185" w:type="dxa"/>
            <w:vAlign w:val="center"/>
          </w:tcPr>
          <w:p>
            <w:pPr>
              <w:widowControl/>
              <w:jc w:val="center"/>
              <w:rPr>
                <w:color w:val="000000"/>
                <w:kern w:val="0"/>
                <w:sz w:val="21"/>
                <w:szCs w:val="21"/>
              </w:rPr>
            </w:pPr>
            <w:r>
              <w:rPr>
                <w:color w:val="000000"/>
                <w:kern w:val="0"/>
                <w:sz w:val="21"/>
                <w:szCs w:val="21"/>
              </w:rPr>
              <w:t>48.3</w:t>
            </w:r>
          </w:p>
        </w:tc>
        <w:tc>
          <w:tcPr>
            <w:tcW w:w="1350" w:type="dxa"/>
            <w:vAlign w:val="center"/>
          </w:tcPr>
          <w:p>
            <w:pPr>
              <w:widowControl/>
              <w:jc w:val="center"/>
              <w:rPr>
                <w:color w:val="000000"/>
                <w:kern w:val="0"/>
                <w:sz w:val="21"/>
                <w:szCs w:val="21"/>
              </w:rPr>
            </w:pPr>
            <w:r>
              <w:rPr>
                <w:color w:val="000000"/>
                <w:kern w:val="0"/>
                <w:sz w:val="21"/>
                <w:szCs w:val="21"/>
              </w:rPr>
              <w:t>-0.6</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404</w:t>
            </w:r>
          </w:p>
        </w:tc>
        <w:tc>
          <w:tcPr>
            <w:tcW w:w="1185" w:type="dxa"/>
            <w:vAlign w:val="center"/>
          </w:tcPr>
          <w:p>
            <w:pPr>
              <w:widowControl/>
              <w:jc w:val="center"/>
              <w:rPr>
                <w:color w:val="000000"/>
                <w:kern w:val="0"/>
                <w:sz w:val="21"/>
                <w:szCs w:val="21"/>
              </w:rPr>
            </w:pPr>
            <w:r>
              <w:rPr>
                <w:color w:val="000000"/>
                <w:kern w:val="0"/>
                <w:sz w:val="21"/>
                <w:szCs w:val="21"/>
              </w:rPr>
              <w:t>404</w:t>
            </w:r>
          </w:p>
        </w:tc>
        <w:tc>
          <w:tcPr>
            <w:tcW w:w="1350" w:type="dxa"/>
            <w:vAlign w:val="center"/>
          </w:tcPr>
          <w:p>
            <w:pPr>
              <w:widowControl/>
              <w:jc w:val="center"/>
              <w:rPr>
                <w:color w:val="000000"/>
                <w:kern w:val="0"/>
                <w:sz w:val="21"/>
                <w:szCs w:val="21"/>
              </w:rPr>
            </w:pPr>
            <w:r>
              <w:rPr>
                <w:color w:val="000000"/>
                <w:kern w:val="0"/>
                <w:sz w:val="21"/>
                <w:szCs w:val="21"/>
              </w:rPr>
              <w:t>0.0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54.0</w:t>
            </w:r>
          </w:p>
        </w:tc>
        <w:tc>
          <w:tcPr>
            <w:tcW w:w="1185" w:type="dxa"/>
            <w:vAlign w:val="center"/>
          </w:tcPr>
          <w:p>
            <w:pPr>
              <w:widowControl/>
              <w:jc w:val="center"/>
              <w:rPr>
                <w:color w:val="000000"/>
                <w:kern w:val="0"/>
                <w:sz w:val="21"/>
                <w:szCs w:val="21"/>
              </w:rPr>
            </w:pPr>
            <w:r>
              <w:rPr>
                <w:color w:val="000000"/>
                <w:kern w:val="0"/>
                <w:sz w:val="21"/>
                <w:szCs w:val="21"/>
              </w:rPr>
              <w:t>51.9</w:t>
            </w:r>
          </w:p>
        </w:tc>
        <w:tc>
          <w:tcPr>
            <w:tcW w:w="1350" w:type="dxa"/>
            <w:vAlign w:val="center"/>
          </w:tcPr>
          <w:p>
            <w:pPr>
              <w:widowControl/>
              <w:jc w:val="center"/>
              <w:rPr>
                <w:color w:val="000000"/>
                <w:kern w:val="0"/>
                <w:sz w:val="21"/>
                <w:szCs w:val="21"/>
              </w:rPr>
            </w:pPr>
            <w:r>
              <w:rPr>
                <w:color w:val="000000"/>
                <w:kern w:val="0"/>
                <w:sz w:val="21"/>
                <w:szCs w:val="21"/>
              </w:rPr>
              <w:t>-3.9</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423</w:t>
            </w:r>
          </w:p>
        </w:tc>
        <w:tc>
          <w:tcPr>
            <w:tcW w:w="1185" w:type="dxa"/>
            <w:vAlign w:val="center"/>
          </w:tcPr>
          <w:p>
            <w:pPr>
              <w:widowControl/>
              <w:jc w:val="center"/>
              <w:rPr>
                <w:color w:val="000000"/>
                <w:kern w:val="0"/>
                <w:sz w:val="21"/>
                <w:szCs w:val="21"/>
              </w:rPr>
            </w:pPr>
            <w:r>
              <w:rPr>
                <w:color w:val="000000"/>
                <w:kern w:val="0"/>
                <w:sz w:val="21"/>
                <w:szCs w:val="21"/>
              </w:rPr>
              <w:t>422</w:t>
            </w:r>
          </w:p>
        </w:tc>
        <w:tc>
          <w:tcPr>
            <w:tcW w:w="1350" w:type="dxa"/>
            <w:vAlign w:val="center"/>
          </w:tcPr>
          <w:p>
            <w:pPr>
              <w:widowControl/>
              <w:jc w:val="center"/>
              <w:rPr>
                <w:color w:val="000000"/>
                <w:kern w:val="0"/>
                <w:sz w:val="21"/>
                <w:szCs w:val="21"/>
              </w:rPr>
            </w:pPr>
            <w:r>
              <w:rPr>
                <w:color w:val="000000"/>
                <w:kern w:val="0"/>
                <w:sz w:val="21"/>
                <w:szCs w:val="21"/>
              </w:rPr>
              <w:t>-0.2</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49.1</w:t>
            </w:r>
          </w:p>
        </w:tc>
        <w:tc>
          <w:tcPr>
            <w:tcW w:w="1185" w:type="dxa"/>
            <w:vAlign w:val="center"/>
          </w:tcPr>
          <w:p>
            <w:pPr>
              <w:widowControl/>
              <w:jc w:val="center"/>
              <w:rPr>
                <w:color w:val="000000"/>
                <w:kern w:val="0"/>
                <w:sz w:val="21"/>
                <w:szCs w:val="21"/>
              </w:rPr>
            </w:pPr>
            <w:r>
              <w:rPr>
                <w:color w:val="000000"/>
                <w:kern w:val="0"/>
                <w:sz w:val="21"/>
                <w:szCs w:val="21"/>
              </w:rPr>
              <w:t>49.6</w:t>
            </w:r>
          </w:p>
        </w:tc>
        <w:tc>
          <w:tcPr>
            <w:tcW w:w="1350" w:type="dxa"/>
            <w:vAlign w:val="center"/>
          </w:tcPr>
          <w:p>
            <w:pPr>
              <w:widowControl/>
              <w:jc w:val="center"/>
              <w:rPr>
                <w:color w:val="000000"/>
                <w:kern w:val="0"/>
                <w:sz w:val="21"/>
                <w:szCs w:val="21"/>
              </w:rPr>
            </w:pPr>
            <w:r>
              <w:rPr>
                <w:color w:val="000000"/>
                <w:kern w:val="0"/>
                <w:sz w:val="21"/>
                <w:szCs w:val="21"/>
              </w:rPr>
              <w:t>1.0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428</w:t>
            </w:r>
          </w:p>
        </w:tc>
        <w:tc>
          <w:tcPr>
            <w:tcW w:w="1185" w:type="dxa"/>
            <w:vAlign w:val="center"/>
          </w:tcPr>
          <w:p>
            <w:pPr>
              <w:widowControl/>
              <w:jc w:val="center"/>
              <w:rPr>
                <w:color w:val="000000"/>
                <w:kern w:val="0"/>
                <w:sz w:val="21"/>
                <w:szCs w:val="21"/>
              </w:rPr>
            </w:pPr>
            <w:r>
              <w:rPr>
                <w:color w:val="000000"/>
                <w:kern w:val="0"/>
                <w:sz w:val="21"/>
                <w:szCs w:val="21"/>
              </w:rPr>
              <w:t>426</w:t>
            </w:r>
          </w:p>
        </w:tc>
        <w:tc>
          <w:tcPr>
            <w:tcW w:w="1350" w:type="dxa"/>
            <w:vAlign w:val="center"/>
          </w:tcPr>
          <w:p>
            <w:pPr>
              <w:widowControl/>
              <w:jc w:val="center"/>
              <w:rPr>
                <w:color w:val="000000"/>
                <w:kern w:val="0"/>
                <w:sz w:val="21"/>
                <w:szCs w:val="21"/>
              </w:rPr>
            </w:pPr>
            <w:r>
              <w:rPr>
                <w:color w:val="000000"/>
                <w:kern w:val="0"/>
                <w:sz w:val="21"/>
                <w:szCs w:val="21"/>
              </w:rPr>
              <w:t>-0.5</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48.6</w:t>
            </w:r>
          </w:p>
        </w:tc>
        <w:tc>
          <w:tcPr>
            <w:tcW w:w="1185" w:type="dxa"/>
            <w:vAlign w:val="center"/>
          </w:tcPr>
          <w:p>
            <w:pPr>
              <w:widowControl/>
              <w:jc w:val="center"/>
              <w:rPr>
                <w:color w:val="000000"/>
                <w:kern w:val="0"/>
                <w:sz w:val="21"/>
                <w:szCs w:val="21"/>
              </w:rPr>
            </w:pPr>
            <w:r>
              <w:rPr>
                <w:color w:val="000000"/>
                <w:kern w:val="0"/>
                <w:sz w:val="21"/>
                <w:szCs w:val="21"/>
              </w:rPr>
              <w:t>48.7</w:t>
            </w:r>
          </w:p>
        </w:tc>
        <w:tc>
          <w:tcPr>
            <w:tcW w:w="1350" w:type="dxa"/>
            <w:vAlign w:val="center"/>
          </w:tcPr>
          <w:p>
            <w:pPr>
              <w:widowControl/>
              <w:jc w:val="center"/>
              <w:rPr>
                <w:color w:val="000000"/>
                <w:kern w:val="0"/>
                <w:sz w:val="21"/>
                <w:szCs w:val="21"/>
              </w:rPr>
            </w:pPr>
            <w:r>
              <w:rPr>
                <w:color w:val="000000"/>
                <w:kern w:val="0"/>
                <w:sz w:val="21"/>
                <w:szCs w:val="21"/>
              </w:rPr>
              <w:t>0.2</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404</w:t>
            </w:r>
          </w:p>
        </w:tc>
        <w:tc>
          <w:tcPr>
            <w:tcW w:w="1185" w:type="dxa"/>
            <w:vAlign w:val="center"/>
          </w:tcPr>
          <w:p>
            <w:pPr>
              <w:widowControl/>
              <w:jc w:val="center"/>
              <w:rPr>
                <w:color w:val="000000"/>
                <w:kern w:val="0"/>
                <w:sz w:val="21"/>
                <w:szCs w:val="21"/>
              </w:rPr>
            </w:pPr>
            <w:r>
              <w:rPr>
                <w:color w:val="000000"/>
                <w:kern w:val="0"/>
                <w:sz w:val="21"/>
                <w:szCs w:val="21"/>
              </w:rPr>
              <w:t>401</w:t>
            </w:r>
          </w:p>
        </w:tc>
        <w:tc>
          <w:tcPr>
            <w:tcW w:w="1350" w:type="dxa"/>
            <w:vAlign w:val="center"/>
          </w:tcPr>
          <w:p>
            <w:pPr>
              <w:widowControl/>
              <w:jc w:val="center"/>
              <w:rPr>
                <w:color w:val="000000"/>
                <w:kern w:val="0"/>
                <w:sz w:val="21"/>
                <w:szCs w:val="21"/>
              </w:rPr>
            </w:pPr>
            <w:r>
              <w:rPr>
                <w:color w:val="000000"/>
                <w:kern w:val="0"/>
                <w:sz w:val="21"/>
                <w:szCs w:val="21"/>
              </w:rPr>
              <w:t>-0.7</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54.0</w:t>
            </w:r>
          </w:p>
        </w:tc>
        <w:tc>
          <w:tcPr>
            <w:tcW w:w="1185" w:type="dxa"/>
            <w:vAlign w:val="center"/>
          </w:tcPr>
          <w:p>
            <w:pPr>
              <w:widowControl/>
              <w:jc w:val="center"/>
              <w:rPr>
                <w:color w:val="000000"/>
                <w:kern w:val="0"/>
                <w:sz w:val="21"/>
                <w:szCs w:val="21"/>
              </w:rPr>
            </w:pPr>
            <w:r>
              <w:rPr>
                <w:color w:val="000000"/>
                <w:kern w:val="0"/>
                <w:sz w:val="21"/>
                <w:szCs w:val="21"/>
              </w:rPr>
              <w:t>55.0</w:t>
            </w:r>
          </w:p>
        </w:tc>
        <w:tc>
          <w:tcPr>
            <w:tcW w:w="1350" w:type="dxa"/>
            <w:vAlign w:val="center"/>
          </w:tcPr>
          <w:p>
            <w:pPr>
              <w:widowControl/>
              <w:jc w:val="center"/>
              <w:rPr>
                <w:color w:val="000000"/>
                <w:kern w:val="0"/>
                <w:sz w:val="21"/>
                <w:szCs w:val="21"/>
              </w:rPr>
            </w:pPr>
            <w:r>
              <w:rPr>
                <w:color w:val="000000"/>
                <w:kern w:val="0"/>
                <w:sz w:val="21"/>
                <w:szCs w:val="21"/>
              </w:rPr>
              <w:t>1.9</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423</w:t>
            </w:r>
          </w:p>
        </w:tc>
        <w:tc>
          <w:tcPr>
            <w:tcW w:w="1185" w:type="dxa"/>
            <w:vAlign w:val="center"/>
          </w:tcPr>
          <w:p>
            <w:pPr>
              <w:widowControl/>
              <w:jc w:val="center"/>
              <w:rPr>
                <w:color w:val="000000"/>
                <w:kern w:val="0"/>
                <w:sz w:val="21"/>
                <w:szCs w:val="21"/>
              </w:rPr>
            </w:pPr>
            <w:r>
              <w:rPr>
                <w:color w:val="000000"/>
                <w:kern w:val="0"/>
                <w:sz w:val="21"/>
                <w:szCs w:val="21"/>
              </w:rPr>
              <w:t>425</w:t>
            </w:r>
          </w:p>
        </w:tc>
        <w:tc>
          <w:tcPr>
            <w:tcW w:w="1350" w:type="dxa"/>
            <w:vAlign w:val="center"/>
          </w:tcPr>
          <w:p>
            <w:pPr>
              <w:widowControl/>
              <w:jc w:val="center"/>
              <w:rPr>
                <w:color w:val="000000"/>
                <w:kern w:val="0"/>
                <w:sz w:val="21"/>
                <w:szCs w:val="21"/>
              </w:rPr>
            </w:pPr>
            <w:r>
              <w:rPr>
                <w:color w:val="000000"/>
                <w:kern w:val="0"/>
                <w:sz w:val="21"/>
                <w:szCs w:val="21"/>
              </w:rPr>
              <w:t>0.5</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restart"/>
            <w:vAlign w:val="center"/>
          </w:tcPr>
          <w:p>
            <w:pPr>
              <w:widowControl/>
              <w:jc w:val="center"/>
              <w:rPr>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06</w:t>
            </w:r>
            <w:r>
              <w:rPr>
                <w:rFonts w:hint="eastAsia"/>
                <w:color w:val="000000"/>
                <w:kern w:val="0"/>
                <w:sz w:val="21"/>
                <w:szCs w:val="21"/>
              </w:rPr>
              <w:t>日</w:t>
            </w:r>
          </w:p>
        </w:tc>
        <w:tc>
          <w:tcPr>
            <w:tcW w:w="1088" w:type="dxa"/>
            <w:vMerge w:val="restart"/>
            <w:vAlign w:val="center"/>
          </w:tcPr>
          <w:p>
            <w:pPr>
              <w:widowControl/>
              <w:jc w:val="center"/>
              <w:rPr>
                <w:kern w:val="0"/>
                <w:sz w:val="21"/>
                <w:szCs w:val="21"/>
              </w:rPr>
            </w:pPr>
            <w:r>
              <w:rPr>
                <w:kern w:val="0"/>
                <w:sz w:val="21"/>
                <w:szCs w:val="21"/>
              </w:rPr>
              <w:t>GH60E</w:t>
            </w:r>
          </w:p>
        </w:tc>
        <w:tc>
          <w:tcPr>
            <w:tcW w:w="1252" w:type="dxa"/>
            <w:vMerge w:val="restart"/>
            <w:vAlign w:val="center"/>
          </w:tcPr>
          <w:p>
            <w:pPr>
              <w:widowControl/>
              <w:jc w:val="center"/>
              <w:rPr>
                <w:kern w:val="0"/>
                <w:sz w:val="21"/>
                <w:szCs w:val="21"/>
              </w:rPr>
            </w:pPr>
            <w:r>
              <w:rPr>
                <w:kern w:val="0"/>
                <w:sz w:val="21"/>
                <w:szCs w:val="21"/>
              </w:rPr>
              <w:t>ZYKC-ES-Z0602</w:t>
            </w: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49.1</w:t>
            </w:r>
          </w:p>
        </w:tc>
        <w:tc>
          <w:tcPr>
            <w:tcW w:w="1185" w:type="dxa"/>
            <w:vAlign w:val="center"/>
          </w:tcPr>
          <w:p>
            <w:pPr>
              <w:widowControl/>
              <w:jc w:val="center"/>
              <w:rPr>
                <w:color w:val="000000"/>
                <w:kern w:val="0"/>
                <w:sz w:val="21"/>
                <w:szCs w:val="21"/>
              </w:rPr>
            </w:pPr>
            <w:r>
              <w:rPr>
                <w:color w:val="000000"/>
                <w:kern w:val="0"/>
                <w:sz w:val="21"/>
                <w:szCs w:val="21"/>
              </w:rPr>
              <w:t>48.6</w:t>
            </w:r>
          </w:p>
        </w:tc>
        <w:tc>
          <w:tcPr>
            <w:tcW w:w="1350" w:type="dxa"/>
            <w:vAlign w:val="center"/>
          </w:tcPr>
          <w:p>
            <w:pPr>
              <w:widowControl/>
              <w:jc w:val="center"/>
              <w:rPr>
                <w:color w:val="000000"/>
                <w:kern w:val="0"/>
                <w:sz w:val="21"/>
                <w:szCs w:val="21"/>
              </w:rPr>
            </w:pPr>
            <w:r>
              <w:rPr>
                <w:color w:val="000000"/>
                <w:kern w:val="0"/>
                <w:sz w:val="21"/>
                <w:szCs w:val="21"/>
              </w:rPr>
              <w:t>-1.0</w:t>
            </w:r>
          </w:p>
        </w:tc>
        <w:tc>
          <w:tcPr>
            <w:tcW w:w="813" w:type="dxa"/>
            <w:vMerge w:val="restart"/>
            <w:vAlign w:val="center"/>
          </w:tcPr>
          <w:p>
            <w:pPr>
              <w:widowControl/>
              <w:jc w:val="center"/>
              <w:rPr>
                <w:kern w:val="0"/>
                <w:sz w:val="21"/>
                <w:szCs w:val="21"/>
              </w:rPr>
            </w:pPr>
            <w:r>
              <w:rPr>
                <w:rFonts w:hint="eastAsia"/>
                <w:kern w:val="0"/>
                <w:sz w:val="21"/>
                <w:szCs w:val="21"/>
              </w:rPr>
              <w:t>合格</w:t>
            </w: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428</w:t>
            </w:r>
          </w:p>
        </w:tc>
        <w:tc>
          <w:tcPr>
            <w:tcW w:w="1185" w:type="dxa"/>
            <w:vAlign w:val="center"/>
          </w:tcPr>
          <w:p>
            <w:pPr>
              <w:widowControl/>
              <w:jc w:val="center"/>
              <w:rPr>
                <w:color w:val="000000"/>
                <w:kern w:val="0"/>
                <w:sz w:val="21"/>
                <w:szCs w:val="21"/>
              </w:rPr>
            </w:pPr>
            <w:r>
              <w:rPr>
                <w:color w:val="000000"/>
                <w:kern w:val="0"/>
                <w:sz w:val="21"/>
                <w:szCs w:val="21"/>
              </w:rPr>
              <w:t>426</w:t>
            </w:r>
          </w:p>
        </w:tc>
        <w:tc>
          <w:tcPr>
            <w:tcW w:w="1350" w:type="dxa"/>
            <w:vAlign w:val="center"/>
          </w:tcPr>
          <w:p>
            <w:pPr>
              <w:widowControl/>
              <w:jc w:val="center"/>
              <w:rPr>
                <w:color w:val="000000"/>
                <w:kern w:val="0"/>
                <w:sz w:val="21"/>
                <w:szCs w:val="21"/>
              </w:rPr>
            </w:pPr>
            <w:r>
              <w:rPr>
                <w:color w:val="000000"/>
                <w:kern w:val="0"/>
                <w:sz w:val="21"/>
                <w:szCs w:val="21"/>
              </w:rPr>
              <w:t>-0.5</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48.6</w:t>
            </w:r>
          </w:p>
        </w:tc>
        <w:tc>
          <w:tcPr>
            <w:tcW w:w="1185" w:type="dxa"/>
            <w:vAlign w:val="center"/>
          </w:tcPr>
          <w:p>
            <w:pPr>
              <w:widowControl/>
              <w:jc w:val="center"/>
              <w:rPr>
                <w:color w:val="000000"/>
                <w:kern w:val="0"/>
                <w:sz w:val="21"/>
                <w:szCs w:val="21"/>
              </w:rPr>
            </w:pPr>
            <w:r>
              <w:rPr>
                <w:color w:val="000000"/>
                <w:kern w:val="0"/>
                <w:sz w:val="21"/>
                <w:szCs w:val="21"/>
              </w:rPr>
              <w:t>48.0</w:t>
            </w:r>
          </w:p>
        </w:tc>
        <w:tc>
          <w:tcPr>
            <w:tcW w:w="1350" w:type="dxa"/>
            <w:vAlign w:val="center"/>
          </w:tcPr>
          <w:p>
            <w:pPr>
              <w:widowControl/>
              <w:jc w:val="center"/>
              <w:rPr>
                <w:color w:val="000000"/>
                <w:kern w:val="0"/>
                <w:sz w:val="21"/>
                <w:szCs w:val="21"/>
              </w:rPr>
            </w:pPr>
            <w:r>
              <w:rPr>
                <w:color w:val="000000"/>
                <w:kern w:val="0"/>
                <w:sz w:val="21"/>
                <w:szCs w:val="21"/>
              </w:rPr>
              <w:t>-1.2</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404</w:t>
            </w:r>
          </w:p>
        </w:tc>
        <w:tc>
          <w:tcPr>
            <w:tcW w:w="1185" w:type="dxa"/>
            <w:vAlign w:val="center"/>
          </w:tcPr>
          <w:p>
            <w:pPr>
              <w:widowControl/>
              <w:jc w:val="center"/>
              <w:rPr>
                <w:color w:val="000000"/>
                <w:kern w:val="0"/>
                <w:sz w:val="21"/>
                <w:szCs w:val="21"/>
              </w:rPr>
            </w:pPr>
            <w:r>
              <w:rPr>
                <w:color w:val="000000"/>
                <w:kern w:val="0"/>
                <w:sz w:val="21"/>
                <w:szCs w:val="21"/>
              </w:rPr>
              <w:t>400</w:t>
            </w:r>
          </w:p>
        </w:tc>
        <w:tc>
          <w:tcPr>
            <w:tcW w:w="1350" w:type="dxa"/>
            <w:vAlign w:val="center"/>
          </w:tcPr>
          <w:p>
            <w:pPr>
              <w:widowControl/>
              <w:jc w:val="center"/>
              <w:rPr>
                <w:color w:val="000000"/>
                <w:kern w:val="0"/>
                <w:sz w:val="21"/>
                <w:szCs w:val="21"/>
              </w:rPr>
            </w:pPr>
            <w:r>
              <w:rPr>
                <w:color w:val="000000"/>
                <w:kern w:val="0"/>
                <w:sz w:val="21"/>
                <w:szCs w:val="21"/>
              </w:rPr>
              <w:t>-1.0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54.0</w:t>
            </w:r>
          </w:p>
        </w:tc>
        <w:tc>
          <w:tcPr>
            <w:tcW w:w="1185" w:type="dxa"/>
            <w:vAlign w:val="center"/>
          </w:tcPr>
          <w:p>
            <w:pPr>
              <w:widowControl/>
              <w:jc w:val="center"/>
              <w:rPr>
                <w:color w:val="000000"/>
                <w:kern w:val="0"/>
                <w:sz w:val="21"/>
                <w:szCs w:val="21"/>
              </w:rPr>
            </w:pPr>
            <w:r>
              <w:rPr>
                <w:color w:val="000000"/>
                <w:kern w:val="0"/>
                <w:sz w:val="21"/>
                <w:szCs w:val="21"/>
              </w:rPr>
              <w:t>54.0</w:t>
            </w:r>
          </w:p>
        </w:tc>
        <w:tc>
          <w:tcPr>
            <w:tcW w:w="1350" w:type="dxa"/>
            <w:vAlign w:val="center"/>
          </w:tcPr>
          <w:p>
            <w:pPr>
              <w:widowControl/>
              <w:jc w:val="center"/>
              <w:rPr>
                <w:color w:val="000000"/>
                <w:kern w:val="0"/>
                <w:sz w:val="21"/>
                <w:szCs w:val="21"/>
              </w:rPr>
            </w:pPr>
            <w:r>
              <w:rPr>
                <w:color w:val="000000"/>
                <w:kern w:val="0"/>
                <w:sz w:val="21"/>
                <w:szCs w:val="21"/>
              </w:rPr>
              <w:t>0.0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423</w:t>
            </w:r>
          </w:p>
        </w:tc>
        <w:tc>
          <w:tcPr>
            <w:tcW w:w="1185" w:type="dxa"/>
            <w:vAlign w:val="center"/>
          </w:tcPr>
          <w:p>
            <w:pPr>
              <w:widowControl/>
              <w:jc w:val="center"/>
              <w:rPr>
                <w:color w:val="000000"/>
                <w:kern w:val="0"/>
                <w:sz w:val="21"/>
                <w:szCs w:val="21"/>
              </w:rPr>
            </w:pPr>
            <w:r>
              <w:rPr>
                <w:color w:val="000000"/>
                <w:kern w:val="0"/>
                <w:sz w:val="21"/>
                <w:szCs w:val="21"/>
              </w:rPr>
              <w:t>421</w:t>
            </w:r>
          </w:p>
        </w:tc>
        <w:tc>
          <w:tcPr>
            <w:tcW w:w="1350" w:type="dxa"/>
            <w:vAlign w:val="center"/>
          </w:tcPr>
          <w:p>
            <w:pPr>
              <w:widowControl/>
              <w:jc w:val="center"/>
              <w:rPr>
                <w:color w:val="000000"/>
                <w:kern w:val="0"/>
                <w:sz w:val="21"/>
                <w:szCs w:val="21"/>
              </w:rPr>
            </w:pPr>
            <w:r>
              <w:rPr>
                <w:color w:val="000000"/>
                <w:kern w:val="0"/>
                <w:sz w:val="21"/>
                <w:szCs w:val="21"/>
              </w:rPr>
              <w:t>-0.5</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49.1</w:t>
            </w:r>
          </w:p>
        </w:tc>
        <w:tc>
          <w:tcPr>
            <w:tcW w:w="1185" w:type="dxa"/>
            <w:vAlign w:val="center"/>
          </w:tcPr>
          <w:p>
            <w:pPr>
              <w:widowControl/>
              <w:jc w:val="center"/>
              <w:rPr>
                <w:color w:val="000000"/>
                <w:kern w:val="0"/>
                <w:sz w:val="21"/>
                <w:szCs w:val="21"/>
              </w:rPr>
            </w:pPr>
            <w:r>
              <w:rPr>
                <w:color w:val="000000"/>
                <w:kern w:val="0"/>
                <w:sz w:val="21"/>
                <w:szCs w:val="21"/>
              </w:rPr>
              <w:t>51.2</w:t>
            </w:r>
          </w:p>
        </w:tc>
        <w:tc>
          <w:tcPr>
            <w:tcW w:w="1350" w:type="dxa"/>
            <w:vAlign w:val="center"/>
          </w:tcPr>
          <w:p>
            <w:pPr>
              <w:widowControl/>
              <w:jc w:val="center"/>
              <w:rPr>
                <w:color w:val="000000"/>
                <w:kern w:val="0"/>
                <w:sz w:val="21"/>
                <w:szCs w:val="21"/>
              </w:rPr>
            </w:pPr>
            <w:r>
              <w:rPr>
                <w:color w:val="000000"/>
                <w:kern w:val="0"/>
                <w:sz w:val="21"/>
                <w:szCs w:val="21"/>
              </w:rPr>
              <w:t>4.3</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二氧化硫</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428</w:t>
            </w:r>
          </w:p>
        </w:tc>
        <w:tc>
          <w:tcPr>
            <w:tcW w:w="1185" w:type="dxa"/>
            <w:vAlign w:val="center"/>
          </w:tcPr>
          <w:p>
            <w:pPr>
              <w:widowControl/>
              <w:jc w:val="center"/>
              <w:rPr>
                <w:color w:val="000000"/>
                <w:kern w:val="0"/>
                <w:sz w:val="21"/>
                <w:szCs w:val="21"/>
              </w:rPr>
            </w:pPr>
            <w:r>
              <w:rPr>
                <w:color w:val="000000"/>
                <w:kern w:val="0"/>
                <w:sz w:val="21"/>
                <w:szCs w:val="21"/>
              </w:rPr>
              <w:t>426</w:t>
            </w:r>
          </w:p>
        </w:tc>
        <w:tc>
          <w:tcPr>
            <w:tcW w:w="1350" w:type="dxa"/>
            <w:vAlign w:val="center"/>
          </w:tcPr>
          <w:p>
            <w:pPr>
              <w:widowControl/>
              <w:jc w:val="center"/>
              <w:rPr>
                <w:color w:val="000000"/>
                <w:kern w:val="0"/>
                <w:sz w:val="21"/>
                <w:szCs w:val="21"/>
              </w:rPr>
            </w:pPr>
            <w:r>
              <w:rPr>
                <w:color w:val="000000"/>
                <w:kern w:val="0"/>
                <w:sz w:val="21"/>
                <w:szCs w:val="21"/>
              </w:rPr>
              <w:t>-0.5</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48.6</w:t>
            </w:r>
          </w:p>
        </w:tc>
        <w:tc>
          <w:tcPr>
            <w:tcW w:w="1185" w:type="dxa"/>
            <w:vAlign w:val="center"/>
          </w:tcPr>
          <w:p>
            <w:pPr>
              <w:widowControl/>
              <w:jc w:val="center"/>
              <w:rPr>
                <w:color w:val="000000"/>
                <w:kern w:val="0"/>
                <w:sz w:val="21"/>
                <w:szCs w:val="21"/>
              </w:rPr>
            </w:pPr>
            <w:r>
              <w:rPr>
                <w:color w:val="000000"/>
                <w:kern w:val="0"/>
                <w:sz w:val="21"/>
                <w:szCs w:val="21"/>
              </w:rPr>
              <w:t>47.8</w:t>
            </w:r>
          </w:p>
        </w:tc>
        <w:tc>
          <w:tcPr>
            <w:tcW w:w="1350" w:type="dxa"/>
            <w:vAlign w:val="center"/>
          </w:tcPr>
          <w:p>
            <w:pPr>
              <w:widowControl/>
              <w:jc w:val="center"/>
              <w:rPr>
                <w:color w:val="000000"/>
                <w:kern w:val="0"/>
                <w:sz w:val="21"/>
                <w:szCs w:val="21"/>
              </w:rPr>
            </w:pPr>
            <w:r>
              <w:rPr>
                <w:color w:val="000000"/>
                <w:kern w:val="0"/>
                <w:sz w:val="21"/>
                <w:szCs w:val="21"/>
              </w:rPr>
              <w:t>-1.6</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二氧化氮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404</w:t>
            </w:r>
          </w:p>
        </w:tc>
        <w:tc>
          <w:tcPr>
            <w:tcW w:w="1185" w:type="dxa"/>
            <w:vAlign w:val="center"/>
          </w:tcPr>
          <w:p>
            <w:pPr>
              <w:widowControl/>
              <w:jc w:val="center"/>
              <w:rPr>
                <w:color w:val="000000"/>
                <w:kern w:val="0"/>
                <w:sz w:val="21"/>
                <w:szCs w:val="21"/>
              </w:rPr>
            </w:pPr>
            <w:r>
              <w:rPr>
                <w:color w:val="000000"/>
                <w:kern w:val="0"/>
                <w:sz w:val="21"/>
                <w:szCs w:val="21"/>
              </w:rPr>
              <w:t>400</w:t>
            </w:r>
          </w:p>
        </w:tc>
        <w:tc>
          <w:tcPr>
            <w:tcW w:w="1350" w:type="dxa"/>
            <w:vAlign w:val="center"/>
          </w:tcPr>
          <w:p>
            <w:pPr>
              <w:widowControl/>
              <w:jc w:val="center"/>
              <w:rPr>
                <w:color w:val="000000"/>
                <w:kern w:val="0"/>
                <w:sz w:val="21"/>
                <w:szCs w:val="21"/>
              </w:rPr>
            </w:pPr>
            <w:r>
              <w:rPr>
                <w:color w:val="000000"/>
                <w:kern w:val="0"/>
                <w:sz w:val="21"/>
                <w:szCs w:val="21"/>
              </w:rPr>
              <w:t>-1.0</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vAlign w:val="center"/>
          </w:tcPr>
          <w:p>
            <w:pPr>
              <w:widowControl/>
              <w:jc w:val="center"/>
              <w:rPr>
                <w:kern w:val="0"/>
                <w:sz w:val="21"/>
                <w:szCs w:val="21"/>
              </w:rPr>
            </w:pPr>
          </w:p>
        </w:tc>
        <w:tc>
          <w:tcPr>
            <w:tcW w:w="1088" w:type="dxa"/>
            <w:vMerge w:val="continue"/>
            <w:vAlign w:val="center"/>
          </w:tcPr>
          <w:p>
            <w:pPr>
              <w:widowControl/>
              <w:jc w:val="center"/>
              <w:rPr>
                <w:kern w:val="0"/>
                <w:sz w:val="21"/>
                <w:szCs w:val="21"/>
              </w:rPr>
            </w:pPr>
          </w:p>
        </w:tc>
        <w:tc>
          <w:tcPr>
            <w:tcW w:w="1252" w:type="dxa"/>
            <w:vMerge w:val="continue"/>
            <w:vAlign w:val="center"/>
          </w:tcPr>
          <w:p>
            <w:pPr>
              <w:widowControl/>
              <w:jc w:val="center"/>
              <w:rPr>
                <w:kern w:val="0"/>
                <w:sz w:val="21"/>
                <w:szCs w:val="21"/>
              </w:rPr>
            </w:pPr>
          </w:p>
        </w:tc>
        <w:tc>
          <w:tcPr>
            <w:tcW w:w="1384" w:type="dxa"/>
            <w:vAlign w:val="center"/>
          </w:tcPr>
          <w:p>
            <w:pPr>
              <w:widowControl/>
              <w:jc w:val="center"/>
              <w:rPr>
                <w:kern w:val="0"/>
                <w:sz w:val="21"/>
                <w:szCs w:val="21"/>
              </w:rPr>
            </w:pPr>
            <w:r>
              <w:rPr>
                <w:rFonts w:hint="eastAsia"/>
                <w:kern w:val="0"/>
                <w:sz w:val="21"/>
                <w:szCs w:val="21"/>
              </w:rPr>
              <w:t>一氧化氮</w:t>
            </w:r>
          </w:p>
        </w:tc>
        <w:tc>
          <w:tcPr>
            <w:tcW w:w="896" w:type="dxa"/>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vAlign w:val="center"/>
          </w:tcPr>
          <w:p>
            <w:pPr>
              <w:widowControl/>
              <w:jc w:val="center"/>
              <w:rPr>
                <w:color w:val="000000"/>
                <w:kern w:val="0"/>
                <w:sz w:val="21"/>
                <w:szCs w:val="21"/>
              </w:rPr>
            </w:pPr>
            <w:r>
              <w:rPr>
                <w:color w:val="000000"/>
                <w:kern w:val="0"/>
                <w:sz w:val="21"/>
                <w:szCs w:val="21"/>
              </w:rPr>
              <w:t>54.0</w:t>
            </w:r>
          </w:p>
        </w:tc>
        <w:tc>
          <w:tcPr>
            <w:tcW w:w="1185" w:type="dxa"/>
            <w:vAlign w:val="center"/>
          </w:tcPr>
          <w:p>
            <w:pPr>
              <w:widowControl/>
              <w:jc w:val="center"/>
              <w:rPr>
                <w:color w:val="000000"/>
                <w:kern w:val="0"/>
                <w:sz w:val="21"/>
                <w:szCs w:val="21"/>
              </w:rPr>
            </w:pPr>
            <w:r>
              <w:rPr>
                <w:color w:val="000000"/>
                <w:kern w:val="0"/>
                <w:sz w:val="21"/>
                <w:szCs w:val="21"/>
              </w:rPr>
              <w:t>55.4</w:t>
            </w:r>
          </w:p>
        </w:tc>
        <w:tc>
          <w:tcPr>
            <w:tcW w:w="1350" w:type="dxa"/>
            <w:vAlign w:val="center"/>
          </w:tcPr>
          <w:p>
            <w:pPr>
              <w:widowControl/>
              <w:jc w:val="center"/>
              <w:rPr>
                <w:color w:val="000000"/>
                <w:kern w:val="0"/>
                <w:sz w:val="21"/>
                <w:szCs w:val="21"/>
              </w:rPr>
            </w:pPr>
            <w:r>
              <w:rPr>
                <w:color w:val="000000"/>
                <w:kern w:val="0"/>
                <w:sz w:val="21"/>
                <w:szCs w:val="21"/>
              </w:rPr>
              <w:t>2.6</w:t>
            </w:r>
          </w:p>
        </w:tc>
        <w:tc>
          <w:tcPr>
            <w:tcW w:w="813" w:type="dxa"/>
            <w:vMerge w:val="continue"/>
            <w:vAlign w:val="center"/>
          </w:tcPr>
          <w:p>
            <w:pPr>
              <w:widowControl/>
              <w:jc w:val="center"/>
              <w:rPr>
                <w:kern w:val="0"/>
                <w:sz w:val="21"/>
                <w:szCs w:val="21"/>
              </w:rPr>
            </w:pPr>
          </w:p>
        </w:tc>
      </w:tr>
      <w:tr>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Ex>
        <w:trPr>
          <w:trHeight w:val="510" w:hRule="exact"/>
          <w:jc w:val="center"/>
        </w:trPr>
        <w:tc>
          <w:tcPr>
            <w:tcW w:w="1128" w:type="dxa"/>
            <w:vMerge w:val="continue"/>
            <w:tcBorders>
              <w:bottom w:val="single" w:color="auto" w:sz="12" w:space="0"/>
            </w:tcBorders>
            <w:vAlign w:val="center"/>
          </w:tcPr>
          <w:p>
            <w:pPr>
              <w:widowControl/>
              <w:jc w:val="center"/>
              <w:rPr>
                <w:kern w:val="0"/>
                <w:sz w:val="21"/>
                <w:szCs w:val="21"/>
              </w:rPr>
            </w:pPr>
          </w:p>
        </w:tc>
        <w:tc>
          <w:tcPr>
            <w:tcW w:w="1088" w:type="dxa"/>
            <w:vMerge w:val="continue"/>
            <w:tcBorders>
              <w:bottom w:val="single" w:color="auto" w:sz="12" w:space="0"/>
            </w:tcBorders>
            <w:vAlign w:val="center"/>
          </w:tcPr>
          <w:p>
            <w:pPr>
              <w:widowControl/>
              <w:jc w:val="center"/>
              <w:rPr>
                <w:kern w:val="0"/>
                <w:sz w:val="21"/>
                <w:szCs w:val="21"/>
              </w:rPr>
            </w:pPr>
          </w:p>
        </w:tc>
        <w:tc>
          <w:tcPr>
            <w:tcW w:w="1252" w:type="dxa"/>
            <w:vMerge w:val="continue"/>
            <w:tcBorders>
              <w:bottom w:val="single" w:color="auto" w:sz="12" w:space="0"/>
            </w:tcBorders>
            <w:vAlign w:val="center"/>
          </w:tcPr>
          <w:p>
            <w:pPr>
              <w:widowControl/>
              <w:jc w:val="center"/>
              <w:rPr>
                <w:kern w:val="0"/>
                <w:sz w:val="21"/>
                <w:szCs w:val="21"/>
              </w:rPr>
            </w:pPr>
          </w:p>
        </w:tc>
        <w:tc>
          <w:tcPr>
            <w:tcW w:w="1384" w:type="dxa"/>
            <w:tcBorders>
              <w:bottom w:val="single" w:color="auto" w:sz="12" w:space="0"/>
            </w:tcBorders>
            <w:vAlign w:val="center"/>
          </w:tcPr>
          <w:p>
            <w:pPr>
              <w:widowControl/>
              <w:jc w:val="center"/>
              <w:rPr>
                <w:kern w:val="0"/>
                <w:sz w:val="21"/>
                <w:szCs w:val="21"/>
              </w:rPr>
            </w:pPr>
            <w:r>
              <w:rPr>
                <w:rFonts w:hint="eastAsia"/>
                <w:kern w:val="0"/>
                <w:sz w:val="21"/>
                <w:szCs w:val="21"/>
              </w:rPr>
              <w:t>一氧化氮</w:t>
            </w:r>
          </w:p>
        </w:tc>
        <w:tc>
          <w:tcPr>
            <w:tcW w:w="896" w:type="dxa"/>
            <w:tcBorders>
              <w:bottom w:val="single" w:color="auto" w:sz="12" w:space="0"/>
            </w:tcBorders>
            <w:vAlign w:val="center"/>
          </w:tcPr>
          <w:p>
            <w:pPr>
              <w:widowControl/>
              <w:jc w:val="center"/>
              <w:rPr>
                <w:kern w:val="0"/>
                <w:sz w:val="21"/>
                <w:szCs w:val="21"/>
              </w:rPr>
            </w:pPr>
            <w:r>
              <w:rPr>
                <w:kern w:val="0"/>
                <w:sz w:val="21"/>
                <w:szCs w:val="21"/>
              </w:rPr>
              <w:t>mg/m</w:t>
            </w:r>
            <w:r>
              <w:rPr>
                <w:kern w:val="0"/>
                <w:sz w:val="21"/>
                <w:szCs w:val="21"/>
                <w:vertAlign w:val="superscript"/>
              </w:rPr>
              <w:t>3</w:t>
            </w:r>
          </w:p>
        </w:tc>
        <w:tc>
          <w:tcPr>
            <w:tcW w:w="1380" w:type="dxa"/>
            <w:tcBorders>
              <w:bottom w:val="single" w:color="auto" w:sz="12" w:space="0"/>
            </w:tcBorders>
            <w:vAlign w:val="center"/>
          </w:tcPr>
          <w:p>
            <w:pPr>
              <w:widowControl/>
              <w:jc w:val="center"/>
              <w:rPr>
                <w:color w:val="000000"/>
                <w:kern w:val="0"/>
                <w:sz w:val="21"/>
                <w:szCs w:val="21"/>
              </w:rPr>
            </w:pPr>
            <w:r>
              <w:rPr>
                <w:color w:val="000000"/>
                <w:kern w:val="0"/>
                <w:sz w:val="21"/>
                <w:szCs w:val="21"/>
              </w:rPr>
              <w:t>423</w:t>
            </w:r>
          </w:p>
        </w:tc>
        <w:tc>
          <w:tcPr>
            <w:tcW w:w="1185" w:type="dxa"/>
            <w:tcBorders>
              <w:bottom w:val="single" w:color="auto" w:sz="12" w:space="0"/>
            </w:tcBorders>
            <w:vAlign w:val="center"/>
          </w:tcPr>
          <w:p>
            <w:pPr>
              <w:widowControl/>
              <w:jc w:val="center"/>
              <w:rPr>
                <w:color w:val="000000"/>
                <w:kern w:val="0"/>
                <w:sz w:val="21"/>
                <w:szCs w:val="21"/>
              </w:rPr>
            </w:pPr>
            <w:r>
              <w:rPr>
                <w:color w:val="000000"/>
                <w:kern w:val="0"/>
                <w:sz w:val="21"/>
                <w:szCs w:val="21"/>
              </w:rPr>
              <w:t>420</w:t>
            </w:r>
          </w:p>
        </w:tc>
        <w:tc>
          <w:tcPr>
            <w:tcW w:w="1350" w:type="dxa"/>
            <w:tcBorders>
              <w:bottom w:val="single" w:color="auto" w:sz="12" w:space="0"/>
            </w:tcBorders>
            <w:vAlign w:val="center"/>
          </w:tcPr>
          <w:p>
            <w:pPr>
              <w:widowControl/>
              <w:jc w:val="center"/>
              <w:rPr>
                <w:color w:val="000000"/>
                <w:kern w:val="0"/>
                <w:sz w:val="21"/>
                <w:szCs w:val="21"/>
              </w:rPr>
            </w:pPr>
            <w:r>
              <w:rPr>
                <w:color w:val="000000"/>
                <w:kern w:val="0"/>
                <w:sz w:val="21"/>
                <w:szCs w:val="21"/>
              </w:rPr>
              <w:t>-0.7</w:t>
            </w:r>
          </w:p>
        </w:tc>
        <w:tc>
          <w:tcPr>
            <w:tcW w:w="813" w:type="dxa"/>
            <w:vMerge w:val="continue"/>
            <w:tcBorders>
              <w:bottom w:val="single" w:color="auto" w:sz="12" w:space="0"/>
            </w:tcBorders>
            <w:vAlign w:val="center"/>
          </w:tcPr>
          <w:p>
            <w:pPr>
              <w:widowControl/>
              <w:jc w:val="center"/>
              <w:rPr>
                <w:kern w:val="0"/>
                <w:sz w:val="21"/>
                <w:szCs w:val="21"/>
              </w:rPr>
            </w:pPr>
          </w:p>
        </w:tc>
      </w:tr>
    </w:tbl>
    <w:p>
      <w:pPr>
        <w:autoSpaceDE w:val="0"/>
        <w:autoSpaceDN w:val="0"/>
        <w:adjustRightInd w:val="0"/>
        <w:spacing w:line="360" w:lineRule="auto"/>
        <w:jc w:val="center"/>
        <w:rPr>
          <w:rFonts w:ascii="??_GB2312"/>
          <w:kern w:val="0"/>
        </w:rPr>
      </w:pPr>
      <w:r>
        <w:rPr>
          <w:rFonts w:hint="eastAsia" w:ascii="??_GB2312"/>
          <w:kern w:val="0"/>
        </w:rPr>
        <w:t>表</w:t>
      </w:r>
      <w:r>
        <w:rPr>
          <w:rFonts w:ascii="??_GB2312"/>
          <w:kern w:val="0"/>
        </w:rPr>
        <w:t xml:space="preserve">8-4    </w:t>
      </w:r>
      <w:r>
        <w:rPr>
          <w:rFonts w:hint="eastAsia" w:ascii="??_GB2312"/>
          <w:kern w:val="0"/>
        </w:rPr>
        <w:t>烟尘采集器流量标定结果</w:t>
      </w:r>
    </w:p>
    <w:tbl>
      <w:tblPr>
        <w:tblStyle w:val="47"/>
        <w:tblW w:w="10420" w:type="dxa"/>
        <w:jc w:val="center"/>
        <w:tblInd w:w="-98" w:type="dxa"/>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361"/>
        <w:gridCol w:w="1361"/>
        <w:gridCol w:w="1361"/>
        <w:gridCol w:w="1201"/>
        <w:gridCol w:w="1215"/>
        <w:gridCol w:w="1335"/>
        <w:gridCol w:w="1320"/>
        <w:gridCol w:w="1266"/>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20" w:hRule="atLeast"/>
          <w:jc w:val="center"/>
        </w:trPr>
        <w:tc>
          <w:tcPr>
            <w:tcW w:w="1361"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校准日期</w:t>
            </w:r>
          </w:p>
        </w:tc>
        <w:tc>
          <w:tcPr>
            <w:tcW w:w="1361"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仪器型号</w:t>
            </w:r>
          </w:p>
        </w:tc>
        <w:tc>
          <w:tcPr>
            <w:tcW w:w="1361"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仪器编号</w:t>
            </w:r>
          </w:p>
        </w:tc>
        <w:tc>
          <w:tcPr>
            <w:tcW w:w="1201"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标示流量</w:t>
            </w:r>
          </w:p>
          <w:p>
            <w:pPr>
              <w:autoSpaceDE w:val="0"/>
              <w:autoSpaceDN w:val="0"/>
              <w:adjustRightInd w:val="0"/>
              <w:jc w:val="center"/>
              <w:rPr>
                <w:b/>
                <w:kern w:val="0"/>
                <w:sz w:val="21"/>
                <w:szCs w:val="21"/>
              </w:rPr>
            </w:pPr>
            <w:r>
              <w:rPr>
                <w:rFonts w:hint="eastAsia"/>
                <w:b/>
                <w:kern w:val="0"/>
                <w:sz w:val="21"/>
                <w:szCs w:val="21"/>
              </w:rPr>
              <w:t>（</w:t>
            </w:r>
            <w:r>
              <w:rPr>
                <w:b/>
                <w:kern w:val="0"/>
                <w:sz w:val="21"/>
                <w:szCs w:val="21"/>
              </w:rPr>
              <w:t>L/min</w:t>
            </w:r>
            <w:r>
              <w:rPr>
                <w:rFonts w:hint="eastAsia"/>
                <w:b/>
                <w:kern w:val="0"/>
                <w:sz w:val="21"/>
                <w:szCs w:val="21"/>
              </w:rPr>
              <w:t>）</w:t>
            </w:r>
          </w:p>
        </w:tc>
        <w:tc>
          <w:tcPr>
            <w:tcW w:w="1215"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标定流量</w:t>
            </w:r>
          </w:p>
          <w:p>
            <w:pPr>
              <w:autoSpaceDE w:val="0"/>
              <w:autoSpaceDN w:val="0"/>
              <w:adjustRightInd w:val="0"/>
              <w:jc w:val="center"/>
              <w:rPr>
                <w:b/>
                <w:kern w:val="0"/>
                <w:sz w:val="21"/>
                <w:szCs w:val="21"/>
              </w:rPr>
            </w:pPr>
            <w:r>
              <w:rPr>
                <w:rFonts w:hint="eastAsia"/>
                <w:b/>
                <w:kern w:val="0"/>
                <w:sz w:val="21"/>
                <w:szCs w:val="21"/>
              </w:rPr>
              <w:t>（</w:t>
            </w:r>
            <w:r>
              <w:rPr>
                <w:b/>
                <w:kern w:val="0"/>
                <w:sz w:val="21"/>
                <w:szCs w:val="21"/>
              </w:rPr>
              <w:t>L/min</w:t>
            </w:r>
            <w:r>
              <w:rPr>
                <w:rFonts w:hint="eastAsia"/>
                <w:b/>
                <w:kern w:val="0"/>
                <w:sz w:val="21"/>
                <w:szCs w:val="21"/>
              </w:rPr>
              <w:t>）</w:t>
            </w:r>
          </w:p>
        </w:tc>
        <w:tc>
          <w:tcPr>
            <w:tcW w:w="1335"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相对偏差</w:t>
            </w:r>
          </w:p>
          <w:p>
            <w:pPr>
              <w:autoSpaceDE w:val="0"/>
              <w:autoSpaceDN w:val="0"/>
              <w:adjustRightInd w:val="0"/>
              <w:jc w:val="center"/>
              <w:rPr>
                <w:b/>
                <w:kern w:val="0"/>
                <w:sz w:val="21"/>
                <w:szCs w:val="21"/>
              </w:rPr>
            </w:pPr>
            <w:r>
              <w:rPr>
                <w:rFonts w:hint="eastAsia"/>
                <w:b/>
                <w:kern w:val="0"/>
                <w:sz w:val="21"/>
                <w:szCs w:val="21"/>
              </w:rPr>
              <w:t>（</w:t>
            </w:r>
            <w:r>
              <w:rPr>
                <w:b/>
                <w:kern w:val="0"/>
                <w:sz w:val="21"/>
                <w:szCs w:val="21"/>
              </w:rPr>
              <w:t>%</w:t>
            </w:r>
            <w:r>
              <w:rPr>
                <w:rFonts w:hint="eastAsia"/>
                <w:b/>
                <w:kern w:val="0"/>
                <w:sz w:val="21"/>
                <w:szCs w:val="21"/>
              </w:rPr>
              <w:t>）</w:t>
            </w:r>
          </w:p>
        </w:tc>
        <w:tc>
          <w:tcPr>
            <w:tcW w:w="1320"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合格与否</w:t>
            </w:r>
          </w:p>
        </w:tc>
        <w:tc>
          <w:tcPr>
            <w:tcW w:w="1266" w:type="dxa"/>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备注</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restart"/>
            <w:vAlign w:val="center"/>
          </w:tcPr>
          <w:p>
            <w:pPr>
              <w:widowControl/>
              <w:jc w:val="center"/>
              <w:rPr>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05</w:t>
            </w:r>
            <w:r>
              <w:rPr>
                <w:rFonts w:hint="eastAsia"/>
                <w:color w:val="000000"/>
                <w:kern w:val="0"/>
                <w:sz w:val="21"/>
                <w:szCs w:val="21"/>
              </w:rPr>
              <w:t>日</w:t>
            </w:r>
          </w:p>
        </w:tc>
        <w:tc>
          <w:tcPr>
            <w:tcW w:w="1361" w:type="dxa"/>
            <w:vAlign w:val="center"/>
          </w:tcPr>
          <w:p>
            <w:pPr>
              <w:autoSpaceDE w:val="0"/>
              <w:autoSpaceDN w:val="0"/>
              <w:adjustRightInd w:val="0"/>
              <w:jc w:val="center"/>
              <w:rPr>
                <w:kern w:val="0"/>
                <w:sz w:val="21"/>
                <w:szCs w:val="21"/>
              </w:rPr>
            </w:pPr>
            <w:r>
              <w:rPr>
                <w:kern w:val="0"/>
                <w:sz w:val="21"/>
                <w:szCs w:val="21"/>
              </w:rPr>
              <w:t>GH60E</w:t>
            </w:r>
          </w:p>
        </w:tc>
        <w:tc>
          <w:tcPr>
            <w:tcW w:w="1361" w:type="dxa"/>
            <w:vAlign w:val="center"/>
          </w:tcPr>
          <w:p>
            <w:pPr>
              <w:autoSpaceDE w:val="0"/>
              <w:autoSpaceDN w:val="0"/>
              <w:adjustRightInd w:val="0"/>
              <w:jc w:val="center"/>
              <w:rPr>
                <w:kern w:val="0"/>
                <w:sz w:val="21"/>
                <w:szCs w:val="21"/>
              </w:rPr>
            </w:pPr>
            <w:r>
              <w:rPr>
                <w:kern w:val="0"/>
                <w:sz w:val="21"/>
                <w:szCs w:val="21"/>
              </w:rPr>
              <w:t>ZYKC-ES-20602</w:t>
            </w:r>
          </w:p>
        </w:tc>
        <w:tc>
          <w:tcPr>
            <w:tcW w:w="1201" w:type="dxa"/>
            <w:vAlign w:val="center"/>
          </w:tcPr>
          <w:p>
            <w:pPr>
              <w:autoSpaceDE w:val="0"/>
              <w:autoSpaceDN w:val="0"/>
              <w:adjustRightInd w:val="0"/>
              <w:jc w:val="center"/>
              <w:rPr>
                <w:kern w:val="0"/>
                <w:sz w:val="21"/>
                <w:szCs w:val="21"/>
              </w:rPr>
            </w:pPr>
            <w:r>
              <w:rPr>
                <w:kern w:val="0"/>
                <w:sz w:val="21"/>
                <w:szCs w:val="21"/>
              </w:rPr>
              <w:t>40</w:t>
            </w:r>
          </w:p>
        </w:tc>
        <w:tc>
          <w:tcPr>
            <w:tcW w:w="1215" w:type="dxa"/>
            <w:vAlign w:val="center"/>
          </w:tcPr>
          <w:p>
            <w:pPr>
              <w:autoSpaceDE w:val="0"/>
              <w:autoSpaceDN w:val="0"/>
              <w:adjustRightInd w:val="0"/>
              <w:jc w:val="center"/>
              <w:rPr>
                <w:kern w:val="0"/>
                <w:sz w:val="21"/>
                <w:szCs w:val="21"/>
              </w:rPr>
            </w:pPr>
            <w:r>
              <w:rPr>
                <w:kern w:val="0"/>
                <w:sz w:val="21"/>
                <w:szCs w:val="21"/>
              </w:rPr>
              <w:t>39.8</w:t>
            </w:r>
          </w:p>
        </w:tc>
        <w:tc>
          <w:tcPr>
            <w:tcW w:w="1335" w:type="dxa"/>
            <w:vAlign w:val="center"/>
          </w:tcPr>
          <w:p>
            <w:pPr>
              <w:autoSpaceDE w:val="0"/>
              <w:autoSpaceDN w:val="0"/>
              <w:adjustRightInd w:val="0"/>
              <w:jc w:val="center"/>
              <w:rPr>
                <w:kern w:val="0"/>
                <w:sz w:val="21"/>
                <w:szCs w:val="21"/>
              </w:rPr>
            </w:pPr>
            <w:r>
              <w:rPr>
                <w:kern w:val="0"/>
                <w:sz w:val="21"/>
                <w:szCs w:val="21"/>
              </w:rPr>
              <w:t>-0.500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restart"/>
            <w:vAlign w:val="center"/>
          </w:tcPr>
          <w:p>
            <w:pPr>
              <w:autoSpaceDE w:val="0"/>
              <w:autoSpaceDN w:val="0"/>
              <w:adjustRightInd w:val="0"/>
              <w:jc w:val="center"/>
              <w:rPr>
                <w:kern w:val="0"/>
                <w:sz w:val="21"/>
                <w:szCs w:val="21"/>
              </w:rPr>
            </w:pPr>
            <w:r>
              <w:rPr>
                <w:rFonts w:hint="eastAsia"/>
                <w:kern w:val="0"/>
                <w:sz w:val="21"/>
                <w:szCs w:val="21"/>
              </w:rPr>
              <w:t>校准流量计型号：崂应</w:t>
            </w:r>
            <w:r>
              <w:rPr>
                <w:kern w:val="0"/>
                <w:sz w:val="21"/>
                <w:szCs w:val="21"/>
              </w:rPr>
              <w:t>7040</w:t>
            </w:r>
            <w:r>
              <w:rPr>
                <w:rFonts w:hint="eastAsia"/>
                <w:kern w:val="0"/>
                <w:sz w:val="21"/>
                <w:szCs w:val="21"/>
              </w:rPr>
              <w:t>型，编号：</w:t>
            </w:r>
            <w:r>
              <w:rPr>
                <w:kern w:val="0"/>
                <w:sz w:val="21"/>
                <w:szCs w:val="21"/>
              </w:rPr>
              <w:t>ZYKC-ES-20801</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ZR-3500</w:t>
            </w:r>
          </w:p>
        </w:tc>
        <w:tc>
          <w:tcPr>
            <w:tcW w:w="1361" w:type="dxa"/>
            <w:vAlign w:val="center"/>
          </w:tcPr>
          <w:p>
            <w:pPr>
              <w:autoSpaceDE w:val="0"/>
              <w:autoSpaceDN w:val="0"/>
              <w:adjustRightInd w:val="0"/>
              <w:jc w:val="center"/>
              <w:rPr>
                <w:kern w:val="0"/>
                <w:sz w:val="21"/>
                <w:szCs w:val="21"/>
              </w:rPr>
            </w:pPr>
            <w:r>
              <w:rPr>
                <w:kern w:val="0"/>
                <w:sz w:val="21"/>
                <w:szCs w:val="21"/>
              </w:rPr>
              <w:t>ZYKC-ES-20103</w:t>
            </w:r>
          </w:p>
        </w:tc>
        <w:tc>
          <w:tcPr>
            <w:tcW w:w="1201" w:type="dxa"/>
            <w:vAlign w:val="center"/>
          </w:tcPr>
          <w:p>
            <w:pPr>
              <w:autoSpaceDE w:val="0"/>
              <w:autoSpaceDN w:val="0"/>
              <w:adjustRightInd w:val="0"/>
              <w:jc w:val="center"/>
              <w:rPr>
                <w:kern w:val="0"/>
                <w:sz w:val="21"/>
                <w:szCs w:val="21"/>
              </w:rPr>
            </w:pPr>
            <w:r>
              <w:rPr>
                <w:kern w:val="0"/>
                <w:sz w:val="21"/>
                <w:szCs w:val="21"/>
              </w:rPr>
              <w:t>0.5</w:t>
            </w:r>
          </w:p>
        </w:tc>
        <w:tc>
          <w:tcPr>
            <w:tcW w:w="1215" w:type="dxa"/>
            <w:vAlign w:val="center"/>
          </w:tcPr>
          <w:p>
            <w:pPr>
              <w:autoSpaceDE w:val="0"/>
              <w:autoSpaceDN w:val="0"/>
              <w:adjustRightInd w:val="0"/>
              <w:jc w:val="center"/>
              <w:rPr>
                <w:kern w:val="0"/>
                <w:sz w:val="21"/>
                <w:szCs w:val="21"/>
              </w:rPr>
            </w:pPr>
            <w:r>
              <w:rPr>
                <w:kern w:val="0"/>
                <w:sz w:val="21"/>
                <w:szCs w:val="21"/>
              </w:rPr>
              <w:t>0.491</w:t>
            </w:r>
          </w:p>
        </w:tc>
        <w:tc>
          <w:tcPr>
            <w:tcW w:w="1335" w:type="dxa"/>
            <w:vAlign w:val="center"/>
          </w:tcPr>
          <w:p>
            <w:pPr>
              <w:autoSpaceDE w:val="0"/>
              <w:autoSpaceDN w:val="0"/>
              <w:adjustRightInd w:val="0"/>
              <w:jc w:val="center"/>
              <w:rPr>
                <w:kern w:val="0"/>
                <w:sz w:val="21"/>
                <w:szCs w:val="21"/>
              </w:rPr>
            </w:pPr>
            <w:r>
              <w:rPr>
                <w:kern w:val="0"/>
                <w:sz w:val="21"/>
                <w:szCs w:val="21"/>
              </w:rPr>
              <w:t>-1.800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KB-2400</w:t>
            </w:r>
          </w:p>
        </w:tc>
        <w:tc>
          <w:tcPr>
            <w:tcW w:w="1361" w:type="dxa"/>
            <w:vAlign w:val="center"/>
          </w:tcPr>
          <w:p>
            <w:pPr>
              <w:autoSpaceDE w:val="0"/>
              <w:autoSpaceDN w:val="0"/>
              <w:adjustRightInd w:val="0"/>
              <w:jc w:val="center"/>
              <w:rPr>
                <w:kern w:val="0"/>
                <w:sz w:val="21"/>
                <w:szCs w:val="21"/>
              </w:rPr>
            </w:pPr>
            <w:r>
              <w:rPr>
                <w:kern w:val="0"/>
                <w:sz w:val="21"/>
                <w:szCs w:val="21"/>
              </w:rPr>
              <w:t>ZYKC-ES-20203</w:t>
            </w:r>
          </w:p>
        </w:tc>
        <w:tc>
          <w:tcPr>
            <w:tcW w:w="1201" w:type="dxa"/>
            <w:vAlign w:val="center"/>
          </w:tcPr>
          <w:p>
            <w:pPr>
              <w:autoSpaceDE w:val="0"/>
              <w:autoSpaceDN w:val="0"/>
              <w:adjustRightInd w:val="0"/>
              <w:jc w:val="center"/>
              <w:rPr>
                <w:kern w:val="0"/>
                <w:sz w:val="21"/>
                <w:szCs w:val="21"/>
              </w:rPr>
            </w:pPr>
            <w:r>
              <w:rPr>
                <w:kern w:val="0"/>
                <w:sz w:val="21"/>
                <w:szCs w:val="21"/>
              </w:rPr>
              <w:t>0.5</w:t>
            </w:r>
          </w:p>
        </w:tc>
        <w:tc>
          <w:tcPr>
            <w:tcW w:w="1215" w:type="dxa"/>
            <w:vAlign w:val="center"/>
          </w:tcPr>
          <w:p>
            <w:pPr>
              <w:autoSpaceDE w:val="0"/>
              <w:autoSpaceDN w:val="0"/>
              <w:adjustRightInd w:val="0"/>
              <w:jc w:val="center"/>
              <w:rPr>
                <w:kern w:val="0"/>
                <w:sz w:val="21"/>
                <w:szCs w:val="21"/>
              </w:rPr>
            </w:pPr>
            <w:r>
              <w:rPr>
                <w:kern w:val="0"/>
                <w:sz w:val="21"/>
                <w:szCs w:val="21"/>
              </w:rPr>
              <w:t>0.493</w:t>
            </w:r>
          </w:p>
        </w:tc>
        <w:tc>
          <w:tcPr>
            <w:tcW w:w="1335" w:type="dxa"/>
            <w:vAlign w:val="center"/>
          </w:tcPr>
          <w:p>
            <w:pPr>
              <w:autoSpaceDE w:val="0"/>
              <w:autoSpaceDN w:val="0"/>
              <w:adjustRightInd w:val="0"/>
              <w:jc w:val="center"/>
              <w:rPr>
                <w:kern w:val="0"/>
                <w:sz w:val="21"/>
                <w:szCs w:val="21"/>
              </w:rPr>
            </w:pPr>
            <w:r>
              <w:rPr>
                <w:kern w:val="0"/>
                <w:sz w:val="21"/>
                <w:szCs w:val="21"/>
              </w:rPr>
              <w:t>-1.400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KB6120</w:t>
            </w:r>
          </w:p>
        </w:tc>
        <w:tc>
          <w:tcPr>
            <w:tcW w:w="1361" w:type="dxa"/>
            <w:vAlign w:val="center"/>
          </w:tcPr>
          <w:p>
            <w:pPr>
              <w:autoSpaceDE w:val="0"/>
              <w:autoSpaceDN w:val="0"/>
              <w:adjustRightInd w:val="0"/>
              <w:jc w:val="center"/>
              <w:rPr>
                <w:kern w:val="0"/>
                <w:sz w:val="21"/>
                <w:szCs w:val="21"/>
              </w:rPr>
            </w:pPr>
            <w:r>
              <w:rPr>
                <w:kern w:val="0"/>
                <w:sz w:val="21"/>
                <w:szCs w:val="21"/>
              </w:rPr>
              <w:t>ZYKC-ES-20303</w:t>
            </w:r>
          </w:p>
        </w:tc>
        <w:tc>
          <w:tcPr>
            <w:tcW w:w="1201" w:type="dxa"/>
            <w:vAlign w:val="center"/>
          </w:tcPr>
          <w:p>
            <w:pPr>
              <w:autoSpaceDE w:val="0"/>
              <w:autoSpaceDN w:val="0"/>
              <w:adjustRightInd w:val="0"/>
              <w:jc w:val="center"/>
              <w:rPr>
                <w:kern w:val="0"/>
                <w:sz w:val="21"/>
                <w:szCs w:val="21"/>
              </w:rPr>
            </w:pPr>
            <w:r>
              <w:rPr>
                <w:kern w:val="0"/>
                <w:sz w:val="21"/>
                <w:szCs w:val="21"/>
              </w:rPr>
              <w:t>100</w:t>
            </w:r>
          </w:p>
        </w:tc>
        <w:tc>
          <w:tcPr>
            <w:tcW w:w="1215" w:type="dxa"/>
            <w:vAlign w:val="center"/>
          </w:tcPr>
          <w:p>
            <w:pPr>
              <w:autoSpaceDE w:val="0"/>
              <w:autoSpaceDN w:val="0"/>
              <w:adjustRightInd w:val="0"/>
              <w:jc w:val="center"/>
              <w:rPr>
                <w:kern w:val="0"/>
                <w:sz w:val="21"/>
                <w:szCs w:val="21"/>
              </w:rPr>
            </w:pPr>
            <w:r>
              <w:rPr>
                <w:kern w:val="0"/>
                <w:sz w:val="21"/>
                <w:szCs w:val="21"/>
              </w:rPr>
              <w:t>100.1</w:t>
            </w:r>
          </w:p>
        </w:tc>
        <w:tc>
          <w:tcPr>
            <w:tcW w:w="1335" w:type="dxa"/>
            <w:vAlign w:val="center"/>
          </w:tcPr>
          <w:p>
            <w:pPr>
              <w:autoSpaceDE w:val="0"/>
              <w:autoSpaceDN w:val="0"/>
              <w:adjustRightInd w:val="0"/>
              <w:jc w:val="center"/>
              <w:rPr>
                <w:kern w:val="0"/>
                <w:sz w:val="21"/>
                <w:szCs w:val="21"/>
              </w:rPr>
            </w:pPr>
            <w:r>
              <w:rPr>
                <w:kern w:val="0"/>
                <w:sz w:val="21"/>
                <w:szCs w:val="21"/>
              </w:rPr>
              <w:t>0.100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rFonts w:hint="eastAsia"/>
                <w:kern w:val="0"/>
                <w:sz w:val="21"/>
                <w:szCs w:val="21"/>
              </w:rPr>
              <w:t>崂应</w:t>
            </w:r>
            <w:r>
              <w:rPr>
                <w:kern w:val="0"/>
                <w:sz w:val="21"/>
                <w:szCs w:val="21"/>
              </w:rPr>
              <w:t>2050</w:t>
            </w:r>
          </w:p>
        </w:tc>
        <w:tc>
          <w:tcPr>
            <w:tcW w:w="1361" w:type="dxa"/>
            <w:vAlign w:val="center"/>
          </w:tcPr>
          <w:p>
            <w:pPr>
              <w:autoSpaceDE w:val="0"/>
              <w:autoSpaceDN w:val="0"/>
              <w:adjustRightInd w:val="0"/>
              <w:jc w:val="center"/>
              <w:rPr>
                <w:kern w:val="0"/>
                <w:sz w:val="21"/>
                <w:szCs w:val="21"/>
              </w:rPr>
            </w:pPr>
            <w:r>
              <w:rPr>
                <w:kern w:val="0"/>
                <w:sz w:val="21"/>
                <w:szCs w:val="21"/>
              </w:rPr>
              <w:t>ZYKC-ES-20304</w:t>
            </w:r>
          </w:p>
        </w:tc>
        <w:tc>
          <w:tcPr>
            <w:tcW w:w="1201" w:type="dxa"/>
            <w:vAlign w:val="center"/>
          </w:tcPr>
          <w:p>
            <w:pPr>
              <w:autoSpaceDE w:val="0"/>
              <w:autoSpaceDN w:val="0"/>
              <w:adjustRightInd w:val="0"/>
              <w:jc w:val="center"/>
              <w:rPr>
                <w:kern w:val="0"/>
                <w:sz w:val="21"/>
                <w:szCs w:val="21"/>
              </w:rPr>
            </w:pPr>
            <w:r>
              <w:rPr>
                <w:kern w:val="0"/>
                <w:sz w:val="21"/>
                <w:szCs w:val="21"/>
              </w:rPr>
              <w:t>100</w:t>
            </w:r>
          </w:p>
        </w:tc>
        <w:tc>
          <w:tcPr>
            <w:tcW w:w="1215" w:type="dxa"/>
            <w:vAlign w:val="center"/>
          </w:tcPr>
          <w:p>
            <w:pPr>
              <w:autoSpaceDE w:val="0"/>
              <w:autoSpaceDN w:val="0"/>
              <w:adjustRightInd w:val="0"/>
              <w:jc w:val="center"/>
              <w:rPr>
                <w:kern w:val="0"/>
                <w:sz w:val="21"/>
                <w:szCs w:val="21"/>
              </w:rPr>
            </w:pPr>
            <w:r>
              <w:rPr>
                <w:kern w:val="0"/>
                <w:sz w:val="21"/>
                <w:szCs w:val="21"/>
              </w:rPr>
              <w:t>99.9</w:t>
            </w:r>
          </w:p>
        </w:tc>
        <w:tc>
          <w:tcPr>
            <w:tcW w:w="1335" w:type="dxa"/>
            <w:vAlign w:val="center"/>
          </w:tcPr>
          <w:p>
            <w:pPr>
              <w:autoSpaceDE w:val="0"/>
              <w:autoSpaceDN w:val="0"/>
              <w:adjustRightInd w:val="0"/>
              <w:jc w:val="center"/>
              <w:rPr>
                <w:kern w:val="0"/>
                <w:sz w:val="21"/>
                <w:szCs w:val="21"/>
              </w:rPr>
            </w:pPr>
            <w:r>
              <w:rPr>
                <w:kern w:val="0"/>
                <w:sz w:val="21"/>
                <w:szCs w:val="21"/>
              </w:rPr>
              <w:t>-0.100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restart"/>
            <w:vAlign w:val="center"/>
          </w:tcPr>
          <w:p>
            <w:pPr>
              <w:widowControl/>
              <w:jc w:val="center"/>
              <w:rPr>
                <w:kern w:val="0"/>
                <w:sz w:val="21"/>
                <w:szCs w:val="21"/>
              </w:rPr>
            </w:pPr>
            <w:r>
              <w:rPr>
                <w:color w:val="000000"/>
                <w:kern w:val="0"/>
                <w:sz w:val="21"/>
                <w:szCs w:val="21"/>
              </w:rPr>
              <w:t>2017</w:t>
            </w:r>
            <w:r>
              <w:rPr>
                <w:rFonts w:hint="eastAsia"/>
                <w:color w:val="000000"/>
                <w:kern w:val="0"/>
                <w:sz w:val="21"/>
                <w:szCs w:val="21"/>
              </w:rPr>
              <w:t>年</w:t>
            </w:r>
            <w:r>
              <w:rPr>
                <w:color w:val="000000"/>
                <w:kern w:val="0"/>
                <w:sz w:val="21"/>
                <w:szCs w:val="21"/>
              </w:rPr>
              <w:t>09</w:t>
            </w:r>
            <w:r>
              <w:rPr>
                <w:rFonts w:hint="eastAsia"/>
                <w:color w:val="000000"/>
                <w:kern w:val="0"/>
                <w:sz w:val="21"/>
                <w:szCs w:val="21"/>
              </w:rPr>
              <w:t>月</w:t>
            </w:r>
            <w:r>
              <w:rPr>
                <w:color w:val="000000"/>
                <w:kern w:val="0"/>
                <w:sz w:val="21"/>
                <w:szCs w:val="21"/>
              </w:rPr>
              <w:t>06</w:t>
            </w:r>
            <w:r>
              <w:rPr>
                <w:rFonts w:hint="eastAsia"/>
                <w:color w:val="000000"/>
                <w:kern w:val="0"/>
                <w:sz w:val="21"/>
                <w:szCs w:val="21"/>
              </w:rPr>
              <w:t>日</w:t>
            </w:r>
          </w:p>
        </w:tc>
        <w:tc>
          <w:tcPr>
            <w:tcW w:w="1361" w:type="dxa"/>
            <w:vAlign w:val="center"/>
          </w:tcPr>
          <w:p>
            <w:pPr>
              <w:autoSpaceDE w:val="0"/>
              <w:autoSpaceDN w:val="0"/>
              <w:adjustRightInd w:val="0"/>
              <w:jc w:val="center"/>
              <w:rPr>
                <w:kern w:val="0"/>
                <w:sz w:val="21"/>
                <w:szCs w:val="21"/>
              </w:rPr>
            </w:pPr>
            <w:r>
              <w:rPr>
                <w:kern w:val="0"/>
                <w:sz w:val="21"/>
                <w:szCs w:val="21"/>
              </w:rPr>
              <w:t>GH60E</w:t>
            </w:r>
          </w:p>
        </w:tc>
        <w:tc>
          <w:tcPr>
            <w:tcW w:w="1361" w:type="dxa"/>
            <w:vAlign w:val="center"/>
          </w:tcPr>
          <w:p>
            <w:pPr>
              <w:autoSpaceDE w:val="0"/>
              <w:autoSpaceDN w:val="0"/>
              <w:adjustRightInd w:val="0"/>
              <w:jc w:val="center"/>
              <w:rPr>
                <w:kern w:val="0"/>
                <w:sz w:val="21"/>
                <w:szCs w:val="21"/>
              </w:rPr>
            </w:pPr>
            <w:r>
              <w:rPr>
                <w:kern w:val="0"/>
                <w:sz w:val="21"/>
                <w:szCs w:val="21"/>
              </w:rPr>
              <w:t>ZYKC-ES-20602</w:t>
            </w:r>
          </w:p>
        </w:tc>
        <w:tc>
          <w:tcPr>
            <w:tcW w:w="1201" w:type="dxa"/>
            <w:vAlign w:val="center"/>
          </w:tcPr>
          <w:p>
            <w:pPr>
              <w:autoSpaceDE w:val="0"/>
              <w:autoSpaceDN w:val="0"/>
              <w:adjustRightInd w:val="0"/>
              <w:jc w:val="center"/>
              <w:rPr>
                <w:kern w:val="0"/>
                <w:sz w:val="21"/>
                <w:szCs w:val="21"/>
              </w:rPr>
            </w:pPr>
            <w:r>
              <w:rPr>
                <w:kern w:val="0"/>
                <w:sz w:val="21"/>
                <w:szCs w:val="21"/>
              </w:rPr>
              <w:t>40</w:t>
            </w:r>
          </w:p>
        </w:tc>
        <w:tc>
          <w:tcPr>
            <w:tcW w:w="1215" w:type="dxa"/>
            <w:vAlign w:val="center"/>
          </w:tcPr>
          <w:p>
            <w:pPr>
              <w:autoSpaceDE w:val="0"/>
              <w:autoSpaceDN w:val="0"/>
              <w:adjustRightInd w:val="0"/>
              <w:jc w:val="center"/>
              <w:rPr>
                <w:kern w:val="0"/>
                <w:sz w:val="21"/>
                <w:szCs w:val="21"/>
              </w:rPr>
            </w:pPr>
            <w:r>
              <w:rPr>
                <w:kern w:val="0"/>
                <w:sz w:val="21"/>
                <w:szCs w:val="21"/>
              </w:rPr>
              <w:t>40.5</w:t>
            </w:r>
          </w:p>
        </w:tc>
        <w:tc>
          <w:tcPr>
            <w:tcW w:w="1335" w:type="dxa"/>
            <w:vAlign w:val="center"/>
          </w:tcPr>
          <w:p>
            <w:pPr>
              <w:autoSpaceDE w:val="0"/>
              <w:autoSpaceDN w:val="0"/>
              <w:adjustRightInd w:val="0"/>
              <w:jc w:val="center"/>
              <w:rPr>
                <w:kern w:val="0"/>
                <w:sz w:val="21"/>
                <w:szCs w:val="21"/>
              </w:rPr>
            </w:pPr>
            <w:r>
              <w:rPr>
                <w:kern w:val="0"/>
                <w:sz w:val="21"/>
                <w:szCs w:val="21"/>
              </w:rPr>
              <w:t>1.250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ZR-3500</w:t>
            </w:r>
          </w:p>
        </w:tc>
        <w:tc>
          <w:tcPr>
            <w:tcW w:w="1361" w:type="dxa"/>
            <w:vAlign w:val="center"/>
          </w:tcPr>
          <w:p>
            <w:pPr>
              <w:autoSpaceDE w:val="0"/>
              <w:autoSpaceDN w:val="0"/>
              <w:adjustRightInd w:val="0"/>
              <w:jc w:val="center"/>
              <w:rPr>
                <w:kern w:val="0"/>
                <w:sz w:val="21"/>
                <w:szCs w:val="21"/>
              </w:rPr>
            </w:pPr>
            <w:r>
              <w:rPr>
                <w:kern w:val="0"/>
                <w:sz w:val="21"/>
                <w:szCs w:val="21"/>
              </w:rPr>
              <w:t>ZYKC-ES-20103</w:t>
            </w:r>
          </w:p>
        </w:tc>
        <w:tc>
          <w:tcPr>
            <w:tcW w:w="1201" w:type="dxa"/>
            <w:vAlign w:val="center"/>
          </w:tcPr>
          <w:p>
            <w:pPr>
              <w:autoSpaceDE w:val="0"/>
              <w:autoSpaceDN w:val="0"/>
              <w:adjustRightInd w:val="0"/>
              <w:jc w:val="center"/>
              <w:rPr>
                <w:kern w:val="0"/>
                <w:sz w:val="21"/>
                <w:szCs w:val="21"/>
              </w:rPr>
            </w:pPr>
            <w:r>
              <w:rPr>
                <w:kern w:val="0"/>
                <w:sz w:val="21"/>
                <w:szCs w:val="21"/>
              </w:rPr>
              <w:t>0.5</w:t>
            </w:r>
          </w:p>
        </w:tc>
        <w:tc>
          <w:tcPr>
            <w:tcW w:w="1215" w:type="dxa"/>
            <w:vAlign w:val="center"/>
          </w:tcPr>
          <w:p>
            <w:pPr>
              <w:autoSpaceDE w:val="0"/>
              <w:autoSpaceDN w:val="0"/>
              <w:adjustRightInd w:val="0"/>
              <w:jc w:val="center"/>
              <w:rPr>
                <w:kern w:val="0"/>
                <w:sz w:val="21"/>
                <w:szCs w:val="21"/>
              </w:rPr>
            </w:pPr>
            <w:r>
              <w:rPr>
                <w:kern w:val="0"/>
                <w:sz w:val="21"/>
                <w:szCs w:val="21"/>
              </w:rPr>
              <w:t>0.498</w:t>
            </w:r>
          </w:p>
        </w:tc>
        <w:tc>
          <w:tcPr>
            <w:tcW w:w="1335" w:type="dxa"/>
            <w:vAlign w:val="center"/>
          </w:tcPr>
          <w:p>
            <w:pPr>
              <w:autoSpaceDE w:val="0"/>
              <w:autoSpaceDN w:val="0"/>
              <w:adjustRightInd w:val="0"/>
              <w:jc w:val="center"/>
              <w:rPr>
                <w:kern w:val="0"/>
                <w:sz w:val="21"/>
                <w:szCs w:val="21"/>
              </w:rPr>
            </w:pPr>
            <w:r>
              <w:rPr>
                <w:kern w:val="0"/>
                <w:sz w:val="21"/>
                <w:szCs w:val="21"/>
              </w:rPr>
              <w:t>-0.400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KB-2400</w:t>
            </w:r>
          </w:p>
        </w:tc>
        <w:tc>
          <w:tcPr>
            <w:tcW w:w="1361" w:type="dxa"/>
            <w:vAlign w:val="center"/>
          </w:tcPr>
          <w:p>
            <w:pPr>
              <w:autoSpaceDE w:val="0"/>
              <w:autoSpaceDN w:val="0"/>
              <w:adjustRightInd w:val="0"/>
              <w:jc w:val="center"/>
              <w:rPr>
                <w:kern w:val="0"/>
                <w:sz w:val="21"/>
                <w:szCs w:val="21"/>
              </w:rPr>
            </w:pPr>
            <w:r>
              <w:rPr>
                <w:kern w:val="0"/>
                <w:sz w:val="21"/>
                <w:szCs w:val="21"/>
              </w:rPr>
              <w:t>ZYKC-ES-20203</w:t>
            </w:r>
          </w:p>
        </w:tc>
        <w:tc>
          <w:tcPr>
            <w:tcW w:w="1201" w:type="dxa"/>
            <w:vAlign w:val="center"/>
          </w:tcPr>
          <w:p>
            <w:pPr>
              <w:autoSpaceDE w:val="0"/>
              <w:autoSpaceDN w:val="0"/>
              <w:adjustRightInd w:val="0"/>
              <w:jc w:val="center"/>
              <w:rPr>
                <w:kern w:val="0"/>
                <w:sz w:val="21"/>
                <w:szCs w:val="21"/>
              </w:rPr>
            </w:pPr>
            <w:r>
              <w:rPr>
                <w:kern w:val="0"/>
                <w:sz w:val="21"/>
                <w:szCs w:val="21"/>
              </w:rPr>
              <w:t>0.5</w:t>
            </w:r>
          </w:p>
        </w:tc>
        <w:tc>
          <w:tcPr>
            <w:tcW w:w="1215" w:type="dxa"/>
            <w:vAlign w:val="center"/>
          </w:tcPr>
          <w:p>
            <w:pPr>
              <w:autoSpaceDE w:val="0"/>
              <w:autoSpaceDN w:val="0"/>
              <w:adjustRightInd w:val="0"/>
              <w:jc w:val="center"/>
              <w:rPr>
                <w:kern w:val="0"/>
                <w:sz w:val="21"/>
                <w:szCs w:val="21"/>
              </w:rPr>
            </w:pPr>
            <w:r>
              <w:rPr>
                <w:kern w:val="0"/>
                <w:sz w:val="21"/>
                <w:szCs w:val="21"/>
              </w:rPr>
              <w:t>0.510</w:t>
            </w:r>
          </w:p>
        </w:tc>
        <w:tc>
          <w:tcPr>
            <w:tcW w:w="1335" w:type="dxa"/>
            <w:vAlign w:val="center"/>
          </w:tcPr>
          <w:p>
            <w:pPr>
              <w:autoSpaceDE w:val="0"/>
              <w:autoSpaceDN w:val="0"/>
              <w:adjustRightInd w:val="0"/>
              <w:jc w:val="center"/>
              <w:rPr>
                <w:kern w:val="0"/>
                <w:sz w:val="21"/>
                <w:szCs w:val="21"/>
              </w:rPr>
            </w:pPr>
            <w:r>
              <w:rPr>
                <w:kern w:val="0"/>
                <w:sz w:val="21"/>
                <w:szCs w:val="21"/>
              </w:rPr>
              <w:t>2.000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vAlign w:val="center"/>
          </w:tcPr>
          <w:p>
            <w:pPr>
              <w:autoSpaceDE w:val="0"/>
              <w:autoSpaceDN w:val="0"/>
              <w:adjustRightInd w:val="0"/>
              <w:jc w:val="center"/>
              <w:rPr>
                <w:kern w:val="0"/>
                <w:sz w:val="21"/>
                <w:szCs w:val="21"/>
              </w:rPr>
            </w:pPr>
          </w:p>
        </w:tc>
        <w:tc>
          <w:tcPr>
            <w:tcW w:w="1361" w:type="dxa"/>
            <w:vAlign w:val="center"/>
          </w:tcPr>
          <w:p>
            <w:pPr>
              <w:autoSpaceDE w:val="0"/>
              <w:autoSpaceDN w:val="0"/>
              <w:adjustRightInd w:val="0"/>
              <w:jc w:val="center"/>
              <w:rPr>
                <w:kern w:val="0"/>
                <w:sz w:val="21"/>
                <w:szCs w:val="21"/>
              </w:rPr>
            </w:pPr>
            <w:r>
              <w:rPr>
                <w:kern w:val="0"/>
                <w:sz w:val="21"/>
                <w:szCs w:val="21"/>
              </w:rPr>
              <w:t>KB6120</w:t>
            </w:r>
          </w:p>
        </w:tc>
        <w:tc>
          <w:tcPr>
            <w:tcW w:w="1361" w:type="dxa"/>
            <w:vAlign w:val="center"/>
          </w:tcPr>
          <w:p>
            <w:pPr>
              <w:autoSpaceDE w:val="0"/>
              <w:autoSpaceDN w:val="0"/>
              <w:adjustRightInd w:val="0"/>
              <w:jc w:val="center"/>
              <w:rPr>
                <w:kern w:val="0"/>
                <w:sz w:val="21"/>
                <w:szCs w:val="21"/>
              </w:rPr>
            </w:pPr>
            <w:r>
              <w:rPr>
                <w:kern w:val="0"/>
                <w:sz w:val="21"/>
                <w:szCs w:val="21"/>
              </w:rPr>
              <w:t>ZYKC-ES-20303</w:t>
            </w:r>
          </w:p>
        </w:tc>
        <w:tc>
          <w:tcPr>
            <w:tcW w:w="1201" w:type="dxa"/>
            <w:vAlign w:val="center"/>
          </w:tcPr>
          <w:p>
            <w:pPr>
              <w:autoSpaceDE w:val="0"/>
              <w:autoSpaceDN w:val="0"/>
              <w:adjustRightInd w:val="0"/>
              <w:jc w:val="center"/>
              <w:rPr>
                <w:kern w:val="0"/>
                <w:sz w:val="21"/>
                <w:szCs w:val="21"/>
              </w:rPr>
            </w:pPr>
            <w:r>
              <w:rPr>
                <w:kern w:val="0"/>
                <w:sz w:val="21"/>
                <w:szCs w:val="21"/>
              </w:rPr>
              <w:t>100</w:t>
            </w:r>
          </w:p>
        </w:tc>
        <w:tc>
          <w:tcPr>
            <w:tcW w:w="1215" w:type="dxa"/>
            <w:vAlign w:val="center"/>
          </w:tcPr>
          <w:p>
            <w:pPr>
              <w:autoSpaceDE w:val="0"/>
              <w:autoSpaceDN w:val="0"/>
              <w:adjustRightInd w:val="0"/>
              <w:jc w:val="center"/>
              <w:rPr>
                <w:kern w:val="0"/>
                <w:sz w:val="21"/>
                <w:szCs w:val="21"/>
              </w:rPr>
            </w:pPr>
            <w:r>
              <w:rPr>
                <w:kern w:val="0"/>
                <w:sz w:val="21"/>
                <w:szCs w:val="21"/>
              </w:rPr>
              <w:t>100.2</w:t>
            </w:r>
          </w:p>
        </w:tc>
        <w:tc>
          <w:tcPr>
            <w:tcW w:w="1335" w:type="dxa"/>
            <w:vAlign w:val="center"/>
          </w:tcPr>
          <w:p>
            <w:pPr>
              <w:autoSpaceDE w:val="0"/>
              <w:autoSpaceDN w:val="0"/>
              <w:adjustRightInd w:val="0"/>
              <w:jc w:val="center"/>
              <w:rPr>
                <w:kern w:val="0"/>
                <w:sz w:val="21"/>
                <w:szCs w:val="21"/>
              </w:rPr>
            </w:pPr>
            <w:r>
              <w:rPr>
                <w:kern w:val="0"/>
                <w:sz w:val="21"/>
                <w:szCs w:val="21"/>
              </w:rPr>
              <w:t>0.200</w:t>
            </w:r>
          </w:p>
        </w:tc>
        <w:tc>
          <w:tcPr>
            <w:tcW w:w="1320" w:type="dxa"/>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vMerge w:val="continue"/>
            <w:vAlign w:val="center"/>
          </w:tcPr>
          <w:p>
            <w:pPr>
              <w:autoSpaceDE w:val="0"/>
              <w:autoSpaceDN w:val="0"/>
              <w:adjustRightInd w:val="0"/>
              <w:jc w:val="center"/>
              <w:rPr>
                <w:kern w:val="0"/>
                <w:sz w:val="21"/>
                <w:szCs w:val="21"/>
              </w:rPr>
            </w:pP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10" w:hRule="exact"/>
          <w:jc w:val="center"/>
        </w:trPr>
        <w:tc>
          <w:tcPr>
            <w:tcW w:w="1361" w:type="dxa"/>
            <w:vMerge w:val="continue"/>
            <w:tcBorders>
              <w:bottom w:val="single" w:color="000000" w:sz="12" w:space="0"/>
            </w:tcBorders>
            <w:vAlign w:val="center"/>
          </w:tcPr>
          <w:p>
            <w:pPr>
              <w:autoSpaceDE w:val="0"/>
              <w:autoSpaceDN w:val="0"/>
              <w:adjustRightInd w:val="0"/>
              <w:jc w:val="center"/>
              <w:rPr>
                <w:kern w:val="0"/>
                <w:sz w:val="21"/>
                <w:szCs w:val="21"/>
              </w:rPr>
            </w:pPr>
          </w:p>
        </w:tc>
        <w:tc>
          <w:tcPr>
            <w:tcW w:w="1361" w:type="dxa"/>
            <w:tcBorders>
              <w:bottom w:val="single" w:color="000000" w:sz="12" w:space="0"/>
            </w:tcBorders>
            <w:vAlign w:val="center"/>
          </w:tcPr>
          <w:p>
            <w:pPr>
              <w:autoSpaceDE w:val="0"/>
              <w:autoSpaceDN w:val="0"/>
              <w:adjustRightInd w:val="0"/>
              <w:jc w:val="center"/>
              <w:rPr>
                <w:kern w:val="0"/>
                <w:sz w:val="21"/>
                <w:szCs w:val="21"/>
              </w:rPr>
            </w:pPr>
            <w:r>
              <w:rPr>
                <w:rFonts w:hint="eastAsia"/>
                <w:kern w:val="0"/>
                <w:sz w:val="21"/>
                <w:szCs w:val="21"/>
              </w:rPr>
              <w:t>崂应</w:t>
            </w:r>
            <w:r>
              <w:rPr>
                <w:kern w:val="0"/>
                <w:sz w:val="21"/>
                <w:szCs w:val="21"/>
              </w:rPr>
              <w:t>2050</w:t>
            </w:r>
          </w:p>
        </w:tc>
        <w:tc>
          <w:tcPr>
            <w:tcW w:w="1361" w:type="dxa"/>
            <w:tcBorders>
              <w:bottom w:val="single" w:color="000000" w:sz="12" w:space="0"/>
            </w:tcBorders>
            <w:vAlign w:val="center"/>
          </w:tcPr>
          <w:p>
            <w:pPr>
              <w:autoSpaceDE w:val="0"/>
              <w:autoSpaceDN w:val="0"/>
              <w:adjustRightInd w:val="0"/>
              <w:jc w:val="center"/>
              <w:rPr>
                <w:kern w:val="0"/>
                <w:sz w:val="21"/>
                <w:szCs w:val="21"/>
              </w:rPr>
            </w:pPr>
            <w:r>
              <w:rPr>
                <w:kern w:val="0"/>
                <w:sz w:val="21"/>
                <w:szCs w:val="21"/>
              </w:rPr>
              <w:t>ZYKC-ES-20304</w:t>
            </w:r>
          </w:p>
        </w:tc>
        <w:tc>
          <w:tcPr>
            <w:tcW w:w="1201" w:type="dxa"/>
            <w:tcBorders>
              <w:bottom w:val="single" w:color="000000" w:sz="12" w:space="0"/>
            </w:tcBorders>
            <w:vAlign w:val="center"/>
          </w:tcPr>
          <w:p>
            <w:pPr>
              <w:autoSpaceDE w:val="0"/>
              <w:autoSpaceDN w:val="0"/>
              <w:adjustRightInd w:val="0"/>
              <w:jc w:val="center"/>
              <w:rPr>
                <w:kern w:val="0"/>
                <w:sz w:val="21"/>
                <w:szCs w:val="21"/>
              </w:rPr>
            </w:pPr>
            <w:r>
              <w:rPr>
                <w:kern w:val="0"/>
                <w:sz w:val="21"/>
                <w:szCs w:val="21"/>
              </w:rPr>
              <w:t>100</w:t>
            </w:r>
          </w:p>
        </w:tc>
        <w:tc>
          <w:tcPr>
            <w:tcW w:w="1215" w:type="dxa"/>
            <w:tcBorders>
              <w:bottom w:val="single" w:color="000000" w:sz="12" w:space="0"/>
            </w:tcBorders>
            <w:vAlign w:val="center"/>
          </w:tcPr>
          <w:p>
            <w:pPr>
              <w:autoSpaceDE w:val="0"/>
              <w:autoSpaceDN w:val="0"/>
              <w:adjustRightInd w:val="0"/>
              <w:jc w:val="center"/>
              <w:rPr>
                <w:kern w:val="0"/>
                <w:sz w:val="21"/>
                <w:szCs w:val="21"/>
              </w:rPr>
            </w:pPr>
            <w:r>
              <w:rPr>
                <w:kern w:val="0"/>
                <w:sz w:val="21"/>
                <w:szCs w:val="21"/>
              </w:rPr>
              <w:t>100.0</w:t>
            </w:r>
          </w:p>
        </w:tc>
        <w:tc>
          <w:tcPr>
            <w:tcW w:w="1335" w:type="dxa"/>
            <w:tcBorders>
              <w:bottom w:val="single" w:color="000000" w:sz="12" w:space="0"/>
            </w:tcBorders>
            <w:vAlign w:val="center"/>
          </w:tcPr>
          <w:p>
            <w:pPr>
              <w:autoSpaceDE w:val="0"/>
              <w:autoSpaceDN w:val="0"/>
              <w:adjustRightInd w:val="0"/>
              <w:jc w:val="center"/>
              <w:rPr>
                <w:kern w:val="0"/>
                <w:sz w:val="21"/>
                <w:szCs w:val="21"/>
              </w:rPr>
            </w:pPr>
            <w:r>
              <w:rPr>
                <w:kern w:val="0"/>
                <w:sz w:val="21"/>
                <w:szCs w:val="21"/>
              </w:rPr>
              <w:t>0.000</w:t>
            </w:r>
          </w:p>
        </w:tc>
        <w:tc>
          <w:tcPr>
            <w:tcW w:w="1320" w:type="dxa"/>
            <w:tcBorders>
              <w:bottom w:val="single" w:color="000000" w:sz="12" w:space="0"/>
            </w:tcBorders>
            <w:vAlign w:val="center"/>
          </w:tcPr>
          <w:p>
            <w:pPr>
              <w:autoSpaceDE w:val="0"/>
              <w:autoSpaceDN w:val="0"/>
              <w:adjustRightInd w:val="0"/>
              <w:jc w:val="center"/>
              <w:rPr>
                <w:kern w:val="0"/>
                <w:sz w:val="21"/>
                <w:szCs w:val="21"/>
              </w:rPr>
            </w:pPr>
            <w:r>
              <w:rPr>
                <w:rFonts w:hint="eastAsia"/>
                <w:kern w:val="0"/>
                <w:sz w:val="21"/>
                <w:szCs w:val="21"/>
              </w:rPr>
              <w:t>合格</w:t>
            </w:r>
          </w:p>
        </w:tc>
        <w:tc>
          <w:tcPr>
            <w:tcW w:w="1266" w:type="dxa"/>
            <w:tcBorders>
              <w:bottom w:val="single" w:color="000000" w:sz="12" w:space="0"/>
            </w:tcBorders>
            <w:vAlign w:val="center"/>
          </w:tcPr>
          <w:p>
            <w:pPr>
              <w:autoSpaceDE w:val="0"/>
              <w:autoSpaceDN w:val="0"/>
              <w:adjustRightInd w:val="0"/>
              <w:jc w:val="center"/>
              <w:rPr>
                <w:kern w:val="0"/>
                <w:sz w:val="21"/>
                <w:szCs w:val="21"/>
              </w:rPr>
            </w:pPr>
          </w:p>
        </w:tc>
      </w:tr>
    </w:tbl>
    <w:p>
      <w:pPr>
        <w:autoSpaceDE w:val="0"/>
        <w:autoSpaceDN w:val="0"/>
        <w:adjustRightInd w:val="0"/>
        <w:spacing w:line="360" w:lineRule="auto"/>
        <w:jc w:val="left"/>
        <w:rPr>
          <w:rFonts w:ascii="??_GB2312"/>
          <w:color w:val="000000"/>
          <w:kern w:val="0"/>
        </w:rPr>
      </w:pPr>
      <w:r>
        <w:rPr>
          <w:rFonts w:hint="eastAsia"/>
          <w:kern w:val="0"/>
        </w:rPr>
        <w:t>采样前烟尘采样器进行了气路检查和流量标定，烟气分析仪进行了标气标定，烟气分析仪污染物浓度标定偏差＜</w:t>
      </w:r>
      <w:r>
        <w:rPr>
          <w:kern w:val="0"/>
        </w:rPr>
        <w:t>±5%</w:t>
      </w:r>
      <w:r>
        <w:rPr>
          <w:rFonts w:hint="eastAsia"/>
          <w:kern w:val="0"/>
        </w:rPr>
        <w:t>，烟尘、大气采样器流量标定偏差＜</w:t>
      </w:r>
      <w:r>
        <w:rPr>
          <w:kern w:val="0"/>
        </w:rPr>
        <w:t>±5%</w:t>
      </w:r>
      <w:r>
        <w:rPr>
          <w:rFonts w:hint="eastAsia"/>
          <w:kern w:val="0"/>
        </w:rPr>
        <w:t>，监测期间，仪器性能符合质控要求，废气污染物监测结果可靠。</w:t>
      </w:r>
    </w:p>
    <w:p>
      <w:pPr>
        <w:autoSpaceDE w:val="0"/>
        <w:autoSpaceDN w:val="0"/>
        <w:adjustRightInd w:val="0"/>
        <w:spacing w:line="360" w:lineRule="auto"/>
        <w:jc w:val="center"/>
        <w:rPr>
          <w:rFonts w:ascii="??_GB2312"/>
          <w:color w:val="000000"/>
          <w:kern w:val="0"/>
        </w:rPr>
      </w:pPr>
      <w:r>
        <w:rPr>
          <w:rFonts w:hint="eastAsia" w:ascii="??_GB2312"/>
          <w:color w:val="000000"/>
          <w:kern w:val="0"/>
        </w:rPr>
        <w:t>表</w:t>
      </w:r>
      <w:r>
        <w:rPr>
          <w:rFonts w:ascii="??_GB2312"/>
          <w:color w:val="000000"/>
          <w:kern w:val="0"/>
        </w:rPr>
        <w:t xml:space="preserve">8-5   </w:t>
      </w:r>
      <w:r>
        <w:rPr>
          <w:rFonts w:hint="eastAsia" w:ascii="??_GB2312"/>
          <w:color w:val="000000"/>
          <w:kern w:val="0"/>
        </w:rPr>
        <w:t>平行样、加标回收样分析结果</w:t>
      </w:r>
    </w:p>
    <w:tbl>
      <w:tblPr>
        <w:tblStyle w:val="47"/>
        <w:tblW w:w="10493" w:type="dxa"/>
        <w:jc w:val="center"/>
        <w:tblInd w:w="786" w:type="dxa"/>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160"/>
        <w:gridCol w:w="892"/>
        <w:gridCol w:w="846"/>
        <w:gridCol w:w="947"/>
        <w:gridCol w:w="885"/>
        <w:gridCol w:w="970"/>
        <w:gridCol w:w="1023"/>
        <w:gridCol w:w="928"/>
        <w:gridCol w:w="846"/>
        <w:gridCol w:w="1023"/>
        <w:gridCol w:w="973"/>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389" w:hRule="atLeast"/>
          <w:jc w:val="center"/>
        </w:trPr>
        <w:tc>
          <w:tcPr>
            <w:tcW w:w="1160" w:type="dxa"/>
            <w:vMerge w:val="restart"/>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监测因子</w:t>
            </w:r>
          </w:p>
        </w:tc>
        <w:tc>
          <w:tcPr>
            <w:tcW w:w="892" w:type="dxa"/>
            <w:vMerge w:val="restart"/>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样品数（个）</w:t>
            </w:r>
          </w:p>
        </w:tc>
        <w:tc>
          <w:tcPr>
            <w:tcW w:w="2678" w:type="dxa"/>
            <w:gridSpan w:val="3"/>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加标回收</w:t>
            </w:r>
          </w:p>
        </w:tc>
        <w:tc>
          <w:tcPr>
            <w:tcW w:w="2921" w:type="dxa"/>
            <w:gridSpan w:val="3"/>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现场平行样</w:t>
            </w:r>
          </w:p>
        </w:tc>
        <w:tc>
          <w:tcPr>
            <w:tcW w:w="2842" w:type="dxa"/>
            <w:gridSpan w:val="3"/>
            <w:tcBorders>
              <w:top w:val="single" w:color="000000" w:sz="12" w:space="0"/>
            </w:tcBorders>
            <w:vAlign w:val="center"/>
          </w:tcPr>
          <w:p>
            <w:pPr>
              <w:autoSpaceDE w:val="0"/>
              <w:autoSpaceDN w:val="0"/>
              <w:adjustRightInd w:val="0"/>
              <w:jc w:val="center"/>
              <w:rPr>
                <w:b/>
                <w:kern w:val="0"/>
                <w:sz w:val="21"/>
                <w:szCs w:val="21"/>
              </w:rPr>
            </w:pPr>
            <w:r>
              <w:rPr>
                <w:rFonts w:hint="eastAsia"/>
                <w:b/>
                <w:kern w:val="0"/>
                <w:sz w:val="21"/>
                <w:szCs w:val="21"/>
              </w:rPr>
              <w:t>室内平行样</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65" w:hRule="atLeast"/>
          <w:jc w:val="center"/>
        </w:trPr>
        <w:tc>
          <w:tcPr>
            <w:tcW w:w="1160" w:type="dxa"/>
            <w:vMerge w:val="continue"/>
            <w:vAlign w:val="center"/>
          </w:tcPr>
          <w:p>
            <w:pPr>
              <w:autoSpaceDE w:val="0"/>
              <w:autoSpaceDN w:val="0"/>
              <w:adjustRightInd w:val="0"/>
              <w:jc w:val="center"/>
              <w:rPr>
                <w:b/>
                <w:kern w:val="0"/>
                <w:sz w:val="21"/>
                <w:szCs w:val="21"/>
              </w:rPr>
            </w:pPr>
          </w:p>
        </w:tc>
        <w:tc>
          <w:tcPr>
            <w:tcW w:w="892" w:type="dxa"/>
            <w:vMerge w:val="continue"/>
            <w:vAlign w:val="center"/>
          </w:tcPr>
          <w:p>
            <w:pPr>
              <w:autoSpaceDE w:val="0"/>
              <w:autoSpaceDN w:val="0"/>
              <w:adjustRightInd w:val="0"/>
              <w:jc w:val="center"/>
              <w:rPr>
                <w:b/>
                <w:kern w:val="0"/>
                <w:sz w:val="21"/>
                <w:szCs w:val="21"/>
              </w:rPr>
            </w:pPr>
          </w:p>
        </w:tc>
        <w:tc>
          <w:tcPr>
            <w:tcW w:w="846" w:type="dxa"/>
            <w:vAlign w:val="center"/>
          </w:tcPr>
          <w:p>
            <w:pPr>
              <w:autoSpaceDE w:val="0"/>
              <w:autoSpaceDN w:val="0"/>
              <w:adjustRightInd w:val="0"/>
              <w:jc w:val="center"/>
              <w:rPr>
                <w:b/>
                <w:kern w:val="0"/>
                <w:sz w:val="21"/>
                <w:szCs w:val="21"/>
              </w:rPr>
            </w:pPr>
            <w:r>
              <w:rPr>
                <w:rFonts w:hint="eastAsia"/>
                <w:b/>
                <w:kern w:val="0"/>
                <w:sz w:val="21"/>
                <w:szCs w:val="21"/>
              </w:rPr>
              <w:t>数量（个）</w:t>
            </w:r>
          </w:p>
        </w:tc>
        <w:tc>
          <w:tcPr>
            <w:tcW w:w="947" w:type="dxa"/>
            <w:vAlign w:val="center"/>
          </w:tcPr>
          <w:p>
            <w:pPr>
              <w:autoSpaceDE w:val="0"/>
              <w:autoSpaceDN w:val="0"/>
              <w:adjustRightInd w:val="0"/>
              <w:jc w:val="center"/>
              <w:rPr>
                <w:b/>
                <w:kern w:val="0"/>
                <w:sz w:val="21"/>
                <w:szCs w:val="21"/>
              </w:rPr>
            </w:pPr>
            <w:r>
              <w:rPr>
                <w:rFonts w:hint="eastAsia"/>
                <w:b/>
                <w:kern w:val="0"/>
                <w:sz w:val="21"/>
                <w:szCs w:val="21"/>
              </w:rPr>
              <w:t>加标回收率（</w:t>
            </w:r>
            <w:r>
              <w:rPr>
                <w:b/>
                <w:kern w:val="0"/>
                <w:sz w:val="21"/>
                <w:szCs w:val="21"/>
              </w:rPr>
              <w:t>%</w:t>
            </w:r>
            <w:r>
              <w:rPr>
                <w:rFonts w:hint="eastAsia"/>
                <w:b/>
                <w:kern w:val="0"/>
                <w:sz w:val="21"/>
                <w:szCs w:val="21"/>
              </w:rPr>
              <w:t>）</w:t>
            </w:r>
          </w:p>
        </w:tc>
        <w:tc>
          <w:tcPr>
            <w:tcW w:w="885" w:type="dxa"/>
            <w:vAlign w:val="center"/>
          </w:tcPr>
          <w:p>
            <w:pPr>
              <w:autoSpaceDE w:val="0"/>
              <w:autoSpaceDN w:val="0"/>
              <w:adjustRightInd w:val="0"/>
              <w:jc w:val="center"/>
              <w:rPr>
                <w:b/>
                <w:kern w:val="0"/>
                <w:sz w:val="21"/>
                <w:szCs w:val="21"/>
              </w:rPr>
            </w:pPr>
            <w:r>
              <w:rPr>
                <w:rFonts w:hint="eastAsia"/>
                <w:b/>
                <w:kern w:val="0"/>
                <w:sz w:val="21"/>
                <w:szCs w:val="21"/>
              </w:rPr>
              <w:t>合格与否</w:t>
            </w:r>
          </w:p>
        </w:tc>
        <w:tc>
          <w:tcPr>
            <w:tcW w:w="970" w:type="dxa"/>
            <w:vAlign w:val="center"/>
          </w:tcPr>
          <w:p>
            <w:pPr>
              <w:autoSpaceDE w:val="0"/>
              <w:autoSpaceDN w:val="0"/>
              <w:adjustRightInd w:val="0"/>
              <w:jc w:val="center"/>
              <w:rPr>
                <w:b/>
                <w:kern w:val="0"/>
                <w:sz w:val="21"/>
                <w:szCs w:val="21"/>
              </w:rPr>
            </w:pPr>
            <w:r>
              <w:rPr>
                <w:rFonts w:hint="eastAsia"/>
                <w:b/>
                <w:kern w:val="0"/>
                <w:sz w:val="21"/>
                <w:szCs w:val="21"/>
              </w:rPr>
              <w:t>数量（对）</w:t>
            </w:r>
          </w:p>
        </w:tc>
        <w:tc>
          <w:tcPr>
            <w:tcW w:w="1023" w:type="dxa"/>
            <w:vAlign w:val="center"/>
          </w:tcPr>
          <w:p>
            <w:pPr>
              <w:autoSpaceDE w:val="0"/>
              <w:autoSpaceDN w:val="0"/>
              <w:adjustRightInd w:val="0"/>
              <w:jc w:val="center"/>
              <w:rPr>
                <w:b/>
                <w:kern w:val="0"/>
                <w:sz w:val="21"/>
                <w:szCs w:val="21"/>
              </w:rPr>
            </w:pPr>
            <w:r>
              <w:rPr>
                <w:rFonts w:hint="eastAsia"/>
                <w:b/>
                <w:kern w:val="0"/>
                <w:sz w:val="21"/>
                <w:szCs w:val="21"/>
              </w:rPr>
              <w:t>相对偏差（</w:t>
            </w:r>
            <w:r>
              <w:rPr>
                <w:b/>
                <w:kern w:val="0"/>
                <w:sz w:val="21"/>
                <w:szCs w:val="21"/>
              </w:rPr>
              <w:t>%</w:t>
            </w:r>
            <w:r>
              <w:rPr>
                <w:rFonts w:hint="eastAsia"/>
                <w:b/>
                <w:kern w:val="0"/>
                <w:sz w:val="21"/>
                <w:szCs w:val="21"/>
              </w:rPr>
              <w:t>）</w:t>
            </w:r>
          </w:p>
        </w:tc>
        <w:tc>
          <w:tcPr>
            <w:tcW w:w="928" w:type="dxa"/>
            <w:vAlign w:val="center"/>
          </w:tcPr>
          <w:p>
            <w:pPr>
              <w:autoSpaceDE w:val="0"/>
              <w:autoSpaceDN w:val="0"/>
              <w:adjustRightInd w:val="0"/>
              <w:jc w:val="center"/>
              <w:rPr>
                <w:b/>
                <w:kern w:val="0"/>
                <w:sz w:val="21"/>
                <w:szCs w:val="21"/>
              </w:rPr>
            </w:pPr>
            <w:r>
              <w:rPr>
                <w:rFonts w:hint="eastAsia"/>
                <w:b/>
                <w:kern w:val="0"/>
                <w:sz w:val="21"/>
                <w:szCs w:val="21"/>
              </w:rPr>
              <w:t>合格与否</w:t>
            </w:r>
          </w:p>
        </w:tc>
        <w:tc>
          <w:tcPr>
            <w:tcW w:w="846" w:type="dxa"/>
            <w:vAlign w:val="center"/>
          </w:tcPr>
          <w:p>
            <w:pPr>
              <w:autoSpaceDE w:val="0"/>
              <w:autoSpaceDN w:val="0"/>
              <w:adjustRightInd w:val="0"/>
              <w:jc w:val="center"/>
              <w:rPr>
                <w:b/>
                <w:kern w:val="0"/>
                <w:sz w:val="21"/>
                <w:szCs w:val="21"/>
              </w:rPr>
            </w:pPr>
            <w:r>
              <w:rPr>
                <w:rFonts w:hint="eastAsia"/>
                <w:b/>
                <w:kern w:val="0"/>
                <w:sz w:val="21"/>
                <w:szCs w:val="21"/>
              </w:rPr>
              <w:t>数量（个）</w:t>
            </w:r>
          </w:p>
        </w:tc>
        <w:tc>
          <w:tcPr>
            <w:tcW w:w="1023" w:type="dxa"/>
            <w:vAlign w:val="center"/>
          </w:tcPr>
          <w:p>
            <w:pPr>
              <w:autoSpaceDE w:val="0"/>
              <w:autoSpaceDN w:val="0"/>
              <w:adjustRightInd w:val="0"/>
              <w:jc w:val="center"/>
              <w:rPr>
                <w:b/>
                <w:kern w:val="0"/>
                <w:sz w:val="21"/>
                <w:szCs w:val="21"/>
              </w:rPr>
            </w:pPr>
            <w:r>
              <w:rPr>
                <w:rFonts w:hint="eastAsia"/>
                <w:b/>
                <w:kern w:val="0"/>
                <w:sz w:val="21"/>
                <w:szCs w:val="21"/>
              </w:rPr>
              <w:t>相对偏差（</w:t>
            </w:r>
            <w:r>
              <w:rPr>
                <w:b/>
                <w:kern w:val="0"/>
                <w:sz w:val="21"/>
                <w:szCs w:val="21"/>
              </w:rPr>
              <w:t>%</w:t>
            </w:r>
            <w:r>
              <w:rPr>
                <w:rFonts w:hint="eastAsia"/>
                <w:b/>
                <w:kern w:val="0"/>
                <w:sz w:val="21"/>
                <w:szCs w:val="21"/>
              </w:rPr>
              <w:t>）</w:t>
            </w:r>
          </w:p>
        </w:tc>
        <w:tc>
          <w:tcPr>
            <w:tcW w:w="973" w:type="dxa"/>
            <w:vAlign w:val="center"/>
          </w:tcPr>
          <w:p>
            <w:pPr>
              <w:autoSpaceDE w:val="0"/>
              <w:autoSpaceDN w:val="0"/>
              <w:adjustRightInd w:val="0"/>
              <w:jc w:val="center"/>
              <w:rPr>
                <w:b/>
                <w:kern w:val="0"/>
                <w:sz w:val="21"/>
                <w:szCs w:val="21"/>
              </w:rPr>
            </w:pPr>
            <w:r>
              <w:rPr>
                <w:rFonts w:hint="eastAsia"/>
                <w:b/>
                <w:kern w:val="0"/>
                <w:sz w:val="21"/>
                <w:szCs w:val="21"/>
              </w:rPr>
              <w:t>合格与否</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jc w:val="center"/>
              <w:rPr>
                <w:kern w:val="0"/>
                <w:sz w:val="21"/>
                <w:szCs w:val="21"/>
              </w:rPr>
            </w:pPr>
            <w:r>
              <w:t>pH</w:t>
            </w:r>
            <w:r>
              <w:rPr>
                <w:rFonts w:hint="eastAsia"/>
              </w:rPr>
              <w:t>值</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0.14</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jc w:val="center"/>
              <w:rPr>
                <w:kern w:val="0"/>
                <w:sz w:val="21"/>
                <w:szCs w:val="21"/>
              </w:rPr>
            </w:pPr>
            <w:r>
              <w:rPr>
                <w:bCs/>
                <w:color w:val="000000"/>
              </w:rPr>
              <w:t>SS</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3.85</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pStyle w:val="159"/>
              <w:tabs>
                <w:tab w:val="left" w:pos="7740"/>
              </w:tabs>
              <w:jc w:val="center"/>
              <w:rPr>
                <w:kern w:val="0"/>
                <w:szCs w:val="21"/>
              </w:rPr>
            </w:pPr>
            <w:r>
              <w:rPr>
                <w:sz w:val="24"/>
              </w:rPr>
              <w:t>CODcr</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12</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2</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5.43</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12</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3.79</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jc w:val="center"/>
              <w:rPr>
                <w:kern w:val="0"/>
                <w:sz w:val="21"/>
                <w:szCs w:val="21"/>
              </w:rPr>
            </w:pPr>
            <w:r>
              <w:rPr>
                <w:bCs/>
                <w:color w:val="000000"/>
              </w:rPr>
              <w:t>BOD</w:t>
            </w:r>
            <w:r>
              <w:rPr>
                <w:bCs/>
                <w:color w:val="000000"/>
                <w:vertAlign w:val="subscript"/>
              </w:rPr>
              <w:t>5</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2.88</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pStyle w:val="159"/>
              <w:tabs>
                <w:tab w:val="left" w:pos="7740"/>
              </w:tabs>
              <w:jc w:val="center"/>
              <w:rPr>
                <w:kern w:val="0"/>
                <w:szCs w:val="21"/>
              </w:rPr>
            </w:pPr>
            <w:r>
              <w:rPr>
                <w:sz w:val="24"/>
              </w:rPr>
              <w:t>LAS</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4.05</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pStyle w:val="159"/>
              <w:tabs>
                <w:tab w:val="left" w:pos="7740"/>
              </w:tabs>
              <w:jc w:val="center"/>
              <w:rPr>
                <w:kern w:val="0"/>
                <w:szCs w:val="21"/>
              </w:rPr>
            </w:pPr>
            <w:r>
              <w:rPr>
                <w:rFonts w:hint="eastAsia"/>
                <w:sz w:val="24"/>
              </w:rPr>
              <w:t>氨氮</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12</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2</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1.82</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12</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1.03</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454" w:hRule="exact"/>
          <w:jc w:val="center"/>
        </w:trPr>
        <w:tc>
          <w:tcPr>
            <w:tcW w:w="1160" w:type="dxa"/>
            <w:vAlign w:val="center"/>
          </w:tcPr>
          <w:p>
            <w:pPr>
              <w:pStyle w:val="159"/>
              <w:tabs>
                <w:tab w:val="left" w:pos="7740"/>
              </w:tabs>
              <w:jc w:val="center"/>
              <w:rPr>
                <w:kern w:val="0"/>
                <w:szCs w:val="21"/>
              </w:rPr>
            </w:pPr>
            <w:r>
              <w:rPr>
                <w:rFonts w:hint="eastAsia"/>
                <w:sz w:val="24"/>
              </w:rPr>
              <w:t>总磷</w:t>
            </w:r>
          </w:p>
        </w:tc>
        <w:tc>
          <w:tcPr>
            <w:tcW w:w="892"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vAlign w:val="center"/>
          </w:tcPr>
          <w:p>
            <w:pPr>
              <w:autoSpaceDE w:val="0"/>
              <w:autoSpaceDN w:val="0"/>
              <w:adjustRightInd w:val="0"/>
              <w:jc w:val="center"/>
              <w:rPr>
                <w:color w:val="000000"/>
                <w:kern w:val="0"/>
                <w:sz w:val="21"/>
                <w:szCs w:val="21"/>
              </w:rPr>
            </w:pPr>
            <w:r>
              <w:rPr>
                <w:color w:val="000000"/>
                <w:kern w:val="0"/>
                <w:sz w:val="21"/>
                <w:szCs w:val="21"/>
              </w:rPr>
              <w:t>2.81</w:t>
            </w:r>
          </w:p>
        </w:tc>
        <w:tc>
          <w:tcPr>
            <w:tcW w:w="973" w:type="dxa"/>
            <w:vAlign w:val="center"/>
          </w:tcPr>
          <w:p>
            <w:pPr>
              <w:autoSpaceDE w:val="0"/>
              <w:autoSpaceDN w:val="0"/>
              <w:adjustRightInd w:val="0"/>
              <w:jc w:val="center"/>
              <w:rPr>
                <w:kern w:val="0"/>
                <w:sz w:val="21"/>
                <w:szCs w:val="21"/>
              </w:rPr>
            </w:pPr>
            <w:r>
              <w:rPr>
                <w:rFonts w:hint="eastAsia"/>
                <w:kern w:val="0"/>
                <w:sz w:val="21"/>
                <w:szCs w:val="21"/>
              </w:rPr>
              <w:t>合格</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Ex>
        <w:trPr>
          <w:trHeight w:val="555" w:hRule="atLeast"/>
          <w:jc w:val="center"/>
        </w:trPr>
        <w:tc>
          <w:tcPr>
            <w:tcW w:w="1160" w:type="dxa"/>
            <w:tcBorders>
              <w:bottom w:val="single" w:color="000000" w:sz="12" w:space="0"/>
            </w:tcBorders>
            <w:vAlign w:val="center"/>
          </w:tcPr>
          <w:p>
            <w:pPr>
              <w:pStyle w:val="159"/>
              <w:tabs>
                <w:tab w:val="left" w:pos="7740"/>
              </w:tabs>
              <w:jc w:val="center"/>
              <w:rPr>
                <w:kern w:val="0"/>
                <w:szCs w:val="21"/>
              </w:rPr>
            </w:pPr>
            <w:r>
              <w:rPr>
                <w:rFonts w:hint="eastAsia"/>
                <w:sz w:val="24"/>
              </w:rPr>
              <w:t>动植物油</w:t>
            </w:r>
          </w:p>
        </w:tc>
        <w:tc>
          <w:tcPr>
            <w:tcW w:w="892"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8</w:t>
            </w:r>
          </w:p>
        </w:tc>
        <w:tc>
          <w:tcPr>
            <w:tcW w:w="846"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947"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885"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970"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1023"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928"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w:t>
            </w:r>
          </w:p>
        </w:tc>
        <w:tc>
          <w:tcPr>
            <w:tcW w:w="846"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8</w:t>
            </w:r>
          </w:p>
        </w:tc>
        <w:tc>
          <w:tcPr>
            <w:tcW w:w="1023" w:type="dxa"/>
            <w:tcBorders>
              <w:bottom w:val="single" w:color="000000" w:sz="12" w:space="0"/>
            </w:tcBorders>
            <w:vAlign w:val="center"/>
          </w:tcPr>
          <w:p>
            <w:pPr>
              <w:autoSpaceDE w:val="0"/>
              <w:autoSpaceDN w:val="0"/>
              <w:adjustRightInd w:val="0"/>
              <w:jc w:val="center"/>
              <w:rPr>
                <w:color w:val="000000"/>
                <w:kern w:val="0"/>
                <w:sz w:val="21"/>
                <w:szCs w:val="21"/>
              </w:rPr>
            </w:pPr>
            <w:r>
              <w:rPr>
                <w:color w:val="000000"/>
                <w:kern w:val="0"/>
                <w:sz w:val="21"/>
                <w:szCs w:val="21"/>
              </w:rPr>
              <w:t>4.35</w:t>
            </w:r>
          </w:p>
        </w:tc>
        <w:tc>
          <w:tcPr>
            <w:tcW w:w="973" w:type="dxa"/>
            <w:tcBorders>
              <w:bottom w:val="single" w:color="000000" w:sz="12" w:space="0"/>
            </w:tcBorders>
            <w:vAlign w:val="center"/>
          </w:tcPr>
          <w:p>
            <w:pPr>
              <w:autoSpaceDE w:val="0"/>
              <w:autoSpaceDN w:val="0"/>
              <w:adjustRightInd w:val="0"/>
              <w:jc w:val="center"/>
              <w:rPr>
                <w:kern w:val="0"/>
                <w:sz w:val="21"/>
                <w:szCs w:val="21"/>
              </w:rPr>
            </w:pPr>
            <w:r>
              <w:rPr>
                <w:rFonts w:hint="eastAsia"/>
                <w:kern w:val="0"/>
                <w:sz w:val="21"/>
                <w:szCs w:val="21"/>
              </w:rPr>
              <w:t>合格</w:t>
            </w:r>
          </w:p>
        </w:tc>
      </w:tr>
    </w:tbl>
    <w:p>
      <w:pPr>
        <w:autoSpaceDE w:val="0"/>
        <w:autoSpaceDN w:val="0"/>
        <w:adjustRightInd w:val="0"/>
        <w:spacing w:line="360" w:lineRule="auto"/>
        <w:ind w:firstLine="480" w:firstLineChars="200"/>
        <w:jc w:val="left"/>
        <w:rPr>
          <w:kern w:val="0"/>
        </w:rPr>
      </w:pPr>
      <w:r>
        <w:rPr>
          <w:rFonts w:hint="eastAsia"/>
          <w:kern w:val="0"/>
        </w:rPr>
        <w:t>质控分析结果中，化学需氧量、氨氮、五日生化需氧量、悬浮物、等平行样分析结果相对误差均小于</w:t>
      </w:r>
      <w:r>
        <w:rPr>
          <w:kern w:val="0"/>
        </w:rPr>
        <w:t>10%</w:t>
      </w:r>
      <w:r>
        <w:rPr>
          <w:rFonts w:hint="eastAsia"/>
          <w:kern w:val="0"/>
        </w:rPr>
        <w:t>，表明分析精密度符合质控要求，监测结果可靠。</w:t>
      </w:r>
    </w:p>
    <w:p>
      <w:pPr>
        <w:pStyle w:val="4"/>
      </w:pPr>
      <w:bookmarkStart w:id="45" w:name="_Toc5497"/>
      <w:r>
        <w:t>9</w:t>
      </w:r>
      <w:r>
        <w:rPr>
          <w:rFonts w:hint="eastAsia"/>
        </w:rPr>
        <w:t>、验收监测结果及分析评价</w:t>
      </w:r>
      <w:bookmarkEnd w:id="45"/>
    </w:p>
    <w:p>
      <w:pPr>
        <w:pStyle w:val="4"/>
      </w:pPr>
      <w:bookmarkStart w:id="46" w:name="_Toc23676"/>
      <w:r>
        <w:t xml:space="preserve">9.1 </w:t>
      </w:r>
      <w:r>
        <w:rPr>
          <w:rFonts w:hint="eastAsia"/>
        </w:rPr>
        <w:t>验收监测期间工况分析</w:t>
      </w:r>
      <w:bookmarkEnd w:id="46"/>
    </w:p>
    <w:p>
      <w:pPr>
        <w:adjustRightInd w:val="0"/>
        <w:snapToGrid w:val="0"/>
        <w:spacing w:line="360" w:lineRule="auto"/>
        <w:ind w:firstLine="570"/>
        <w:rPr>
          <w:szCs w:val="28"/>
        </w:rPr>
      </w:pPr>
      <w:r>
        <w:rPr>
          <w:rFonts w:hint="eastAsia"/>
          <w:szCs w:val="28"/>
        </w:rPr>
        <w:t>本次验收监测时间是</w:t>
      </w:r>
      <w:r>
        <w:rPr>
          <w:szCs w:val="28"/>
        </w:rPr>
        <w:t>2017</w:t>
      </w:r>
      <w:r>
        <w:rPr>
          <w:rFonts w:hint="eastAsia"/>
          <w:szCs w:val="28"/>
        </w:rPr>
        <w:t>年</w:t>
      </w:r>
      <w:r>
        <w:rPr>
          <w:szCs w:val="28"/>
        </w:rPr>
        <w:t>09</w:t>
      </w:r>
      <w:r>
        <w:rPr>
          <w:rFonts w:hint="eastAsia"/>
          <w:szCs w:val="28"/>
        </w:rPr>
        <w:t>月</w:t>
      </w:r>
      <w:r>
        <w:rPr>
          <w:szCs w:val="28"/>
        </w:rPr>
        <w:t>05-06</w:t>
      </w:r>
      <w:r>
        <w:rPr>
          <w:rFonts w:hint="eastAsia"/>
          <w:szCs w:val="28"/>
        </w:rPr>
        <w:t>日。本次验收生产运行负荷见参表</w:t>
      </w:r>
      <w:r>
        <w:rPr>
          <w:szCs w:val="28"/>
        </w:rPr>
        <w:t>9-1</w:t>
      </w:r>
      <w:r>
        <w:rPr>
          <w:rFonts w:hint="eastAsia"/>
          <w:szCs w:val="28"/>
        </w:rPr>
        <w:t>，</w:t>
      </w:r>
      <w:r>
        <w:rPr>
          <w:rFonts w:hint="eastAsia"/>
          <w:bCs/>
          <w:szCs w:val="28"/>
        </w:rPr>
        <w:t>符合国家环保总局环发</w:t>
      </w:r>
      <w:r>
        <w:rPr>
          <w:bCs/>
          <w:szCs w:val="28"/>
        </w:rPr>
        <w:t>[2016]16</w:t>
      </w:r>
      <w:r>
        <w:rPr>
          <w:rFonts w:hint="eastAsia"/>
          <w:bCs/>
          <w:szCs w:val="28"/>
        </w:rPr>
        <w:t>号文的要求。</w:t>
      </w:r>
    </w:p>
    <w:p>
      <w:pPr>
        <w:adjustRightInd w:val="0"/>
        <w:snapToGrid w:val="0"/>
        <w:spacing w:beforeLines="50"/>
        <w:jc w:val="center"/>
        <w:rPr>
          <w:b/>
        </w:rPr>
      </w:pPr>
      <w:r>
        <w:rPr>
          <w:rFonts w:hint="eastAsia"/>
          <w:b/>
        </w:rPr>
        <w:t>表</w:t>
      </w:r>
      <w:r>
        <w:rPr>
          <w:b/>
        </w:rPr>
        <w:t xml:space="preserve">9-1                  </w:t>
      </w:r>
      <w:r>
        <w:rPr>
          <w:rFonts w:hint="eastAsia"/>
          <w:b/>
        </w:rPr>
        <w:t>监测期间运行负荷表</w:t>
      </w:r>
    </w:p>
    <w:tbl>
      <w:tblPr>
        <w:tblStyle w:val="47"/>
        <w:tblW w:w="852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739"/>
        <w:gridCol w:w="1768"/>
        <w:gridCol w:w="2520"/>
        <w:gridCol w:w="13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2840" w:type="dxa"/>
            <w:gridSpan w:val="2"/>
            <w:vAlign w:val="center"/>
          </w:tcPr>
          <w:p>
            <w:pPr>
              <w:jc w:val="center"/>
            </w:pPr>
            <w:r>
              <w:rPr>
                <w:rFonts w:hint="eastAsia"/>
              </w:rPr>
              <w:t>监测日期</w:t>
            </w:r>
          </w:p>
        </w:tc>
        <w:tc>
          <w:tcPr>
            <w:tcW w:w="1768" w:type="dxa"/>
            <w:vAlign w:val="center"/>
          </w:tcPr>
          <w:p>
            <w:pPr>
              <w:jc w:val="center"/>
            </w:pPr>
            <w:r>
              <w:rPr>
                <w:rFonts w:hint="eastAsia"/>
              </w:rPr>
              <w:t>设计值</w:t>
            </w:r>
          </w:p>
        </w:tc>
        <w:tc>
          <w:tcPr>
            <w:tcW w:w="2520" w:type="dxa"/>
            <w:vAlign w:val="center"/>
          </w:tcPr>
          <w:p>
            <w:pPr>
              <w:jc w:val="center"/>
            </w:pPr>
            <w:r>
              <w:rPr>
                <w:rFonts w:hint="eastAsia"/>
              </w:rPr>
              <w:t>实际生产量</w:t>
            </w:r>
          </w:p>
        </w:tc>
        <w:tc>
          <w:tcPr>
            <w:tcW w:w="1394" w:type="dxa"/>
            <w:vAlign w:val="center"/>
          </w:tcPr>
          <w:p>
            <w:pPr>
              <w:jc w:val="center"/>
            </w:pPr>
            <w:r>
              <w:rPr>
                <w:rFonts w:hint="eastAsia"/>
              </w:rPr>
              <w:t>负荷</w:t>
            </w: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101" w:type="dxa"/>
            <w:vMerge w:val="restart"/>
            <w:vAlign w:val="center"/>
          </w:tcPr>
          <w:p>
            <w:pPr>
              <w:jc w:val="center"/>
            </w:pPr>
            <w:r>
              <w:rPr>
                <w:rFonts w:hint="eastAsia"/>
              </w:rPr>
              <w:t>生产量</w:t>
            </w:r>
          </w:p>
        </w:tc>
        <w:tc>
          <w:tcPr>
            <w:tcW w:w="1739" w:type="dxa"/>
            <w:vAlign w:val="center"/>
          </w:tcPr>
          <w:p>
            <w:pPr>
              <w:jc w:val="center"/>
            </w:pPr>
            <w:r>
              <w:t>2017.09.05</w:t>
            </w:r>
          </w:p>
        </w:tc>
        <w:tc>
          <w:tcPr>
            <w:tcW w:w="1768" w:type="dxa"/>
            <w:vMerge w:val="restart"/>
            <w:vAlign w:val="center"/>
          </w:tcPr>
          <w:p>
            <w:pPr>
              <w:jc w:val="center"/>
            </w:pPr>
            <w:r>
              <w:t>2t/d</w:t>
            </w:r>
          </w:p>
        </w:tc>
        <w:tc>
          <w:tcPr>
            <w:tcW w:w="2520" w:type="dxa"/>
            <w:vAlign w:val="center"/>
          </w:tcPr>
          <w:p>
            <w:pPr>
              <w:jc w:val="center"/>
            </w:pPr>
            <w:r>
              <w:t>1.5t/d</w:t>
            </w:r>
          </w:p>
        </w:tc>
        <w:tc>
          <w:tcPr>
            <w:tcW w:w="1394" w:type="dxa"/>
            <w:vAlign w:val="center"/>
          </w:tcPr>
          <w:p>
            <w:pPr>
              <w:jc w:val="center"/>
            </w:pPr>
            <w: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1101" w:type="dxa"/>
            <w:vMerge w:val="continue"/>
            <w:vAlign w:val="center"/>
          </w:tcPr>
          <w:p>
            <w:pPr>
              <w:jc w:val="center"/>
            </w:pPr>
          </w:p>
        </w:tc>
        <w:tc>
          <w:tcPr>
            <w:tcW w:w="1739" w:type="dxa"/>
            <w:vAlign w:val="center"/>
          </w:tcPr>
          <w:p>
            <w:pPr>
              <w:jc w:val="center"/>
            </w:pPr>
            <w:r>
              <w:t>2017.09.06</w:t>
            </w:r>
          </w:p>
        </w:tc>
        <w:tc>
          <w:tcPr>
            <w:tcW w:w="1768" w:type="dxa"/>
            <w:vMerge w:val="continue"/>
            <w:vAlign w:val="center"/>
          </w:tcPr>
          <w:p>
            <w:pPr>
              <w:jc w:val="center"/>
            </w:pPr>
          </w:p>
        </w:tc>
        <w:tc>
          <w:tcPr>
            <w:tcW w:w="2520" w:type="dxa"/>
            <w:vAlign w:val="center"/>
          </w:tcPr>
          <w:p>
            <w:pPr>
              <w:jc w:val="center"/>
            </w:pPr>
            <w:r>
              <w:t>1.5t/d</w:t>
            </w:r>
          </w:p>
        </w:tc>
        <w:tc>
          <w:tcPr>
            <w:tcW w:w="1394" w:type="dxa"/>
            <w:vAlign w:val="center"/>
          </w:tcPr>
          <w:p>
            <w:pPr>
              <w:jc w:val="center"/>
            </w:pPr>
            <w: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exact"/>
          <w:jc w:val="center"/>
        </w:trPr>
        <w:tc>
          <w:tcPr>
            <w:tcW w:w="8522" w:type="dxa"/>
            <w:gridSpan w:val="5"/>
            <w:vAlign w:val="center"/>
          </w:tcPr>
          <w:p>
            <w:r>
              <w:rPr>
                <w:rFonts w:hint="eastAsia"/>
              </w:rPr>
              <w:t>备注：公司生产一年以</w:t>
            </w:r>
            <w:r>
              <w:t>300</w:t>
            </w:r>
            <w:r>
              <w:rPr>
                <w:rFonts w:hint="eastAsia"/>
              </w:rPr>
              <w:t>天计。</w:t>
            </w:r>
          </w:p>
        </w:tc>
      </w:tr>
    </w:tbl>
    <w:p>
      <w:pPr>
        <w:pStyle w:val="4"/>
        <w:sectPr>
          <w:pgSz w:w="11906" w:h="16838"/>
          <w:pgMar w:top="1440" w:right="1080" w:bottom="1440" w:left="1080" w:header="709" w:footer="709" w:gutter="0"/>
          <w:pgNumType w:fmt="decimal"/>
          <w:cols w:space="708" w:num="1"/>
          <w:docGrid w:linePitch="360" w:charSpace="0"/>
        </w:sectPr>
      </w:pPr>
    </w:p>
    <w:p>
      <w:pPr>
        <w:pStyle w:val="4"/>
      </w:pPr>
      <w:bookmarkStart w:id="47" w:name="_Toc32463"/>
      <w:r>
        <w:t xml:space="preserve">9.2 </w:t>
      </w:r>
      <w:r>
        <w:rPr>
          <w:rFonts w:hint="eastAsia"/>
        </w:rPr>
        <w:t>废水监测结果及评价</w:t>
      </w:r>
      <w:bookmarkEnd w:id="47"/>
    </w:p>
    <w:p>
      <w:pPr>
        <w:adjustRightInd w:val="0"/>
        <w:snapToGrid w:val="0"/>
        <w:spacing w:line="360" w:lineRule="auto"/>
        <w:ind w:firstLine="480" w:firstLineChars="200"/>
        <w:rPr>
          <w:rFonts w:ascii="宋体"/>
          <w:b/>
        </w:rPr>
      </w:pPr>
      <w:r>
        <w:rPr>
          <w:rFonts w:hint="eastAsia"/>
          <w:szCs w:val="28"/>
        </w:rPr>
        <w:t>污水排放口废水监测结果见表</w:t>
      </w:r>
      <w:r>
        <w:rPr>
          <w:szCs w:val="28"/>
        </w:rPr>
        <w:t>9-2</w:t>
      </w:r>
      <w:r>
        <w:rPr>
          <w:rFonts w:hint="eastAsia" w:ascii="??_GB2312" w:hAnsi="宋体"/>
          <w:szCs w:val="28"/>
        </w:rPr>
        <w:t>。</w:t>
      </w:r>
      <w:r>
        <w:rPr>
          <w:rFonts w:ascii="宋体" w:hAnsi="宋体"/>
          <w:b/>
        </w:rPr>
        <w:t xml:space="preserve"> </w:t>
      </w:r>
    </w:p>
    <w:p>
      <w:pPr>
        <w:adjustRightInd w:val="0"/>
        <w:snapToGrid w:val="0"/>
        <w:ind w:firstLine="118" w:firstLineChars="49"/>
        <w:jc w:val="center"/>
        <w:rPr>
          <w:sz w:val="21"/>
          <w:szCs w:val="21"/>
        </w:rPr>
      </w:pPr>
      <w:r>
        <w:rPr>
          <w:rFonts w:hint="eastAsia"/>
          <w:b/>
        </w:rPr>
        <w:t>表</w:t>
      </w:r>
      <w:r>
        <w:rPr>
          <w:b/>
        </w:rPr>
        <w:t xml:space="preserve">9-2    </w:t>
      </w:r>
      <w:r>
        <w:rPr>
          <w:rFonts w:hint="eastAsia"/>
          <w:b/>
        </w:rPr>
        <w:t>污水监测结果</w:t>
      </w:r>
      <w:r>
        <w:rPr>
          <w:b/>
        </w:rPr>
        <w:t xml:space="preserve">   </w:t>
      </w:r>
      <w:r>
        <w:rPr>
          <w:rFonts w:hint="eastAsia"/>
          <w:b/>
        </w:rPr>
        <w:t>（单位：</w:t>
      </w:r>
      <w:r>
        <w:rPr>
          <w:b/>
        </w:rPr>
        <w:t>mg/L,pH</w:t>
      </w:r>
      <w:r>
        <w:rPr>
          <w:rFonts w:hint="eastAsia"/>
          <w:b/>
        </w:rPr>
        <w:t>除外）</w:t>
      </w:r>
    </w:p>
    <w:tbl>
      <w:tblPr>
        <w:tblStyle w:val="47"/>
        <w:tblW w:w="15123" w:type="dxa"/>
        <w:jc w:val="center"/>
        <w:tblInd w:w="-11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5"/>
        <w:gridCol w:w="480"/>
        <w:gridCol w:w="1005"/>
        <w:gridCol w:w="2175"/>
        <w:gridCol w:w="1380"/>
        <w:gridCol w:w="1130"/>
        <w:gridCol w:w="1130"/>
        <w:gridCol w:w="1254"/>
        <w:gridCol w:w="1006"/>
        <w:gridCol w:w="1131"/>
        <w:gridCol w:w="1273"/>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spacing w:line="360" w:lineRule="auto"/>
              <w:jc w:val="center"/>
              <w:rPr>
                <w:b/>
              </w:rPr>
            </w:pPr>
            <w:r>
              <w:rPr>
                <w:rFonts w:hint="eastAsia"/>
                <w:b/>
              </w:rPr>
              <w:t>采样点位置</w:t>
            </w:r>
          </w:p>
        </w:tc>
        <w:tc>
          <w:tcPr>
            <w:tcW w:w="1485" w:type="dxa"/>
            <w:gridSpan w:val="2"/>
            <w:vMerge w:val="restart"/>
            <w:vAlign w:val="center"/>
          </w:tcPr>
          <w:p>
            <w:pPr>
              <w:spacing w:line="360" w:lineRule="auto"/>
              <w:jc w:val="center"/>
              <w:rPr>
                <w:b/>
              </w:rPr>
            </w:pPr>
            <w:r>
              <w:rPr>
                <w:rFonts w:hint="eastAsia"/>
                <w:b/>
              </w:rPr>
              <w:t>采样时间</w:t>
            </w:r>
          </w:p>
        </w:tc>
        <w:tc>
          <w:tcPr>
            <w:tcW w:w="2175" w:type="dxa"/>
            <w:vMerge w:val="restart"/>
            <w:vAlign w:val="center"/>
          </w:tcPr>
          <w:p>
            <w:pPr>
              <w:jc w:val="center"/>
              <w:rPr>
                <w:b/>
              </w:rPr>
            </w:pPr>
            <w:r>
              <w:rPr>
                <w:rFonts w:hint="eastAsia"/>
                <w:b/>
              </w:rPr>
              <w:t>样品编号</w:t>
            </w:r>
          </w:p>
        </w:tc>
        <w:tc>
          <w:tcPr>
            <w:tcW w:w="9498" w:type="dxa"/>
            <w:gridSpan w:val="8"/>
            <w:vAlign w:val="center"/>
          </w:tcPr>
          <w:p>
            <w:pPr>
              <w:jc w:val="center"/>
              <w:rPr>
                <w:b/>
              </w:rPr>
            </w:pPr>
            <w:r>
              <w:rPr>
                <w:rFonts w:hint="eastAsia"/>
                <w:b/>
                <w:bCs/>
              </w:rPr>
              <w:t>检测结果（单位：</w:t>
            </w:r>
            <w:r>
              <w:rPr>
                <w:b/>
                <w:bCs/>
              </w:rPr>
              <w:t>mg/L</w:t>
            </w:r>
            <w:r>
              <w:rPr>
                <w:rFonts w:hint="eastAsia"/>
                <w:b/>
                <w:bCs/>
              </w:rPr>
              <w:t>；</w:t>
            </w:r>
            <w:r>
              <w:rPr>
                <w:b/>
                <w:bCs/>
              </w:rPr>
              <w:t>pH</w:t>
            </w:r>
            <w:r>
              <w:rPr>
                <w:rFonts w:hint="eastAsia"/>
                <w:b/>
                <w:bCs/>
              </w:rPr>
              <w:t>值无量纲）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80" w:hRule="exact"/>
          <w:jc w:val="center"/>
        </w:trPr>
        <w:tc>
          <w:tcPr>
            <w:tcW w:w="1965" w:type="dxa"/>
            <w:vMerge w:val="continue"/>
            <w:vAlign w:val="center"/>
          </w:tcPr>
          <w:p>
            <w:pPr>
              <w:jc w:val="center"/>
            </w:pPr>
          </w:p>
        </w:tc>
        <w:tc>
          <w:tcPr>
            <w:tcW w:w="1485" w:type="dxa"/>
            <w:gridSpan w:val="2"/>
            <w:vMerge w:val="continue"/>
            <w:vAlign w:val="center"/>
          </w:tcPr>
          <w:p>
            <w:pPr>
              <w:jc w:val="center"/>
            </w:pPr>
          </w:p>
        </w:tc>
        <w:tc>
          <w:tcPr>
            <w:tcW w:w="2175" w:type="dxa"/>
            <w:vMerge w:val="continue"/>
            <w:vAlign w:val="center"/>
          </w:tcPr>
          <w:p>
            <w:pPr>
              <w:jc w:val="center"/>
            </w:pPr>
          </w:p>
        </w:tc>
        <w:tc>
          <w:tcPr>
            <w:tcW w:w="1380" w:type="dxa"/>
            <w:vAlign w:val="center"/>
          </w:tcPr>
          <w:p>
            <w:pPr>
              <w:jc w:val="center"/>
              <w:rPr>
                <w:bCs/>
              </w:rPr>
            </w:pPr>
            <w:r>
              <w:rPr>
                <w:bCs/>
              </w:rPr>
              <w:t>pH</w:t>
            </w:r>
            <w:r>
              <w:rPr>
                <w:rFonts w:hint="eastAsia"/>
                <w:bCs/>
              </w:rPr>
              <w:t>值</w:t>
            </w:r>
          </w:p>
          <w:p>
            <w:pPr>
              <w:jc w:val="center"/>
              <w:rPr>
                <w:bCs/>
              </w:rPr>
            </w:pPr>
            <w:r>
              <w:rPr>
                <w:rFonts w:hint="eastAsia"/>
                <w:bCs/>
              </w:rPr>
              <w:t>（无量纲）</w:t>
            </w:r>
          </w:p>
        </w:tc>
        <w:tc>
          <w:tcPr>
            <w:tcW w:w="1130" w:type="dxa"/>
            <w:vAlign w:val="center"/>
          </w:tcPr>
          <w:p>
            <w:pPr>
              <w:spacing w:line="360" w:lineRule="auto"/>
              <w:jc w:val="center"/>
              <w:rPr>
                <w:bCs/>
              </w:rPr>
            </w:pPr>
            <w:r>
              <w:rPr>
                <w:rFonts w:hint="eastAsia"/>
                <w:bCs/>
              </w:rPr>
              <w:t>悬浮物</w:t>
            </w:r>
          </w:p>
        </w:tc>
        <w:tc>
          <w:tcPr>
            <w:tcW w:w="1130" w:type="dxa"/>
            <w:vAlign w:val="center"/>
          </w:tcPr>
          <w:p>
            <w:pPr>
              <w:jc w:val="center"/>
              <w:rPr>
                <w:bCs/>
              </w:rPr>
            </w:pPr>
            <w:r>
              <w:rPr>
                <w:rFonts w:hint="eastAsia"/>
                <w:bCs/>
              </w:rPr>
              <w:t>化学需氧量</w:t>
            </w:r>
          </w:p>
        </w:tc>
        <w:tc>
          <w:tcPr>
            <w:tcW w:w="1254" w:type="dxa"/>
            <w:vAlign w:val="center"/>
          </w:tcPr>
          <w:p>
            <w:pPr>
              <w:jc w:val="center"/>
              <w:rPr>
                <w:bCs/>
              </w:rPr>
            </w:pPr>
            <w:r>
              <w:rPr>
                <w:rFonts w:hint="eastAsia"/>
                <w:bCs/>
              </w:rPr>
              <w:t>五日生化需氧量</w:t>
            </w:r>
          </w:p>
        </w:tc>
        <w:tc>
          <w:tcPr>
            <w:tcW w:w="1006" w:type="dxa"/>
            <w:vAlign w:val="center"/>
          </w:tcPr>
          <w:p>
            <w:pPr>
              <w:jc w:val="center"/>
              <w:rPr>
                <w:bCs/>
              </w:rPr>
            </w:pPr>
            <w:r>
              <w:rPr>
                <w:rFonts w:hint="eastAsia"/>
                <w:bCs/>
              </w:rPr>
              <w:t>氨氮</w:t>
            </w:r>
          </w:p>
        </w:tc>
        <w:tc>
          <w:tcPr>
            <w:tcW w:w="1131" w:type="dxa"/>
            <w:vAlign w:val="center"/>
          </w:tcPr>
          <w:p>
            <w:pPr>
              <w:jc w:val="center"/>
              <w:rPr>
                <w:bCs/>
              </w:rPr>
            </w:pPr>
            <w:r>
              <w:rPr>
                <w:rFonts w:hint="eastAsia"/>
                <w:bCs/>
              </w:rPr>
              <w:t>总磷</w:t>
            </w:r>
          </w:p>
        </w:tc>
        <w:tc>
          <w:tcPr>
            <w:tcW w:w="1273" w:type="dxa"/>
            <w:vAlign w:val="center"/>
          </w:tcPr>
          <w:p>
            <w:pPr>
              <w:jc w:val="center"/>
              <w:rPr>
                <w:bCs/>
              </w:rPr>
            </w:pPr>
            <w:r>
              <w:rPr>
                <w:rFonts w:hint="eastAsia"/>
                <w:bCs/>
              </w:rPr>
              <w:t>动植物油</w:t>
            </w:r>
          </w:p>
        </w:tc>
        <w:tc>
          <w:tcPr>
            <w:tcW w:w="1194" w:type="dxa"/>
            <w:vAlign w:val="center"/>
          </w:tcPr>
          <w:p>
            <w:pPr>
              <w:jc w:val="center"/>
              <w:rPr>
                <w:bCs/>
              </w:rPr>
            </w:pPr>
            <w:r>
              <w:rPr>
                <w:rFonts w:hint="eastAsia"/>
                <w:bCs/>
              </w:rPr>
              <w:t>阴离子表面活性剂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jc w:val="center"/>
            </w:pPr>
            <w:r>
              <w:rPr>
                <w:rFonts w:hint="eastAsia"/>
              </w:rPr>
              <w:t>废水处理</w:t>
            </w:r>
          </w:p>
          <w:p>
            <w:pPr>
              <w:jc w:val="center"/>
            </w:pPr>
            <w:r>
              <w:rPr>
                <w:rFonts w:hint="eastAsia"/>
              </w:rPr>
              <w:t>设施进水口</w:t>
            </w:r>
          </w:p>
        </w:tc>
        <w:tc>
          <w:tcPr>
            <w:tcW w:w="480" w:type="dxa"/>
            <w:vMerge w:val="restart"/>
            <w:vAlign w:val="center"/>
          </w:tcPr>
          <w:p>
            <w:pPr>
              <w:jc w:val="center"/>
            </w:pPr>
            <w:r>
              <w:t>09</w:t>
            </w:r>
            <w:r>
              <w:rPr>
                <w:rFonts w:hint="eastAsia"/>
              </w:rPr>
              <w:t>月</w:t>
            </w:r>
          </w:p>
          <w:p>
            <w:pPr>
              <w:jc w:val="center"/>
            </w:pPr>
            <w:r>
              <w:t>05</w:t>
            </w:r>
            <w:r>
              <w:rPr>
                <w:rFonts w:hint="eastAsia"/>
              </w:rPr>
              <w:t>日</w:t>
            </w:r>
          </w:p>
        </w:tc>
        <w:tc>
          <w:tcPr>
            <w:tcW w:w="1005" w:type="dxa"/>
            <w:vAlign w:val="center"/>
          </w:tcPr>
          <w:p>
            <w:pPr>
              <w:jc w:val="center"/>
            </w:pPr>
            <w:r>
              <w:rPr>
                <w:rFonts w:hint="eastAsia"/>
              </w:rPr>
              <w:t>第一次</w:t>
            </w:r>
          </w:p>
        </w:tc>
        <w:tc>
          <w:tcPr>
            <w:tcW w:w="2175" w:type="dxa"/>
            <w:vAlign w:val="center"/>
          </w:tcPr>
          <w:p>
            <w:pPr>
              <w:jc w:val="center"/>
            </w:pPr>
            <w:r>
              <w:t>W2017090106001</w:t>
            </w:r>
          </w:p>
        </w:tc>
        <w:tc>
          <w:tcPr>
            <w:tcW w:w="1380" w:type="dxa"/>
            <w:vAlign w:val="center"/>
          </w:tcPr>
          <w:p>
            <w:pPr>
              <w:jc w:val="center"/>
            </w:pPr>
            <w:r>
              <w:t>8.27</w:t>
            </w:r>
          </w:p>
        </w:tc>
        <w:tc>
          <w:tcPr>
            <w:tcW w:w="1130" w:type="dxa"/>
            <w:vAlign w:val="center"/>
          </w:tcPr>
          <w:p>
            <w:pPr>
              <w:spacing w:line="360" w:lineRule="auto"/>
              <w:jc w:val="center"/>
              <w:rPr>
                <w:color w:val="000000"/>
              </w:rPr>
            </w:pPr>
            <w:r>
              <w:rPr>
                <w:color w:val="000000"/>
              </w:rPr>
              <w:t>1380</w:t>
            </w:r>
          </w:p>
        </w:tc>
        <w:tc>
          <w:tcPr>
            <w:tcW w:w="1130" w:type="dxa"/>
            <w:vAlign w:val="center"/>
          </w:tcPr>
          <w:p>
            <w:pPr>
              <w:jc w:val="center"/>
            </w:pPr>
            <w:r>
              <w:t>4049</w:t>
            </w:r>
          </w:p>
        </w:tc>
        <w:tc>
          <w:tcPr>
            <w:tcW w:w="1254" w:type="dxa"/>
            <w:vAlign w:val="center"/>
          </w:tcPr>
          <w:p>
            <w:pPr>
              <w:spacing w:line="360" w:lineRule="auto"/>
              <w:jc w:val="center"/>
            </w:pPr>
            <w:r>
              <w:t>1390.5</w:t>
            </w:r>
          </w:p>
        </w:tc>
        <w:tc>
          <w:tcPr>
            <w:tcW w:w="1006" w:type="dxa"/>
            <w:vAlign w:val="center"/>
          </w:tcPr>
          <w:p>
            <w:pPr>
              <w:jc w:val="center"/>
            </w:pPr>
            <w:r>
              <w:t>486</w:t>
            </w:r>
          </w:p>
        </w:tc>
        <w:tc>
          <w:tcPr>
            <w:tcW w:w="1131" w:type="dxa"/>
            <w:vAlign w:val="center"/>
          </w:tcPr>
          <w:p>
            <w:pPr>
              <w:spacing w:line="360" w:lineRule="auto"/>
              <w:jc w:val="center"/>
            </w:pPr>
            <w:r>
              <w:t>0.66</w:t>
            </w:r>
          </w:p>
        </w:tc>
        <w:tc>
          <w:tcPr>
            <w:tcW w:w="1273" w:type="dxa"/>
            <w:vAlign w:val="center"/>
          </w:tcPr>
          <w:p>
            <w:pPr>
              <w:jc w:val="center"/>
            </w:pPr>
            <w:r>
              <w:t>3.18</w:t>
            </w:r>
          </w:p>
        </w:tc>
        <w:tc>
          <w:tcPr>
            <w:tcW w:w="1194" w:type="dxa"/>
            <w:vAlign w:val="center"/>
          </w:tcPr>
          <w:p>
            <w:pPr>
              <w:spacing w:line="360" w:lineRule="auto"/>
              <w:jc w:val="center"/>
              <w:rPr>
                <w:bCs/>
                <w:color w:val="000000"/>
              </w:rPr>
            </w:pPr>
            <w:r>
              <w:rPr>
                <w:bCs/>
                <w:color w:val="000000"/>
              </w:rPr>
              <w:t>0.068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第二次</w:t>
            </w:r>
          </w:p>
        </w:tc>
        <w:tc>
          <w:tcPr>
            <w:tcW w:w="2175" w:type="dxa"/>
            <w:vAlign w:val="center"/>
          </w:tcPr>
          <w:p>
            <w:pPr>
              <w:jc w:val="center"/>
            </w:pPr>
            <w:r>
              <w:t>W2017090106017</w:t>
            </w:r>
          </w:p>
        </w:tc>
        <w:tc>
          <w:tcPr>
            <w:tcW w:w="1380" w:type="dxa"/>
            <w:vAlign w:val="center"/>
          </w:tcPr>
          <w:p>
            <w:pPr>
              <w:jc w:val="center"/>
            </w:pPr>
            <w:r>
              <w:t>8.82</w:t>
            </w:r>
          </w:p>
        </w:tc>
        <w:tc>
          <w:tcPr>
            <w:tcW w:w="1130" w:type="dxa"/>
            <w:vAlign w:val="center"/>
          </w:tcPr>
          <w:p>
            <w:pPr>
              <w:spacing w:line="360" w:lineRule="auto"/>
              <w:jc w:val="center"/>
              <w:rPr>
                <w:color w:val="000000"/>
              </w:rPr>
            </w:pPr>
            <w:r>
              <w:rPr>
                <w:color w:val="000000"/>
              </w:rPr>
              <w:t>1120</w:t>
            </w:r>
          </w:p>
        </w:tc>
        <w:tc>
          <w:tcPr>
            <w:tcW w:w="1130" w:type="dxa"/>
            <w:vAlign w:val="center"/>
          </w:tcPr>
          <w:p>
            <w:pPr>
              <w:jc w:val="center"/>
            </w:pPr>
            <w:r>
              <w:t>3829</w:t>
            </w:r>
          </w:p>
        </w:tc>
        <w:tc>
          <w:tcPr>
            <w:tcW w:w="1254" w:type="dxa"/>
            <w:vAlign w:val="center"/>
          </w:tcPr>
          <w:p>
            <w:pPr>
              <w:spacing w:line="360" w:lineRule="auto"/>
              <w:jc w:val="center"/>
            </w:pPr>
            <w:r>
              <w:t>1250.5</w:t>
            </w:r>
          </w:p>
        </w:tc>
        <w:tc>
          <w:tcPr>
            <w:tcW w:w="1006" w:type="dxa"/>
            <w:vAlign w:val="center"/>
          </w:tcPr>
          <w:p>
            <w:pPr>
              <w:jc w:val="center"/>
            </w:pPr>
            <w:r>
              <w:t>496</w:t>
            </w:r>
          </w:p>
        </w:tc>
        <w:tc>
          <w:tcPr>
            <w:tcW w:w="1131" w:type="dxa"/>
            <w:vAlign w:val="center"/>
          </w:tcPr>
          <w:p>
            <w:pPr>
              <w:spacing w:line="360" w:lineRule="auto"/>
              <w:jc w:val="center"/>
            </w:pPr>
            <w:r>
              <w:t>0.73</w:t>
            </w:r>
          </w:p>
        </w:tc>
        <w:tc>
          <w:tcPr>
            <w:tcW w:w="1273" w:type="dxa"/>
            <w:vAlign w:val="center"/>
          </w:tcPr>
          <w:p>
            <w:pPr>
              <w:jc w:val="center"/>
            </w:pPr>
            <w:r>
              <w:t>3.16</w:t>
            </w:r>
          </w:p>
        </w:tc>
        <w:tc>
          <w:tcPr>
            <w:tcW w:w="1194" w:type="dxa"/>
            <w:vAlign w:val="center"/>
          </w:tcPr>
          <w:p>
            <w:pPr>
              <w:spacing w:line="360" w:lineRule="auto"/>
              <w:jc w:val="center"/>
              <w:rPr>
                <w:bCs/>
                <w:color w:val="000000"/>
              </w:rPr>
            </w:pPr>
            <w:r>
              <w:rPr>
                <w:bCs/>
                <w:color w:val="000000"/>
              </w:rPr>
              <w:t>0.080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第三次</w:t>
            </w:r>
          </w:p>
        </w:tc>
        <w:tc>
          <w:tcPr>
            <w:tcW w:w="2175" w:type="dxa"/>
            <w:vAlign w:val="center"/>
          </w:tcPr>
          <w:p>
            <w:pPr>
              <w:jc w:val="center"/>
            </w:pPr>
            <w:r>
              <w:t>W2017090106018</w:t>
            </w:r>
          </w:p>
        </w:tc>
        <w:tc>
          <w:tcPr>
            <w:tcW w:w="1380" w:type="dxa"/>
            <w:vAlign w:val="center"/>
          </w:tcPr>
          <w:p>
            <w:pPr>
              <w:jc w:val="center"/>
            </w:pPr>
            <w:r>
              <w:t>8.70</w:t>
            </w:r>
          </w:p>
        </w:tc>
        <w:tc>
          <w:tcPr>
            <w:tcW w:w="1130" w:type="dxa"/>
            <w:vAlign w:val="center"/>
          </w:tcPr>
          <w:p>
            <w:pPr>
              <w:spacing w:line="360" w:lineRule="auto"/>
              <w:jc w:val="center"/>
              <w:rPr>
                <w:color w:val="000000"/>
              </w:rPr>
            </w:pPr>
            <w:r>
              <w:rPr>
                <w:color w:val="000000"/>
              </w:rPr>
              <w:t>1230</w:t>
            </w:r>
          </w:p>
        </w:tc>
        <w:tc>
          <w:tcPr>
            <w:tcW w:w="1130" w:type="dxa"/>
            <w:vAlign w:val="center"/>
          </w:tcPr>
          <w:p>
            <w:pPr>
              <w:jc w:val="center"/>
            </w:pPr>
            <w:r>
              <w:t>3965</w:t>
            </w:r>
          </w:p>
        </w:tc>
        <w:tc>
          <w:tcPr>
            <w:tcW w:w="1254" w:type="dxa"/>
            <w:vAlign w:val="center"/>
          </w:tcPr>
          <w:p>
            <w:pPr>
              <w:spacing w:line="360" w:lineRule="auto"/>
              <w:jc w:val="center"/>
            </w:pPr>
            <w:r>
              <w:t>1425.5</w:t>
            </w:r>
          </w:p>
        </w:tc>
        <w:tc>
          <w:tcPr>
            <w:tcW w:w="1006" w:type="dxa"/>
            <w:vAlign w:val="center"/>
          </w:tcPr>
          <w:p>
            <w:pPr>
              <w:jc w:val="center"/>
            </w:pPr>
            <w:r>
              <w:t>476</w:t>
            </w:r>
          </w:p>
        </w:tc>
        <w:tc>
          <w:tcPr>
            <w:tcW w:w="1131" w:type="dxa"/>
            <w:vAlign w:val="center"/>
          </w:tcPr>
          <w:p>
            <w:pPr>
              <w:spacing w:line="360" w:lineRule="auto"/>
              <w:jc w:val="center"/>
            </w:pPr>
            <w:r>
              <w:t>0.63</w:t>
            </w:r>
          </w:p>
        </w:tc>
        <w:tc>
          <w:tcPr>
            <w:tcW w:w="1273" w:type="dxa"/>
            <w:vAlign w:val="center"/>
          </w:tcPr>
          <w:p>
            <w:pPr>
              <w:jc w:val="center"/>
            </w:pPr>
            <w:r>
              <w:t>2.99</w:t>
            </w:r>
          </w:p>
        </w:tc>
        <w:tc>
          <w:tcPr>
            <w:tcW w:w="1194" w:type="dxa"/>
            <w:vAlign w:val="center"/>
          </w:tcPr>
          <w:p>
            <w:pPr>
              <w:spacing w:line="360" w:lineRule="auto"/>
              <w:jc w:val="center"/>
              <w:rPr>
                <w:bCs/>
                <w:color w:val="000000"/>
              </w:rPr>
            </w:pPr>
            <w:r>
              <w:rPr>
                <w:bCs/>
                <w:color w:val="000000"/>
              </w:rPr>
              <w:t>0.068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3180" w:type="dxa"/>
            <w:gridSpan w:val="2"/>
            <w:vAlign w:val="center"/>
          </w:tcPr>
          <w:p>
            <w:pPr>
              <w:jc w:val="center"/>
            </w:pPr>
            <w:r>
              <w:rPr>
                <w:rFonts w:hint="eastAsia"/>
              </w:rPr>
              <w:t>平均值</w:t>
            </w:r>
          </w:p>
        </w:tc>
        <w:tc>
          <w:tcPr>
            <w:tcW w:w="1380" w:type="dxa"/>
            <w:vAlign w:val="center"/>
          </w:tcPr>
          <w:p>
            <w:pPr>
              <w:jc w:val="center"/>
            </w:pPr>
            <w:r>
              <w:t>8.27~8.82</w:t>
            </w:r>
          </w:p>
        </w:tc>
        <w:tc>
          <w:tcPr>
            <w:tcW w:w="1130" w:type="dxa"/>
            <w:vAlign w:val="center"/>
          </w:tcPr>
          <w:p>
            <w:pPr>
              <w:widowControl/>
              <w:jc w:val="center"/>
              <w:textAlignment w:val="center"/>
              <w:rPr>
                <w:color w:val="FF0000"/>
              </w:rPr>
            </w:pPr>
            <w:r>
              <w:rPr>
                <w:color w:val="000000"/>
                <w:kern w:val="0"/>
              </w:rPr>
              <w:t>1243</w:t>
            </w:r>
          </w:p>
        </w:tc>
        <w:tc>
          <w:tcPr>
            <w:tcW w:w="1130" w:type="dxa"/>
            <w:vAlign w:val="center"/>
          </w:tcPr>
          <w:p>
            <w:pPr>
              <w:widowControl/>
              <w:jc w:val="center"/>
              <w:textAlignment w:val="center"/>
            </w:pPr>
            <w:r>
              <w:rPr>
                <w:color w:val="000000"/>
                <w:kern w:val="0"/>
              </w:rPr>
              <w:t>3948</w:t>
            </w:r>
          </w:p>
        </w:tc>
        <w:tc>
          <w:tcPr>
            <w:tcW w:w="1254" w:type="dxa"/>
            <w:vAlign w:val="center"/>
          </w:tcPr>
          <w:p>
            <w:pPr>
              <w:widowControl/>
              <w:jc w:val="center"/>
              <w:textAlignment w:val="center"/>
            </w:pPr>
            <w:r>
              <w:rPr>
                <w:color w:val="000000"/>
                <w:kern w:val="0"/>
              </w:rPr>
              <w:t>1356</w:t>
            </w:r>
          </w:p>
        </w:tc>
        <w:tc>
          <w:tcPr>
            <w:tcW w:w="1006" w:type="dxa"/>
            <w:vAlign w:val="center"/>
          </w:tcPr>
          <w:p>
            <w:pPr>
              <w:widowControl/>
              <w:jc w:val="center"/>
              <w:textAlignment w:val="center"/>
            </w:pPr>
            <w:r>
              <w:rPr>
                <w:color w:val="000000"/>
                <w:kern w:val="0"/>
              </w:rPr>
              <w:t>486</w:t>
            </w:r>
          </w:p>
        </w:tc>
        <w:tc>
          <w:tcPr>
            <w:tcW w:w="1131" w:type="dxa"/>
            <w:vAlign w:val="center"/>
          </w:tcPr>
          <w:p>
            <w:pPr>
              <w:widowControl/>
              <w:jc w:val="center"/>
              <w:textAlignment w:val="center"/>
            </w:pPr>
            <w:r>
              <w:rPr>
                <w:color w:val="000000"/>
                <w:kern w:val="0"/>
              </w:rPr>
              <w:t>0.67</w:t>
            </w:r>
          </w:p>
        </w:tc>
        <w:tc>
          <w:tcPr>
            <w:tcW w:w="1273" w:type="dxa"/>
            <w:vAlign w:val="center"/>
          </w:tcPr>
          <w:p>
            <w:pPr>
              <w:widowControl/>
              <w:jc w:val="center"/>
              <w:textAlignment w:val="center"/>
            </w:pPr>
            <w:r>
              <w:rPr>
                <w:color w:val="000000"/>
                <w:kern w:val="0"/>
              </w:rPr>
              <w:t>3.11</w:t>
            </w:r>
          </w:p>
        </w:tc>
        <w:tc>
          <w:tcPr>
            <w:tcW w:w="1194" w:type="dxa"/>
            <w:vAlign w:val="center"/>
          </w:tcPr>
          <w:p>
            <w:pPr>
              <w:widowControl/>
              <w:jc w:val="center"/>
              <w:textAlignment w:val="center"/>
              <w:rPr>
                <w:bCs/>
                <w:color w:val="000000"/>
              </w:rPr>
            </w:pPr>
            <w:r>
              <w:rPr>
                <w:color w:val="000000"/>
                <w:kern w:val="0"/>
              </w:rPr>
              <w:t>0.072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5" w:hRule="exact"/>
          <w:jc w:val="center"/>
        </w:trPr>
        <w:tc>
          <w:tcPr>
            <w:tcW w:w="15123" w:type="dxa"/>
            <w:gridSpan w:val="12"/>
            <w:vAlign w:val="center"/>
          </w:tcPr>
          <w:p>
            <w:pPr>
              <w:jc w:val="center"/>
              <w:rPr>
                <w:bCs/>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jc w:val="center"/>
            </w:pPr>
            <w:r>
              <w:rPr>
                <w:rFonts w:hint="eastAsia"/>
              </w:rPr>
              <w:t>厂区污水排放口</w:t>
            </w:r>
          </w:p>
        </w:tc>
        <w:tc>
          <w:tcPr>
            <w:tcW w:w="480" w:type="dxa"/>
            <w:vMerge w:val="restart"/>
            <w:vAlign w:val="center"/>
          </w:tcPr>
          <w:p>
            <w:pPr>
              <w:jc w:val="center"/>
            </w:pPr>
            <w:r>
              <w:t>09</w:t>
            </w:r>
            <w:r>
              <w:rPr>
                <w:rFonts w:hint="eastAsia"/>
              </w:rPr>
              <w:t>月</w:t>
            </w:r>
          </w:p>
          <w:p>
            <w:pPr>
              <w:jc w:val="center"/>
            </w:pPr>
            <w:r>
              <w:t>05</w:t>
            </w:r>
            <w:r>
              <w:rPr>
                <w:rFonts w:hint="eastAsia"/>
              </w:rPr>
              <w:t>日</w:t>
            </w:r>
          </w:p>
        </w:tc>
        <w:tc>
          <w:tcPr>
            <w:tcW w:w="1005" w:type="dxa"/>
            <w:vAlign w:val="center"/>
          </w:tcPr>
          <w:p>
            <w:pPr>
              <w:jc w:val="center"/>
            </w:pPr>
            <w:r>
              <w:rPr>
                <w:rFonts w:hint="eastAsia"/>
              </w:rPr>
              <w:t>第一次</w:t>
            </w:r>
          </w:p>
        </w:tc>
        <w:tc>
          <w:tcPr>
            <w:tcW w:w="2175" w:type="dxa"/>
            <w:vAlign w:val="center"/>
          </w:tcPr>
          <w:p>
            <w:pPr>
              <w:jc w:val="center"/>
            </w:pPr>
            <w:r>
              <w:t>W2017090106004</w:t>
            </w:r>
          </w:p>
        </w:tc>
        <w:tc>
          <w:tcPr>
            <w:tcW w:w="1380" w:type="dxa"/>
            <w:vAlign w:val="center"/>
          </w:tcPr>
          <w:p>
            <w:pPr>
              <w:jc w:val="center"/>
            </w:pPr>
            <w:r>
              <w:t>7.88</w:t>
            </w:r>
          </w:p>
        </w:tc>
        <w:tc>
          <w:tcPr>
            <w:tcW w:w="1130" w:type="dxa"/>
            <w:vAlign w:val="center"/>
          </w:tcPr>
          <w:p>
            <w:pPr>
              <w:spacing w:line="360" w:lineRule="auto"/>
              <w:jc w:val="center"/>
            </w:pPr>
            <w:r>
              <w:t>22</w:t>
            </w:r>
          </w:p>
        </w:tc>
        <w:tc>
          <w:tcPr>
            <w:tcW w:w="1130" w:type="dxa"/>
            <w:vAlign w:val="center"/>
          </w:tcPr>
          <w:p>
            <w:pPr>
              <w:jc w:val="center"/>
            </w:pPr>
            <w:r>
              <w:t>36.7</w:t>
            </w:r>
          </w:p>
        </w:tc>
        <w:tc>
          <w:tcPr>
            <w:tcW w:w="1254" w:type="dxa"/>
            <w:vAlign w:val="center"/>
          </w:tcPr>
          <w:p>
            <w:pPr>
              <w:spacing w:line="360" w:lineRule="auto"/>
              <w:jc w:val="center"/>
            </w:pPr>
            <w:r>
              <w:t>12.3</w:t>
            </w:r>
          </w:p>
        </w:tc>
        <w:tc>
          <w:tcPr>
            <w:tcW w:w="1006" w:type="dxa"/>
            <w:vAlign w:val="center"/>
          </w:tcPr>
          <w:p>
            <w:pPr>
              <w:jc w:val="center"/>
            </w:pPr>
            <w:r>
              <w:t>1.83</w:t>
            </w:r>
          </w:p>
        </w:tc>
        <w:tc>
          <w:tcPr>
            <w:tcW w:w="1131" w:type="dxa"/>
            <w:vAlign w:val="center"/>
          </w:tcPr>
          <w:p>
            <w:pPr>
              <w:spacing w:line="360" w:lineRule="auto"/>
              <w:jc w:val="center"/>
            </w:pPr>
            <w:r>
              <w:t>&lt;0.01</w:t>
            </w:r>
          </w:p>
        </w:tc>
        <w:tc>
          <w:tcPr>
            <w:tcW w:w="1273" w:type="dxa"/>
            <w:vAlign w:val="center"/>
          </w:tcPr>
          <w:p>
            <w:pPr>
              <w:jc w:val="center"/>
            </w:pPr>
            <w:r>
              <w:t>1.95</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第二次</w:t>
            </w:r>
          </w:p>
        </w:tc>
        <w:tc>
          <w:tcPr>
            <w:tcW w:w="2175" w:type="dxa"/>
            <w:vAlign w:val="center"/>
          </w:tcPr>
          <w:p>
            <w:pPr>
              <w:jc w:val="center"/>
            </w:pPr>
            <w:r>
              <w:t>W2017090106005</w:t>
            </w:r>
          </w:p>
        </w:tc>
        <w:tc>
          <w:tcPr>
            <w:tcW w:w="1380" w:type="dxa"/>
            <w:vAlign w:val="center"/>
          </w:tcPr>
          <w:p>
            <w:pPr>
              <w:jc w:val="center"/>
            </w:pPr>
            <w:r>
              <w:t>7.83</w:t>
            </w:r>
          </w:p>
        </w:tc>
        <w:tc>
          <w:tcPr>
            <w:tcW w:w="1130" w:type="dxa"/>
            <w:vAlign w:val="center"/>
          </w:tcPr>
          <w:p>
            <w:pPr>
              <w:spacing w:line="360" w:lineRule="auto"/>
              <w:jc w:val="center"/>
            </w:pPr>
            <w:r>
              <w:t>32</w:t>
            </w:r>
          </w:p>
        </w:tc>
        <w:tc>
          <w:tcPr>
            <w:tcW w:w="1130" w:type="dxa"/>
            <w:vAlign w:val="center"/>
          </w:tcPr>
          <w:p>
            <w:pPr>
              <w:jc w:val="center"/>
            </w:pPr>
            <w:r>
              <w:t>37.9</w:t>
            </w:r>
          </w:p>
        </w:tc>
        <w:tc>
          <w:tcPr>
            <w:tcW w:w="1254" w:type="dxa"/>
            <w:vAlign w:val="center"/>
          </w:tcPr>
          <w:p>
            <w:pPr>
              <w:spacing w:line="360" w:lineRule="auto"/>
              <w:jc w:val="center"/>
            </w:pPr>
            <w:r>
              <w:t>12.8</w:t>
            </w:r>
          </w:p>
        </w:tc>
        <w:tc>
          <w:tcPr>
            <w:tcW w:w="1006" w:type="dxa"/>
            <w:vAlign w:val="center"/>
          </w:tcPr>
          <w:p>
            <w:pPr>
              <w:jc w:val="center"/>
            </w:pPr>
            <w:r>
              <w:t>1.72</w:t>
            </w:r>
          </w:p>
        </w:tc>
        <w:tc>
          <w:tcPr>
            <w:tcW w:w="1131" w:type="dxa"/>
            <w:vAlign w:val="center"/>
          </w:tcPr>
          <w:p>
            <w:pPr>
              <w:spacing w:line="360" w:lineRule="auto"/>
              <w:jc w:val="center"/>
            </w:pPr>
            <w:r>
              <w:t>&lt;0.01</w:t>
            </w:r>
          </w:p>
        </w:tc>
        <w:tc>
          <w:tcPr>
            <w:tcW w:w="1273" w:type="dxa"/>
            <w:vAlign w:val="center"/>
          </w:tcPr>
          <w:p>
            <w:pPr>
              <w:jc w:val="center"/>
            </w:pPr>
            <w:r>
              <w:t>2.08</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第三次</w:t>
            </w:r>
          </w:p>
        </w:tc>
        <w:tc>
          <w:tcPr>
            <w:tcW w:w="2175" w:type="dxa"/>
            <w:vAlign w:val="center"/>
          </w:tcPr>
          <w:p>
            <w:pPr>
              <w:jc w:val="center"/>
            </w:pPr>
            <w:r>
              <w:t>W2017090106006</w:t>
            </w:r>
          </w:p>
        </w:tc>
        <w:tc>
          <w:tcPr>
            <w:tcW w:w="1380" w:type="dxa"/>
            <w:vAlign w:val="center"/>
          </w:tcPr>
          <w:p>
            <w:pPr>
              <w:jc w:val="center"/>
            </w:pPr>
            <w:r>
              <w:t>7.79</w:t>
            </w:r>
          </w:p>
        </w:tc>
        <w:tc>
          <w:tcPr>
            <w:tcW w:w="1130" w:type="dxa"/>
            <w:vAlign w:val="center"/>
          </w:tcPr>
          <w:p>
            <w:pPr>
              <w:spacing w:line="360" w:lineRule="auto"/>
              <w:jc w:val="center"/>
            </w:pPr>
            <w:r>
              <w:t>26</w:t>
            </w:r>
          </w:p>
        </w:tc>
        <w:tc>
          <w:tcPr>
            <w:tcW w:w="1130" w:type="dxa"/>
            <w:vAlign w:val="center"/>
          </w:tcPr>
          <w:p>
            <w:pPr>
              <w:jc w:val="center"/>
            </w:pPr>
            <w:r>
              <w:t>33.7</w:t>
            </w:r>
          </w:p>
        </w:tc>
        <w:tc>
          <w:tcPr>
            <w:tcW w:w="1254" w:type="dxa"/>
            <w:vAlign w:val="center"/>
          </w:tcPr>
          <w:p>
            <w:pPr>
              <w:spacing w:line="360" w:lineRule="auto"/>
              <w:jc w:val="center"/>
            </w:pPr>
            <w:r>
              <w:t>12.4</w:t>
            </w:r>
          </w:p>
        </w:tc>
        <w:tc>
          <w:tcPr>
            <w:tcW w:w="1006" w:type="dxa"/>
            <w:vAlign w:val="center"/>
          </w:tcPr>
          <w:p>
            <w:pPr>
              <w:jc w:val="center"/>
            </w:pPr>
            <w:r>
              <w:t>1.46</w:t>
            </w:r>
          </w:p>
        </w:tc>
        <w:tc>
          <w:tcPr>
            <w:tcW w:w="1131" w:type="dxa"/>
            <w:vAlign w:val="center"/>
          </w:tcPr>
          <w:p>
            <w:pPr>
              <w:spacing w:line="360" w:lineRule="auto"/>
              <w:jc w:val="center"/>
            </w:pPr>
            <w:r>
              <w:t>&lt;0.01</w:t>
            </w:r>
          </w:p>
        </w:tc>
        <w:tc>
          <w:tcPr>
            <w:tcW w:w="1273" w:type="dxa"/>
            <w:vAlign w:val="center"/>
          </w:tcPr>
          <w:p>
            <w:pPr>
              <w:jc w:val="center"/>
            </w:pPr>
            <w:r>
              <w:t>2.28</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3180" w:type="dxa"/>
            <w:gridSpan w:val="2"/>
            <w:vAlign w:val="center"/>
          </w:tcPr>
          <w:p>
            <w:pPr>
              <w:jc w:val="center"/>
            </w:pPr>
            <w:r>
              <w:rPr>
                <w:rFonts w:hint="eastAsia"/>
              </w:rPr>
              <w:t>平均值</w:t>
            </w:r>
          </w:p>
        </w:tc>
        <w:tc>
          <w:tcPr>
            <w:tcW w:w="1380" w:type="dxa"/>
            <w:vAlign w:val="center"/>
          </w:tcPr>
          <w:p>
            <w:pPr>
              <w:jc w:val="center"/>
            </w:pPr>
            <w:r>
              <w:t>7.79~7.88</w:t>
            </w:r>
          </w:p>
        </w:tc>
        <w:tc>
          <w:tcPr>
            <w:tcW w:w="1130" w:type="dxa"/>
            <w:vAlign w:val="center"/>
          </w:tcPr>
          <w:p>
            <w:pPr>
              <w:widowControl/>
              <w:jc w:val="center"/>
              <w:textAlignment w:val="center"/>
            </w:pPr>
            <w:r>
              <w:rPr>
                <w:color w:val="000000"/>
                <w:kern w:val="0"/>
              </w:rPr>
              <w:t>27</w:t>
            </w:r>
          </w:p>
        </w:tc>
        <w:tc>
          <w:tcPr>
            <w:tcW w:w="1130" w:type="dxa"/>
            <w:vAlign w:val="center"/>
          </w:tcPr>
          <w:p>
            <w:pPr>
              <w:widowControl/>
              <w:jc w:val="center"/>
              <w:textAlignment w:val="center"/>
            </w:pPr>
            <w:r>
              <w:rPr>
                <w:color w:val="000000"/>
                <w:kern w:val="0"/>
              </w:rPr>
              <w:t>36.1</w:t>
            </w:r>
          </w:p>
        </w:tc>
        <w:tc>
          <w:tcPr>
            <w:tcW w:w="1254" w:type="dxa"/>
            <w:vAlign w:val="center"/>
          </w:tcPr>
          <w:p>
            <w:pPr>
              <w:widowControl/>
              <w:jc w:val="center"/>
              <w:textAlignment w:val="center"/>
            </w:pPr>
            <w:r>
              <w:rPr>
                <w:color w:val="000000"/>
                <w:kern w:val="0"/>
              </w:rPr>
              <w:t>12.5</w:t>
            </w:r>
          </w:p>
        </w:tc>
        <w:tc>
          <w:tcPr>
            <w:tcW w:w="1006" w:type="dxa"/>
            <w:vAlign w:val="center"/>
          </w:tcPr>
          <w:p>
            <w:pPr>
              <w:widowControl/>
              <w:jc w:val="center"/>
              <w:textAlignment w:val="center"/>
            </w:pPr>
            <w:r>
              <w:rPr>
                <w:color w:val="000000"/>
                <w:kern w:val="0"/>
              </w:rPr>
              <w:t>1.67</w:t>
            </w:r>
          </w:p>
        </w:tc>
        <w:tc>
          <w:tcPr>
            <w:tcW w:w="1131" w:type="dxa"/>
            <w:vAlign w:val="center"/>
          </w:tcPr>
          <w:p>
            <w:pPr>
              <w:widowControl/>
              <w:jc w:val="center"/>
              <w:textAlignment w:val="center"/>
            </w:pPr>
            <w:r>
              <w:t>&lt;0.01</w:t>
            </w:r>
          </w:p>
        </w:tc>
        <w:tc>
          <w:tcPr>
            <w:tcW w:w="1273" w:type="dxa"/>
            <w:vAlign w:val="center"/>
          </w:tcPr>
          <w:p>
            <w:pPr>
              <w:widowControl/>
              <w:jc w:val="center"/>
              <w:textAlignment w:val="center"/>
            </w:pPr>
            <w:r>
              <w:t>2.10</w:t>
            </w:r>
          </w:p>
        </w:tc>
        <w:tc>
          <w:tcPr>
            <w:tcW w:w="1194" w:type="dxa"/>
            <w:vAlign w:val="center"/>
          </w:tcPr>
          <w:p>
            <w:pPr>
              <w:widowControl/>
              <w:jc w:val="center"/>
              <w:textAlignment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5625" w:type="dxa"/>
            <w:gridSpan w:val="4"/>
            <w:vAlign w:val="center"/>
          </w:tcPr>
          <w:p>
            <w:pPr>
              <w:jc w:val="center"/>
            </w:pPr>
            <w:r>
              <w:rPr>
                <w:rFonts w:hint="eastAsia"/>
              </w:rPr>
              <w:t>排放限值</w:t>
            </w:r>
          </w:p>
        </w:tc>
        <w:tc>
          <w:tcPr>
            <w:tcW w:w="1380" w:type="dxa"/>
            <w:vAlign w:val="center"/>
          </w:tcPr>
          <w:p>
            <w:pPr>
              <w:jc w:val="center"/>
            </w:pPr>
            <w:r>
              <w:t>6~9</w:t>
            </w:r>
          </w:p>
        </w:tc>
        <w:tc>
          <w:tcPr>
            <w:tcW w:w="1130" w:type="dxa"/>
            <w:vAlign w:val="center"/>
          </w:tcPr>
          <w:p>
            <w:pPr>
              <w:spacing w:line="360" w:lineRule="auto"/>
              <w:jc w:val="center"/>
            </w:pPr>
            <w:r>
              <w:t>60</w:t>
            </w:r>
          </w:p>
        </w:tc>
        <w:tc>
          <w:tcPr>
            <w:tcW w:w="1130" w:type="dxa"/>
            <w:vAlign w:val="center"/>
          </w:tcPr>
          <w:p>
            <w:pPr>
              <w:jc w:val="center"/>
            </w:pPr>
            <w:r>
              <w:t>90</w:t>
            </w:r>
          </w:p>
        </w:tc>
        <w:tc>
          <w:tcPr>
            <w:tcW w:w="1254" w:type="dxa"/>
            <w:vAlign w:val="center"/>
          </w:tcPr>
          <w:p>
            <w:pPr>
              <w:jc w:val="center"/>
            </w:pPr>
            <w:r>
              <w:t>20</w:t>
            </w:r>
          </w:p>
        </w:tc>
        <w:tc>
          <w:tcPr>
            <w:tcW w:w="1006" w:type="dxa"/>
            <w:vAlign w:val="center"/>
          </w:tcPr>
          <w:p>
            <w:pPr>
              <w:jc w:val="center"/>
            </w:pPr>
            <w:r>
              <w:t>10</w:t>
            </w:r>
          </w:p>
        </w:tc>
        <w:tc>
          <w:tcPr>
            <w:tcW w:w="1131" w:type="dxa"/>
            <w:vAlign w:val="center"/>
          </w:tcPr>
          <w:p>
            <w:pPr>
              <w:jc w:val="center"/>
            </w:pPr>
            <w:r>
              <w:t>0.5</w:t>
            </w:r>
          </w:p>
        </w:tc>
        <w:tc>
          <w:tcPr>
            <w:tcW w:w="1273" w:type="dxa"/>
            <w:vAlign w:val="center"/>
          </w:tcPr>
          <w:p>
            <w:pPr>
              <w:jc w:val="center"/>
            </w:pPr>
            <w:r>
              <w:t>10</w:t>
            </w:r>
          </w:p>
        </w:tc>
        <w:tc>
          <w:tcPr>
            <w:tcW w:w="1194" w:type="dxa"/>
            <w:vAlign w:val="center"/>
          </w:tcPr>
          <w:p>
            <w:pPr>
              <w:jc w:val="center"/>
              <w:rPr>
                <w:bCs/>
                <w:color w:val="000000"/>
              </w:rPr>
            </w:pPr>
            <w:r>
              <w:rPr>
                <w:bCs/>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5625" w:type="dxa"/>
            <w:gridSpan w:val="4"/>
            <w:vAlign w:val="center"/>
          </w:tcPr>
          <w:p>
            <w:pPr>
              <w:jc w:val="center"/>
            </w:pPr>
            <w:r>
              <w:rPr>
                <w:rFonts w:hint="eastAsia"/>
              </w:rPr>
              <w:t>达标情况</w:t>
            </w:r>
          </w:p>
        </w:tc>
        <w:tc>
          <w:tcPr>
            <w:tcW w:w="1380" w:type="dxa"/>
            <w:vAlign w:val="center"/>
          </w:tcPr>
          <w:p>
            <w:pPr>
              <w:jc w:val="center"/>
            </w:pPr>
            <w:r>
              <w:rPr>
                <w:rFonts w:hint="eastAsia"/>
                <w:bCs/>
                <w:color w:val="000000"/>
              </w:rPr>
              <w:t>达标</w:t>
            </w:r>
          </w:p>
        </w:tc>
        <w:tc>
          <w:tcPr>
            <w:tcW w:w="1130" w:type="dxa"/>
            <w:vAlign w:val="center"/>
          </w:tcPr>
          <w:p>
            <w:pPr>
              <w:jc w:val="center"/>
            </w:pPr>
            <w:r>
              <w:rPr>
                <w:rFonts w:hint="eastAsia"/>
                <w:bCs/>
                <w:color w:val="000000"/>
              </w:rPr>
              <w:t>达标</w:t>
            </w:r>
          </w:p>
        </w:tc>
        <w:tc>
          <w:tcPr>
            <w:tcW w:w="1130" w:type="dxa"/>
            <w:vAlign w:val="center"/>
          </w:tcPr>
          <w:p>
            <w:pPr>
              <w:jc w:val="center"/>
            </w:pPr>
            <w:r>
              <w:rPr>
                <w:rFonts w:hint="eastAsia"/>
                <w:bCs/>
                <w:color w:val="000000"/>
              </w:rPr>
              <w:t>达标</w:t>
            </w:r>
          </w:p>
        </w:tc>
        <w:tc>
          <w:tcPr>
            <w:tcW w:w="1254" w:type="dxa"/>
            <w:vAlign w:val="center"/>
          </w:tcPr>
          <w:p>
            <w:pPr>
              <w:jc w:val="center"/>
            </w:pPr>
            <w:r>
              <w:rPr>
                <w:rFonts w:hint="eastAsia"/>
                <w:bCs/>
                <w:color w:val="000000"/>
              </w:rPr>
              <w:t>达标</w:t>
            </w:r>
          </w:p>
        </w:tc>
        <w:tc>
          <w:tcPr>
            <w:tcW w:w="1006" w:type="dxa"/>
            <w:vAlign w:val="center"/>
          </w:tcPr>
          <w:p>
            <w:pPr>
              <w:jc w:val="center"/>
            </w:pPr>
            <w:r>
              <w:rPr>
                <w:rFonts w:hint="eastAsia"/>
                <w:bCs/>
                <w:color w:val="000000"/>
              </w:rPr>
              <w:t>达标</w:t>
            </w:r>
          </w:p>
        </w:tc>
        <w:tc>
          <w:tcPr>
            <w:tcW w:w="1131" w:type="dxa"/>
            <w:vAlign w:val="center"/>
          </w:tcPr>
          <w:p>
            <w:pPr>
              <w:jc w:val="center"/>
            </w:pPr>
            <w:r>
              <w:rPr>
                <w:rFonts w:hint="eastAsia"/>
                <w:bCs/>
                <w:color w:val="000000"/>
              </w:rPr>
              <w:t>达标</w:t>
            </w:r>
          </w:p>
        </w:tc>
        <w:tc>
          <w:tcPr>
            <w:tcW w:w="1273" w:type="dxa"/>
            <w:vAlign w:val="center"/>
          </w:tcPr>
          <w:p>
            <w:pPr>
              <w:jc w:val="center"/>
            </w:pPr>
            <w:r>
              <w:rPr>
                <w:rFonts w:hint="eastAsia"/>
                <w:bCs/>
                <w:color w:val="000000"/>
              </w:rPr>
              <w:t>达标</w:t>
            </w:r>
          </w:p>
        </w:tc>
        <w:tc>
          <w:tcPr>
            <w:tcW w:w="1194" w:type="dxa"/>
            <w:vAlign w:val="center"/>
          </w:tcPr>
          <w:p>
            <w:pPr>
              <w:jc w:val="center"/>
              <w:rPr>
                <w:bCs/>
                <w:color w:val="000000"/>
              </w:rPr>
            </w:pPr>
            <w:r>
              <w:rPr>
                <w:rFonts w:hint="eastAsia"/>
                <w:bCs/>
                <w:color w:val="000000"/>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010" w:hRule="exact"/>
          <w:jc w:val="center"/>
        </w:trPr>
        <w:tc>
          <w:tcPr>
            <w:tcW w:w="15123" w:type="dxa"/>
            <w:gridSpan w:val="12"/>
          </w:tcPr>
          <w:p>
            <w:pPr>
              <w:rPr>
                <w:bCs/>
                <w:szCs w:val="21"/>
              </w:rPr>
            </w:pPr>
            <w:r>
              <w:rPr>
                <w:rFonts w:hint="eastAsia"/>
                <w:bCs/>
                <w:szCs w:val="21"/>
              </w:rPr>
              <w:t>备注：</w:t>
            </w:r>
            <w:r>
              <w:rPr>
                <w:bCs/>
                <w:szCs w:val="21"/>
              </w:rPr>
              <w:t>1.</w:t>
            </w:r>
            <w:r>
              <w:rPr>
                <w:rFonts w:hint="eastAsia"/>
                <w:bCs/>
                <w:szCs w:val="21"/>
              </w:rPr>
              <w:t>本结果只对当时采集的样品负责。</w:t>
            </w:r>
          </w:p>
          <w:p>
            <w:pPr>
              <w:rPr>
                <w:szCs w:val="28"/>
              </w:rPr>
            </w:pPr>
            <w:r>
              <w:rPr>
                <w:color w:val="000000"/>
                <w:szCs w:val="21"/>
              </w:rPr>
              <w:t xml:space="preserve">      2.</w:t>
            </w:r>
            <w:r>
              <w:rPr>
                <w:rFonts w:hint="eastAsia"/>
                <w:color w:val="000000"/>
                <w:szCs w:val="21"/>
              </w:rPr>
              <w:t>废水排放</w:t>
            </w:r>
            <w:r>
              <w:rPr>
                <w:rFonts w:hint="eastAsia"/>
                <w:bCs/>
                <w:szCs w:val="21"/>
              </w:rPr>
              <w:t>执行</w:t>
            </w:r>
            <w:r>
              <w:rPr>
                <w:rFonts w:hint="eastAsia"/>
                <w:szCs w:val="28"/>
              </w:rPr>
              <w:t>广东省地方标准《水污染物排放限值》（</w:t>
            </w:r>
            <w:r>
              <w:rPr>
                <w:szCs w:val="28"/>
              </w:rPr>
              <w:t>DB 44/26-2001</w:t>
            </w:r>
            <w:r>
              <w:rPr>
                <w:rFonts w:hint="eastAsia"/>
                <w:szCs w:val="28"/>
              </w:rPr>
              <w:t>）第二时段一级标准。</w:t>
            </w:r>
          </w:p>
        </w:tc>
      </w:tr>
    </w:tbl>
    <w:p>
      <w:pPr>
        <w:spacing w:beforeLines="50"/>
        <w:rPr>
          <w:rFonts w:ascii="宋体"/>
          <w:b/>
        </w:rPr>
      </w:pPr>
    </w:p>
    <w:p>
      <w:pPr>
        <w:spacing w:beforeLines="50"/>
        <w:jc w:val="center"/>
        <w:rPr>
          <w:rFonts w:ascii="??_GB2312" w:hAnsi="宋体"/>
        </w:rPr>
      </w:pPr>
      <w:r>
        <w:rPr>
          <w:rFonts w:hint="eastAsia" w:ascii="宋体" w:hAnsi="宋体"/>
          <w:b/>
        </w:rPr>
        <w:t>续表</w:t>
      </w:r>
      <w:r>
        <w:rPr>
          <w:rFonts w:ascii="宋体" w:hAnsi="宋体"/>
          <w:b/>
        </w:rPr>
        <w:t xml:space="preserve">9-2      </w:t>
      </w:r>
      <w:r>
        <w:rPr>
          <w:rFonts w:hint="eastAsia" w:ascii="宋体" w:hAnsi="宋体"/>
          <w:b/>
        </w:rPr>
        <w:t>污水监测结果</w:t>
      </w:r>
      <w:r>
        <w:rPr>
          <w:rFonts w:ascii="宋体" w:hAnsi="宋体"/>
          <w:b/>
        </w:rPr>
        <w:t xml:space="preserve">   </w:t>
      </w:r>
      <w:r>
        <w:rPr>
          <w:rFonts w:hint="eastAsia" w:ascii="宋体" w:hAnsi="宋体"/>
          <w:b/>
        </w:rPr>
        <w:t>（单位：</w:t>
      </w:r>
      <w:r>
        <w:rPr>
          <w:rFonts w:ascii="宋体" w:hAnsi="宋体"/>
          <w:b/>
        </w:rPr>
        <w:t>mg/L,pH</w:t>
      </w:r>
      <w:r>
        <w:rPr>
          <w:rFonts w:hint="eastAsia" w:ascii="宋体" w:hAnsi="宋体"/>
          <w:b/>
        </w:rPr>
        <w:t>除外）</w:t>
      </w:r>
    </w:p>
    <w:tbl>
      <w:tblPr>
        <w:tblStyle w:val="47"/>
        <w:tblW w:w="15123" w:type="dxa"/>
        <w:jc w:val="center"/>
        <w:tblInd w:w="-11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65"/>
        <w:gridCol w:w="480"/>
        <w:gridCol w:w="1005"/>
        <w:gridCol w:w="2175"/>
        <w:gridCol w:w="1380"/>
        <w:gridCol w:w="1130"/>
        <w:gridCol w:w="1130"/>
        <w:gridCol w:w="1254"/>
        <w:gridCol w:w="1006"/>
        <w:gridCol w:w="1131"/>
        <w:gridCol w:w="1273"/>
        <w:gridCol w:w="1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spacing w:line="360" w:lineRule="auto"/>
              <w:jc w:val="center"/>
              <w:rPr>
                <w:b/>
              </w:rPr>
            </w:pPr>
            <w:r>
              <w:rPr>
                <w:rFonts w:hint="eastAsia"/>
                <w:b/>
              </w:rPr>
              <w:t>采样点位置</w:t>
            </w:r>
          </w:p>
        </w:tc>
        <w:tc>
          <w:tcPr>
            <w:tcW w:w="1485" w:type="dxa"/>
            <w:gridSpan w:val="2"/>
            <w:vMerge w:val="restart"/>
            <w:vAlign w:val="center"/>
          </w:tcPr>
          <w:p>
            <w:pPr>
              <w:spacing w:line="360" w:lineRule="auto"/>
              <w:jc w:val="center"/>
              <w:rPr>
                <w:b/>
              </w:rPr>
            </w:pPr>
            <w:r>
              <w:rPr>
                <w:rFonts w:hint="eastAsia"/>
                <w:b/>
              </w:rPr>
              <w:t>采样时间</w:t>
            </w:r>
          </w:p>
        </w:tc>
        <w:tc>
          <w:tcPr>
            <w:tcW w:w="2175" w:type="dxa"/>
            <w:vMerge w:val="restart"/>
            <w:vAlign w:val="center"/>
          </w:tcPr>
          <w:p>
            <w:pPr>
              <w:jc w:val="center"/>
              <w:rPr>
                <w:b/>
              </w:rPr>
            </w:pPr>
            <w:r>
              <w:rPr>
                <w:rFonts w:hint="eastAsia"/>
                <w:b/>
              </w:rPr>
              <w:t>样品编号</w:t>
            </w:r>
          </w:p>
        </w:tc>
        <w:tc>
          <w:tcPr>
            <w:tcW w:w="9498" w:type="dxa"/>
            <w:gridSpan w:val="8"/>
            <w:vAlign w:val="center"/>
          </w:tcPr>
          <w:p>
            <w:pPr>
              <w:jc w:val="center"/>
              <w:rPr>
                <w:b/>
              </w:rPr>
            </w:pPr>
            <w:r>
              <w:rPr>
                <w:rFonts w:hint="eastAsia"/>
                <w:b/>
                <w:bCs/>
              </w:rPr>
              <w:t>检测结果（单位：</w:t>
            </w:r>
            <w:r>
              <w:rPr>
                <w:b/>
                <w:bCs/>
              </w:rPr>
              <w:t>mg/L</w:t>
            </w:r>
            <w:r>
              <w:rPr>
                <w:rFonts w:hint="eastAsia"/>
                <w:b/>
                <w:bCs/>
              </w:rPr>
              <w:t>；</w:t>
            </w:r>
            <w:r>
              <w:rPr>
                <w:b/>
                <w:bCs/>
              </w:rPr>
              <w:t>pH</w:t>
            </w:r>
            <w:r>
              <w:rPr>
                <w:rFonts w:hint="eastAsia"/>
                <w:b/>
                <w:bCs/>
              </w:rPr>
              <w:t>值无量纲）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80" w:hRule="exact"/>
          <w:jc w:val="center"/>
        </w:trPr>
        <w:tc>
          <w:tcPr>
            <w:tcW w:w="1965" w:type="dxa"/>
            <w:vMerge w:val="continue"/>
            <w:vAlign w:val="center"/>
          </w:tcPr>
          <w:p>
            <w:pPr>
              <w:jc w:val="center"/>
            </w:pPr>
          </w:p>
        </w:tc>
        <w:tc>
          <w:tcPr>
            <w:tcW w:w="1485" w:type="dxa"/>
            <w:gridSpan w:val="2"/>
            <w:vMerge w:val="continue"/>
            <w:vAlign w:val="center"/>
          </w:tcPr>
          <w:p>
            <w:pPr>
              <w:jc w:val="center"/>
            </w:pPr>
          </w:p>
        </w:tc>
        <w:tc>
          <w:tcPr>
            <w:tcW w:w="2175" w:type="dxa"/>
            <w:vMerge w:val="continue"/>
            <w:vAlign w:val="center"/>
          </w:tcPr>
          <w:p>
            <w:pPr>
              <w:jc w:val="center"/>
            </w:pPr>
          </w:p>
        </w:tc>
        <w:tc>
          <w:tcPr>
            <w:tcW w:w="1380" w:type="dxa"/>
            <w:vAlign w:val="center"/>
          </w:tcPr>
          <w:p>
            <w:pPr>
              <w:jc w:val="center"/>
              <w:rPr>
                <w:bCs/>
              </w:rPr>
            </w:pPr>
            <w:r>
              <w:rPr>
                <w:bCs/>
              </w:rPr>
              <w:t>pH</w:t>
            </w:r>
            <w:r>
              <w:rPr>
                <w:rFonts w:hint="eastAsia"/>
                <w:bCs/>
              </w:rPr>
              <w:t>值</w:t>
            </w:r>
          </w:p>
          <w:p>
            <w:pPr>
              <w:jc w:val="center"/>
              <w:rPr>
                <w:bCs/>
              </w:rPr>
            </w:pPr>
            <w:r>
              <w:rPr>
                <w:rFonts w:hint="eastAsia"/>
                <w:bCs/>
              </w:rPr>
              <w:t>（无量纲）</w:t>
            </w:r>
          </w:p>
        </w:tc>
        <w:tc>
          <w:tcPr>
            <w:tcW w:w="1130" w:type="dxa"/>
            <w:vAlign w:val="center"/>
          </w:tcPr>
          <w:p>
            <w:pPr>
              <w:spacing w:line="360" w:lineRule="auto"/>
              <w:jc w:val="center"/>
              <w:rPr>
                <w:bCs/>
              </w:rPr>
            </w:pPr>
            <w:r>
              <w:rPr>
                <w:rFonts w:hint="eastAsia"/>
                <w:bCs/>
              </w:rPr>
              <w:t>悬浮物</w:t>
            </w:r>
          </w:p>
        </w:tc>
        <w:tc>
          <w:tcPr>
            <w:tcW w:w="1130" w:type="dxa"/>
            <w:vAlign w:val="center"/>
          </w:tcPr>
          <w:p>
            <w:pPr>
              <w:jc w:val="center"/>
              <w:rPr>
                <w:bCs/>
              </w:rPr>
            </w:pPr>
            <w:r>
              <w:rPr>
                <w:rFonts w:hint="eastAsia"/>
                <w:bCs/>
              </w:rPr>
              <w:t>化学需氧量</w:t>
            </w:r>
          </w:p>
        </w:tc>
        <w:tc>
          <w:tcPr>
            <w:tcW w:w="1254" w:type="dxa"/>
            <w:vAlign w:val="center"/>
          </w:tcPr>
          <w:p>
            <w:pPr>
              <w:jc w:val="center"/>
              <w:rPr>
                <w:bCs/>
              </w:rPr>
            </w:pPr>
            <w:r>
              <w:rPr>
                <w:rFonts w:hint="eastAsia"/>
                <w:bCs/>
              </w:rPr>
              <w:t>五日生化需氧量</w:t>
            </w:r>
          </w:p>
        </w:tc>
        <w:tc>
          <w:tcPr>
            <w:tcW w:w="1006" w:type="dxa"/>
            <w:vAlign w:val="center"/>
          </w:tcPr>
          <w:p>
            <w:pPr>
              <w:jc w:val="center"/>
              <w:rPr>
                <w:bCs/>
              </w:rPr>
            </w:pPr>
            <w:r>
              <w:rPr>
                <w:rFonts w:hint="eastAsia"/>
                <w:bCs/>
              </w:rPr>
              <w:t>氨氮</w:t>
            </w:r>
          </w:p>
        </w:tc>
        <w:tc>
          <w:tcPr>
            <w:tcW w:w="1131" w:type="dxa"/>
            <w:vAlign w:val="center"/>
          </w:tcPr>
          <w:p>
            <w:pPr>
              <w:jc w:val="center"/>
              <w:rPr>
                <w:bCs/>
              </w:rPr>
            </w:pPr>
            <w:r>
              <w:rPr>
                <w:rFonts w:hint="eastAsia"/>
                <w:bCs/>
              </w:rPr>
              <w:t>总磷</w:t>
            </w:r>
          </w:p>
        </w:tc>
        <w:tc>
          <w:tcPr>
            <w:tcW w:w="1273" w:type="dxa"/>
            <w:vAlign w:val="center"/>
          </w:tcPr>
          <w:p>
            <w:pPr>
              <w:jc w:val="center"/>
              <w:rPr>
                <w:bCs/>
              </w:rPr>
            </w:pPr>
            <w:r>
              <w:rPr>
                <w:rFonts w:hint="eastAsia"/>
                <w:bCs/>
              </w:rPr>
              <w:t>动植物油</w:t>
            </w:r>
          </w:p>
        </w:tc>
        <w:tc>
          <w:tcPr>
            <w:tcW w:w="1194" w:type="dxa"/>
            <w:vAlign w:val="center"/>
          </w:tcPr>
          <w:p>
            <w:pPr>
              <w:jc w:val="center"/>
              <w:rPr>
                <w:bCs/>
              </w:rPr>
            </w:pPr>
            <w:r>
              <w:rPr>
                <w:rFonts w:hint="eastAsia"/>
                <w:bCs/>
              </w:rPr>
              <w:t>阴离子表面活性剂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jc w:val="center"/>
            </w:pPr>
            <w:r>
              <w:rPr>
                <w:rFonts w:hint="eastAsia"/>
              </w:rPr>
              <w:t>废水处理</w:t>
            </w:r>
          </w:p>
          <w:p>
            <w:pPr>
              <w:jc w:val="center"/>
            </w:pPr>
            <w:r>
              <w:rPr>
                <w:rFonts w:hint="eastAsia"/>
              </w:rPr>
              <w:t>设施进水口</w:t>
            </w:r>
          </w:p>
        </w:tc>
        <w:tc>
          <w:tcPr>
            <w:tcW w:w="480" w:type="dxa"/>
            <w:vMerge w:val="restart"/>
            <w:vAlign w:val="center"/>
          </w:tcPr>
          <w:p>
            <w:pPr>
              <w:jc w:val="center"/>
            </w:pPr>
            <w:r>
              <w:t>09</w:t>
            </w:r>
            <w:r>
              <w:rPr>
                <w:rFonts w:hint="eastAsia"/>
              </w:rPr>
              <w:t>月</w:t>
            </w:r>
          </w:p>
          <w:p>
            <w:pPr>
              <w:jc w:val="center"/>
            </w:pPr>
            <w:r>
              <w:t>06</w:t>
            </w:r>
            <w:r>
              <w:rPr>
                <w:rFonts w:hint="eastAsia"/>
              </w:rPr>
              <w:t>日</w:t>
            </w:r>
          </w:p>
        </w:tc>
        <w:tc>
          <w:tcPr>
            <w:tcW w:w="1005" w:type="dxa"/>
            <w:vAlign w:val="center"/>
          </w:tcPr>
          <w:p>
            <w:pPr>
              <w:jc w:val="center"/>
            </w:pPr>
            <w:r>
              <w:rPr>
                <w:rFonts w:hint="eastAsia"/>
              </w:rPr>
              <w:t>第一次</w:t>
            </w:r>
          </w:p>
        </w:tc>
        <w:tc>
          <w:tcPr>
            <w:tcW w:w="2175" w:type="dxa"/>
            <w:vAlign w:val="center"/>
          </w:tcPr>
          <w:p>
            <w:pPr>
              <w:jc w:val="center"/>
            </w:pPr>
            <w:r>
              <w:t>W2017090106009</w:t>
            </w:r>
          </w:p>
        </w:tc>
        <w:tc>
          <w:tcPr>
            <w:tcW w:w="1380" w:type="dxa"/>
            <w:vAlign w:val="center"/>
          </w:tcPr>
          <w:p>
            <w:pPr>
              <w:jc w:val="center"/>
            </w:pPr>
            <w:r>
              <w:t>8.66</w:t>
            </w:r>
          </w:p>
        </w:tc>
        <w:tc>
          <w:tcPr>
            <w:tcW w:w="1130" w:type="dxa"/>
            <w:vAlign w:val="center"/>
          </w:tcPr>
          <w:p>
            <w:pPr>
              <w:spacing w:line="360" w:lineRule="auto"/>
              <w:jc w:val="center"/>
              <w:rPr>
                <w:color w:val="000000"/>
              </w:rPr>
            </w:pPr>
            <w:r>
              <w:rPr>
                <w:color w:val="000000"/>
              </w:rPr>
              <w:t>950</w:t>
            </w:r>
          </w:p>
        </w:tc>
        <w:tc>
          <w:tcPr>
            <w:tcW w:w="1130" w:type="dxa"/>
            <w:vAlign w:val="center"/>
          </w:tcPr>
          <w:p>
            <w:pPr>
              <w:jc w:val="center"/>
            </w:pPr>
            <w:r>
              <w:t>3312</w:t>
            </w:r>
          </w:p>
        </w:tc>
        <w:tc>
          <w:tcPr>
            <w:tcW w:w="1254" w:type="dxa"/>
            <w:vAlign w:val="center"/>
          </w:tcPr>
          <w:p>
            <w:pPr>
              <w:spacing w:line="360" w:lineRule="auto"/>
              <w:jc w:val="center"/>
            </w:pPr>
            <w:r>
              <w:t>1098.0</w:t>
            </w:r>
          </w:p>
        </w:tc>
        <w:tc>
          <w:tcPr>
            <w:tcW w:w="1006" w:type="dxa"/>
            <w:vAlign w:val="center"/>
          </w:tcPr>
          <w:p>
            <w:pPr>
              <w:jc w:val="center"/>
            </w:pPr>
            <w:r>
              <w:t>500.5</w:t>
            </w:r>
          </w:p>
        </w:tc>
        <w:tc>
          <w:tcPr>
            <w:tcW w:w="1131" w:type="dxa"/>
            <w:vAlign w:val="center"/>
          </w:tcPr>
          <w:p>
            <w:pPr>
              <w:spacing w:line="360" w:lineRule="auto"/>
              <w:jc w:val="center"/>
            </w:pPr>
            <w:r>
              <w:t>0.64</w:t>
            </w:r>
          </w:p>
        </w:tc>
        <w:tc>
          <w:tcPr>
            <w:tcW w:w="1273" w:type="dxa"/>
            <w:vAlign w:val="center"/>
          </w:tcPr>
          <w:p>
            <w:pPr>
              <w:jc w:val="center"/>
            </w:pPr>
            <w:r>
              <w:t>3.59</w:t>
            </w:r>
          </w:p>
        </w:tc>
        <w:tc>
          <w:tcPr>
            <w:tcW w:w="1194" w:type="dxa"/>
            <w:vAlign w:val="center"/>
          </w:tcPr>
          <w:p>
            <w:pPr>
              <w:spacing w:line="360" w:lineRule="auto"/>
              <w:jc w:val="center"/>
              <w:rPr>
                <w:bCs/>
                <w:color w:val="000000"/>
              </w:rPr>
            </w:pPr>
            <w:r>
              <w:rPr>
                <w:bCs/>
                <w:color w:val="000000"/>
              </w:rPr>
              <w:t>0.074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第二次</w:t>
            </w:r>
          </w:p>
        </w:tc>
        <w:tc>
          <w:tcPr>
            <w:tcW w:w="2175" w:type="dxa"/>
            <w:vAlign w:val="center"/>
          </w:tcPr>
          <w:p>
            <w:pPr>
              <w:jc w:val="center"/>
            </w:pPr>
            <w:r>
              <w:t>W2017090106019</w:t>
            </w:r>
          </w:p>
        </w:tc>
        <w:tc>
          <w:tcPr>
            <w:tcW w:w="1380" w:type="dxa"/>
            <w:vAlign w:val="center"/>
          </w:tcPr>
          <w:p>
            <w:pPr>
              <w:jc w:val="center"/>
            </w:pPr>
            <w:r>
              <w:t>8.43</w:t>
            </w:r>
          </w:p>
        </w:tc>
        <w:tc>
          <w:tcPr>
            <w:tcW w:w="1130" w:type="dxa"/>
            <w:vAlign w:val="center"/>
          </w:tcPr>
          <w:p>
            <w:pPr>
              <w:spacing w:line="360" w:lineRule="auto"/>
              <w:jc w:val="center"/>
              <w:rPr>
                <w:color w:val="000000"/>
              </w:rPr>
            </w:pPr>
            <w:r>
              <w:rPr>
                <w:color w:val="000000"/>
              </w:rPr>
              <w:t>1220</w:t>
            </w:r>
          </w:p>
        </w:tc>
        <w:tc>
          <w:tcPr>
            <w:tcW w:w="1130" w:type="dxa"/>
            <w:vAlign w:val="center"/>
          </w:tcPr>
          <w:p>
            <w:pPr>
              <w:jc w:val="center"/>
            </w:pPr>
            <w:r>
              <w:t>3452</w:t>
            </w:r>
          </w:p>
        </w:tc>
        <w:tc>
          <w:tcPr>
            <w:tcW w:w="1254" w:type="dxa"/>
            <w:vAlign w:val="center"/>
          </w:tcPr>
          <w:p>
            <w:pPr>
              <w:spacing w:line="360" w:lineRule="auto"/>
              <w:jc w:val="center"/>
            </w:pPr>
            <w:r>
              <w:t>1158.0</w:t>
            </w:r>
          </w:p>
        </w:tc>
        <w:tc>
          <w:tcPr>
            <w:tcW w:w="1006" w:type="dxa"/>
            <w:vAlign w:val="center"/>
          </w:tcPr>
          <w:p>
            <w:pPr>
              <w:jc w:val="center"/>
            </w:pPr>
            <w:r>
              <w:t>509</w:t>
            </w:r>
          </w:p>
        </w:tc>
        <w:tc>
          <w:tcPr>
            <w:tcW w:w="1131" w:type="dxa"/>
            <w:vAlign w:val="center"/>
          </w:tcPr>
          <w:p>
            <w:pPr>
              <w:spacing w:line="360" w:lineRule="auto"/>
              <w:jc w:val="center"/>
            </w:pPr>
            <w:r>
              <w:t>0.59</w:t>
            </w:r>
          </w:p>
        </w:tc>
        <w:tc>
          <w:tcPr>
            <w:tcW w:w="1273" w:type="dxa"/>
            <w:vAlign w:val="center"/>
          </w:tcPr>
          <w:p>
            <w:pPr>
              <w:jc w:val="center"/>
            </w:pPr>
            <w:r>
              <w:t>3.36</w:t>
            </w:r>
          </w:p>
        </w:tc>
        <w:tc>
          <w:tcPr>
            <w:tcW w:w="1194" w:type="dxa"/>
            <w:vAlign w:val="center"/>
          </w:tcPr>
          <w:p>
            <w:pPr>
              <w:spacing w:line="360" w:lineRule="auto"/>
              <w:jc w:val="center"/>
              <w:rPr>
                <w:bCs/>
                <w:color w:val="000000"/>
              </w:rPr>
            </w:pPr>
            <w:r>
              <w:rPr>
                <w:bCs/>
                <w:color w:val="000000"/>
              </w:rPr>
              <w:t>0.082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第三次</w:t>
            </w:r>
          </w:p>
        </w:tc>
        <w:tc>
          <w:tcPr>
            <w:tcW w:w="2175" w:type="dxa"/>
            <w:vAlign w:val="center"/>
          </w:tcPr>
          <w:p>
            <w:pPr>
              <w:jc w:val="center"/>
            </w:pPr>
            <w:r>
              <w:t>W2017090106020</w:t>
            </w:r>
          </w:p>
        </w:tc>
        <w:tc>
          <w:tcPr>
            <w:tcW w:w="1380" w:type="dxa"/>
            <w:vAlign w:val="center"/>
          </w:tcPr>
          <w:p>
            <w:pPr>
              <w:jc w:val="center"/>
            </w:pPr>
            <w:r>
              <w:t>8.63</w:t>
            </w:r>
          </w:p>
        </w:tc>
        <w:tc>
          <w:tcPr>
            <w:tcW w:w="1130" w:type="dxa"/>
            <w:vAlign w:val="center"/>
          </w:tcPr>
          <w:p>
            <w:pPr>
              <w:spacing w:line="360" w:lineRule="auto"/>
              <w:jc w:val="center"/>
              <w:rPr>
                <w:color w:val="000000"/>
              </w:rPr>
            </w:pPr>
            <w:r>
              <w:rPr>
                <w:color w:val="000000"/>
              </w:rPr>
              <w:t>1050</w:t>
            </w:r>
          </w:p>
        </w:tc>
        <w:tc>
          <w:tcPr>
            <w:tcW w:w="1130" w:type="dxa"/>
            <w:vAlign w:val="center"/>
          </w:tcPr>
          <w:p>
            <w:pPr>
              <w:jc w:val="center"/>
            </w:pPr>
            <w:r>
              <w:t>3604</w:t>
            </w:r>
          </w:p>
        </w:tc>
        <w:tc>
          <w:tcPr>
            <w:tcW w:w="1254" w:type="dxa"/>
            <w:vAlign w:val="center"/>
          </w:tcPr>
          <w:p>
            <w:pPr>
              <w:spacing w:line="360" w:lineRule="auto"/>
              <w:jc w:val="center"/>
            </w:pPr>
            <w:r>
              <w:t>1275.5</w:t>
            </w:r>
          </w:p>
        </w:tc>
        <w:tc>
          <w:tcPr>
            <w:tcW w:w="1006" w:type="dxa"/>
            <w:vAlign w:val="center"/>
          </w:tcPr>
          <w:p>
            <w:pPr>
              <w:jc w:val="center"/>
            </w:pPr>
            <w:r>
              <w:t>491</w:t>
            </w:r>
          </w:p>
        </w:tc>
        <w:tc>
          <w:tcPr>
            <w:tcW w:w="1131" w:type="dxa"/>
            <w:vAlign w:val="center"/>
          </w:tcPr>
          <w:p>
            <w:pPr>
              <w:spacing w:line="360" w:lineRule="auto"/>
              <w:jc w:val="center"/>
            </w:pPr>
            <w:r>
              <w:t>0.70</w:t>
            </w:r>
          </w:p>
        </w:tc>
        <w:tc>
          <w:tcPr>
            <w:tcW w:w="1273" w:type="dxa"/>
            <w:vAlign w:val="center"/>
          </w:tcPr>
          <w:p>
            <w:pPr>
              <w:jc w:val="center"/>
            </w:pPr>
            <w:r>
              <w:t>3.73</w:t>
            </w:r>
          </w:p>
        </w:tc>
        <w:tc>
          <w:tcPr>
            <w:tcW w:w="1194" w:type="dxa"/>
            <w:vAlign w:val="center"/>
          </w:tcPr>
          <w:p>
            <w:pPr>
              <w:spacing w:line="360" w:lineRule="auto"/>
              <w:jc w:val="center"/>
              <w:rPr>
                <w:bCs/>
                <w:color w:val="000000"/>
              </w:rPr>
            </w:pPr>
            <w:r>
              <w:rPr>
                <w:bCs/>
                <w:color w:val="000000"/>
              </w:rPr>
              <w:t>0.070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3180" w:type="dxa"/>
            <w:gridSpan w:val="2"/>
            <w:vAlign w:val="center"/>
          </w:tcPr>
          <w:p>
            <w:pPr>
              <w:jc w:val="center"/>
            </w:pPr>
            <w:r>
              <w:rPr>
                <w:rFonts w:hint="eastAsia"/>
              </w:rPr>
              <w:t>平均值</w:t>
            </w:r>
          </w:p>
        </w:tc>
        <w:tc>
          <w:tcPr>
            <w:tcW w:w="1380" w:type="dxa"/>
            <w:vAlign w:val="center"/>
          </w:tcPr>
          <w:p>
            <w:pPr>
              <w:jc w:val="center"/>
            </w:pPr>
            <w:r>
              <w:t>8.43~8.66</w:t>
            </w:r>
          </w:p>
        </w:tc>
        <w:tc>
          <w:tcPr>
            <w:tcW w:w="1130" w:type="dxa"/>
            <w:vAlign w:val="center"/>
          </w:tcPr>
          <w:p>
            <w:pPr>
              <w:widowControl/>
              <w:jc w:val="center"/>
              <w:textAlignment w:val="center"/>
              <w:rPr>
                <w:color w:val="FF0000"/>
              </w:rPr>
            </w:pPr>
            <w:r>
              <w:rPr>
                <w:color w:val="000000"/>
                <w:kern w:val="0"/>
              </w:rPr>
              <w:t>1073</w:t>
            </w:r>
          </w:p>
        </w:tc>
        <w:tc>
          <w:tcPr>
            <w:tcW w:w="1130" w:type="dxa"/>
            <w:vAlign w:val="center"/>
          </w:tcPr>
          <w:p>
            <w:pPr>
              <w:widowControl/>
              <w:jc w:val="center"/>
              <w:textAlignment w:val="center"/>
            </w:pPr>
            <w:r>
              <w:rPr>
                <w:color w:val="000000"/>
                <w:kern w:val="0"/>
              </w:rPr>
              <w:t>3456</w:t>
            </w:r>
          </w:p>
        </w:tc>
        <w:tc>
          <w:tcPr>
            <w:tcW w:w="1254" w:type="dxa"/>
            <w:vAlign w:val="center"/>
          </w:tcPr>
          <w:p>
            <w:pPr>
              <w:widowControl/>
              <w:jc w:val="center"/>
              <w:textAlignment w:val="center"/>
            </w:pPr>
            <w:r>
              <w:rPr>
                <w:color w:val="000000"/>
                <w:kern w:val="0"/>
              </w:rPr>
              <w:t>1177</w:t>
            </w:r>
          </w:p>
        </w:tc>
        <w:tc>
          <w:tcPr>
            <w:tcW w:w="1006" w:type="dxa"/>
            <w:vAlign w:val="center"/>
          </w:tcPr>
          <w:p>
            <w:pPr>
              <w:widowControl/>
              <w:jc w:val="center"/>
              <w:textAlignment w:val="center"/>
            </w:pPr>
            <w:r>
              <w:rPr>
                <w:color w:val="000000"/>
                <w:kern w:val="0"/>
              </w:rPr>
              <w:t>500</w:t>
            </w:r>
          </w:p>
        </w:tc>
        <w:tc>
          <w:tcPr>
            <w:tcW w:w="1131" w:type="dxa"/>
            <w:vAlign w:val="center"/>
          </w:tcPr>
          <w:p>
            <w:pPr>
              <w:widowControl/>
              <w:jc w:val="center"/>
              <w:textAlignment w:val="center"/>
            </w:pPr>
            <w:r>
              <w:rPr>
                <w:color w:val="000000"/>
                <w:kern w:val="0"/>
              </w:rPr>
              <w:t>0.64</w:t>
            </w:r>
          </w:p>
        </w:tc>
        <w:tc>
          <w:tcPr>
            <w:tcW w:w="1273" w:type="dxa"/>
            <w:vAlign w:val="center"/>
          </w:tcPr>
          <w:p>
            <w:pPr>
              <w:widowControl/>
              <w:jc w:val="center"/>
              <w:textAlignment w:val="center"/>
            </w:pPr>
            <w:r>
              <w:rPr>
                <w:color w:val="000000"/>
                <w:kern w:val="0"/>
              </w:rPr>
              <w:t>3.56</w:t>
            </w:r>
          </w:p>
        </w:tc>
        <w:tc>
          <w:tcPr>
            <w:tcW w:w="1194" w:type="dxa"/>
            <w:vAlign w:val="center"/>
          </w:tcPr>
          <w:p>
            <w:pPr>
              <w:widowControl/>
              <w:jc w:val="center"/>
              <w:textAlignment w:val="center"/>
              <w:rPr>
                <w:bCs/>
                <w:color w:val="000000"/>
              </w:rPr>
            </w:pPr>
            <w:r>
              <w:rPr>
                <w:color w:val="000000"/>
                <w:kern w:val="0"/>
              </w:rPr>
              <w:t>0.075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95" w:hRule="exact"/>
          <w:jc w:val="center"/>
        </w:trPr>
        <w:tc>
          <w:tcPr>
            <w:tcW w:w="15123" w:type="dxa"/>
            <w:gridSpan w:val="12"/>
            <w:vAlign w:val="center"/>
          </w:tcPr>
          <w:p>
            <w:pPr>
              <w:jc w:val="center"/>
              <w:rPr>
                <w:bCs/>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restart"/>
            <w:vAlign w:val="center"/>
          </w:tcPr>
          <w:p>
            <w:pPr>
              <w:jc w:val="center"/>
            </w:pPr>
            <w:r>
              <w:rPr>
                <w:rFonts w:hint="eastAsia"/>
              </w:rPr>
              <w:t>厂区污水排放口</w:t>
            </w:r>
          </w:p>
        </w:tc>
        <w:tc>
          <w:tcPr>
            <w:tcW w:w="480" w:type="dxa"/>
            <w:vMerge w:val="restart"/>
            <w:vAlign w:val="center"/>
          </w:tcPr>
          <w:p>
            <w:pPr>
              <w:jc w:val="center"/>
            </w:pPr>
            <w:r>
              <w:t>09</w:t>
            </w:r>
            <w:r>
              <w:rPr>
                <w:rFonts w:hint="eastAsia"/>
              </w:rPr>
              <w:t>月</w:t>
            </w:r>
          </w:p>
          <w:p>
            <w:pPr>
              <w:jc w:val="center"/>
            </w:pPr>
            <w:r>
              <w:t>06</w:t>
            </w:r>
            <w:r>
              <w:rPr>
                <w:rFonts w:hint="eastAsia"/>
              </w:rPr>
              <w:t>日</w:t>
            </w:r>
          </w:p>
        </w:tc>
        <w:tc>
          <w:tcPr>
            <w:tcW w:w="1005" w:type="dxa"/>
            <w:vAlign w:val="center"/>
          </w:tcPr>
          <w:p>
            <w:pPr>
              <w:jc w:val="center"/>
            </w:pPr>
            <w:r>
              <w:rPr>
                <w:rFonts w:hint="eastAsia"/>
              </w:rPr>
              <w:t>第一次</w:t>
            </w:r>
          </w:p>
        </w:tc>
        <w:tc>
          <w:tcPr>
            <w:tcW w:w="2175" w:type="dxa"/>
            <w:vAlign w:val="center"/>
          </w:tcPr>
          <w:p>
            <w:pPr>
              <w:jc w:val="center"/>
            </w:pPr>
            <w:r>
              <w:t>W2017090106012</w:t>
            </w:r>
          </w:p>
        </w:tc>
        <w:tc>
          <w:tcPr>
            <w:tcW w:w="1380" w:type="dxa"/>
            <w:vAlign w:val="center"/>
          </w:tcPr>
          <w:p>
            <w:pPr>
              <w:jc w:val="center"/>
            </w:pPr>
            <w:r>
              <w:t>7.64</w:t>
            </w:r>
          </w:p>
        </w:tc>
        <w:tc>
          <w:tcPr>
            <w:tcW w:w="1130" w:type="dxa"/>
            <w:vAlign w:val="center"/>
          </w:tcPr>
          <w:p>
            <w:pPr>
              <w:spacing w:line="360" w:lineRule="auto"/>
              <w:jc w:val="center"/>
            </w:pPr>
            <w:r>
              <w:t>19</w:t>
            </w:r>
          </w:p>
        </w:tc>
        <w:tc>
          <w:tcPr>
            <w:tcW w:w="1130" w:type="dxa"/>
            <w:vAlign w:val="center"/>
          </w:tcPr>
          <w:p>
            <w:pPr>
              <w:jc w:val="center"/>
            </w:pPr>
            <w:r>
              <w:t>29.7</w:t>
            </w:r>
          </w:p>
        </w:tc>
        <w:tc>
          <w:tcPr>
            <w:tcW w:w="1254" w:type="dxa"/>
            <w:vAlign w:val="center"/>
          </w:tcPr>
          <w:p>
            <w:pPr>
              <w:spacing w:line="360" w:lineRule="auto"/>
              <w:jc w:val="center"/>
            </w:pPr>
            <w:r>
              <w:t>9.9</w:t>
            </w:r>
          </w:p>
        </w:tc>
        <w:tc>
          <w:tcPr>
            <w:tcW w:w="1006" w:type="dxa"/>
            <w:vAlign w:val="center"/>
          </w:tcPr>
          <w:p>
            <w:pPr>
              <w:jc w:val="center"/>
            </w:pPr>
            <w:r>
              <w:t>1.94</w:t>
            </w:r>
          </w:p>
        </w:tc>
        <w:tc>
          <w:tcPr>
            <w:tcW w:w="1131" w:type="dxa"/>
            <w:vAlign w:val="center"/>
          </w:tcPr>
          <w:p>
            <w:pPr>
              <w:spacing w:line="360" w:lineRule="auto"/>
              <w:jc w:val="center"/>
            </w:pPr>
            <w:r>
              <w:t>&lt;0.01</w:t>
            </w:r>
          </w:p>
        </w:tc>
        <w:tc>
          <w:tcPr>
            <w:tcW w:w="1273" w:type="dxa"/>
            <w:vAlign w:val="center"/>
          </w:tcPr>
          <w:p>
            <w:pPr>
              <w:jc w:val="center"/>
            </w:pPr>
            <w:r>
              <w:t>2.16</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第二次</w:t>
            </w:r>
          </w:p>
        </w:tc>
        <w:tc>
          <w:tcPr>
            <w:tcW w:w="2175" w:type="dxa"/>
            <w:vAlign w:val="center"/>
          </w:tcPr>
          <w:p>
            <w:pPr>
              <w:jc w:val="center"/>
            </w:pPr>
            <w:r>
              <w:t>W2017090106013</w:t>
            </w:r>
          </w:p>
        </w:tc>
        <w:tc>
          <w:tcPr>
            <w:tcW w:w="1380" w:type="dxa"/>
            <w:vAlign w:val="center"/>
          </w:tcPr>
          <w:p>
            <w:pPr>
              <w:jc w:val="center"/>
            </w:pPr>
            <w:r>
              <w:t>7.62</w:t>
            </w:r>
          </w:p>
        </w:tc>
        <w:tc>
          <w:tcPr>
            <w:tcW w:w="1130" w:type="dxa"/>
            <w:vAlign w:val="center"/>
          </w:tcPr>
          <w:p>
            <w:pPr>
              <w:spacing w:line="360" w:lineRule="auto"/>
              <w:jc w:val="center"/>
            </w:pPr>
            <w:r>
              <w:t>25</w:t>
            </w:r>
          </w:p>
        </w:tc>
        <w:tc>
          <w:tcPr>
            <w:tcW w:w="1130" w:type="dxa"/>
            <w:vAlign w:val="center"/>
          </w:tcPr>
          <w:p>
            <w:pPr>
              <w:jc w:val="center"/>
            </w:pPr>
            <w:r>
              <w:t>32.9</w:t>
            </w:r>
          </w:p>
        </w:tc>
        <w:tc>
          <w:tcPr>
            <w:tcW w:w="1254" w:type="dxa"/>
            <w:vAlign w:val="center"/>
          </w:tcPr>
          <w:p>
            <w:pPr>
              <w:spacing w:line="360" w:lineRule="auto"/>
              <w:jc w:val="center"/>
            </w:pPr>
            <w:r>
              <w:t>10.1</w:t>
            </w:r>
          </w:p>
        </w:tc>
        <w:tc>
          <w:tcPr>
            <w:tcW w:w="1006" w:type="dxa"/>
            <w:vAlign w:val="center"/>
          </w:tcPr>
          <w:p>
            <w:pPr>
              <w:jc w:val="center"/>
            </w:pPr>
            <w:r>
              <w:t>1.54</w:t>
            </w:r>
          </w:p>
        </w:tc>
        <w:tc>
          <w:tcPr>
            <w:tcW w:w="1131" w:type="dxa"/>
            <w:vAlign w:val="center"/>
          </w:tcPr>
          <w:p>
            <w:pPr>
              <w:spacing w:line="360" w:lineRule="auto"/>
              <w:jc w:val="center"/>
            </w:pPr>
            <w:r>
              <w:t>&lt;0.01</w:t>
            </w:r>
          </w:p>
        </w:tc>
        <w:tc>
          <w:tcPr>
            <w:tcW w:w="1273" w:type="dxa"/>
            <w:vAlign w:val="center"/>
          </w:tcPr>
          <w:p>
            <w:pPr>
              <w:jc w:val="center"/>
            </w:pPr>
            <w:r>
              <w:t>1.91</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1005" w:type="dxa"/>
            <w:vAlign w:val="center"/>
          </w:tcPr>
          <w:p>
            <w:pPr>
              <w:jc w:val="center"/>
            </w:pPr>
            <w:r>
              <w:rPr>
                <w:rFonts w:hint="eastAsia"/>
              </w:rPr>
              <w:t>第三次</w:t>
            </w:r>
          </w:p>
        </w:tc>
        <w:tc>
          <w:tcPr>
            <w:tcW w:w="2175" w:type="dxa"/>
            <w:vAlign w:val="center"/>
          </w:tcPr>
          <w:p>
            <w:pPr>
              <w:jc w:val="center"/>
            </w:pPr>
            <w:r>
              <w:t>W2017090106014</w:t>
            </w:r>
          </w:p>
        </w:tc>
        <w:tc>
          <w:tcPr>
            <w:tcW w:w="1380" w:type="dxa"/>
            <w:vAlign w:val="center"/>
          </w:tcPr>
          <w:p>
            <w:pPr>
              <w:jc w:val="center"/>
            </w:pPr>
            <w:r>
              <w:t>7.59</w:t>
            </w:r>
          </w:p>
        </w:tc>
        <w:tc>
          <w:tcPr>
            <w:tcW w:w="1130" w:type="dxa"/>
            <w:vAlign w:val="center"/>
          </w:tcPr>
          <w:p>
            <w:pPr>
              <w:spacing w:line="360" w:lineRule="auto"/>
              <w:jc w:val="center"/>
            </w:pPr>
            <w:r>
              <w:t>27</w:t>
            </w:r>
          </w:p>
        </w:tc>
        <w:tc>
          <w:tcPr>
            <w:tcW w:w="1130" w:type="dxa"/>
            <w:vAlign w:val="center"/>
          </w:tcPr>
          <w:p>
            <w:pPr>
              <w:jc w:val="center"/>
            </w:pPr>
            <w:r>
              <w:t>28.1</w:t>
            </w:r>
          </w:p>
        </w:tc>
        <w:tc>
          <w:tcPr>
            <w:tcW w:w="1254" w:type="dxa"/>
            <w:vAlign w:val="center"/>
          </w:tcPr>
          <w:p>
            <w:pPr>
              <w:spacing w:line="360" w:lineRule="auto"/>
              <w:jc w:val="center"/>
            </w:pPr>
            <w:r>
              <w:t>8.9</w:t>
            </w:r>
          </w:p>
        </w:tc>
        <w:tc>
          <w:tcPr>
            <w:tcW w:w="1006" w:type="dxa"/>
            <w:vAlign w:val="center"/>
          </w:tcPr>
          <w:p>
            <w:pPr>
              <w:jc w:val="center"/>
            </w:pPr>
            <w:r>
              <w:t>1.33</w:t>
            </w:r>
          </w:p>
        </w:tc>
        <w:tc>
          <w:tcPr>
            <w:tcW w:w="1131" w:type="dxa"/>
            <w:vAlign w:val="center"/>
          </w:tcPr>
          <w:p>
            <w:pPr>
              <w:spacing w:line="360" w:lineRule="auto"/>
              <w:jc w:val="center"/>
            </w:pPr>
            <w:r>
              <w:t>&lt;0.01</w:t>
            </w:r>
          </w:p>
        </w:tc>
        <w:tc>
          <w:tcPr>
            <w:tcW w:w="1273" w:type="dxa"/>
            <w:vAlign w:val="center"/>
          </w:tcPr>
          <w:p>
            <w:pPr>
              <w:jc w:val="center"/>
            </w:pPr>
            <w:r>
              <w:t>1.81</w:t>
            </w:r>
          </w:p>
        </w:tc>
        <w:tc>
          <w:tcPr>
            <w:tcW w:w="1194" w:type="dxa"/>
            <w:vAlign w:val="center"/>
          </w:tcPr>
          <w:p>
            <w:pPr>
              <w:spacing w:line="360" w:lineRule="auto"/>
              <w:jc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965" w:type="dxa"/>
            <w:vMerge w:val="continue"/>
            <w:vAlign w:val="center"/>
          </w:tcPr>
          <w:p>
            <w:pPr>
              <w:jc w:val="center"/>
            </w:pPr>
          </w:p>
        </w:tc>
        <w:tc>
          <w:tcPr>
            <w:tcW w:w="480" w:type="dxa"/>
            <w:vMerge w:val="continue"/>
            <w:vAlign w:val="center"/>
          </w:tcPr>
          <w:p>
            <w:pPr>
              <w:jc w:val="center"/>
            </w:pPr>
          </w:p>
        </w:tc>
        <w:tc>
          <w:tcPr>
            <w:tcW w:w="3180" w:type="dxa"/>
            <w:gridSpan w:val="2"/>
            <w:vAlign w:val="center"/>
          </w:tcPr>
          <w:p>
            <w:pPr>
              <w:jc w:val="center"/>
            </w:pPr>
            <w:r>
              <w:rPr>
                <w:rFonts w:hint="eastAsia"/>
              </w:rPr>
              <w:t>平均值</w:t>
            </w:r>
          </w:p>
        </w:tc>
        <w:tc>
          <w:tcPr>
            <w:tcW w:w="1380" w:type="dxa"/>
            <w:vAlign w:val="center"/>
          </w:tcPr>
          <w:p>
            <w:pPr>
              <w:jc w:val="center"/>
            </w:pPr>
            <w:r>
              <w:t>7.59~7.64</w:t>
            </w:r>
          </w:p>
        </w:tc>
        <w:tc>
          <w:tcPr>
            <w:tcW w:w="1130" w:type="dxa"/>
            <w:vAlign w:val="center"/>
          </w:tcPr>
          <w:p>
            <w:pPr>
              <w:widowControl/>
              <w:jc w:val="center"/>
              <w:textAlignment w:val="center"/>
            </w:pPr>
            <w:r>
              <w:rPr>
                <w:color w:val="000000"/>
                <w:kern w:val="0"/>
              </w:rPr>
              <w:t>24</w:t>
            </w:r>
          </w:p>
        </w:tc>
        <w:tc>
          <w:tcPr>
            <w:tcW w:w="1130" w:type="dxa"/>
            <w:vAlign w:val="center"/>
          </w:tcPr>
          <w:p>
            <w:pPr>
              <w:widowControl/>
              <w:jc w:val="center"/>
              <w:textAlignment w:val="center"/>
            </w:pPr>
            <w:r>
              <w:rPr>
                <w:color w:val="000000"/>
                <w:kern w:val="0"/>
              </w:rPr>
              <w:t>30.2</w:t>
            </w:r>
          </w:p>
        </w:tc>
        <w:tc>
          <w:tcPr>
            <w:tcW w:w="1254" w:type="dxa"/>
            <w:vAlign w:val="center"/>
          </w:tcPr>
          <w:p>
            <w:pPr>
              <w:widowControl/>
              <w:jc w:val="center"/>
              <w:textAlignment w:val="center"/>
            </w:pPr>
            <w:r>
              <w:rPr>
                <w:color w:val="000000"/>
                <w:kern w:val="0"/>
              </w:rPr>
              <w:t>9.6</w:t>
            </w:r>
          </w:p>
        </w:tc>
        <w:tc>
          <w:tcPr>
            <w:tcW w:w="1006" w:type="dxa"/>
            <w:vAlign w:val="center"/>
          </w:tcPr>
          <w:p>
            <w:pPr>
              <w:widowControl/>
              <w:jc w:val="center"/>
              <w:textAlignment w:val="center"/>
            </w:pPr>
            <w:r>
              <w:rPr>
                <w:color w:val="000000"/>
                <w:kern w:val="0"/>
              </w:rPr>
              <w:t>1.30</w:t>
            </w:r>
          </w:p>
        </w:tc>
        <w:tc>
          <w:tcPr>
            <w:tcW w:w="1131" w:type="dxa"/>
            <w:vAlign w:val="center"/>
          </w:tcPr>
          <w:p>
            <w:pPr>
              <w:widowControl/>
              <w:jc w:val="center"/>
              <w:textAlignment w:val="center"/>
            </w:pPr>
            <w:r>
              <w:t>&lt;0.01</w:t>
            </w:r>
          </w:p>
        </w:tc>
        <w:tc>
          <w:tcPr>
            <w:tcW w:w="1273" w:type="dxa"/>
            <w:vAlign w:val="center"/>
          </w:tcPr>
          <w:p>
            <w:pPr>
              <w:widowControl/>
              <w:jc w:val="center"/>
              <w:textAlignment w:val="center"/>
            </w:pPr>
            <w:r>
              <w:t>1.96</w:t>
            </w:r>
          </w:p>
        </w:tc>
        <w:tc>
          <w:tcPr>
            <w:tcW w:w="1194" w:type="dxa"/>
            <w:vAlign w:val="center"/>
          </w:tcPr>
          <w:p>
            <w:pPr>
              <w:widowControl/>
              <w:jc w:val="center"/>
              <w:textAlignment w:val="center"/>
              <w:rPr>
                <w:bCs/>
                <w:color w:val="000000"/>
              </w:rPr>
            </w:pPr>
            <w:r>
              <w:t>&lt;0.05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5625" w:type="dxa"/>
            <w:gridSpan w:val="4"/>
            <w:vAlign w:val="center"/>
          </w:tcPr>
          <w:p>
            <w:pPr>
              <w:jc w:val="center"/>
            </w:pPr>
            <w:r>
              <w:rPr>
                <w:rFonts w:hint="eastAsia"/>
              </w:rPr>
              <w:t>排放限值</w:t>
            </w:r>
          </w:p>
        </w:tc>
        <w:tc>
          <w:tcPr>
            <w:tcW w:w="1380" w:type="dxa"/>
            <w:vAlign w:val="center"/>
          </w:tcPr>
          <w:p>
            <w:pPr>
              <w:jc w:val="center"/>
            </w:pPr>
            <w:r>
              <w:t>6~9</w:t>
            </w:r>
          </w:p>
        </w:tc>
        <w:tc>
          <w:tcPr>
            <w:tcW w:w="1130" w:type="dxa"/>
            <w:vAlign w:val="center"/>
          </w:tcPr>
          <w:p>
            <w:pPr>
              <w:spacing w:line="360" w:lineRule="auto"/>
              <w:jc w:val="center"/>
            </w:pPr>
            <w:r>
              <w:t>60</w:t>
            </w:r>
          </w:p>
        </w:tc>
        <w:tc>
          <w:tcPr>
            <w:tcW w:w="1130" w:type="dxa"/>
            <w:vAlign w:val="center"/>
          </w:tcPr>
          <w:p>
            <w:pPr>
              <w:jc w:val="center"/>
            </w:pPr>
            <w:r>
              <w:t>90</w:t>
            </w:r>
          </w:p>
        </w:tc>
        <w:tc>
          <w:tcPr>
            <w:tcW w:w="1254" w:type="dxa"/>
            <w:vAlign w:val="center"/>
          </w:tcPr>
          <w:p>
            <w:pPr>
              <w:jc w:val="center"/>
            </w:pPr>
            <w:r>
              <w:t>20</w:t>
            </w:r>
          </w:p>
        </w:tc>
        <w:tc>
          <w:tcPr>
            <w:tcW w:w="1006" w:type="dxa"/>
            <w:vAlign w:val="center"/>
          </w:tcPr>
          <w:p>
            <w:pPr>
              <w:jc w:val="center"/>
            </w:pPr>
            <w:r>
              <w:t>10</w:t>
            </w:r>
          </w:p>
        </w:tc>
        <w:tc>
          <w:tcPr>
            <w:tcW w:w="1131" w:type="dxa"/>
            <w:vAlign w:val="center"/>
          </w:tcPr>
          <w:p>
            <w:pPr>
              <w:jc w:val="center"/>
            </w:pPr>
            <w:r>
              <w:t>0.5</w:t>
            </w:r>
          </w:p>
        </w:tc>
        <w:tc>
          <w:tcPr>
            <w:tcW w:w="1273" w:type="dxa"/>
            <w:vAlign w:val="center"/>
          </w:tcPr>
          <w:p>
            <w:pPr>
              <w:jc w:val="center"/>
            </w:pPr>
            <w:r>
              <w:t>10</w:t>
            </w:r>
          </w:p>
        </w:tc>
        <w:tc>
          <w:tcPr>
            <w:tcW w:w="1194" w:type="dxa"/>
            <w:vAlign w:val="center"/>
          </w:tcPr>
          <w:p>
            <w:pPr>
              <w:jc w:val="center"/>
              <w:rPr>
                <w:bCs/>
                <w:color w:val="000000"/>
              </w:rPr>
            </w:pPr>
            <w:r>
              <w:rPr>
                <w:bCs/>
                <w:color w:val="00000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5625" w:type="dxa"/>
            <w:gridSpan w:val="4"/>
            <w:vAlign w:val="center"/>
          </w:tcPr>
          <w:p>
            <w:pPr>
              <w:jc w:val="center"/>
            </w:pPr>
            <w:r>
              <w:rPr>
                <w:rFonts w:hint="eastAsia"/>
              </w:rPr>
              <w:t>达标情况</w:t>
            </w:r>
          </w:p>
        </w:tc>
        <w:tc>
          <w:tcPr>
            <w:tcW w:w="1380" w:type="dxa"/>
            <w:vAlign w:val="center"/>
          </w:tcPr>
          <w:p>
            <w:pPr>
              <w:jc w:val="center"/>
            </w:pPr>
            <w:r>
              <w:rPr>
                <w:rFonts w:hint="eastAsia"/>
                <w:bCs/>
                <w:color w:val="000000"/>
              </w:rPr>
              <w:t>达标</w:t>
            </w:r>
          </w:p>
        </w:tc>
        <w:tc>
          <w:tcPr>
            <w:tcW w:w="1130" w:type="dxa"/>
            <w:vAlign w:val="center"/>
          </w:tcPr>
          <w:p>
            <w:pPr>
              <w:jc w:val="center"/>
            </w:pPr>
            <w:r>
              <w:rPr>
                <w:rFonts w:hint="eastAsia"/>
                <w:bCs/>
                <w:color w:val="000000"/>
              </w:rPr>
              <w:t>达标</w:t>
            </w:r>
          </w:p>
        </w:tc>
        <w:tc>
          <w:tcPr>
            <w:tcW w:w="1130" w:type="dxa"/>
            <w:vAlign w:val="center"/>
          </w:tcPr>
          <w:p>
            <w:pPr>
              <w:jc w:val="center"/>
            </w:pPr>
            <w:r>
              <w:rPr>
                <w:rFonts w:hint="eastAsia"/>
                <w:bCs/>
                <w:color w:val="000000"/>
              </w:rPr>
              <w:t>达标</w:t>
            </w:r>
          </w:p>
        </w:tc>
        <w:tc>
          <w:tcPr>
            <w:tcW w:w="1254" w:type="dxa"/>
            <w:vAlign w:val="center"/>
          </w:tcPr>
          <w:p>
            <w:pPr>
              <w:jc w:val="center"/>
            </w:pPr>
            <w:r>
              <w:rPr>
                <w:rFonts w:hint="eastAsia"/>
                <w:bCs/>
                <w:color w:val="000000"/>
              </w:rPr>
              <w:t>达标</w:t>
            </w:r>
          </w:p>
        </w:tc>
        <w:tc>
          <w:tcPr>
            <w:tcW w:w="1006" w:type="dxa"/>
            <w:vAlign w:val="center"/>
          </w:tcPr>
          <w:p>
            <w:pPr>
              <w:jc w:val="center"/>
            </w:pPr>
            <w:r>
              <w:rPr>
                <w:rFonts w:hint="eastAsia"/>
                <w:bCs/>
                <w:color w:val="000000"/>
              </w:rPr>
              <w:t>达标</w:t>
            </w:r>
          </w:p>
        </w:tc>
        <w:tc>
          <w:tcPr>
            <w:tcW w:w="1131" w:type="dxa"/>
            <w:vAlign w:val="center"/>
          </w:tcPr>
          <w:p>
            <w:pPr>
              <w:jc w:val="center"/>
            </w:pPr>
            <w:r>
              <w:rPr>
                <w:rFonts w:hint="eastAsia"/>
                <w:bCs/>
                <w:color w:val="000000"/>
              </w:rPr>
              <w:t>达标</w:t>
            </w:r>
          </w:p>
        </w:tc>
        <w:tc>
          <w:tcPr>
            <w:tcW w:w="1273" w:type="dxa"/>
            <w:vAlign w:val="center"/>
          </w:tcPr>
          <w:p>
            <w:pPr>
              <w:jc w:val="center"/>
            </w:pPr>
            <w:r>
              <w:rPr>
                <w:rFonts w:hint="eastAsia"/>
                <w:bCs/>
                <w:color w:val="000000"/>
              </w:rPr>
              <w:t>达标</w:t>
            </w:r>
          </w:p>
        </w:tc>
        <w:tc>
          <w:tcPr>
            <w:tcW w:w="1194" w:type="dxa"/>
            <w:vAlign w:val="center"/>
          </w:tcPr>
          <w:p>
            <w:pPr>
              <w:jc w:val="center"/>
              <w:rPr>
                <w:bCs/>
                <w:color w:val="000000"/>
              </w:rPr>
            </w:pPr>
            <w:r>
              <w:rPr>
                <w:rFonts w:hint="eastAsia"/>
                <w:bCs/>
                <w:color w:val="000000"/>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1010" w:hRule="exact"/>
          <w:jc w:val="center"/>
        </w:trPr>
        <w:tc>
          <w:tcPr>
            <w:tcW w:w="15123" w:type="dxa"/>
            <w:gridSpan w:val="12"/>
          </w:tcPr>
          <w:p>
            <w:pPr>
              <w:rPr>
                <w:bCs/>
                <w:szCs w:val="21"/>
              </w:rPr>
            </w:pPr>
            <w:r>
              <w:rPr>
                <w:rFonts w:hint="eastAsia"/>
                <w:bCs/>
                <w:szCs w:val="21"/>
              </w:rPr>
              <w:t>备注：</w:t>
            </w:r>
            <w:r>
              <w:rPr>
                <w:bCs/>
                <w:szCs w:val="21"/>
              </w:rPr>
              <w:t>1.</w:t>
            </w:r>
            <w:r>
              <w:rPr>
                <w:rFonts w:hint="eastAsia"/>
                <w:bCs/>
                <w:szCs w:val="21"/>
              </w:rPr>
              <w:t>本结果只对当时采集的样品负责。</w:t>
            </w:r>
          </w:p>
          <w:p>
            <w:pPr>
              <w:rPr>
                <w:szCs w:val="28"/>
              </w:rPr>
            </w:pPr>
            <w:r>
              <w:rPr>
                <w:color w:val="000000"/>
                <w:szCs w:val="21"/>
              </w:rPr>
              <w:t xml:space="preserve">      2.</w:t>
            </w:r>
            <w:r>
              <w:rPr>
                <w:rFonts w:hint="eastAsia"/>
                <w:color w:val="000000"/>
                <w:szCs w:val="21"/>
              </w:rPr>
              <w:t>废水排放</w:t>
            </w:r>
            <w:r>
              <w:rPr>
                <w:rFonts w:hint="eastAsia"/>
                <w:bCs/>
                <w:szCs w:val="21"/>
              </w:rPr>
              <w:t>执行</w:t>
            </w:r>
            <w:r>
              <w:rPr>
                <w:rFonts w:hint="eastAsia"/>
                <w:szCs w:val="28"/>
              </w:rPr>
              <w:t>广东省地方标准《水污染物排放限值》（</w:t>
            </w:r>
            <w:r>
              <w:rPr>
                <w:szCs w:val="28"/>
              </w:rPr>
              <w:t>DB 44/26-2001</w:t>
            </w:r>
            <w:r>
              <w:rPr>
                <w:rFonts w:hint="eastAsia"/>
                <w:szCs w:val="28"/>
              </w:rPr>
              <w:t>）第二时段一级标准。</w:t>
            </w:r>
          </w:p>
          <w:p>
            <w:pPr>
              <w:rPr>
                <w:szCs w:val="28"/>
              </w:rPr>
            </w:pPr>
            <w:r>
              <w:rPr>
                <w:szCs w:val="28"/>
              </w:rPr>
              <w:t xml:space="preserve">     </w:t>
            </w:r>
          </w:p>
        </w:tc>
      </w:tr>
    </w:tbl>
    <w:p>
      <w:pPr>
        <w:adjustRightInd w:val="0"/>
        <w:snapToGrid w:val="0"/>
        <w:spacing w:line="360" w:lineRule="auto"/>
        <w:ind w:firstLine="480" w:firstLineChars="200"/>
        <w:rPr>
          <w:szCs w:val="28"/>
        </w:rPr>
      </w:pPr>
      <w:r>
        <w:rPr>
          <w:rFonts w:hint="eastAsia"/>
          <w:szCs w:val="28"/>
        </w:rPr>
        <w:t>从</w:t>
      </w:r>
      <w:r>
        <w:rPr>
          <w:rFonts w:hint="eastAsia"/>
        </w:rPr>
        <w:t>表</w:t>
      </w:r>
      <w:r>
        <w:t>9-2</w:t>
      </w:r>
      <w:r>
        <w:rPr>
          <w:rFonts w:hint="eastAsia"/>
        </w:rPr>
        <w:t>监测结果看，</w:t>
      </w:r>
      <w:r>
        <w:t>pH</w:t>
      </w:r>
      <w:r>
        <w:rPr>
          <w:rFonts w:hint="eastAsia"/>
        </w:rPr>
        <w:t>范围为</w:t>
      </w:r>
      <w:r>
        <w:rPr>
          <w:color w:val="000000"/>
        </w:rPr>
        <w:t>7.59~7.88</w:t>
      </w:r>
      <w:r>
        <w:rPr>
          <w:rFonts w:hint="eastAsia"/>
        </w:rPr>
        <w:t>，化学需氧量浓度范围为</w:t>
      </w:r>
      <w:r>
        <w:rPr>
          <w:color w:val="000000"/>
        </w:rPr>
        <w:t>28.1</w:t>
      </w:r>
      <w:r>
        <w:rPr>
          <w:rFonts w:hint="eastAsia"/>
          <w:color w:val="000000"/>
        </w:rPr>
        <w:t>～</w:t>
      </w:r>
      <w:r>
        <w:rPr>
          <w:color w:val="000000"/>
        </w:rPr>
        <w:t>37.9</w:t>
      </w:r>
      <w:r>
        <w:t>mg/L</w:t>
      </w:r>
      <w:r>
        <w:rPr>
          <w:rFonts w:hint="eastAsia"/>
        </w:rPr>
        <w:t>，悬浮物浓度范围为</w:t>
      </w:r>
      <w:r>
        <w:t>19</w:t>
      </w:r>
      <w:r>
        <w:rPr>
          <w:color w:val="000000"/>
        </w:rPr>
        <w:t>~32</w:t>
      </w:r>
      <w:r>
        <w:t>mg/L</w:t>
      </w:r>
      <w:r>
        <w:rPr>
          <w:rFonts w:hint="eastAsia"/>
        </w:rPr>
        <w:t>，氨氮浓度范围为</w:t>
      </w:r>
      <w:r>
        <w:rPr>
          <w:color w:val="000000"/>
        </w:rPr>
        <w:t>1.33</w:t>
      </w:r>
      <w:r>
        <w:rPr>
          <w:rFonts w:hint="eastAsia"/>
          <w:color w:val="000000"/>
        </w:rPr>
        <w:t>～</w:t>
      </w:r>
      <w:r>
        <w:rPr>
          <w:color w:val="000000"/>
        </w:rPr>
        <w:t>1.94</w:t>
      </w:r>
      <w:r>
        <w:t>mg/L</w:t>
      </w:r>
      <w:r>
        <w:rPr>
          <w:rFonts w:hint="eastAsia"/>
        </w:rPr>
        <w:t>，五日生化需氧量浓度范围为</w:t>
      </w:r>
      <w:r>
        <w:rPr>
          <w:color w:val="000000"/>
        </w:rPr>
        <w:t>8.9</w:t>
      </w:r>
      <w:r>
        <w:rPr>
          <w:rFonts w:hint="eastAsia"/>
          <w:color w:val="000000"/>
        </w:rPr>
        <w:t>～</w:t>
      </w:r>
      <w:r>
        <w:rPr>
          <w:color w:val="000000"/>
        </w:rPr>
        <w:t>12.8</w:t>
      </w:r>
      <w:r>
        <w:t>mg/L</w:t>
      </w:r>
      <w:r>
        <w:rPr>
          <w:rFonts w:hint="eastAsia"/>
        </w:rPr>
        <w:t>，动植物油类浓度范围为</w:t>
      </w:r>
      <w:r>
        <w:t>1.81</w:t>
      </w:r>
      <w:r>
        <w:rPr>
          <w:rFonts w:hint="eastAsia"/>
          <w:color w:val="000000"/>
        </w:rPr>
        <w:t>～</w:t>
      </w:r>
      <w:r>
        <w:t>2.28mg/L</w:t>
      </w:r>
      <w:r>
        <w:rPr>
          <w:rFonts w:hint="eastAsia"/>
        </w:rPr>
        <w:t>，总磷浓度未检出，阴离子表面活性剂浓度未检出，各污染物的排放浓度达到</w:t>
      </w:r>
      <w:r>
        <w:rPr>
          <w:rFonts w:hint="eastAsia"/>
          <w:szCs w:val="28"/>
        </w:rPr>
        <w:t>广东省《水污染物排放限值》（</w:t>
      </w:r>
      <w:r>
        <w:rPr>
          <w:szCs w:val="28"/>
        </w:rPr>
        <w:t>DB 44/26-2001</w:t>
      </w:r>
      <w:r>
        <w:rPr>
          <w:rFonts w:hint="eastAsia"/>
          <w:szCs w:val="28"/>
        </w:rPr>
        <w:t>）第二时段一级标准</w:t>
      </w:r>
      <w:r>
        <w:rPr>
          <w:rFonts w:hint="eastAsia"/>
        </w:rPr>
        <w:t>。</w:t>
      </w:r>
    </w:p>
    <w:p>
      <w:pPr>
        <w:spacing w:line="360" w:lineRule="auto"/>
        <w:rPr>
          <w:rFonts w:ascii="??_GB2312" w:hAnsi="宋体" w:cs="Arial Unicode MS"/>
          <w:szCs w:val="28"/>
        </w:rPr>
        <w:sectPr>
          <w:pgSz w:w="16838" w:h="11906" w:orient="landscape"/>
          <w:pgMar w:top="1080" w:right="1440" w:bottom="1080" w:left="1440" w:header="709" w:footer="709" w:gutter="0"/>
          <w:pgNumType w:fmt="decimal"/>
          <w:cols w:space="708" w:num="1"/>
          <w:docGrid w:linePitch="360" w:charSpace="0"/>
        </w:sectPr>
      </w:pPr>
    </w:p>
    <w:p>
      <w:pPr>
        <w:pStyle w:val="4"/>
        <w:spacing w:before="0" w:after="0" w:line="440" w:lineRule="exact"/>
      </w:pPr>
      <w:bookmarkStart w:id="48" w:name="_Toc11315"/>
      <w:r>
        <w:t xml:space="preserve">9.3 </w:t>
      </w:r>
      <w:r>
        <w:rPr>
          <w:rFonts w:hint="eastAsia"/>
        </w:rPr>
        <w:t>废气监测结果及评价</w:t>
      </w:r>
      <w:bookmarkEnd w:id="48"/>
    </w:p>
    <w:p>
      <w:pPr>
        <w:spacing w:line="440" w:lineRule="exact"/>
        <w:ind w:firstLine="480" w:firstLineChars="200"/>
        <w:rPr>
          <w:rFonts w:ascii="??_GB2312" w:hAnsi="宋体" w:cs="Arial Unicode MS"/>
          <w:szCs w:val="28"/>
        </w:rPr>
      </w:pPr>
      <w:r>
        <w:rPr>
          <w:rFonts w:hint="eastAsia"/>
          <w:szCs w:val="28"/>
        </w:rPr>
        <w:t>无组织排放废气监测结果见表</w:t>
      </w:r>
      <w:r>
        <w:rPr>
          <w:szCs w:val="28"/>
        </w:rPr>
        <w:t>9-3</w:t>
      </w:r>
      <w:r>
        <w:rPr>
          <w:rFonts w:hint="eastAsia"/>
          <w:szCs w:val="28"/>
        </w:rPr>
        <w:t>，锅炉排气筒废气监测结果见表</w:t>
      </w:r>
      <w:r>
        <w:rPr>
          <w:szCs w:val="28"/>
        </w:rPr>
        <w:t>9-4</w:t>
      </w:r>
      <w:r>
        <w:rPr>
          <w:rFonts w:hint="eastAsia"/>
          <w:szCs w:val="28"/>
        </w:rPr>
        <w:t>，车间废气排气筒出口废气监测结果见表</w:t>
      </w:r>
      <w:r>
        <w:rPr>
          <w:szCs w:val="28"/>
        </w:rPr>
        <w:t>9-5</w:t>
      </w:r>
      <w:r>
        <w:rPr>
          <w:rFonts w:hint="eastAsia"/>
          <w:szCs w:val="28"/>
        </w:rPr>
        <w:t>。</w:t>
      </w:r>
    </w:p>
    <w:p>
      <w:pPr>
        <w:spacing w:line="360" w:lineRule="auto"/>
        <w:jc w:val="center"/>
        <w:rPr>
          <w:b/>
        </w:rPr>
      </w:pPr>
      <w:r>
        <w:rPr>
          <w:rFonts w:hint="eastAsia"/>
          <w:b/>
        </w:rPr>
        <w:t>表</w:t>
      </w:r>
      <w:r>
        <w:rPr>
          <w:b/>
        </w:rPr>
        <w:t xml:space="preserve">9-3      </w:t>
      </w:r>
      <w:r>
        <w:rPr>
          <w:rFonts w:hint="eastAsia"/>
          <w:b/>
        </w:rPr>
        <w:t>无组织排放废气监测结果</w:t>
      </w:r>
    </w:p>
    <w:tbl>
      <w:tblPr>
        <w:tblStyle w:val="47"/>
        <w:tblW w:w="14047" w:type="dxa"/>
        <w:jc w:val="center"/>
        <w:tblInd w:w="-49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54"/>
        <w:gridCol w:w="2128"/>
        <w:gridCol w:w="1810"/>
        <w:gridCol w:w="1695"/>
        <w:gridCol w:w="1740"/>
        <w:gridCol w:w="1740"/>
        <w:gridCol w:w="1740"/>
        <w:gridCol w:w="17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454" w:type="dxa"/>
            <w:vMerge w:val="restart"/>
            <w:vAlign w:val="center"/>
          </w:tcPr>
          <w:p>
            <w:pPr>
              <w:pStyle w:val="17"/>
              <w:tabs>
                <w:tab w:val="left" w:pos="5152"/>
              </w:tabs>
              <w:adjustRightInd w:val="0"/>
              <w:snapToGrid w:val="0"/>
              <w:spacing w:before="0"/>
              <w:jc w:val="center"/>
              <w:rPr>
                <w:rFonts w:ascii="Times New Roman" w:hAnsi="Times New Roman" w:cs="Times New Roman"/>
                <w:bCs/>
              </w:rPr>
            </w:pPr>
            <w:r>
              <w:rPr>
                <w:rFonts w:hint="eastAsia" w:ascii="Times New Roman" w:hAnsi="Times New Roman" w:cs="Times New Roman"/>
                <w:bCs/>
              </w:rPr>
              <w:t>监测时间</w:t>
            </w:r>
          </w:p>
        </w:tc>
        <w:tc>
          <w:tcPr>
            <w:tcW w:w="2128" w:type="dxa"/>
            <w:vMerge w:val="restart"/>
            <w:vAlign w:val="center"/>
          </w:tcPr>
          <w:p>
            <w:pPr>
              <w:tabs>
                <w:tab w:val="left" w:pos="5152"/>
              </w:tabs>
              <w:adjustRightInd w:val="0"/>
              <w:snapToGrid w:val="0"/>
              <w:jc w:val="center"/>
            </w:pPr>
            <w:r>
              <w:rPr>
                <w:rFonts w:hint="eastAsia"/>
              </w:rPr>
              <w:t>监测点位</w:t>
            </w:r>
          </w:p>
        </w:tc>
        <w:tc>
          <w:tcPr>
            <w:tcW w:w="10465" w:type="dxa"/>
            <w:gridSpan w:val="6"/>
            <w:vAlign w:val="center"/>
          </w:tcPr>
          <w:p>
            <w:pPr>
              <w:tabs>
                <w:tab w:val="left" w:pos="5152"/>
              </w:tabs>
              <w:adjustRightInd w:val="0"/>
              <w:snapToGrid w:val="0"/>
              <w:jc w:val="center"/>
            </w:pPr>
            <w:r>
              <w:rPr>
                <w:rFonts w:hint="eastAsia"/>
              </w:rPr>
              <w:t>监</w:t>
            </w:r>
            <w:r>
              <w:t xml:space="preserve">   </w:t>
            </w:r>
            <w:r>
              <w:rPr>
                <w:rFonts w:hint="eastAsia"/>
              </w:rPr>
              <w:t>测</w:t>
            </w:r>
            <w:r>
              <w:t xml:space="preserve">   </w:t>
            </w:r>
            <w:r>
              <w:rPr>
                <w:rFonts w:hint="eastAsia"/>
              </w:rPr>
              <w:t>结</w:t>
            </w:r>
            <w:r>
              <w:t xml:space="preserve">   </w:t>
            </w:r>
            <w:r>
              <w:rPr>
                <w:rFonts w:hint="eastAsia"/>
              </w:rPr>
              <w:t>果（</w:t>
            </w:r>
            <w:r>
              <w:t>mg/m</w:t>
            </w:r>
            <w:r>
              <w:rPr>
                <w:vertAlign w:val="superscript"/>
              </w:rPr>
              <w:t>3</w:t>
            </w:r>
            <w:r>
              <w:rPr>
                <w:rFonts w:hint="eastAsia"/>
              </w:rPr>
              <w:t>，臭气浓度除外）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0" w:hRule="atLeast"/>
          <w:jc w:val="center"/>
        </w:trPr>
        <w:tc>
          <w:tcPr>
            <w:tcW w:w="1454" w:type="dxa"/>
            <w:vMerge w:val="continue"/>
            <w:vAlign w:val="center"/>
          </w:tcPr>
          <w:p>
            <w:pPr>
              <w:pStyle w:val="17"/>
              <w:tabs>
                <w:tab w:val="left" w:pos="5152"/>
              </w:tabs>
              <w:adjustRightInd w:val="0"/>
              <w:snapToGrid w:val="0"/>
              <w:spacing w:before="0"/>
              <w:jc w:val="center"/>
              <w:rPr>
                <w:rFonts w:ascii="Times New Roman" w:hAnsi="Times New Roman" w:cs="Times New Roman"/>
                <w:b/>
                <w:bCs/>
              </w:rPr>
            </w:pPr>
          </w:p>
        </w:tc>
        <w:tc>
          <w:tcPr>
            <w:tcW w:w="2128" w:type="dxa"/>
            <w:vMerge w:val="continue"/>
            <w:vAlign w:val="center"/>
          </w:tcPr>
          <w:p>
            <w:pPr>
              <w:pStyle w:val="17"/>
              <w:tabs>
                <w:tab w:val="left" w:pos="5152"/>
              </w:tabs>
              <w:adjustRightInd w:val="0"/>
              <w:snapToGrid w:val="0"/>
              <w:spacing w:before="0"/>
              <w:jc w:val="center"/>
              <w:rPr>
                <w:rFonts w:ascii="Times New Roman" w:hAnsi="Times New Roman" w:cs="Times New Roman"/>
                <w:b/>
                <w:bCs/>
              </w:rPr>
            </w:pPr>
          </w:p>
        </w:tc>
        <w:tc>
          <w:tcPr>
            <w:tcW w:w="1810" w:type="dxa"/>
            <w:vAlign w:val="center"/>
          </w:tcPr>
          <w:p>
            <w:pPr>
              <w:tabs>
                <w:tab w:val="left" w:pos="5152"/>
              </w:tabs>
              <w:jc w:val="center"/>
            </w:pPr>
            <w:r>
              <w:t>VOCs</w:t>
            </w:r>
          </w:p>
        </w:tc>
        <w:tc>
          <w:tcPr>
            <w:tcW w:w="1695" w:type="dxa"/>
            <w:vAlign w:val="center"/>
          </w:tcPr>
          <w:p>
            <w:pPr>
              <w:tabs>
                <w:tab w:val="left" w:pos="5152"/>
              </w:tabs>
              <w:jc w:val="center"/>
            </w:pPr>
            <w:r>
              <w:rPr>
                <w:rFonts w:hint="eastAsia"/>
              </w:rPr>
              <w:t>二甲苯</w:t>
            </w:r>
          </w:p>
        </w:tc>
        <w:tc>
          <w:tcPr>
            <w:tcW w:w="1740" w:type="dxa"/>
            <w:vAlign w:val="center"/>
          </w:tcPr>
          <w:p>
            <w:pPr>
              <w:tabs>
                <w:tab w:val="left" w:pos="5152"/>
              </w:tabs>
              <w:jc w:val="center"/>
            </w:pPr>
            <w:r>
              <w:t>TSP</w:t>
            </w:r>
          </w:p>
        </w:tc>
        <w:tc>
          <w:tcPr>
            <w:tcW w:w="1740" w:type="dxa"/>
            <w:vAlign w:val="center"/>
          </w:tcPr>
          <w:p>
            <w:pPr>
              <w:tabs>
                <w:tab w:val="left" w:pos="5152"/>
              </w:tabs>
              <w:jc w:val="center"/>
            </w:pPr>
            <w:r>
              <w:rPr>
                <w:rFonts w:hint="eastAsia"/>
              </w:rPr>
              <w:t>臭气浓度</w:t>
            </w:r>
          </w:p>
          <w:p>
            <w:pPr>
              <w:tabs>
                <w:tab w:val="left" w:pos="5152"/>
              </w:tabs>
              <w:jc w:val="center"/>
            </w:pPr>
            <w:r>
              <w:rPr>
                <w:rFonts w:hint="eastAsia"/>
              </w:rPr>
              <w:t>（无量纲）</w:t>
            </w:r>
          </w:p>
        </w:tc>
        <w:tc>
          <w:tcPr>
            <w:tcW w:w="1740" w:type="dxa"/>
            <w:vAlign w:val="center"/>
          </w:tcPr>
          <w:p>
            <w:pPr>
              <w:tabs>
                <w:tab w:val="left" w:pos="5152"/>
              </w:tabs>
              <w:jc w:val="center"/>
            </w:pPr>
            <w:r>
              <w:rPr>
                <w:rFonts w:hint="eastAsia"/>
              </w:rPr>
              <w:t>氨</w:t>
            </w:r>
          </w:p>
        </w:tc>
        <w:tc>
          <w:tcPr>
            <w:tcW w:w="1740" w:type="dxa"/>
            <w:vAlign w:val="center"/>
          </w:tcPr>
          <w:p>
            <w:pPr>
              <w:tabs>
                <w:tab w:val="left" w:pos="5152"/>
              </w:tabs>
              <w:jc w:val="center"/>
            </w:pPr>
            <w:r>
              <w:rPr>
                <w:rFonts w:hint="eastAsia"/>
              </w:rPr>
              <w:t>硫化氢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restart"/>
            <w:vAlign w:val="center"/>
          </w:tcPr>
          <w:p>
            <w:pPr>
              <w:tabs>
                <w:tab w:val="left" w:pos="5152"/>
              </w:tabs>
              <w:adjustRightInd w:val="0"/>
              <w:snapToGrid w:val="0"/>
              <w:jc w:val="center"/>
            </w:pPr>
            <w:r>
              <w:t>09</w:t>
            </w:r>
            <w:r>
              <w:rPr>
                <w:rFonts w:hint="eastAsia"/>
              </w:rPr>
              <w:t>月</w:t>
            </w:r>
            <w:r>
              <w:t>05</w:t>
            </w:r>
            <w:r>
              <w:rPr>
                <w:rFonts w:hint="eastAsia"/>
              </w:rPr>
              <w:t>日</w:t>
            </w:r>
          </w:p>
        </w:tc>
        <w:tc>
          <w:tcPr>
            <w:tcW w:w="2128" w:type="dxa"/>
            <w:vAlign w:val="center"/>
          </w:tcPr>
          <w:p>
            <w:pPr>
              <w:jc w:val="center"/>
            </w:pPr>
            <w:r>
              <w:rPr>
                <w:rFonts w:hint="eastAsia"/>
              </w:rPr>
              <w:t>上风向参照点</w:t>
            </w:r>
            <w:r>
              <w:t>1#</w:t>
            </w:r>
          </w:p>
        </w:tc>
        <w:tc>
          <w:tcPr>
            <w:tcW w:w="1810" w:type="dxa"/>
            <w:vAlign w:val="center"/>
          </w:tcPr>
          <w:p>
            <w:pPr>
              <w:autoSpaceDE w:val="0"/>
              <w:autoSpaceDN w:val="0"/>
              <w:adjustRightInd w:val="0"/>
              <w:jc w:val="center"/>
            </w:pPr>
            <w:r>
              <w:rPr>
                <w:color w:val="000000"/>
                <w:kern w:val="0"/>
              </w:rPr>
              <w:t>0.058</w:t>
            </w:r>
          </w:p>
        </w:tc>
        <w:tc>
          <w:tcPr>
            <w:tcW w:w="1695" w:type="dxa"/>
            <w:vAlign w:val="center"/>
          </w:tcPr>
          <w:p>
            <w:pPr>
              <w:autoSpaceDE w:val="0"/>
              <w:autoSpaceDN w:val="0"/>
              <w:adjustRightInd w:val="0"/>
              <w:jc w:val="center"/>
            </w:pPr>
            <w:r>
              <w:rPr>
                <w:color w:val="000000"/>
                <w:kern w:val="0"/>
              </w:rPr>
              <w:t>0.003</w:t>
            </w:r>
          </w:p>
        </w:tc>
        <w:tc>
          <w:tcPr>
            <w:tcW w:w="1740" w:type="dxa"/>
            <w:vAlign w:val="center"/>
          </w:tcPr>
          <w:p>
            <w:pPr>
              <w:autoSpaceDE w:val="0"/>
              <w:autoSpaceDN w:val="0"/>
              <w:adjustRightInd w:val="0"/>
              <w:jc w:val="center"/>
            </w:pPr>
            <w:r>
              <w:rPr>
                <w:color w:val="000000"/>
                <w:kern w:val="0"/>
              </w:rPr>
              <w:t>0.206</w:t>
            </w:r>
          </w:p>
        </w:tc>
        <w:tc>
          <w:tcPr>
            <w:tcW w:w="1740" w:type="dxa"/>
            <w:vAlign w:val="center"/>
          </w:tcPr>
          <w:p>
            <w:pPr>
              <w:autoSpaceDE w:val="0"/>
              <w:autoSpaceDN w:val="0"/>
              <w:adjustRightInd w:val="0"/>
              <w:jc w:val="center"/>
              <w:rPr>
                <w:color w:val="000000"/>
                <w:kern w:val="0"/>
              </w:rPr>
            </w:pPr>
            <w:r>
              <w:rPr>
                <w:rFonts w:hint="eastAsia"/>
                <w:color w:val="000000"/>
                <w:kern w:val="0"/>
              </w:rPr>
              <w:t>＜</w:t>
            </w:r>
            <w:r>
              <w:rPr>
                <w:color w:val="000000"/>
                <w:kern w:val="0"/>
              </w:rPr>
              <w:t>10</w:t>
            </w:r>
          </w:p>
        </w:tc>
        <w:tc>
          <w:tcPr>
            <w:tcW w:w="1740" w:type="dxa"/>
            <w:vAlign w:val="center"/>
          </w:tcPr>
          <w:p>
            <w:pPr>
              <w:autoSpaceDE w:val="0"/>
              <w:autoSpaceDN w:val="0"/>
              <w:adjustRightInd w:val="0"/>
              <w:jc w:val="center"/>
              <w:rPr>
                <w:color w:val="000000"/>
                <w:kern w:val="0"/>
              </w:rPr>
            </w:pPr>
            <w:r>
              <w:rPr>
                <w:color w:val="000000"/>
                <w:kern w:val="0"/>
              </w:rPr>
              <w:t>0.13</w:t>
            </w:r>
          </w:p>
        </w:tc>
        <w:tc>
          <w:tcPr>
            <w:tcW w:w="1740" w:type="dxa"/>
            <w:vAlign w:val="center"/>
          </w:tcPr>
          <w:p>
            <w:pPr>
              <w:autoSpaceDE w:val="0"/>
              <w:autoSpaceDN w:val="0"/>
              <w:adjustRightInd w:val="0"/>
              <w:jc w:val="center"/>
              <w:rPr>
                <w:color w:val="000000"/>
                <w:kern w:val="0"/>
              </w:rPr>
            </w:pPr>
            <w:r>
              <w:rPr>
                <w:color w:val="000000"/>
                <w:kern w:val="0"/>
              </w:rPr>
              <w:t>0.009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pPr>
          </w:p>
        </w:tc>
        <w:tc>
          <w:tcPr>
            <w:tcW w:w="2128" w:type="dxa"/>
            <w:vAlign w:val="center"/>
          </w:tcPr>
          <w:p>
            <w:pPr>
              <w:jc w:val="center"/>
            </w:pPr>
            <w:r>
              <w:rPr>
                <w:rFonts w:hint="eastAsia"/>
              </w:rPr>
              <w:t>下风向监测点</w:t>
            </w:r>
            <w:r>
              <w:t>2#</w:t>
            </w:r>
          </w:p>
        </w:tc>
        <w:tc>
          <w:tcPr>
            <w:tcW w:w="1810" w:type="dxa"/>
            <w:vAlign w:val="center"/>
          </w:tcPr>
          <w:p>
            <w:pPr>
              <w:autoSpaceDE w:val="0"/>
              <w:autoSpaceDN w:val="0"/>
              <w:adjustRightInd w:val="0"/>
              <w:jc w:val="center"/>
            </w:pPr>
            <w:r>
              <w:rPr>
                <w:color w:val="000000"/>
                <w:kern w:val="0"/>
              </w:rPr>
              <w:t>0.243</w:t>
            </w:r>
          </w:p>
        </w:tc>
        <w:tc>
          <w:tcPr>
            <w:tcW w:w="1695" w:type="dxa"/>
            <w:vAlign w:val="center"/>
          </w:tcPr>
          <w:p>
            <w:pPr>
              <w:autoSpaceDE w:val="0"/>
              <w:autoSpaceDN w:val="0"/>
              <w:adjustRightInd w:val="0"/>
              <w:jc w:val="center"/>
            </w:pPr>
            <w:r>
              <w:rPr>
                <w:color w:val="000000"/>
                <w:kern w:val="0"/>
              </w:rPr>
              <w:t>0.036</w:t>
            </w:r>
          </w:p>
        </w:tc>
        <w:tc>
          <w:tcPr>
            <w:tcW w:w="1740" w:type="dxa"/>
            <w:vAlign w:val="center"/>
          </w:tcPr>
          <w:p>
            <w:pPr>
              <w:autoSpaceDE w:val="0"/>
              <w:autoSpaceDN w:val="0"/>
              <w:adjustRightInd w:val="0"/>
              <w:jc w:val="center"/>
            </w:pPr>
            <w:r>
              <w:rPr>
                <w:color w:val="000000"/>
                <w:kern w:val="0"/>
              </w:rPr>
              <w:t>0.562</w:t>
            </w:r>
          </w:p>
        </w:tc>
        <w:tc>
          <w:tcPr>
            <w:tcW w:w="1740" w:type="dxa"/>
            <w:vAlign w:val="center"/>
          </w:tcPr>
          <w:p>
            <w:pPr>
              <w:autoSpaceDE w:val="0"/>
              <w:autoSpaceDN w:val="0"/>
              <w:adjustRightInd w:val="0"/>
              <w:jc w:val="center"/>
              <w:rPr>
                <w:color w:val="000000"/>
                <w:kern w:val="0"/>
              </w:rPr>
            </w:pPr>
            <w:r>
              <w:rPr>
                <w:color w:val="000000"/>
                <w:kern w:val="0"/>
              </w:rPr>
              <w:t>16</w:t>
            </w:r>
          </w:p>
        </w:tc>
        <w:tc>
          <w:tcPr>
            <w:tcW w:w="1740" w:type="dxa"/>
            <w:vAlign w:val="center"/>
          </w:tcPr>
          <w:p>
            <w:pPr>
              <w:autoSpaceDE w:val="0"/>
              <w:autoSpaceDN w:val="0"/>
              <w:adjustRightInd w:val="0"/>
              <w:jc w:val="center"/>
              <w:rPr>
                <w:color w:val="000000"/>
                <w:kern w:val="0"/>
              </w:rPr>
            </w:pPr>
            <w:r>
              <w:rPr>
                <w:color w:val="000000"/>
                <w:kern w:val="0"/>
              </w:rPr>
              <w:t>0.24</w:t>
            </w:r>
          </w:p>
        </w:tc>
        <w:tc>
          <w:tcPr>
            <w:tcW w:w="1740" w:type="dxa"/>
            <w:vAlign w:val="center"/>
          </w:tcPr>
          <w:p>
            <w:pPr>
              <w:autoSpaceDE w:val="0"/>
              <w:autoSpaceDN w:val="0"/>
              <w:adjustRightInd w:val="0"/>
              <w:jc w:val="center"/>
              <w:rPr>
                <w:color w:val="000000"/>
                <w:kern w:val="0"/>
              </w:rPr>
            </w:pPr>
            <w:r>
              <w:rPr>
                <w:color w:val="000000"/>
                <w:kern w:val="0"/>
              </w:rPr>
              <w:t>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rPr>
                <w:b/>
                <w:bCs/>
              </w:rPr>
            </w:pPr>
          </w:p>
        </w:tc>
        <w:tc>
          <w:tcPr>
            <w:tcW w:w="2128" w:type="dxa"/>
            <w:vAlign w:val="center"/>
          </w:tcPr>
          <w:p>
            <w:pPr>
              <w:jc w:val="center"/>
            </w:pPr>
            <w:r>
              <w:rPr>
                <w:rFonts w:hint="eastAsia"/>
              </w:rPr>
              <w:t>下风向监测点</w:t>
            </w:r>
            <w:r>
              <w:t>3#</w:t>
            </w:r>
          </w:p>
        </w:tc>
        <w:tc>
          <w:tcPr>
            <w:tcW w:w="1810" w:type="dxa"/>
            <w:vAlign w:val="center"/>
          </w:tcPr>
          <w:p>
            <w:pPr>
              <w:autoSpaceDE w:val="0"/>
              <w:autoSpaceDN w:val="0"/>
              <w:adjustRightInd w:val="0"/>
              <w:jc w:val="center"/>
            </w:pPr>
            <w:r>
              <w:rPr>
                <w:color w:val="000000"/>
                <w:kern w:val="0"/>
              </w:rPr>
              <w:t>0.208</w:t>
            </w:r>
          </w:p>
        </w:tc>
        <w:tc>
          <w:tcPr>
            <w:tcW w:w="1695" w:type="dxa"/>
            <w:vAlign w:val="center"/>
          </w:tcPr>
          <w:p>
            <w:pPr>
              <w:autoSpaceDE w:val="0"/>
              <w:autoSpaceDN w:val="0"/>
              <w:adjustRightInd w:val="0"/>
              <w:jc w:val="center"/>
            </w:pPr>
            <w:r>
              <w:rPr>
                <w:color w:val="000000"/>
                <w:kern w:val="0"/>
              </w:rPr>
              <w:t>0.035</w:t>
            </w:r>
          </w:p>
        </w:tc>
        <w:tc>
          <w:tcPr>
            <w:tcW w:w="1740" w:type="dxa"/>
            <w:vAlign w:val="center"/>
          </w:tcPr>
          <w:p>
            <w:pPr>
              <w:autoSpaceDE w:val="0"/>
              <w:autoSpaceDN w:val="0"/>
              <w:adjustRightInd w:val="0"/>
              <w:jc w:val="center"/>
            </w:pPr>
            <w:r>
              <w:rPr>
                <w:color w:val="000000"/>
                <w:kern w:val="0"/>
              </w:rPr>
              <w:t>0.544</w:t>
            </w:r>
          </w:p>
        </w:tc>
        <w:tc>
          <w:tcPr>
            <w:tcW w:w="1740" w:type="dxa"/>
            <w:vAlign w:val="center"/>
          </w:tcPr>
          <w:p>
            <w:pPr>
              <w:autoSpaceDE w:val="0"/>
              <w:autoSpaceDN w:val="0"/>
              <w:adjustRightInd w:val="0"/>
              <w:jc w:val="center"/>
              <w:rPr>
                <w:color w:val="000000"/>
                <w:kern w:val="0"/>
              </w:rPr>
            </w:pPr>
            <w:r>
              <w:rPr>
                <w:color w:val="000000"/>
                <w:kern w:val="0"/>
              </w:rPr>
              <w:t>17</w:t>
            </w:r>
          </w:p>
        </w:tc>
        <w:tc>
          <w:tcPr>
            <w:tcW w:w="1740" w:type="dxa"/>
            <w:vAlign w:val="center"/>
          </w:tcPr>
          <w:p>
            <w:pPr>
              <w:autoSpaceDE w:val="0"/>
              <w:autoSpaceDN w:val="0"/>
              <w:adjustRightInd w:val="0"/>
              <w:jc w:val="center"/>
              <w:rPr>
                <w:color w:val="000000"/>
                <w:kern w:val="0"/>
              </w:rPr>
            </w:pPr>
            <w:r>
              <w:rPr>
                <w:color w:val="000000"/>
                <w:kern w:val="0"/>
              </w:rPr>
              <w:t>0.24</w:t>
            </w:r>
          </w:p>
        </w:tc>
        <w:tc>
          <w:tcPr>
            <w:tcW w:w="1740" w:type="dxa"/>
            <w:vAlign w:val="center"/>
          </w:tcPr>
          <w:p>
            <w:pPr>
              <w:autoSpaceDE w:val="0"/>
              <w:autoSpaceDN w:val="0"/>
              <w:adjustRightInd w:val="0"/>
              <w:jc w:val="center"/>
              <w:rPr>
                <w:color w:val="000000"/>
                <w:kern w:val="0"/>
              </w:rPr>
            </w:pPr>
            <w:r>
              <w:rPr>
                <w:color w:val="000000"/>
                <w:kern w:val="0"/>
              </w:rPr>
              <w:t>0.012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rPr>
                <w:b/>
                <w:bCs/>
              </w:rPr>
            </w:pPr>
          </w:p>
        </w:tc>
        <w:tc>
          <w:tcPr>
            <w:tcW w:w="2128" w:type="dxa"/>
            <w:vAlign w:val="center"/>
          </w:tcPr>
          <w:p>
            <w:pPr>
              <w:jc w:val="center"/>
            </w:pPr>
            <w:r>
              <w:rPr>
                <w:rFonts w:hint="eastAsia"/>
              </w:rPr>
              <w:t>下风向监测点</w:t>
            </w:r>
            <w:r>
              <w:t>4#</w:t>
            </w:r>
          </w:p>
        </w:tc>
        <w:tc>
          <w:tcPr>
            <w:tcW w:w="1810" w:type="dxa"/>
            <w:vAlign w:val="center"/>
          </w:tcPr>
          <w:p>
            <w:pPr>
              <w:autoSpaceDE w:val="0"/>
              <w:autoSpaceDN w:val="0"/>
              <w:adjustRightInd w:val="0"/>
              <w:jc w:val="center"/>
            </w:pPr>
            <w:r>
              <w:rPr>
                <w:color w:val="000000"/>
                <w:kern w:val="0"/>
              </w:rPr>
              <w:t>0.112</w:t>
            </w:r>
          </w:p>
        </w:tc>
        <w:tc>
          <w:tcPr>
            <w:tcW w:w="1695" w:type="dxa"/>
            <w:vAlign w:val="center"/>
          </w:tcPr>
          <w:p>
            <w:pPr>
              <w:autoSpaceDE w:val="0"/>
              <w:autoSpaceDN w:val="0"/>
              <w:adjustRightInd w:val="0"/>
              <w:jc w:val="center"/>
            </w:pPr>
            <w:r>
              <w:rPr>
                <w:color w:val="000000"/>
                <w:kern w:val="0"/>
              </w:rPr>
              <w:t>0.020</w:t>
            </w:r>
          </w:p>
        </w:tc>
        <w:tc>
          <w:tcPr>
            <w:tcW w:w="1740" w:type="dxa"/>
            <w:vAlign w:val="center"/>
          </w:tcPr>
          <w:p>
            <w:pPr>
              <w:autoSpaceDE w:val="0"/>
              <w:autoSpaceDN w:val="0"/>
              <w:adjustRightInd w:val="0"/>
              <w:jc w:val="center"/>
            </w:pPr>
            <w:r>
              <w:rPr>
                <w:color w:val="000000"/>
                <w:kern w:val="0"/>
              </w:rPr>
              <w:t>0.600</w:t>
            </w:r>
          </w:p>
        </w:tc>
        <w:tc>
          <w:tcPr>
            <w:tcW w:w="1740" w:type="dxa"/>
            <w:vAlign w:val="center"/>
          </w:tcPr>
          <w:p>
            <w:pPr>
              <w:autoSpaceDE w:val="0"/>
              <w:autoSpaceDN w:val="0"/>
              <w:adjustRightInd w:val="0"/>
              <w:jc w:val="center"/>
              <w:rPr>
                <w:color w:val="000000"/>
                <w:kern w:val="0"/>
              </w:rPr>
            </w:pPr>
            <w:r>
              <w:rPr>
                <w:color w:val="000000"/>
                <w:kern w:val="0"/>
              </w:rPr>
              <w:t>15</w:t>
            </w:r>
          </w:p>
        </w:tc>
        <w:tc>
          <w:tcPr>
            <w:tcW w:w="1740" w:type="dxa"/>
            <w:vAlign w:val="center"/>
          </w:tcPr>
          <w:p>
            <w:pPr>
              <w:autoSpaceDE w:val="0"/>
              <w:autoSpaceDN w:val="0"/>
              <w:adjustRightInd w:val="0"/>
              <w:jc w:val="center"/>
              <w:rPr>
                <w:color w:val="000000"/>
                <w:kern w:val="0"/>
              </w:rPr>
            </w:pPr>
            <w:r>
              <w:rPr>
                <w:color w:val="000000"/>
                <w:kern w:val="0"/>
              </w:rPr>
              <w:t>0.21</w:t>
            </w:r>
          </w:p>
        </w:tc>
        <w:tc>
          <w:tcPr>
            <w:tcW w:w="1740" w:type="dxa"/>
            <w:vAlign w:val="center"/>
          </w:tcPr>
          <w:p>
            <w:pPr>
              <w:autoSpaceDE w:val="0"/>
              <w:autoSpaceDN w:val="0"/>
              <w:adjustRightInd w:val="0"/>
              <w:jc w:val="center"/>
              <w:rPr>
                <w:color w:val="000000"/>
                <w:kern w:val="0"/>
              </w:rPr>
            </w:pPr>
            <w:r>
              <w:rPr>
                <w:color w:val="000000"/>
                <w:kern w:val="0"/>
              </w:rPr>
              <w:t>0.013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restart"/>
            <w:vAlign w:val="center"/>
          </w:tcPr>
          <w:p>
            <w:pPr>
              <w:tabs>
                <w:tab w:val="left" w:pos="5152"/>
              </w:tabs>
              <w:adjustRightInd w:val="0"/>
              <w:snapToGrid w:val="0"/>
              <w:jc w:val="center"/>
            </w:pPr>
            <w:r>
              <w:t>09</w:t>
            </w:r>
            <w:r>
              <w:rPr>
                <w:rFonts w:hint="eastAsia"/>
              </w:rPr>
              <w:t>月</w:t>
            </w:r>
            <w:r>
              <w:t>06</w:t>
            </w:r>
            <w:r>
              <w:rPr>
                <w:rFonts w:hint="eastAsia"/>
              </w:rPr>
              <w:t>日</w:t>
            </w:r>
          </w:p>
        </w:tc>
        <w:tc>
          <w:tcPr>
            <w:tcW w:w="2128" w:type="dxa"/>
            <w:vAlign w:val="center"/>
          </w:tcPr>
          <w:p>
            <w:pPr>
              <w:jc w:val="center"/>
            </w:pPr>
            <w:r>
              <w:rPr>
                <w:rFonts w:hint="eastAsia"/>
              </w:rPr>
              <w:t>上风向参照点</w:t>
            </w:r>
            <w:r>
              <w:t>1#</w:t>
            </w:r>
          </w:p>
        </w:tc>
        <w:tc>
          <w:tcPr>
            <w:tcW w:w="1810" w:type="dxa"/>
            <w:vAlign w:val="center"/>
          </w:tcPr>
          <w:p>
            <w:pPr>
              <w:autoSpaceDE w:val="0"/>
              <w:autoSpaceDN w:val="0"/>
              <w:adjustRightInd w:val="0"/>
              <w:jc w:val="center"/>
            </w:pPr>
            <w:r>
              <w:rPr>
                <w:color w:val="000000"/>
                <w:kern w:val="0"/>
              </w:rPr>
              <w:t>0.054</w:t>
            </w:r>
          </w:p>
        </w:tc>
        <w:tc>
          <w:tcPr>
            <w:tcW w:w="1695" w:type="dxa"/>
            <w:vAlign w:val="center"/>
          </w:tcPr>
          <w:p>
            <w:pPr>
              <w:autoSpaceDE w:val="0"/>
              <w:autoSpaceDN w:val="0"/>
              <w:adjustRightInd w:val="0"/>
              <w:jc w:val="center"/>
            </w:pPr>
            <w:r>
              <w:rPr>
                <w:color w:val="000000"/>
                <w:kern w:val="0"/>
              </w:rPr>
              <w:t>0.004</w:t>
            </w:r>
          </w:p>
        </w:tc>
        <w:tc>
          <w:tcPr>
            <w:tcW w:w="1740" w:type="dxa"/>
            <w:vAlign w:val="center"/>
          </w:tcPr>
          <w:p>
            <w:pPr>
              <w:autoSpaceDE w:val="0"/>
              <w:autoSpaceDN w:val="0"/>
              <w:adjustRightInd w:val="0"/>
              <w:jc w:val="center"/>
            </w:pPr>
            <w:r>
              <w:rPr>
                <w:color w:val="000000"/>
                <w:kern w:val="0"/>
              </w:rPr>
              <w:t>0.189</w:t>
            </w:r>
          </w:p>
        </w:tc>
        <w:tc>
          <w:tcPr>
            <w:tcW w:w="1740" w:type="dxa"/>
            <w:vAlign w:val="center"/>
          </w:tcPr>
          <w:p>
            <w:pPr>
              <w:autoSpaceDE w:val="0"/>
              <w:autoSpaceDN w:val="0"/>
              <w:adjustRightInd w:val="0"/>
              <w:jc w:val="center"/>
              <w:rPr>
                <w:color w:val="000000"/>
                <w:kern w:val="0"/>
              </w:rPr>
            </w:pPr>
            <w:r>
              <w:rPr>
                <w:rFonts w:hint="eastAsia"/>
                <w:color w:val="000000"/>
                <w:kern w:val="0"/>
              </w:rPr>
              <w:t>＜</w:t>
            </w:r>
            <w:r>
              <w:rPr>
                <w:color w:val="000000"/>
                <w:kern w:val="0"/>
              </w:rPr>
              <w:t>10</w:t>
            </w:r>
          </w:p>
        </w:tc>
        <w:tc>
          <w:tcPr>
            <w:tcW w:w="1740" w:type="dxa"/>
            <w:vAlign w:val="center"/>
          </w:tcPr>
          <w:p>
            <w:pPr>
              <w:autoSpaceDE w:val="0"/>
              <w:autoSpaceDN w:val="0"/>
              <w:adjustRightInd w:val="0"/>
              <w:jc w:val="center"/>
              <w:rPr>
                <w:color w:val="000000"/>
                <w:kern w:val="0"/>
              </w:rPr>
            </w:pPr>
            <w:r>
              <w:rPr>
                <w:color w:val="000000"/>
                <w:kern w:val="0"/>
              </w:rPr>
              <w:t>0.12</w:t>
            </w:r>
          </w:p>
        </w:tc>
        <w:tc>
          <w:tcPr>
            <w:tcW w:w="1740" w:type="dxa"/>
            <w:vAlign w:val="center"/>
          </w:tcPr>
          <w:p>
            <w:pPr>
              <w:autoSpaceDE w:val="0"/>
              <w:autoSpaceDN w:val="0"/>
              <w:adjustRightInd w:val="0"/>
              <w:jc w:val="center"/>
              <w:rPr>
                <w:color w:val="000000"/>
                <w:kern w:val="0"/>
              </w:rPr>
            </w:pPr>
            <w:r>
              <w:rPr>
                <w:color w:val="000000"/>
                <w:kern w:val="0"/>
              </w:rPr>
              <w:t>0.008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pPr>
          </w:p>
        </w:tc>
        <w:tc>
          <w:tcPr>
            <w:tcW w:w="2128" w:type="dxa"/>
            <w:vAlign w:val="center"/>
          </w:tcPr>
          <w:p>
            <w:pPr>
              <w:jc w:val="center"/>
            </w:pPr>
            <w:r>
              <w:rPr>
                <w:rFonts w:hint="eastAsia"/>
              </w:rPr>
              <w:t>下风向监测点</w:t>
            </w:r>
            <w:r>
              <w:t>2#</w:t>
            </w:r>
          </w:p>
        </w:tc>
        <w:tc>
          <w:tcPr>
            <w:tcW w:w="1810" w:type="dxa"/>
            <w:vAlign w:val="center"/>
          </w:tcPr>
          <w:p>
            <w:pPr>
              <w:autoSpaceDE w:val="0"/>
              <w:autoSpaceDN w:val="0"/>
              <w:adjustRightInd w:val="0"/>
              <w:jc w:val="center"/>
            </w:pPr>
            <w:r>
              <w:rPr>
                <w:color w:val="000000"/>
                <w:kern w:val="0"/>
              </w:rPr>
              <w:t>0.304</w:t>
            </w:r>
          </w:p>
        </w:tc>
        <w:tc>
          <w:tcPr>
            <w:tcW w:w="1695" w:type="dxa"/>
            <w:vAlign w:val="center"/>
          </w:tcPr>
          <w:p>
            <w:pPr>
              <w:autoSpaceDE w:val="0"/>
              <w:autoSpaceDN w:val="0"/>
              <w:adjustRightInd w:val="0"/>
              <w:jc w:val="center"/>
            </w:pPr>
            <w:r>
              <w:rPr>
                <w:color w:val="000000"/>
                <w:kern w:val="0"/>
              </w:rPr>
              <w:t>0.075</w:t>
            </w:r>
          </w:p>
        </w:tc>
        <w:tc>
          <w:tcPr>
            <w:tcW w:w="1740" w:type="dxa"/>
            <w:vAlign w:val="center"/>
          </w:tcPr>
          <w:p>
            <w:pPr>
              <w:autoSpaceDE w:val="0"/>
              <w:autoSpaceDN w:val="0"/>
              <w:adjustRightInd w:val="0"/>
              <w:jc w:val="center"/>
            </w:pPr>
            <w:r>
              <w:rPr>
                <w:color w:val="000000"/>
                <w:kern w:val="0"/>
              </w:rPr>
              <w:t>0.644</w:t>
            </w:r>
          </w:p>
        </w:tc>
        <w:tc>
          <w:tcPr>
            <w:tcW w:w="1740" w:type="dxa"/>
            <w:vAlign w:val="center"/>
          </w:tcPr>
          <w:p>
            <w:pPr>
              <w:autoSpaceDE w:val="0"/>
              <w:autoSpaceDN w:val="0"/>
              <w:adjustRightInd w:val="0"/>
              <w:jc w:val="center"/>
              <w:rPr>
                <w:color w:val="000000"/>
                <w:kern w:val="0"/>
              </w:rPr>
            </w:pPr>
            <w:r>
              <w:rPr>
                <w:color w:val="000000"/>
                <w:kern w:val="0"/>
              </w:rPr>
              <w:t>18</w:t>
            </w:r>
          </w:p>
        </w:tc>
        <w:tc>
          <w:tcPr>
            <w:tcW w:w="1740" w:type="dxa"/>
            <w:vAlign w:val="center"/>
          </w:tcPr>
          <w:p>
            <w:pPr>
              <w:autoSpaceDE w:val="0"/>
              <w:autoSpaceDN w:val="0"/>
              <w:adjustRightInd w:val="0"/>
              <w:jc w:val="center"/>
              <w:rPr>
                <w:color w:val="000000"/>
                <w:kern w:val="0"/>
              </w:rPr>
            </w:pPr>
            <w:r>
              <w:rPr>
                <w:color w:val="000000"/>
                <w:kern w:val="0"/>
              </w:rPr>
              <w:t>0.23</w:t>
            </w:r>
          </w:p>
        </w:tc>
        <w:tc>
          <w:tcPr>
            <w:tcW w:w="1740" w:type="dxa"/>
            <w:vAlign w:val="center"/>
          </w:tcPr>
          <w:p>
            <w:pPr>
              <w:autoSpaceDE w:val="0"/>
              <w:autoSpaceDN w:val="0"/>
              <w:adjustRightInd w:val="0"/>
              <w:jc w:val="center"/>
              <w:rPr>
                <w:color w:val="000000"/>
                <w:kern w:val="0"/>
              </w:rPr>
            </w:pPr>
            <w:r>
              <w:rPr>
                <w:color w:val="000000"/>
                <w:kern w:val="0"/>
              </w:rPr>
              <w:t>0.011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pPr>
          </w:p>
        </w:tc>
        <w:tc>
          <w:tcPr>
            <w:tcW w:w="2128" w:type="dxa"/>
            <w:vAlign w:val="center"/>
          </w:tcPr>
          <w:p>
            <w:pPr>
              <w:jc w:val="center"/>
            </w:pPr>
            <w:r>
              <w:rPr>
                <w:rFonts w:hint="eastAsia"/>
              </w:rPr>
              <w:t>下风向监测点</w:t>
            </w:r>
            <w:r>
              <w:t>3#</w:t>
            </w:r>
          </w:p>
        </w:tc>
        <w:tc>
          <w:tcPr>
            <w:tcW w:w="1810" w:type="dxa"/>
            <w:vAlign w:val="center"/>
          </w:tcPr>
          <w:p>
            <w:pPr>
              <w:autoSpaceDE w:val="0"/>
              <w:autoSpaceDN w:val="0"/>
              <w:adjustRightInd w:val="0"/>
              <w:jc w:val="center"/>
            </w:pPr>
            <w:r>
              <w:rPr>
                <w:color w:val="000000"/>
                <w:kern w:val="0"/>
              </w:rPr>
              <w:t>0.232</w:t>
            </w:r>
          </w:p>
        </w:tc>
        <w:tc>
          <w:tcPr>
            <w:tcW w:w="1695" w:type="dxa"/>
            <w:vAlign w:val="center"/>
          </w:tcPr>
          <w:p>
            <w:pPr>
              <w:autoSpaceDE w:val="0"/>
              <w:autoSpaceDN w:val="0"/>
              <w:adjustRightInd w:val="0"/>
              <w:jc w:val="center"/>
            </w:pPr>
            <w:r>
              <w:rPr>
                <w:color w:val="000000"/>
                <w:kern w:val="0"/>
              </w:rPr>
              <w:t>0.039</w:t>
            </w:r>
          </w:p>
        </w:tc>
        <w:tc>
          <w:tcPr>
            <w:tcW w:w="1740" w:type="dxa"/>
            <w:vAlign w:val="center"/>
          </w:tcPr>
          <w:p>
            <w:pPr>
              <w:autoSpaceDE w:val="0"/>
              <w:autoSpaceDN w:val="0"/>
              <w:adjustRightInd w:val="0"/>
              <w:jc w:val="center"/>
            </w:pPr>
            <w:r>
              <w:rPr>
                <w:color w:val="000000"/>
                <w:kern w:val="0"/>
              </w:rPr>
              <w:t>0.606</w:t>
            </w:r>
          </w:p>
        </w:tc>
        <w:tc>
          <w:tcPr>
            <w:tcW w:w="1740" w:type="dxa"/>
            <w:vAlign w:val="center"/>
          </w:tcPr>
          <w:p>
            <w:pPr>
              <w:autoSpaceDE w:val="0"/>
              <w:autoSpaceDN w:val="0"/>
              <w:adjustRightInd w:val="0"/>
              <w:jc w:val="center"/>
              <w:rPr>
                <w:color w:val="000000"/>
                <w:kern w:val="0"/>
              </w:rPr>
            </w:pPr>
            <w:r>
              <w:rPr>
                <w:color w:val="000000"/>
                <w:kern w:val="0"/>
              </w:rPr>
              <w:t>19</w:t>
            </w:r>
          </w:p>
        </w:tc>
        <w:tc>
          <w:tcPr>
            <w:tcW w:w="1740" w:type="dxa"/>
            <w:vAlign w:val="center"/>
          </w:tcPr>
          <w:p>
            <w:pPr>
              <w:autoSpaceDE w:val="0"/>
              <w:autoSpaceDN w:val="0"/>
              <w:adjustRightInd w:val="0"/>
              <w:jc w:val="center"/>
              <w:rPr>
                <w:color w:val="000000"/>
                <w:kern w:val="0"/>
              </w:rPr>
            </w:pPr>
            <w:r>
              <w:rPr>
                <w:color w:val="000000"/>
                <w:kern w:val="0"/>
              </w:rPr>
              <w:t>0.24</w:t>
            </w:r>
          </w:p>
        </w:tc>
        <w:tc>
          <w:tcPr>
            <w:tcW w:w="1740" w:type="dxa"/>
            <w:vAlign w:val="center"/>
          </w:tcPr>
          <w:p>
            <w:pPr>
              <w:autoSpaceDE w:val="0"/>
              <w:autoSpaceDN w:val="0"/>
              <w:adjustRightInd w:val="0"/>
              <w:jc w:val="center"/>
              <w:rPr>
                <w:color w:val="000000"/>
                <w:kern w:val="0"/>
              </w:rPr>
            </w:pPr>
            <w:r>
              <w:rPr>
                <w:color w:val="000000"/>
                <w:kern w:val="0"/>
              </w:rPr>
              <w:t>0.013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pPr>
          </w:p>
        </w:tc>
        <w:tc>
          <w:tcPr>
            <w:tcW w:w="2128" w:type="dxa"/>
            <w:vAlign w:val="center"/>
          </w:tcPr>
          <w:p>
            <w:pPr>
              <w:jc w:val="center"/>
            </w:pPr>
            <w:r>
              <w:rPr>
                <w:rFonts w:hint="eastAsia"/>
              </w:rPr>
              <w:t>下风向监测点</w:t>
            </w:r>
            <w:r>
              <w:t>4#</w:t>
            </w:r>
          </w:p>
        </w:tc>
        <w:tc>
          <w:tcPr>
            <w:tcW w:w="1810" w:type="dxa"/>
            <w:vAlign w:val="center"/>
          </w:tcPr>
          <w:p>
            <w:pPr>
              <w:autoSpaceDE w:val="0"/>
              <w:autoSpaceDN w:val="0"/>
              <w:adjustRightInd w:val="0"/>
              <w:jc w:val="center"/>
            </w:pPr>
            <w:r>
              <w:rPr>
                <w:color w:val="000000"/>
                <w:kern w:val="0"/>
              </w:rPr>
              <w:t>0.227</w:t>
            </w:r>
          </w:p>
        </w:tc>
        <w:tc>
          <w:tcPr>
            <w:tcW w:w="1695" w:type="dxa"/>
            <w:vAlign w:val="center"/>
          </w:tcPr>
          <w:p>
            <w:pPr>
              <w:autoSpaceDE w:val="0"/>
              <w:autoSpaceDN w:val="0"/>
              <w:adjustRightInd w:val="0"/>
              <w:jc w:val="center"/>
            </w:pPr>
            <w:r>
              <w:rPr>
                <w:color w:val="000000"/>
                <w:kern w:val="0"/>
              </w:rPr>
              <w:t>0.095</w:t>
            </w:r>
          </w:p>
        </w:tc>
        <w:tc>
          <w:tcPr>
            <w:tcW w:w="1740" w:type="dxa"/>
            <w:vAlign w:val="center"/>
          </w:tcPr>
          <w:p>
            <w:pPr>
              <w:autoSpaceDE w:val="0"/>
              <w:autoSpaceDN w:val="0"/>
              <w:adjustRightInd w:val="0"/>
              <w:jc w:val="center"/>
            </w:pPr>
            <w:r>
              <w:rPr>
                <w:color w:val="000000"/>
                <w:kern w:val="0"/>
              </w:rPr>
              <w:t>0.568</w:t>
            </w:r>
          </w:p>
        </w:tc>
        <w:tc>
          <w:tcPr>
            <w:tcW w:w="1740" w:type="dxa"/>
            <w:vAlign w:val="center"/>
          </w:tcPr>
          <w:p>
            <w:pPr>
              <w:autoSpaceDE w:val="0"/>
              <w:autoSpaceDN w:val="0"/>
              <w:adjustRightInd w:val="0"/>
              <w:jc w:val="center"/>
              <w:rPr>
                <w:color w:val="000000"/>
                <w:kern w:val="0"/>
              </w:rPr>
            </w:pPr>
            <w:r>
              <w:rPr>
                <w:color w:val="000000"/>
                <w:kern w:val="0"/>
              </w:rPr>
              <w:t>17</w:t>
            </w:r>
          </w:p>
        </w:tc>
        <w:tc>
          <w:tcPr>
            <w:tcW w:w="1740" w:type="dxa"/>
            <w:vAlign w:val="center"/>
          </w:tcPr>
          <w:p>
            <w:pPr>
              <w:autoSpaceDE w:val="0"/>
              <w:autoSpaceDN w:val="0"/>
              <w:adjustRightInd w:val="0"/>
              <w:jc w:val="center"/>
              <w:rPr>
                <w:color w:val="000000"/>
                <w:kern w:val="0"/>
              </w:rPr>
            </w:pPr>
            <w:r>
              <w:rPr>
                <w:color w:val="000000"/>
                <w:kern w:val="0"/>
              </w:rPr>
              <w:t>0.22</w:t>
            </w:r>
          </w:p>
        </w:tc>
        <w:tc>
          <w:tcPr>
            <w:tcW w:w="1740" w:type="dxa"/>
            <w:vAlign w:val="center"/>
          </w:tcPr>
          <w:p>
            <w:pPr>
              <w:autoSpaceDE w:val="0"/>
              <w:autoSpaceDN w:val="0"/>
              <w:adjustRightInd w:val="0"/>
              <w:jc w:val="center"/>
              <w:rPr>
                <w:color w:val="000000"/>
                <w:kern w:val="0"/>
              </w:rPr>
            </w:pPr>
            <w:r>
              <w:rPr>
                <w:color w:val="000000"/>
                <w:kern w:val="0"/>
              </w:rPr>
              <w:t>0.013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restart"/>
            <w:vAlign w:val="center"/>
          </w:tcPr>
          <w:p>
            <w:pPr>
              <w:tabs>
                <w:tab w:val="left" w:pos="5152"/>
              </w:tabs>
              <w:adjustRightInd w:val="0"/>
              <w:snapToGrid w:val="0"/>
              <w:ind w:left="-120" w:leftChars="-50" w:right="-120" w:rightChars="-50"/>
              <w:jc w:val="center"/>
              <w:rPr>
                <w:bCs/>
              </w:rPr>
            </w:pPr>
            <w:r>
              <w:rPr>
                <w:rFonts w:hint="eastAsia"/>
                <w:bCs/>
              </w:rPr>
              <w:t>排放限值</w:t>
            </w:r>
          </w:p>
        </w:tc>
        <w:tc>
          <w:tcPr>
            <w:tcW w:w="2128" w:type="dxa"/>
            <w:vAlign w:val="center"/>
          </w:tcPr>
          <w:p>
            <w:pPr>
              <w:tabs>
                <w:tab w:val="left" w:pos="5152"/>
              </w:tabs>
              <w:adjustRightInd w:val="0"/>
              <w:snapToGrid w:val="0"/>
              <w:jc w:val="center"/>
              <w:rPr>
                <w:bCs/>
              </w:rPr>
            </w:pPr>
            <w:r>
              <w:rPr>
                <w:bCs/>
              </w:rPr>
              <w:t>DB44/814-2010</w:t>
            </w:r>
          </w:p>
        </w:tc>
        <w:tc>
          <w:tcPr>
            <w:tcW w:w="1810" w:type="dxa"/>
            <w:vAlign w:val="center"/>
          </w:tcPr>
          <w:p>
            <w:pPr>
              <w:tabs>
                <w:tab w:val="left" w:pos="5152"/>
              </w:tabs>
              <w:adjustRightInd w:val="0"/>
              <w:snapToGrid w:val="0"/>
              <w:jc w:val="center"/>
            </w:pPr>
            <w:r>
              <w:t>2.0</w:t>
            </w:r>
          </w:p>
        </w:tc>
        <w:tc>
          <w:tcPr>
            <w:tcW w:w="1695" w:type="dxa"/>
            <w:vAlign w:val="center"/>
          </w:tcPr>
          <w:p>
            <w:pPr>
              <w:tabs>
                <w:tab w:val="left" w:pos="5152"/>
              </w:tabs>
              <w:adjustRightInd w:val="0"/>
              <w:snapToGrid w:val="0"/>
              <w:jc w:val="center"/>
            </w:pPr>
            <w:r>
              <w:t>—</w:t>
            </w:r>
          </w:p>
        </w:tc>
        <w:tc>
          <w:tcPr>
            <w:tcW w:w="1740" w:type="dxa"/>
            <w:vAlign w:val="center"/>
          </w:tcPr>
          <w:p>
            <w:pPr>
              <w:jc w:val="center"/>
            </w:pPr>
            <w:r>
              <w:t>—</w:t>
            </w:r>
          </w:p>
        </w:tc>
        <w:tc>
          <w:tcPr>
            <w:tcW w:w="1740" w:type="dxa"/>
            <w:vAlign w:val="center"/>
          </w:tcPr>
          <w:p>
            <w:pPr>
              <w:jc w:val="center"/>
            </w:pPr>
            <w:r>
              <w:t>—</w:t>
            </w:r>
          </w:p>
        </w:tc>
        <w:tc>
          <w:tcPr>
            <w:tcW w:w="1740" w:type="dxa"/>
            <w:vAlign w:val="center"/>
          </w:tcPr>
          <w:p>
            <w:pPr>
              <w:jc w:val="center"/>
            </w:pPr>
            <w:r>
              <w:t>—</w:t>
            </w:r>
          </w:p>
        </w:tc>
        <w:tc>
          <w:tcPr>
            <w:tcW w:w="1740" w:type="dxa"/>
            <w:vAlign w:val="center"/>
          </w:tcPr>
          <w:p>
            <w:pPr>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rPr>
                <w:bCs/>
              </w:rPr>
            </w:pPr>
          </w:p>
        </w:tc>
        <w:tc>
          <w:tcPr>
            <w:tcW w:w="2128" w:type="dxa"/>
            <w:vAlign w:val="center"/>
          </w:tcPr>
          <w:p>
            <w:pPr>
              <w:tabs>
                <w:tab w:val="left" w:pos="5152"/>
              </w:tabs>
              <w:adjustRightInd w:val="0"/>
              <w:snapToGrid w:val="0"/>
              <w:jc w:val="center"/>
              <w:rPr>
                <w:bCs/>
              </w:rPr>
            </w:pPr>
            <w:r>
              <w:rPr>
                <w:color w:val="000000"/>
              </w:rPr>
              <w:t>DB 44/27-2001</w:t>
            </w:r>
          </w:p>
        </w:tc>
        <w:tc>
          <w:tcPr>
            <w:tcW w:w="1810" w:type="dxa"/>
            <w:vAlign w:val="center"/>
          </w:tcPr>
          <w:p>
            <w:pPr>
              <w:tabs>
                <w:tab w:val="left" w:pos="5152"/>
              </w:tabs>
              <w:adjustRightInd w:val="0"/>
              <w:snapToGrid w:val="0"/>
              <w:jc w:val="center"/>
            </w:pPr>
            <w:r>
              <w:t>—</w:t>
            </w:r>
          </w:p>
        </w:tc>
        <w:tc>
          <w:tcPr>
            <w:tcW w:w="1695" w:type="dxa"/>
            <w:vAlign w:val="center"/>
          </w:tcPr>
          <w:p>
            <w:pPr>
              <w:tabs>
                <w:tab w:val="left" w:pos="5152"/>
              </w:tabs>
              <w:adjustRightInd w:val="0"/>
              <w:snapToGrid w:val="0"/>
              <w:jc w:val="center"/>
            </w:pPr>
            <w:r>
              <w:t>1.2</w:t>
            </w:r>
          </w:p>
        </w:tc>
        <w:tc>
          <w:tcPr>
            <w:tcW w:w="1740" w:type="dxa"/>
            <w:vAlign w:val="center"/>
          </w:tcPr>
          <w:p>
            <w:pPr>
              <w:tabs>
                <w:tab w:val="left" w:pos="5152"/>
              </w:tabs>
              <w:adjustRightInd w:val="0"/>
              <w:snapToGrid w:val="0"/>
              <w:jc w:val="center"/>
            </w:pPr>
            <w:r>
              <w:t>1.0</w:t>
            </w:r>
          </w:p>
        </w:tc>
        <w:tc>
          <w:tcPr>
            <w:tcW w:w="1740" w:type="dxa"/>
            <w:vAlign w:val="center"/>
          </w:tcPr>
          <w:p>
            <w:pPr>
              <w:adjustRightInd w:val="0"/>
              <w:snapToGrid w:val="0"/>
              <w:jc w:val="center"/>
            </w:pPr>
            <w:r>
              <w:t>—</w:t>
            </w:r>
          </w:p>
        </w:tc>
        <w:tc>
          <w:tcPr>
            <w:tcW w:w="1740" w:type="dxa"/>
            <w:vAlign w:val="center"/>
          </w:tcPr>
          <w:p>
            <w:pPr>
              <w:adjustRightInd w:val="0"/>
              <w:snapToGrid w:val="0"/>
              <w:jc w:val="center"/>
            </w:pPr>
            <w:r>
              <w:t>—</w:t>
            </w:r>
          </w:p>
        </w:tc>
        <w:tc>
          <w:tcPr>
            <w:tcW w:w="1740" w:type="dxa"/>
            <w:vAlign w:val="center"/>
          </w:tcPr>
          <w:p>
            <w:pPr>
              <w:adjustRightInd w:val="0"/>
              <w:snapToGrid w:val="0"/>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454" w:type="dxa"/>
            <w:vMerge w:val="continue"/>
            <w:vAlign w:val="center"/>
          </w:tcPr>
          <w:p>
            <w:pPr>
              <w:tabs>
                <w:tab w:val="left" w:pos="5152"/>
              </w:tabs>
              <w:adjustRightInd w:val="0"/>
              <w:snapToGrid w:val="0"/>
              <w:jc w:val="center"/>
              <w:rPr>
                <w:bCs/>
              </w:rPr>
            </w:pPr>
          </w:p>
        </w:tc>
        <w:tc>
          <w:tcPr>
            <w:tcW w:w="2128" w:type="dxa"/>
            <w:vAlign w:val="center"/>
          </w:tcPr>
          <w:p>
            <w:pPr>
              <w:tabs>
                <w:tab w:val="left" w:pos="5152"/>
              </w:tabs>
              <w:adjustRightInd w:val="0"/>
              <w:snapToGrid w:val="0"/>
              <w:jc w:val="center"/>
              <w:rPr>
                <w:color w:val="000000"/>
              </w:rPr>
            </w:pPr>
            <w:r>
              <w:rPr>
                <w:color w:val="000000"/>
              </w:rPr>
              <w:t>GB14554-1993</w:t>
            </w:r>
          </w:p>
        </w:tc>
        <w:tc>
          <w:tcPr>
            <w:tcW w:w="1810" w:type="dxa"/>
            <w:vAlign w:val="center"/>
          </w:tcPr>
          <w:p>
            <w:pPr>
              <w:adjustRightInd w:val="0"/>
              <w:snapToGrid w:val="0"/>
              <w:jc w:val="center"/>
            </w:pPr>
            <w:r>
              <w:t>—</w:t>
            </w:r>
          </w:p>
        </w:tc>
        <w:tc>
          <w:tcPr>
            <w:tcW w:w="1695" w:type="dxa"/>
            <w:vAlign w:val="center"/>
          </w:tcPr>
          <w:p>
            <w:pPr>
              <w:adjustRightInd w:val="0"/>
              <w:snapToGrid w:val="0"/>
              <w:jc w:val="center"/>
            </w:pPr>
            <w:r>
              <w:t>—</w:t>
            </w:r>
          </w:p>
        </w:tc>
        <w:tc>
          <w:tcPr>
            <w:tcW w:w="1740" w:type="dxa"/>
            <w:vAlign w:val="center"/>
          </w:tcPr>
          <w:p>
            <w:pPr>
              <w:adjustRightInd w:val="0"/>
              <w:snapToGrid w:val="0"/>
              <w:jc w:val="center"/>
            </w:pPr>
            <w:r>
              <w:t>—</w:t>
            </w:r>
          </w:p>
        </w:tc>
        <w:tc>
          <w:tcPr>
            <w:tcW w:w="1740" w:type="dxa"/>
            <w:vAlign w:val="center"/>
          </w:tcPr>
          <w:p>
            <w:pPr>
              <w:tabs>
                <w:tab w:val="left" w:pos="5152"/>
              </w:tabs>
              <w:adjustRightInd w:val="0"/>
              <w:snapToGrid w:val="0"/>
              <w:jc w:val="center"/>
            </w:pPr>
            <w:r>
              <w:t>20</w:t>
            </w:r>
          </w:p>
        </w:tc>
        <w:tc>
          <w:tcPr>
            <w:tcW w:w="1740" w:type="dxa"/>
            <w:vAlign w:val="center"/>
          </w:tcPr>
          <w:p>
            <w:pPr>
              <w:tabs>
                <w:tab w:val="left" w:pos="5152"/>
              </w:tabs>
              <w:adjustRightInd w:val="0"/>
              <w:snapToGrid w:val="0"/>
              <w:jc w:val="center"/>
            </w:pPr>
            <w:r>
              <w:t>1.5</w:t>
            </w:r>
          </w:p>
        </w:tc>
        <w:tc>
          <w:tcPr>
            <w:tcW w:w="1740" w:type="dxa"/>
            <w:vAlign w:val="center"/>
          </w:tcPr>
          <w:p>
            <w:pPr>
              <w:tabs>
                <w:tab w:val="left" w:pos="5152"/>
              </w:tabs>
              <w:adjustRightInd w:val="0"/>
              <w:snapToGrid w:val="0"/>
              <w:jc w:val="center"/>
            </w:pPr>
            <w: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3582" w:type="dxa"/>
            <w:gridSpan w:val="2"/>
            <w:vAlign w:val="center"/>
          </w:tcPr>
          <w:p>
            <w:pPr>
              <w:tabs>
                <w:tab w:val="left" w:pos="5152"/>
              </w:tabs>
              <w:adjustRightInd w:val="0"/>
              <w:snapToGrid w:val="0"/>
              <w:jc w:val="center"/>
            </w:pPr>
            <w:r>
              <w:rPr>
                <w:rFonts w:hint="eastAsia"/>
                <w:bCs/>
              </w:rPr>
              <w:t>达标情况</w:t>
            </w:r>
          </w:p>
        </w:tc>
        <w:tc>
          <w:tcPr>
            <w:tcW w:w="1810" w:type="dxa"/>
            <w:vAlign w:val="center"/>
          </w:tcPr>
          <w:p>
            <w:pPr>
              <w:tabs>
                <w:tab w:val="left" w:pos="5152"/>
              </w:tabs>
              <w:adjustRightInd w:val="0"/>
              <w:snapToGrid w:val="0"/>
              <w:jc w:val="center"/>
            </w:pPr>
            <w:r>
              <w:rPr>
                <w:rFonts w:hint="eastAsia"/>
              </w:rPr>
              <w:t>达标</w:t>
            </w:r>
          </w:p>
        </w:tc>
        <w:tc>
          <w:tcPr>
            <w:tcW w:w="1695" w:type="dxa"/>
            <w:vAlign w:val="center"/>
          </w:tcPr>
          <w:p>
            <w:pPr>
              <w:tabs>
                <w:tab w:val="left" w:pos="5152"/>
              </w:tabs>
              <w:adjustRightInd w:val="0"/>
              <w:snapToGrid w:val="0"/>
              <w:jc w:val="center"/>
            </w:pPr>
            <w:r>
              <w:rPr>
                <w:rFonts w:hint="eastAsia"/>
              </w:rPr>
              <w:t>达标</w:t>
            </w:r>
          </w:p>
        </w:tc>
        <w:tc>
          <w:tcPr>
            <w:tcW w:w="1740" w:type="dxa"/>
            <w:vAlign w:val="center"/>
          </w:tcPr>
          <w:p>
            <w:pPr>
              <w:tabs>
                <w:tab w:val="left" w:pos="5152"/>
              </w:tabs>
              <w:adjustRightInd w:val="0"/>
              <w:snapToGrid w:val="0"/>
              <w:jc w:val="center"/>
            </w:pPr>
            <w:r>
              <w:rPr>
                <w:rFonts w:hint="eastAsia"/>
              </w:rPr>
              <w:t>达标</w:t>
            </w:r>
          </w:p>
        </w:tc>
        <w:tc>
          <w:tcPr>
            <w:tcW w:w="1740" w:type="dxa"/>
            <w:vAlign w:val="center"/>
          </w:tcPr>
          <w:p>
            <w:pPr>
              <w:tabs>
                <w:tab w:val="left" w:pos="5152"/>
              </w:tabs>
              <w:adjustRightInd w:val="0"/>
              <w:snapToGrid w:val="0"/>
              <w:jc w:val="center"/>
            </w:pPr>
            <w:r>
              <w:rPr>
                <w:rFonts w:hint="eastAsia"/>
              </w:rPr>
              <w:t>达标</w:t>
            </w:r>
          </w:p>
        </w:tc>
        <w:tc>
          <w:tcPr>
            <w:tcW w:w="1740" w:type="dxa"/>
            <w:vAlign w:val="center"/>
          </w:tcPr>
          <w:p>
            <w:pPr>
              <w:adjustRightInd w:val="0"/>
              <w:snapToGrid w:val="0"/>
              <w:jc w:val="center"/>
            </w:pPr>
            <w:r>
              <w:rPr>
                <w:rFonts w:hint="eastAsia"/>
              </w:rPr>
              <w:t>达标</w:t>
            </w:r>
          </w:p>
        </w:tc>
        <w:tc>
          <w:tcPr>
            <w:tcW w:w="1740" w:type="dxa"/>
            <w:vAlign w:val="center"/>
          </w:tcPr>
          <w:p>
            <w:pPr>
              <w:adjustRightInd w:val="0"/>
              <w:snapToGrid w:val="0"/>
              <w:jc w:val="center"/>
            </w:pPr>
            <w:r>
              <w:rPr>
                <w:rFonts w:hint="eastAsia"/>
              </w:rPr>
              <w:t>达标</w:t>
            </w:r>
          </w:p>
        </w:tc>
      </w:tr>
    </w:tbl>
    <w:p>
      <w:pPr>
        <w:autoSpaceDE w:val="0"/>
        <w:autoSpaceDN w:val="0"/>
        <w:adjustRightInd w:val="0"/>
        <w:spacing w:line="360" w:lineRule="auto"/>
        <w:ind w:firstLine="480" w:firstLineChars="200"/>
        <w:rPr>
          <w:bCs/>
          <w:szCs w:val="21"/>
        </w:rPr>
      </w:pPr>
      <w:r>
        <w:rPr>
          <w:rFonts w:hint="eastAsia"/>
          <w:szCs w:val="28"/>
        </w:rPr>
        <w:t>表</w:t>
      </w:r>
      <w:r>
        <w:rPr>
          <w:szCs w:val="28"/>
        </w:rPr>
        <w:t>9-3</w:t>
      </w:r>
      <w:r>
        <w:rPr>
          <w:rFonts w:hint="eastAsia"/>
          <w:szCs w:val="28"/>
        </w:rPr>
        <w:t>监测结果表明，无组织排放废气中</w:t>
      </w:r>
      <w:r>
        <w:rPr>
          <w:szCs w:val="28"/>
        </w:rPr>
        <w:t>TSP</w:t>
      </w:r>
      <w:r>
        <w:rPr>
          <w:rFonts w:hint="eastAsia"/>
          <w:szCs w:val="28"/>
        </w:rPr>
        <w:t>、二甲苯浓度最高点未超过广东省地方标准《大气污染物排放限值》（</w:t>
      </w:r>
      <w:r>
        <w:rPr>
          <w:szCs w:val="28"/>
        </w:rPr>
        <w:t>DB44/27-2001</w:t>
      </w:r>
      <w:r>
        <w:rPr>
          <w:rFonts w:hint="eastAsia"/>
          <w:szCs w:val="28"/>
        </w:rPr>
        <w:t>）中无组织排放监控浓度限值要求；</w:t>
      </w:r>
      <w:r>
        <w:rPr>
          <w:szCs w:val="28"/>
        </w:rPr>
        <w:t>VOCs</w:t>
      </w:r>
      <w:r>
        <w:rPr>
          <w:rFonts w:hint="eastAsia"/>
          <w:szCs w:val="28"/>
        </w:rPr>
        <w:t>浓度最高点未超过《</w:t>
      </w:r>
      <w:r>
        <w:rPr>
          <w:rFonts w:hint="eastAsia"/>
          <w:bCs/>
          <w:szCs w:val="21"/>
        </w:rPr>
        <w:t>家具制造行业挥发性有机化合物排放标准》（</w:t>
      </w:r>
      <w:r>
        <w:rPr>
          <w:bCs/>
          <w:szCs w:val="21"/>
        </w:rPr>
        <w:t>DB44/814-2010</w:t>
      </w:r>
      <w:r>
        <w:rPr>
          <w:rFonts w:hint="eastAsia"/>
          <w:bCs/>
          <w:szCs w:val="21"/>
        </w:rPr>
        <w:t>）中厂界无组织排放标准限；臭气浓度、氨、硫化氢未超过《恶臭污染物排放标准》（</w:t>
      </w:r>
      <w:r>
        <w:rPr>
          <w:bCs/>
          <w:szCs w:val="21"/>
        </w:rPr>
        <w:t>GB14554-1993</w:t>
      </w:r>
      <w:r>
        <w:rPr>
          <w:rFonts w:hint="eastAsia"/>
          <w:bCs/>
          <w:szCs w:val="21"/>
        </w:rPr>
        <w:t>）中表</w:t>
      </w:r>
      <w:r>
        <w:rPr>
          <w:bCs/>
          <w:szCs w:val="21"/>
        </w:rPr>
        <w:t>1</w:t>
      </w:r>
      <w:r>
        <w:rPr>
          <w:rFonts w:hint="eastAsia"/>
          <w:bCs/>
          <w:szCs w:val="21"/>
        </w:rPr>
        <w:t>二级新扩改建标准限值。</w:t>
      </w:r>
    </w:p>
    <w:p>
      <w:pPr>
        <w:spacing w:line="360" w:lineRule="auto"/>
        <w:rPr>
          <w:rFonts w:ascii="宋体"/>
          <w:b/>
        </w:rPr>
      </w:pPr>
    </w:p>
    <w:p>
      <w:pPr>
        <w:adjustRightInd w:val="0"/>
        <w:snapToGrid w:val="0"/>
        <w:spacing w:line="360" w:lineRule="auto"/>
        <w:rPr>
          <w:rFonts w:ascii="??_GB2312"/>
          <w:szCs w:val="28"/>
        </w:rPr>
        <w:sectPr>
          <w:pgSz w:w="16838" w:h="11906" w:orient="landscape"/>
          <w:pgMar w:top="1080" w:right="1440" w:bottom="1080" w:left="1440" w:header="709" w:footer="709" w:gutter="0"/>
          <w:pgNumType w:fmt="decimal"/>
          <w:cols w:space="708" w:num="1"/>
          <w:docGrid w:linePitch="360" w:charSpace="0"/>
        </w:sectPr>
      </w:pPr>
    </w:p>
    <w:p>
      <w:pPr>
        <w:jc w:val="center"/>
        <w:rPr>
          <w:b/>
        </w:rPr>
      </w:pPr>
      <w:r>
        <w:rPr>
          <w:rFonts w:hint="eastAsia"/>
          <w:b/>
        </w:rPr>
        <w:t>表</w:t>
      </w:r>
      <w:r>
        <w:rPr>
          <w:b/>
        </w:rPr>
        <w:t xml:space="preserve">9-4    </w:t>
      </w:r>
      <w:r>
        <w:rPr>
          <w:rFonts w:hint="eastAsia"/>
          <w:b/>
          <w:color w:val="000000"/>
        </w:rPr>
        <w:t>锅炉排气筒废气监测结果</w:t>
      </w:r>
    </w:p>
    <w:tbl>
      <w:tblPr>
        <w:tblStyle w:val="47"/>
        <w:tblW w:w="15474" w:type="dxa"/>
        <w:jc w:val="center"/>
        <w:tblInd w:w="-89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80"/>
        <w:gridCol w:w="1305"/>
        <w:gridCol w:w="1050"/>
        <w:gridCol w:w="1185"/>
        <w:gridCol w:w="1125"/>
        <w:gridCol w:w="1420"/>
        <w:gridCol w:w="1420"/>
        <w:gridCol w:w="1420"/>
        <w:gridCol w:w="1345"/>
        <w:gridCol w:w="1345"/>
        <w:gridCol w:w="1345"/>
        <w:gridCol w:w="12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62" w:hRule="exact"/>
          <w:jc w:val="center"/>
        </w:trPr>
        <w:tc>
          <w:tcPr>
            <w:tcW w:w="3635" w:type="dxa"/>
            <w:gridSpan w:val="3"/>
            <w:vAlign w:val="center"/>
          </w:tcPr>
          <w:p>
            <w:pPr>
              <w:jc w:val="center"/>
              <w:rPr>
                <w:b/>
              </w:rPr>
            </w:pPr>
            <w:r>
              <w:rPr>
                <w:rFonts w:hint="eastAsia"/>
                <w:b/>
              </w:rPr>
              <w:t>检测项目</w:t>
            </w:r>
          </w:p>
        </w:tc>
        <w:tc>
          <w:tcPr>
            <w:tcW w:w="1185" w:type="dxa"/>
            <w:vMerge w:val="restart"/>
            <w:vAlign w:val="center"/>
          </w:tcPr>
          <w:p>
            <w:pPr>
              <w:jc w:val="center"/>
              <w:rPr>
                <w:b/>
              </w:rPr>
            </w:pPr>
            <w:r>
              <w:rPr>
                <w:rFonts w:hint="eastAsia"/>
                <w:b/>
              </w:rPr>
              <w:t>标干流量</w:t>
            </w:r>
          </w:p>
          <w:p>
            <w:pPr>
              <w:jc w:val="center"/>
              <w:rPr>
                <w:bCs/>
                <w:color w:val="000000"/>
              </w:rPr>
            </w:pPr>
            <w:r>
              <w:rPr>
                <w:rFonts w:hint="eastAsia"/>
                <w:b/>
                <w:color w:val="000000"/>
              </w:rPr>
              <w:t>（</w:t>
            </w:r>
            <w:r>
              <w:rPr>
                <w:b/>
                <w:color w:val="000000"/>
                <w:kern w:val="0"/>
              </w:rPr>
              <w:t>m</w:t>
            </w:r>
            <w:r>
              <w:rPr>
                <w:b/>
                <w:color w:val="000000"/>
                <w:kern w:val="0"/>
                <w:vertAlign w:val="superscript"/>
              </w:rPr>
              <w:t>3</w:t>
            </w:r>
            <w:r>
              <w:rPr>
                <w:b/>
                <w:color w:val="000000"/>
                <w:kern w:val="0"/>
              </w:rPr>
              <w:t>/h</w:t>
            </w:r>
            <w:r>
              <w:rPr>
                <w:rFonts w:hint="eastAsia"/>
                <w:b/>
                <w:color w:val="000000"/>
                <w:kern w:val="0"/>
              </w:rPr>
              <w:t>）</w:t>
            </w:r>
          </w:p>
        </w:tc>
        <w:tc>
          <w:tcPr>
            <w:tcW w:w="1125" w:type="dxa"/>
            <w:vMerge w:val="restart"/>
            <w:vAlign w:val="center"/>
          </w:tcPr>
          <w:p>
            <w:pPr>
              <w:jc w:val="center"/>
              <w:rPr>
                <w:b/>
                <w:color w:val="000000"/>
              </w:rPr>
            </w:pPr>
            <w:r>
              <w:rPr>
                <w:rFonts w:hint="eastAsia"/>
                <w:b/>
                <w:color w:val="000000"/>
              </w:rPr>
              <w:t>排气筒高度</w:t>
            </w:r>
          </w:p>
          <w:p>
            <w:pPr>
              <w:jc w:val="center"/>
              <w:rPr>
                <w:b/>
                <w:color w:val="000000"/>
              </w:rPr>
            </w:pPr>
            <w:r>
              <w:rPr>
                <w:rFonts w:hint="eastAsia"/>
                <w:b/>
                <w:color w:val="000000"/>
              </w:rPr>
              <w:t>（</w:t>
            </w:r>
            <w:r>
              <w:rPr>
                <w:b/>
                <w:color w:val="000000"/>
              </w:rPr>
              <w:t>m</w:t>
            </w:r>
            <w:r>
              <w:rPr>
                <w:rFonts w:hint="eastAsia"/>
                <w:b/>
                <w:color w:val="000000"/>
              </w:rPr>
              <w:t>）</w:t>
            </w:r>
          </w:p>
        </w:tc>
        <w:tc>
          <w:tcPr>
            <w:tcW w:w="4260" w:type="dxa"/>
            <w:gridSpan w:val="3"/>
            <w:vAlign w:val="center"/>
          </w:tcPr>
          <w:p>
            <w:pPr>
              <w:jc w:val="center"/>
              <w:rPr>
                <w:b/>
                <w:color w:val="000000"/>
              </w:rPr>
            </w:pPr>
            <w:r>
              <w:rPr>
                <w:rFonts w:hint="eastAsia"/>
                <w:b/>
                <w:color w:val="000000"/>
              </w:rPr>
              <w:t>二氧化硫</w:t>
            </w:r>
          </w:p>
        </w:tc>
        <w:tc>
          <w:tcPr>
            <w:tcW w:w="4035" w:type="dxa"/>
            <w:gridSpan w:val="3"/>
            <w:vAlign w:val="center"/>
          </w:tcPr>
          <w:p>
            <w:pPr>
              <w:jc w:val="center"/>
              <w:rPr>
                <w:b/>
                <w:color w:val="000000"/>
              </w:rPr>
            </w:pPr>
            <w:r>
              <w:rPr>
                <w:rFonts w:hint="eastAsia"/>
                <w:b/>
                <w:color w:val="000000"/>
              </w:rPr>
              <w:t>氮氧化物</w:t>
            </w:r>
          </w:p>
        </w:tc>
        <w:tc>
          <w:tcPr>
            <w:tcW w:w="1234" w:type="dxa"/>
            <w:vMerge w:val="restart"/>
            <w:vAlign w:val="center"/>
          </w:tcPr>
          <w:p>
            <w:pPr>
              <w:jc w:val="center"/>
              <w:rPr>
                <w:b/>
                <w:color w:val="000000"/>
              </w:rPr>
            </w:pPr>
            <w:r>
              <w:rPr>
                <w:rFonts w:hint="eastAsia"/>
                <w:b/>
                <w:color w:val="000000"/>
              </w:rPr>
              <w:t>烟气黑度</w:t>
            </w:r>
          </w:p>
          <w:p>
            <w:pPr>
              <w:jc w:val="center"/>
              <w:rPr>
                <w:b/>
                <w:color w:val="000000"/>
              </w:rPr>
            </w:pPr>
            <w:r>
              <w:rPr>
                <w:rFonts w:hint="eastAsia"/>
                <w:b/>
                <w:color w:val="000000"/>
              </w:rPr>
              <w:t>（级）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822" w:hRule="exact"/>
          <w:jc w:val="center"/>
        </w:trPr>
        <w:tc>
          <w:tcPr>
            <w:tcW w:w="3635" w:type="dxa"/>
            <w:gridSpan w:val="3"/>
            <w:vAlign w:val="center"/>
          </w:tcPr>
          <w:p>
            <w:pPr>
              <w:jc w:val="center"/>
              <w:rPr>
                <w:bCs/>
              </w:rPr>
            </w:pPr>
            <w:r>
              <w:rPr>
                <w:rFonts w:hint="eastAsia"/>
                <w:b/>
              </w:rPr>
              <w:t>采样点位置及采样时间</w:t>
            </w:r>
          </w:p>
        </w:tc>
        <w:tc>
          <w:tcPr>
            <w:tcW w:w="1185" w:type="dxa"/>
            <w:vMerge w:val="continue"/>
            <w:vAlign w:val="center"/>
          </w:tcPr>
          <w:p>
            <w:pPr>
              <w:jc w:val="center"/>
              <w:rPr>
                <w:bCs/>
                <w:color w:val="000000"/>
              </w:rPr>
            </w:pPr>
          </w:p>
        </w:tc>
        <w:tc>
          <w:tcPr>
            <w:tcW w:w="1125" w:type="dxa"/>
            <w:vMerge w:val="continue"/>
            <w:vAlign w:val="center"/>
          </w:tcPr>
          <w:p>
            <w:pPr>
              <w:jc w:val="center"/>
              <w:rPr>
                <w:bCs/>
                <w:color w:val="000000"/>
              </w:rPr>
            </w:pPr>
          </w:p>
        </w:tc>
        <w:tc>
          <w:tcPr>
            <w:tcW w:w="1420" w:type="dxa"/>
            <w:vAlign w:val="center"/>
          </w:tcPr>
          <w:p>
            <w:pPr>
              <w:jc w:val="center"/>
              <w:rPr>
                <w:b/>
                <w:color w:val="000000"/>
              </w:rPr>
            </w:pPr>
            <w:r>
              <w:rPr>
                <w:rFonts w:hint="eastAsia"/>
                <w:b/>
                <w:color w:val="000000"/>
              </w:rPr>
              <w:t>实测浓度</w:t>
            </w:r>
          </w:p>
          <w:p>
            <w:pPr>
              <w:jc w:val="center"/>
              <w:rPr>
                <w:b/>
                <w:color w:val="000000"/>
              </w:rPr>
            </w:pPr>
            <w:r>
              <w:rPr>
                <w:rFonts w:hint="eastAsia"/>
                <w:b/>
                <w:color w:val="000000"/>
              </w:rPr>
              <w:t>（</w:t>
            </w:r>
            <w:r>
              <w:rPr>
                <w:b/>
                <w:color w:val="000000"/>
              </w:rPr>
              <w:t>mg/m</w:t>
            </w:r>
            <w:r>
              <w:rPr>
                <w:b/>
                <w:color w:val="000000"/>
                <w:vertAlign w:val="superscript"/>
              </w:rPr>
              <w:t>3</w:t>
            </w:r>
            <w:r>
              <w:rPr>
                <w:rFonts w:hint="eastAsia"/>
                <w:b/>
                <w:color w:val="000000"/>
              </w:rPr>
              <w:t>）</w:t>
            </w:r>
          </w:p>
        </w:tc>
        <w:tc>
          <w:tcPr>
            <w:tcW w:w="1420" w:type="dxa"/>
            <w:vAlign w:val="center"/>
          </w:tcPr>
          <w:p>
            <w:pPr>
              <w:jc w:val="center"/>
              <w:rPr>
                <w:b/>
                <w:color w:val="000000"/>
              </w:rPr>
            </w:pPr>
            <w:r>
              <w:rPr>
                <w:rFonts w:hint="eastAsia"/>
                <w:b/>
                <w:color w:val="000000"/>
              </w:rPr>
              <w:t>折算浓度</w:t>
            </w:r>
          </w:p>
          <w:p>
            <w:pPr>
              <w:jc w:val="center"/>
              <w:rPr>
                <w:b/>
                <w:color w:val="000000"/>
              </w:rPr>
            </w:pPr>
            <w:r>
              <w:rPr>
                <w:rFonts w:hint="eastAsia"/>
                <w:b/>
                <w:color w:val="000000"/>
              </w:rPr>
              <w:t>（</w:t>
            </w:r>
            <w:r>
              <w:rPr>
                <w:b/>
                <w:color w:val="000000"/>
              </w:rPr>
              <w:t>mg/m</w:t>
            </w:r>
            <w:r>
              <w:rPr>
                <w:b/>
                <w:color w:val="000000"/>
                <w:vertAlign w:val="superscript"/>
              </w:rPr>
              <w:t>3</w:t>
            </w:r>
            <w:r>
              <w:rPr>
                <w:rFonts w:hint="eastAsia"/>
                <w:b/>
                <w:color w:val="000000"/>
              </w:rPr>
              <w:t>）</w:t>
            </w:r>
          </w:p>
        </w:tc>
        <w:tc>
          <w:tcPr>
            <w:tcW w:w="1420" w:type="dxa"/>
            <w:vAlign w:val="center"/>
          </w:tcPr>
          <w:p>
            <w:pPr>
              <w:jc w:val="center"/>
              <w:rPr>
                <w:b/>
                <w:color w:val="000000"/>
              </w:rPr>
            </w:pPr>
            <w:r>
              <w:rPr>
                <w:rFonts w:hint="eastAsia"/>
                <w:b/>
                <w:color w:val="000000"/>
              </w:rPr>
              <w:t>排放速率</w:t>
            </w:r>
          </w:p>
          <w:p>
            <w:pPr>
              <w:jc w:val="center"/>
              <w:rPr>
                <w:b/>
                <w:color w:val="000000"/>
              </w:rPr>
            </w:pPr>
            <w:r>
              <w:rPr>
                <w:rFonts w:hint="eastAsia"/>
                <w:b/>
                <w:color w:val="000000"/>
              </w:rPr>
              <w:t>（</w:t>
            </w:r>
            <w:r>
              <w:rPr>
                <w:b/>
                <w:color w:val="000000"/>
              </w:rPr>
              <w:t>kg/h</w:t>
            </w:r>
            <w:r>
              <w:rPr>
                <w:rFonts w:hint="eastAsia"/>
                <w:b/>
                <w:color w:val="000000"/>
              </w:rPr>
              <w:t>）</w:t>
            </w:r>
          </w:p>
        </w:tc>
        <w:tc>
          <w:tcPr>
            <w:tcW w:w="1345" w:type="dxa"/>
            <w:vAlign w:val="center"/>
          </w:tcPr>
          <w:p>
            <w:pPr>
              <w:jc w:val="center"/>
              <w:rPr>
                <w:b/>
                <w:color w:val="000000"/>
              </w:rPr>
            </w:pPr>
            <w:r>
              <w:rPr>
                <w:rFonts w:hint="eastAsia"/>
                <w:b/>
                <w:color w:val="000000"/>
              </w:rPr>
              <w:t>实测浓度</w:t>
            </w:r>
          </w:p>
          <w:p>
            <w:pPr>
              <w:jc w:val="center"/>
              <w:rPr>
                <w:b/>
                <w:color w:val="000000"/>
              </w:rPr>
            </w:pPr>
            <w:r>
              <w:rPr>
                <w:rFonts w:hint="eastAsia"/>
                <w:b/>
                <w:color w:val="000000"/>
              </w:rPr>
              <w:t>（</w:t>
            </w:r>
            <w:r>
              <w:rPr>
                <w:b/>
                <w:color w:val="000000"/>
              </w:rPr>
              <w:t>mg/m</w:t>
            </w:r>
            <w:r>
              <w:rPr>
                <w:b/>
                <w:color w:val="000000"/>
                <w:vertAlign w:val="superscript"/>
              </w:rPr>
              <w:t>3</w:t>
            </w:r>
            <w:r>
              <w:rPr>
                <w:rFonts w:hint="eastAsia"/>
                <w:b/>
                <w:color w:val="000000"/>
              </w:rPr>
              <w:t>）</w:t>
            </w:r>
          </w:p>
        </w:tc>
        <w:tc>
          <w:tcPr>
            <w:tcW w:w="1345" w:type="dxa"/>
            <w:vAlign w:val="center"/>
          </w:tcPr>
          <w:p>
            <w:pPr>
              <w:jc w:val="center"/>
              <w:rPr>
                <w:b/>
                <w:color w:val="000000"/>
              </w:rPr>
            </w:pPr>
            <w:r>
              <w:rPr>
                <w:rFonts w:hint="eastAsia"/>
                <w:b/>
                <w:color w:val="000000"/>
              </w:rPr>
              <w:t>折算浓度</w:t>
            </w:r>
          </w:p>
          <w:p>
            <w:pPr>
              <w:jc w:val="center"/>
              <w:rPr>
                <w:b/>
                <w:color w:val="000000"/>
              </w:rPr>
            </w:pPr>
            <w:r>
              <w:rPr>
                <w:rFonts w:hint="eastAsia"/>
                <w:b/>
                <w:color w:val="000000"/>
              </w:rPr>
              <w:t>（</w:t>
            </w:r>
            <w:r>
              <w:rPr>
                <w:b/>
                <w:color w:val="000000"/>
              </w:rPr>
              <w:t>mg/m</w:t>
            </w:r>
            <w:r>
              <w:rPr>
                <w:b/>
                <w:color w:val="000000"/>
                <w:vertAlign w:val="superscript"/>
              </w:rPr>
              <w:t>3</w:t>
            </w:r>
            <w:r>
              <w:rPr>
                <w:rFonts w:hint="eastAsia"/>
                <w:b/>
                <w:color w:val="000000"/>
              </w:rPr>
              <w:t>）</w:t>
            </w:r>
          </w:p>
        </w:tc>
        <w:tc>
          <w:tcPr>
            <w:tcW w:w="1345" w:type="dxa"/>
            <w:vAlign w:val="center"/>
          </w:tcPr>
          <w:p>
            <w:pPr>
              <w:jc w:val="center"/>
              <w:rPr>
                <w:b/>
                <w:color w:val="000000"/>
              </w:rPr>
            </w:pPr>
            <w:r>
              <w:rPr>
                <w:rFonts w:hint="eastAsia"/>
                <w:b/>
                <w:color w:val="000000"/>
              </w:rPr>
              <w:t>排放速率</w:t>
            </w:r>
          </w:p>
          <w:p>
            <w:pPr>
              <w:jc w:val="center"/>
              <w:rPr>
                <w:b/>
                <w:color w:val="000000"/>
              </w:rPr>
            </w:pPr>
            <w:r>
              <w:rPr>
                <w:rFonts w:hint="eastAsia"/>
                <w:b/>
                <w:color w:val="000000"/>
              </w:rPr>
              <w:t>（</w:t>
            </w:r>
            <w:r>
              <w:rPr>
                <w:b/>
                <w:color w:val="000000"/>
              </w:rPr>
              <w:t>kg/h</w:t>
            </w:r>
            <w:r>
              <w:rPr>
                <w:rFonts w:hint="eastAsia"/>
                <w:b/>
                <w:color w:val="000000"/>
              </w:rPr>
              <w:t>）</w:t>
            </w:r>
          </w:p>
        </w:tc>
        <w:tc>
          <w:tcPr>
            <w:tcW w:w="1234" w:type="dxa"/>
            <w:vMerge w:val="continue"/>
            <w:vAlign w:val="center"/>
          </w:tcPr>
          <w:p>
            <w:pPr>
              <w:jc w:val="center"/>
              <w:rPr>
                <w:b/>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restart"/>
            <w:vAlign w:val="center"/>
          </w:tcPr>
          <w:p>
            <w:pPr>
              <w:jc w:val="center"/>
            </w:pPr>
            <w:r>
              <w:rPr>
                <w:rFonts w:hint="eastAsia"/>
              </w:rPr>
              <w:t>锅炉废气采样口</w:t>
            </w:r>
          </w:p>
        </w:tc>
        <w:tc>
          <w:tcPr>
            <w:tcW w:w="1305" w:type="dxa"/>
            <w:vMerge w:val="restart"/>
            <w:vAlign w:val="center"/>
          </w:tcPr>
          <w:p>
            <w:pPr>
              <w:jc w:val="center"/>
            </w:pPr>
          </w:p>
          <w:p>
            <w:pPr>
              <w:jc w:val="center"/>
            </w:pPr>
            <w:r>
              <w:t>09</w:t>
            </w:r>
            <w:r>
              <w:rPr>
                <w:rFonts w:hint="eastAsia"/>
              </w:rPr>
              <w:t>月</w:t>
            </w:r>
            <w:r>
              <w:t>05</w:t>
            </w:r>
            <w:r>
              <w:rPr>
                <w:rFonts w:hint="eastAsia"/>
              </w:rPr>
              <w:t>日</w:t>
            </w:r>
          </w:p>
          <w:p>
            <w:pPr>
              <w:jc w:val="center"/>
            </w:pPr>
          </w:p>
        </w:tc>
        <w:tc>
          <w:tcPr>
            <w:tcW w:w="1050" w:type="dxa"/>
            <w:vAlign w:val="center"/>
          </w:tcPr>
          <w:p>
            <w:pPr>
              <w:jc w:val="center"/>
            </w:pPr>
            <w:r>
              <w:rPr>
                <w:rFonts w:hint="eastAsia"/>
              </w:rPr>
              <w:t>第一次</w:t>
            </w:r>
          </w:p>
        </w:tc>
        <w:tc>
          <w:tcPr>
            <w:tcW w:w="1185" w:type="dxa"/>
            <w:vAlign w:val="center"/>
          </w:tcPr>
          <w:p>
            <w:pPr>
              <w:widowControl/>
              <w:jc w:val="center"/>
              <w:rPr>
                <w:color w:val="000000"/>
              </w:rPr>
            </w:pPr>
            <w:r>
              <w:rPr>
                <w:color w:val="000000"/>
              </w:rPr>
              <w:t>15543</w:t>
            </w:r>
          </w:p>
        </w:tc>
        <w:tc>
          <w:tcPr>
            <w:tcW w:w="1125" w:type="dxa"/>
            <w:vMerge w:val="restart"/>
            <w:vAlign w:val="center"/>
          </w:tcPr>
          <w:p>
            <w:pPr>
              <w:widowControl/>
              <w:jc w:val="center"/>
              <w:rPr>
                <w:color w:val="000000"/>
              </w:rPr>
            </w:pPr>
            <w:r>
              <w:rPr>
                <w:color w:val="000000"/>
              </w:rPr>
              <w:t>45</w:t>
            </w:r>
          </w:p>
        </w:tc>
        <w:tc>
          <w:tcPr>
            <w:tcW w:w="1420" w:type="dxa"/>
            <w:vAlign w:val="center"/>
          </w:tcPr>
          <w:p>
            <w:pPr>
              <w:widowControl/>
              <w:jc w:val="center"/>
              <w:rPr>
                <w:color w:val="000000"/>
                <w:kern w:val="0"/>
              </w:rPr>
            </w:pPr>
            <w:r>
              <w:rPr>
                <w:color w:val="000000"/>
              </w:rPr>
              <w:t>89</w:t>
            </w:r>
          </w:p>
        </w:tc>
        <w:tc>
          <w:tcPr>
            <w:tcW w:w="1420" w:type="dxa"/>
            <w:vAlign w:val="center"/>
          </w:tcPr>
          <w:p>
            <w:pPr>
              <w:widowControl/>
              <w:jc w:val="center"/>
              <w:rPr>
                <w:color w:val="000000"/>
              </w:rPr>
            </w:pPr>
            <w:r>
              <w:rPr>
                <w:color w:val="000000"/>
              </w:rPr>
              <w:t>182</w:t>
            </w:r>
          </w:p>
        </w:tc>
        <w:tc>
          <w:tcPr>
            <w:tcW w:w="1420" w:type="dxa"/>
            <w:vAlign w:val="center"/>
          </w:tcPr>
          <w:p>
            <w:pPr>
              <w:widowControl/>
              <w:jc w:val="center"/>
              <w:rPr>
                <w:color w:val="000000"/>
              </w:rPr>
            </w:pPr>
            <w:r>
              <w:rPr>
                <w:color w:val="000000"/>
              </w:rPr>
              <w:t>1.52</w:t>
            </w:r>
          </w:p>
        </w:tc>
        <w:tc>
          <w:tcPr>
            <w:tcW w:w="1345" w:type="dxa"/>
            <w:vAlign w:val="center"/>
          </w:tcPr>
          <w:p>
            <w:pPr>
              <w:widowControl/>
              <w:jc w:val="center"/>
              <w:rPr>
                <w:color w:val="000000"/>
              </w:rPr>
            </w:pPr>
            <w:r>
              <w:rPr>
                <w:color w:val="000000"/>
              </w:rPr>
              <w:t>130</w:t>
            </w:r>
          </w:p>
        </w:tc>
        <w:tc>
          <w:tcPr>
            <w:tcW w:w="1345" w:type="dxa"/>
            <w:vAlign w:val="center"/>
          </w:tcPr>
          <w:p>
            <w:pPr>
              <w:widowControl/>
              <w:jc w:val="center"/>
              <w:rPr>
                <w:color w:val="000000"/>
              </w:rPr>
            </w:pPr>
            <w:r>
              <w:rPr>
                <w:color w:val="000000"/>
              </w:rPr>
              <w:t>266</w:t>
            </w:r>
          </w:p>
        </w:tc>
        <w:tc>
          <w:tcPr>
            <w:tcW w:w="1345" w:type="dxa"/>
            <w:vAlign w:val="center"/>
          </w:tcPr>
          <w:p>
            <w:pPr>
              <w:widowControl/>
              <w:jc w:val="center"/>
              <w:rPr>
                <w:color w:val="000000"/>
              </w:rPr>
            </w:pPr>
            <w:r>
              <w:rPr>
                <w:color w:val="000000"/>
              </w:rPr>
              <w:t>2.02</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第二次</w:t>
            </w:r>
          </w:p>
        </w:tc>
        <w:tc>
          <w:tcPr>
            <w:tcW w:w="1185" w:type="dxa"/>
            <w:vAlign w:val="center"/>
          </w:tcPr>
          <w:p>
            <w:pPr>
              <w:widowControl/>
              <w:jc w:val="center"/>
              <w:rPr>
                <w:color w:val="000000"/>
              </w:rPr>
            </w:pPr>
            <w:r>
              <w:rPr>
                <w:color w:val="000000"/>
              </w:rPr>
              <w:t>15356</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89</w:t>
            </w:r>
          </w:p>
        </w:tc>
        <w:tc>
          <w:tcPr>
            <w:tcW w:w="1420" w:type="dxa"/>
            <w:vAlign w:val="center"/>
          </w:tcPr>
          <w:p>
            <w:pPr>
              <w:widowControl/>
              <w:jc w:val="center"/>
              <w:rPr>
                <w:color w:val="000000"/>
              </w:rPr>
            </w:pPr>
            <w:r>
              <w:rPr>
                <w:color w:val="000000"/>
              </w:rPr>
              <w:t>195</w:t>
            </w:r>
          </w:p>
        </w:tc>
        <w:tc>
          <w:tcPr>
            <w:tcW w:w="1420" w:type="dxa"/>
            <w:vAlign w:val="center"/>
          </w:tcPr>
          <w:p>
            <w:pPr>
              <w:widowControl/>
              <w:jc w:val="center"/>
              <w:rPr>
                <w:color w:val="000000"/>
              </w:rPr>
            </w:pPr>
            <w:r>
              <w:rPr>
                <w:color w:val="000000"/>
              </w:rPr>
              <w:t>1.37</w:t>
            </w:r>
          </w:p>
        </w:tc>
        <w:tc>
          <w:tcPr>
            <w:tcW w:w="1345" w:type="dxa"/>
            <w:vAlign w:val="center"/>
          </w:tcPr>
          <w:p>
            <w:pPr>
              <w:widowControl/>
              <w:jc w:val="center"/>
              <w:rPr>
                <w:color w:val="000000"/>
              </w:rPr>
            </w:pPr>
            <w:r>
              <w:rPr>
                <w:color w:val="000000"/>
              </w:rPr>
              <w:t>128</w:t>
            </w:r>
          </w:p>
        </w:tc>
        <w:tc>
          <w:tcPr>
            <w:tcW w:w="1345" w:type="dxa"/>
            <w:vAlign w:val="center"/>
          </w:tcPr>
          <w:p>
            <w:pPr>
              <w:widowControl/>
              <w:jc w:val="center"/>
              <w:rPr>
                <w:color w:val="000000"/>
              </w:rPr>
            </w:pPr>
            <w:r>
              <w:rPr>
                <w:color w:val="000000"/>
              </w:rPr>
              <w:t>279</w:t>
            </w:r>
          </w:p>
        </w:tc>
        <w:tc>
          <w:tcPr>
            <w:tcW w:w="1345" w:type="dxa"/>
            <w:vAlign w:val="center"/>
          </w:tcPr>
          <w:p>
            <w:pPr>
              <w:widowControl/>
              <w:jc w:val="center"/>
              <w:rPr>
                <w:color w:val="000000"/>
              </w:rPr>
            </w:pPr>
            <w:r>
              <w:rPr>
                <w:color w:val="000000"/>
              </w:rPr>
              <w:t>1.97</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第三次</w:t>
            </w:r>
          </w:p>
        </w:tc>
        <w:tc>
          <w:tcPr>
            <w:tcW w:w="1185" w:type="dxa"/>
            <w:vAlign w:val="center"/>
          </w:tcPr>
          <w:p>
            <w:pPr>
              <w:widowControl/>
              <w:jc w:val="center"/>
              <w:rPr>
                <w:color w:val="000000"/>
              </w:rPr>
            </w:pPr>
            <w:r>
              <w:rPr>
                <w:color w:val="000000"/>
              </w:rPr>
              <w:t>15669</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88</w:t>
            </w:r>
          </w:p>
        </w:tc>
        <w:tc>
          <w:tcPr>
            <w:tcW w:w="1420" w:type="dxa"/>
            <w:vAlign w:val="center"/>
          </w:tcPr>
          <w:p>
            <w:pPr>
              <w:widowControl/>
              <w:jc w:val="center"/>
              <w:rPr>
                <w:color w:val="000000"/>
              </w:rPr>
            </w:pPr>
            <w:r>
              <w:rPr>
                <w:color w:val="000000"/>
              </w:rPr>
              <w:t>190</w:t>
            </w:r>
          </w:p>
        </w:tc>
        <w:tc>
          <w:tcPr>
            <w:tcW w:w="1420" w:type="dxa"/>
            <w:vAlign w:val="center"/>
          </w:tcPr>
          <w:p>
            <w:pPr>
              <w:widowControl/>
              <w:jc w:val="center"/>
              <w:rPr>
                <w:color w:val="000000"/>
              </w:rPr>
            </w:pPr>
            <w:r>
              <w:rPr>
                <w:color w:val="000000"/>
              </w:rPr>
              <w:t>1.38</w:t>
            </w:r>
          </w:p>
        </w:tc>
        <w:tc>
          <w:tcPr>
            <w:tcW w:w="1345" w:type="dxa"/>
            <w:vAlign w:val="center"/>
          </w:tcPr>
          <w:p>
            <w:pPr>
              <w:widowControl/>
              <w:jc w:val="center"/>
              <w:rPr>
                <w:color w:val="000000"/>
              </w:rPr>
            </w:pPr>
            <w:r>
              <w:rPr>
                <w:color w:val="000000"/>
              </w:rPr>
              <w:t>128</w:t>
            </w:r>
          </w:p>
        </w:tc>
        <w:tc>
          <w:tcPr>
            <w:tcW w:w="1345" w:type="dxa"/>
            <w:vAlign w:val="center"/>
          </w:tcPr>
          <w:p>
            <w:pPr>
              <w:widowControl/>
              <w:jc w:val="center"/>
              <w:rPr>
                <w:color w:val="000000"/>
              </w:rPr>
            </w:pPr>
            <w:r>
              <w:rPr>
                <w:color w:val="000000"/>
              </w:rPr>
              <w:t>277</w:t>
            </w:r>
          </w:p>
        </w:tc>
        <w:tc>
          <w:tcPr>
            <w:tcW w:w="1345" w:type="dxa"/>
            <w:vAlign w:val="center"/>
          </w:tcPr>
          <w:p>
            <w:pPr>
              <w:widowControl/>
              <w:jc w:val="center"/>
              <w:rPr>
                <w:color w:val="000000"/>
              </w:rPr>
            </w:pPr>
            <w:r>
              <w:rPr>
                <w:color w:val="000000"/>
              </w:rPr>
              <w:t>2.01</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平均值</w:t>
            </w:r>
          </w:p>
        </w:tc>
        <w:tc>
          <w:tcPr>
            <w:tcW w:w="1185" w:type="dxa"/>
            <w:vAlign w:val="center"/>
          </w:tcPr>
          <w:p>
            <w:pPr>
              <w:widowControl/>
              <w:jc w:val="center"/>
              <w:rPr>
                <w:color w:val="000000"/>
              </w:rPr>
            </w:pPr>
            <w:r>
              <w:rPr>
                <w:color w:val="000000"/>
              </w:rPr>
              <w:t>15523</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89</w:t>
            </w:r>
          </w:p>
        </w:tc>
        <w:tc>
          <w:tcPr>
            <w:tcW w:w="1420" w:type="dxa"/>
            <w:vAlign w:val="center"/>
          </w:tcPr>
          <w:p>
            <w:pPr>
              <w:widowControl/>
              <w:jc w:val="center"/>
              <w:rPr>
                <w:color w:val="000000"/>
              </w:rPr>
            </w:pPr>
            <w:r>
              <w:rPr>
                <w:color w:val="000000"/>
              </w:rPr>
              <w:t>189</w:t>
            </w:r>
          </w:p>
        </w:tc>
        <w:tc>
          <w:tcPr>
            <w:tcW w:w="1420" w:type="dxa"/>
            <w:vAlign w:val="center"/>
          </w:tcPr>
          <w:p>
            <w:pPr>
              <w:widowControl/>
              <w:jc w:val="center"/>
              <w:rPr>
                <w:color w:val="000000"/>
              </w:rPr>
            </w:pPr>
            <w:r>
              <w:rPr>
                <w:color w:val="000000"/>
              </w:rPr>
              <w:t>1.42</w:t>
            </w:r>
          </w:p>
        </w:tc>
        <w:tc>
          <w:tcPr>
            <w:tcW w:w="1345" w:type="dxa"/>
            <w:vAlign w:val="center"/>
          </w:tcPr>
          <w:p>
            <w:pPr>
              <w:widowControl/>
              <w:jc w:val="center"/>
              <w:rPr>
                <w:color w:val="000000"/>
              </w:rPr>
            </w:pPr>
            <w:r>
              <w:rPr>
                <w:color w:val="000000"/>
              </w:rPr>
              <w:t>129</w:t>
            </w:r>
          </w:p>
        </w:tc>
        <w:tc>
          <w:tcPr>
            <w:tcW w:w="1345" w:type="dxa"/>
            <w:vAlign w:val="center"/>
          </w:tcPr>
          <w:p>
            <w:pPr>
              <w:widowControl/>
              <w:jc w:val="center"/>
              <w:rPr>
                <w:color w:val="000000"/>
              </w:rPr>
            </w:pPr>
            <w:r>
              <w:rPr>
                <w:color w:val="000000"/>
              </w:rPr>
              <w:t>274</w:t>
            </w:r>
          </w:p>
        </w:tc>
        <w:tc>
          <w:tcPr>
            <w:tcW w:w="1345" w:type="dxa"/>
            <w:vAlign w:val="center"/>
          </w:tcPr>
          <w:p>
            <w:pPr>
              <w:widowControl/>
              <w:jc w:val="center"/>
              <w:rPr>
                <w:color w:val="000000"/>
              </w:rPr>
            </w:pPr>
            <w:r>
              <w:rPr>
                <w:color w:val="000000"/>
              </w:rPr>
              <w:t>2.00</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restart"/>
            <w:vAlign w:val="center"/>
          </w:tcPr>
          <w:p>
            <w:pPr>
              <w:jc w:val="center"/>
            </w:pPr>
            <w:r>
              <w:rPr>
                <w:rFonts w:hint="eastAsia"/>
              </w:rPr>
              <w:t>锅炉废气采样口</w:t>
            </w:r>
          </w:p>
        </w:tc>
        <w:tc>
          <w:tcPr>
            <w:tcW w:w="1305" w:type="dxa"/>
            <w:vMerge w:val="restart"/>
            <w:vAlign w:val="center"/>
          </w:tcPr>
          <w:p>
            <w:pPr>
              <w:jc w:val="center"/>
            </w:pPr>
          </w:p>
          <w:p>
            <w:pPr>
              <w:jc w:val="center"/>
            </w:pPr>
            <w:r>
              <w:t>09</w:t>
            </w:r>
            <w:r>
              <w:rPr>
                <w:rFonts w:hint="eastAsia"/>
              </w:rPr>
              <w:t>月</w:t>
            </w:r>
            <w:r>
              <w:t>06</w:t>
            </w:r>
            <w:r>
              <w:rPr>
                <w:rFonts w:hint="eastAsia"/>
              </w:rPr>
              <w:t>日</w:t>
            </w:r>
          </w:p>
          <w:p>
            <w:pPr>
              <w:jc w:val="center"/>
            </w:pPr>
          </w:p>
        </w:tc>
        <w:tc>
          <w:tcPr>
            <w:tcW w:w="1050" w:type="dxa"/>
            <w:vAlign w:val="center"/>
          </w:tcPr>
          <w:p>
            <w:pPr>
              <w:jc w:val="center"/>
            </w:pPr>
            <w:r>
              <w:rPr>
                <w:rFonts w:hint="eastAsia"/>
              </w:rPr>
              <w:t>第一次</w:t>
            </w:r>
          </w:p>
        </w:tc>
        <w:tc>
          <w:tcPr>
            <w:tcW w:w="1185" w:type="dxa"/>
            <w:vAlign w:val="center"/>
          </w:tcPr>
          <w:p>
            <w:pPr>
              <w:widowControl/>
              <w:jc w:val="center"/>
              <w:rPr>
                <w:color w:val="000000"/>
              </w:rPr>
            </w:pPr>
            <w:r>
              <w:rPr>
                <w:color w:val="000000"/>
              </w:rPr>
              <w:t>15385</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91</w:t>
            </w:r>
          </w:p>
        </w:tc>
        <w:tc>
          <w:tcPr>
            <w:tcW w:w="1420" w:type="dxa"/>
            <w:vAlign w:val="center"/>
          </w:tcPr>
          <w:p>
            <w:pPr>
              <w:widowControl/>
              <w:jc w:val="center"/>
              <w:rPr>
                <w:color w:val="000000"/>
              </w:rPr>
            </w:pPr>
            <w:r>
              <w:rPr>
                <w:color w:val="000000"/>
              </w:rPr>
              <w:t>185</w:t>
            </w:r>
          </w:p>
        </w:tc>
        <w:tc>
          <w:tcPr>
            <w:tcW w:w="1420" w:type="dxa"/>
            <w:vAlign w:val="center"/>
          </w:tcPr>
          <w:p>
            <w:pPr>
              <w:widowControl/>
              <w:jc w:val="center"/>
              <w:rPr>
                <w:color w:val="000000"/>
              </w:rPr>
            </w:pPr>
            <w:r>
              <w:rPr>
                <w:color w:val="000000"/>
              </w:rPr>
              <w:t>1.40</w:t>
            </w:r>
          </w:p>
        </w:tc>
        <w:tc>
          <w:tcPr>
            <w:tcW w:w="1345" w:type="dxa"/>
            <w:vAlign w:val="center"/>
          </w:tcPr>
          <w:p>
            <w:pPr>
              <w:widowControl/>
              <w:jc w:val="center"/>
              <w:rPr>
                <w:color w:val="000000"/>
              </w:rPr>
            </w:pPr>
            <w:r>
              <w:rPr>
                <w:color w:val="000000"/>
              </w:rPr>
              <w:t>130</w:t>
            </w:r>
          </w:p>
        </w:tc>
        <w:tc>
          <w:tcPr>
            <w:tcW w:w="1345" w:type="dxa"/>
            <w:vAlign w:val="center"/>
          </w:tcPr>
          <w:p>
            <w:pPr>
              <w:widowControl/>
              <w:jc w:val="center"/>
              <w:rPr>
                <w:color w:val="000000"/>
              </w:rPr>
            </w:pPr>
            <w:r>
              <w:rPr>
                <w:color w:val="000000"/>
              </w:rPr>
              <w:t>265</w:t>
            </w:r>
          </w:p>
        </w:tc>
        <w:tc>
          <w:tcPr>
            <w:tcW w:w="1345" w:type="dxa"/>
            <w:vAlign w:val="center"/>
          </w:tcPr>
          <w:p>
            <w:pPr>
              <w:widowControl/>
              <w:jc w:val="center"/>
              <w:rPr>
                <w:color w:val="000000"/>
              </w:rPr>
            </w:pPr>
            <w:r>
              <w:rPr>
                <w:color w:val="000000"/>
              </w:rPr>
              <w:t>2.00</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第二次</w:t>
            </w:r>
          </w:p>
        </w:tc>
        <w:tc>
          <w:tcPr>
            <w:tcW w:w="1185" w:type="dxa"/>
            <w:vAlign w:val="center"/>
          </w:tcPr>
          <w:p>
            <w:pPr>
              <w:widowControl/>
              <w:jc w:val="center"/>
              <w:rPr>
                <w:color w:val="000000"/>
              </w:rPr>
            </w:pPr>
            <w:r>
              <w:rPr>
                <w:color w:val="000000"/>
              </w:rPr>
              <w:t>15800</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92</w:t>
            </w:r>
          </w:p>
        </w:tc>
        <w:tc>
          <w:tcPr>
            <w:tcW w:w="1420" w:type="dxa"/>
            <w:vAlign w:val="center"/>
          </w:tcPr>
          <w:p>
            <w:pPr>
              <w:widowControl/>
              <w:jc w:val="center"/>
              <w:rPr>
                <w:color w:val="000000"/>
              </w:rPr>
            </w:pPr>
            <w:r>
              <w:rPr>
                <w:color w:val="000000"/>
              </w:rPr>
              <w:t>195</w:t>
            </w:r>
          </w:p>
        </w:tc>
        <w:tc>
          <w:tcPr>
            <w:tcW w:w="1420" w:type="dxa"/>
            <w:vAlign w:val="center"/>
          </w:tcPr>
          <w:p>
            <w:pPr>
              <w:widowControl/>
              <w:jc w:val="center"/>
              <w:rPr>
                <w:color w:val="000000"/>
              </w:rPr>
            </w:pPr>
            <w:r>
              <w:rPr>
                <w:color w:val="000000"/>
              </w:rPr>
              <w:t>1.45</w:t>
            </w:r>
          </w:p>
        </w:tc>
        <w:tc>
          <w:tcPr>
            <w:tcW w:w="1345" w:type="dxa"/>
            <w:vAlign w:val="center"/>
          </w:tcPr>
          <w:p>
            <w:pPr>
              <w:widowControl/>
              <w:jc w:val="center"/>
              <w:rPr>
                <w:color w:val="000000"/>
              </w:rPr>
            </w:pPr>
            <w:r>
              <w:rPr>
                <w:color w:val="000000"/>
              </w:rPr>
              <w:t>128</w:t>
            </w:r>
          </w:p>
        </w:tc>
        <w:tc>
          <w:tcPr>
            <w:tcW w:w="1345" w:type="dxa"/>
            <w:vAlign w:val="center"/>
          </w:tcPr>
          <w:p>
            <w:pPr>
              <w:widowControl/>
              <w:jc w:val="center"/>
              <w:rPr>
                <w:color w:val="000000"/>
              </w:rPr>
            </w:pPr>
            <w:r>
              <w:rPr>
                <w:color w:val="000000"/>
              </w:rPr>
              <w:t>272</w:t>
            </w:r>
          </w:p>
        </w:tc>
        <w:tc>
          <w:tcPr>
            <w:tcW w:w="1345" w:type="dxa"/>
            <w:vAlign w:val="center"/>
          </w:tcPr>
          <w:p>
            <w:pPr>
              <w:widowControl/>
              <w:jc w:val="center"/>
              <w:rPr>
                <w:color w:val="000000"/>
              </w:rPr>
            </w:pPr>
            <w:r>
              <w:rPr>
                <w:color w:val="000000"/>
              </w:rPr>
              <w:t>2.02</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第三次</w:t>
            </w:r>
          </w:p>
        </w:tc>
        <w:tc>
          <w:tcPr>
            <w:tcW w:w="1185" w:type="dxa"/>
            <w:vAlign w:val="center"/>
          </w:tcPr>
          <w:p>
            <w:pPr>
              <w:widowControl/>
              <w:jc w:val="center"/>
              <w:rPr>
                <w:color w:val="000000"/>
              </w:rPr>
            </w:pPr>
            <w:r>
              <w:rPr>
                <w:color w:val="000000"/>
              </w:rPr>
              <w:t>15580</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87</w:t>
            </w:r>
          </w:p>
        </w:tc>
        <w:tc>
          <w:tcPr>
            <w:tcW w:w="1420" w:type="dxa"/>
            <w:vAlign w:val="center"/>
          </w:tcPr>
          <w:p>
            <w:pPr>
              <w:widowControl/>
              <w:jc w:val="center"/>
              <w:rPr>
                <w:color w:val="000000"/>
              </w:rPr>
            </w:pPr>
            <w:r>
              <w:rPr>
                <w:color w:val="000000"/>
              </w:rPr>
              <w:t>187</w:t>
            </w:r>
          </w:p>
        </w:tc>
        <w:tc>
          <w:tcPr>
            <w:tcW w:w="1420" w:type="dxa"/>
            <w:vAlign w:val="center"/>
          </w:tcPr>
          <w:p>
            <w:pPr>
              <w:widowControl/>
              <w:jc w:val="center"/>
              <w:rPr>
                <w:color w:val="000000"/>
              </w:rPr>
            </w:pPr>
            <w:r>
              <w:rPr>
                <w:color w:val="000000"/>
              </w:rPr>
              <w:t>1.36</w:t>
            </w:r>
          </w:p>
        </w:tc>
        <w:tc>
          <w:tcPr>
            <w:tcW w:w="1345" w:type="dxa"/>
            <w:vAlign w:val="center"/>
          </w:tcPr>
          <w:p>
            <w:pPr>
              <w:widowControl/>
              <w:jc w:val="center"/>
              <w:rPr>
                <w:color w:val="000000"/>
              </w:rPr>
            </w:pPr>
            <w:r>
              <w:rPr>
                <w:color w:val="000000"/>
              </w:rPr>
              <w:t>128</w:t>
            </w:r>
          </w:p>
        </w:tc>
        <w:tc>
          <w:tcPr>
            <w:tcW w:w="1345" w:type="dxa"/>
            <w:vAlign w:val="center"/>
          </w:tcPr>
          <w:p>
            <w:pPr>
              <w:widowControl/>
              <w:jc w:val="center"/>
              <w:rPr>
                <w:color w:val="000000"/>
              </w:rPr>
            </w:pPr>
            <w:r>
              <w:rPr>
                <w:color w:val="000000"/>
              </w:rPr>
              <w:t>275</w:t>
            </w:r>
          </w:p>
        </w:tc>
        <w:tc>
          <w:tcPr>
            <w:tcW w:w="1345" w:type="dxa"/>
            <w:vAlign w:val="center"/>
          </w:tcPr>
          <w:p>
            <w:pPr>
              <w:widowControl/>
              <w:jc w:val="center"/>
              <w:rPr>
                <w:color w:val="000000"/>
              </w:rPr>
            </w:pPr>
            <w:r>
              <w:rPr>
                <w:color w:val="000000"/>
              </w:rPr>
              <w:t>1.99</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1280" w:type="dxa"/>
            <w:vMerge w:val="continue"/>
            <w:vAlign w:val="center"/>
          </w:tcPr>
          <w:p>
            <w:pPr>
              <w:jc w:val="center"/>
            </w:pPr>
          </w:p>
        </w:tc>
        <w:tc>
          <w:tcPr>
            <w:tcW w:w="1305" w:type="dxa"/>
            <w:vMerge w:val="continue"/>
            <w:vAlign w:val="center"/>
          </w:tcPr>
          <w:p>
            <w:pPr>
              <w:jc w:val="center"/>
            </w:pPr>
          </w:p>
        </w:tc>
        <w:tc>
          <w:tcPr>
            <w:tcW w:w="1050" w:type="dxa"/>
            <w:vAlign w:val="center"/>
          </w:tcPr>
          <w:p>
            <w:pPr>
              <w:jc w:val="center"/>
            </w:pPr>
            <w:r>
              <w:rPr>
                <w:rFonts w:hint="eastAsia"/>
              </w:rPr>
              <w:t>平均值</w:t>
            </w:r>
          </w:p>
        </w:tc>
        <w:tc>
          <w:tcPr>
            <w:tcW w:w="1185" w:type="dxa"/>
            <w:vAlign w:val="center"/>
          </w:tcPr>
          <w:p>
            <w:pPr>
              <w:widowControl/>
              <w:jc w:val="center"/>
              <w:rPr>
                <w:color w:val="000000"/>
              </w:rPr>
            </w:pPr>
            <w:r>
              <w:rPr>
                <w:color w:val="000000"/>
              </w:rPr>
              <w:t>15588</w:t>
            </w:r>
          </w:p>
        </w:tc>
        <w:tc>
          <w:tcPr>
            <w:tcW w:w="1125" w:type="dxa"/>
            <w:vMerge w:val="continue"/>
            <w:vAlign w:val="center"/>
          </w:tcPr>
          <w:p>
            <w:pPr>
              <w:widowControl/>
              <w:jc w:val="center"/>
              <w:rPr>
                <w:color w:val="000000"/>
              </w:rPr>
            </w:pPr>
          </w:p>
        </w:tc>
        <w:tc>
          <w:tcPr>
            <w:tcW w:w="1420" w:type="dxa"/>
            <w:vAlign w:val="center"/>
          </w:tcPr>
          <w:p>
            <w:pPr>
              <w:widowControl/>
              <w:jc w:val="center"/>
              <w:rPr>
                <w:color w:val="000000"/>
                <w:kern w:val="0"/>
              </w:rPr>
            </w:pPr>
            <w:r>
              <w:rPr>
                <w:color w:val="000000"/>
                <w:kern w:val="0"/>
              </w:rPr>
              <w:t>90</w:t>
            </w:r>
          </w:p>
        </w:tc>
        <w:tc>
          <w:tcPr>
            <w:tcW w:w="1420" w:type="dxa"/>
            <w:vAlign w:val="center"/>
          </w:tcPr>
          <w:p>
            <w:pPr>
              <w:widowControl/>
              <w:jc w:val="center"/>
              <w:rPr>
                <w:color w:val="000000"/>
              </w:rPr>
            </w:pPr>
            <w:r>
              <w:rPr>
                <w:color w:val="000000"/>
              </w:rPr>
              <w:t>189</w:t>
            </w:r>
          </w:p>
        </w:tc>
        <w:tc>
          <w:tcPr>
            <w:tcW w:w="1420" w:type="dxa"/>
            <w:vAlign w:val="center"/>
          </w:tcPr>
          <w:p>
            <w:pPr>
              <w:widowControl/>
              <w:jc w:val="center"/>
              <w:rPr>
                <w:color w:val="000000"/>
              </w:rPr>
            </w:pPr>
            <w:r>
              <w:rPr>
                <w:color w:val="000000"/>
              </w:rPr>
              <w:t>1.40</w:t>
            </w:r>
          </w:p>
        </w:tc>
        <w:tc>
          <w:tcPr>
            <w:tcW w:w="1345" w:type="dxa"/>
            <w:vAlign w:val="center"/>
          </w:tcPr>
          <w:p>
            <w:pPr>
              <w:widowControl/>
              <w:jc w:val="center"/>
              <w:rPr>
                <w:color w:val="000000"/>
              </w:rPr>
            </w:pPr>
            <w:r>
              <w:rPr>
                <w:color w:val="000000"/>
              </w:rPr>
              <w:t>129</w:t>
            </w:r>
          </w:p>
        </w:tc>
        <w:tc>
          <w:tcPr>
            <w:tcW w:w="1345" w:type="dxa"/>
            <w:vAlign w:val="center"/>
          </w:tcPr>
          <w:p>
            <w:pPr>
              <w:widowControl/>
              <w:jc w:val="center"/>
              <w:rPr>
                <w:color w:val="000000"/>
              </w:rPr>
            </w:pPr>
            <w:r>
              <w:rPr>
                <w:color w:val="000000"/>
              </w:rPr>
              <w:t>271</w:t>
            </w:r>
          </w:p>
        </w:tc>
        <w:tc>
          <w:tcPr>
            <w:tcW w:w="1345" w:type="dxa"/>
            <w:vAlign w:val="center"/>
          </w:tcPr>
          <w:p>
            <w:pPr>
              <w:widowControl/>
              <w:jc w:val="center"/>
              <w:rPr>
                <w:color w:val="000000"/>
              </w:rPr>
            </w:pPr>
            <w:r>
              <w:rPr>
                <w:color w:val="000000"/>
              </w:rPr>
              <w:t>2.00</w:t>
            </w:r>
          </w:p>
        </w:tc>
        <w:tc>
          <w:tcPr>
            <w:tcW w:w="1234" w:type="dxa"/>
            <w:vAlign w:val="center"/>
          </w:tcPr>
          <w:p>
            <w:pPr>
              <w:widowControl/>
              <w:jc w:val="center"/>
              <w:rPr>
                <w:color w:val="000000"/>
              </w:rPr>
            </w:pPr>
            <w:r>
              <w:rPr>
                <w:color w:val="000000"/>
              </w:rPr>
              <w:t>0.25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3635" w:type="dxa"/>
            <w:gridSpan w:val="3"/>
            <w:vAlign w:val="center"/>
          </w:tcPr>
          <w:p>
            <w:pPr>
              <w:jc w:val="center"/>
            </w:pPr>
            <w:r>
              <w:rPr>
                <w:rFonts w:hint="eastAsia"/>
              </w:rPr>
              <w:t>排放限值</w:t>
            </w:r>
          </w:p>
        </w:tc>
        <w:tc>
          <w:tcPr>
            <w:tcW w:w="1185" w:type="dxa"/>
            <w:vAlign w:val="center"/>
          </w:tcPr>
          <w:p>
            <w:pPr>
              <w:widowControl/>
              <w:jc w:val="center"/>
              <w:rPr>
                <w:color w:val="000000"/>
              </w:rPr>
            </w:pPr>
            <w:r>
              <w:rPr>
                <w:color w:val="000000"/>
              </w:rPr>
              <w:t>/</w:t>
            </w:r>
          </w:p>
        </w:tc>
        <w:tc>
          <w:tcPr>
            <w:tcW w:w="1125" w:type="dxa"/>
            <w:vAlign w:val="center"/>
          </w:tcPr>
          <w:p>
            <w:pPr>
              <w:widowControl/>
              <w:jc w:val="center"/>
              <w:rPr>
                <w:color w:val="000000"/>
              </w:rPr>
            </w:pPr>
            <w:r>
              <w:rPr>
                <w:color w:val="000000"/>
              </w:rPr>
              <w:t>/</w:t>
            </w:r>
          </w:p>
        </w:tc>
        <w:tc>
          <w:tcPr>
            <w:tcW w:w="1420" w:type="dxa"/>
            <w:vAlign w:val="center"/>
          </w:tcPr>
          <w:p>
            <w:pPr>
              <w:widowControl/>
              <w:jc w:val="center"/>
              <w:rPr>
                <w:color w:val="000000"/>
              </w:rPr>
            </w:pPr>
            <w:r>
              <w:rPr>
                <w:color w:val="000000"/>
              </w:rPr>
              <w:t>/</w:t>
            </w:r>
          </w:p>
        </w:tc>
        <w:tc>
          <w:tcPr>
            <w:tcW w:w="1420" w:type="dxa"/>
            <w:vAlign w:val="center"/>
          </w:tcPr>
          <w:p>
            <w:pPr>
              <w:widowControl/>
              <w:jc w:val="center"/>
              <w:rPr>
                <w:color w:val="000000"/>
              </w:rPr>
            </w:pPr>
            <w:r>
              <w:rPr>
                <w:color w:val="000000"/>
                <w:kern w:val="0"/>
              </w:rPr>
              <w:t>400</w:t>
            </w:r>
          </w:p>
        </w:tc>
        <w:tc>
          <w:tcPr>
            <w:tcW w:w="1420" w:type="dxa"/>
            <w:vAlign w:val="center"/>
          </w:tcPr>
          <w:p>
            <w:pPr>
              <w:widowControl/>
              <w:jc w:val="center"/>
              <w:rPr>
                <w:color w:val="000000"/>
              </w:rPr>
            </w:pPr>
            <w:r>
              <w:rPr>
                <w:color w:val="000000"/>
              </w:rPr>
              <w:t>/</w:t>
            </w:r>
          </w:p>
        </w:tc>
        <w:tc>
          <w:tcPr>
            <w:tcW w:w="1345" w:type="dxa"/>
            <w:vAlign w:val="center"/>
          </w:tcPr>
          <w:p>
            <w:pPr>
              <w:widowControl/>
              <w:jc w:val="center"/>
              <w:rPr>
                <w:color w:val="000000"/>
              </w:rPr>
            </w:pPr>
            <w:r>
              <w:rPr>
                <w:color w:val="000000"/>
              </w:rPr>
              <w:t>/</w:t>
            </w:r>
          </w:p>
        </w:tc>
        <w:tc>
          <w:tcPr>
            <w:tcW w:w="1345" w:type="dxa"/>
            <w:vAlign w:val="center"/>
          </w:tcPr>
          <w:p>
            <w:pPr>
              <w:widowControl/>
              <w:jc w:val="center"/>
              <w:rPr>
                <w:color w:val="000000"/>
              </w:rPr>
            </w:pPr>
            <w:r>
              <w:rPr>
                <w:color w:val="000000"/>
                <w:kern w:val="0"/>
              </w:rPr>
              <w:t>400</w:t>
            </w:r>
          </w:p>
        </w:tc>
        <w:tc>
          <w:tcPr>
            <w:tcW w:w="1345" w:type="dxa"/>
            <w:vAlign w:val="center"/>
          </w:tcPr>
          <w:p>
            <w:pPr>
              <w:widowControl/>
              <w:jc w:val="center"/>
              <w:rPr>
                <w:color w:val="000000"/>
              </w:rPr>
            </w:pPr>
            <w:r>
              <w:rPr>
                <w:color w:val="000000"/>
              </w:rPr>
              <w:t>/</w:t>
            </w:r>
          </w:p>
        </w:tc>
        <w:tc>
          <w:tcPr>
            <w:tcW w:w="1234" w:type="dxa"/>
            <w:vAlign w:val="center"/>
          </w:tcPr>
          <w:p>
            <w:pPr>
              <w:widowControl/>
              <w:jc w:val="center"/>
              <w:rPr>
                <w:color w:val="000000"/>
              </w:rPr>
            </w:pPr>
            <w:r>
              <w:rPr>
                <w:rFonts w:hint="eastAsia"/>
                <w:color w:val="000000"/>
              </w:rPr>
              <w:t>≤</w:t>
            </w:r>
            <w:r>
              <w:rPr>
                <w:color w:val="000000"/>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67" w:hRule="exact"/>
          <w:jc w:val="center"/>
        </w:trPr>
        <w:tc>
          <w:tcPr>
            <w:tcW w:w="3635" w:type="dxa"/>
            <w:gridSpan w:val="3"/>
            <w:vAlign w:val="center"/>
          </w:tcPr>
          <w:p>
            <w:pPr>
              <w:jc w:val="center"/>
              <w:rPr>
                <w:bCs/>
                <w:color w:val="000000"/>
              </w:rPr>
            </w:pPr>
            <w:r>
              <w:rPr>
                <w:rFonts w:hint="eastAsia"/>
              </w:rPr>
              <w:t>达标情况</w:t>
            </w:r>
          </w:p>
        </w:tc>
        <w:tc>
          <w:tcPr>
            <w:tcW w:w="1185" w:type="dxa"/>
            <w:vAlign w:val="center"/>
          </w:tcPr>
          <w:p>
            <w:pPr>
              <w:widowControl/>
              <w:jc w:val="center"/>
              <w:rPr>
                <w:color w:val="000000"/>
              </w:rPr>
            </w:pPr>
            <w:r>
              <w:rPr>
                <w:color w:val="000000"/>
              </w:rPr>
              <w:t>/</w:t>
            </w:r>
          </w:p>
        </w:tc>
        <w:tc>
          <w:tcPr>
            <w:tcW w:w="1125" w:type="dxa"/>
            <w:vAlign w:val="center"/>
          </w:tcPr>
          <w:p>
            <w:pPr>
              <w:widowControl/>
              <w:jc w:val="center"/>
              <w:rPr>
                <w:color w:val="000000"/>
              </w:rPr>
            </w:pPr>
            <w:r>
              <w:rPr>
                <w:color w:val="000000"/>
              </w:rPr>
              <w:t>/</w:t>
            </w:r>
          </w:p>
        </w:tc>
        <w:tc>
          <w:tcPr>
            <w:tcW w:w="1420" w:type="dxa"/>
            <w:vAlign w:val="center"/>
          </w:tcPr>
          <w:p>
            <w:pPr>
              <w:widowControl/>
              <w:jc w:val="center"/>
              <w:rPr>
                <w:color w:val="000000"/>
              </w:rPr>
            </w:pPr>
            <w:r>
              <w:rPr>
                <w:color w:val="000000"/>
              </w:rPr>
              <w:t>/</w:t>
            </w:r>
          </w:p>
        </w:tc>
        <w:tc>
          <w:tcPr>
            <w:tcW w:w="1420" w:type="dxa"/>
            <w:vAlign w:val="center"/>
          </w:tcPr>
          <w:p>
            <w:pPr>
              <w:widowControl/>
              <w:jc w:val="center"/>
              <w:rPr>
                <w:color w:val="000000"/>
              </w:rPr>
            </w:pPr>
            <w:r>
              <w:rPr>
                <w:rFonts w:hint="eastAsia"/>
                <w:color w:val="000000"/>
                <w:kern w:val="0"/>
              </w:rPr>
              <w:t>达标</w:t>
            </w:r>
          </w:p>
        </w:tc>
        <w:tc>
          <w:tcPr>
            <w:tcW w:w="1420" w:type="dxa"/>
            <w:vAlign w:val="center"/>
          </w:tcPr>
          <w:p>
            <w:pPr>
              <w:widowControl/>
              <w:jc w:val="center"/>
              <w:rPr>
                <w:color w:val="000000"/>
              </w:rPr>
            </w:pPr>
            <w:r>
              <w:rPr>
                <w:color w:val="000000"/>
              </w:rPr>
              <w:t>/</w:t>
            </w:r>
          </w:p>
        </w:tc>
        <w:tc>
          <w:tcPr>
            <w:tcW w:w="1345" w:type="dxa"/>
            <w:vAlign w:val="center"/>
          </w:tcPr>
          <w:p>
            <w:pPr>
              <w:widowControl/>
              <w:jc w:val="center"/>
              <w:rPr>
                <w:color w:val="000000"/>
              </w:rPr>
            </w:pPr>
            <w:r>
              <w:rPr>
                <w:color w:val="000000"/>
              </w:rPr>
              <w:t>/</w:t>
            </w:r>
          </w:p>
        </w:tc>
        <w:tc>
          <w:tcPr>
            <w:tcW w:w="1345" w:type="dxa"/>
            <w:vAlign w:val="center"/>
          </w:tcPr>
          <w:p>
            <w:pPr>
              <w:widowControl/>
              <w:jc w:val="center"/>
              <w:rPr>
                <w:color w:val="000000"/>
              </w:rPr>
            </w:pPr>
            <w:r>
              <w:rPr>
                <w:rFonts w:hint="eastAsia"/>
                <w:color w:val="000000"/>
                <w:kern w:val="0"/>
              </w:rPr>
              <w:t>达标</w:t>
            </w:r>
          </w:p>
        </w:tc>
        <w:tc>
          <w:tcPr>
            <w:tcW w:w="1345" w:type="dxa"/>
            <w:vAlign w:val="center"/>
          </w:tcPr>
          <w:p>
            <w:pPr>
              <w:widowControl/>
              <w:jc w:val="center"/>
              <w:rPr>
                <w:color w:val="000000"/>
              </w:rPr>
            </w:pPr>
            <w:r>
              <w:rPr>
                <w:color w:val="000000"/>
              </w:rPr>
              <w:t>/</w:t>
            </w:r>
          </w:p>
        </w:tc>
        <w:tc>
          <w:tcPr>
            <w:tcW w:w="1234" w:type="dxa"/>
            <w:vAlign w:val="center"/>
          </w:tcPr>
          <w:p>
            <w:pPr>
              <w:widowControl/>
              <w:jc w:val="center"/>
              <w:rPr>
                <w:color w:val="000000"/>
              </w:rPr>
            </w:pPr>
            <w:r>
              <w:rPr>
                <w:rFonts w:hint="eastAsia"/>
                <w:color w:val="000000"/>
                <w:kern w:val="0"/>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907" w:hRule="exact"/>
          <w:jc w:val="center"/>
        </w:trPr>
        <w:tc>
          <w:tcPr>
            <w:tcW w:w="15474" w:type="dxa"/>
            <w:gridSpan w:val="12"/>
          </w:tcPr>
          <w:p>
            <w:pPr>
              <w:autoSpaceDE w:val="0"/>
              <w:autoSpaceDN w:val="0"/>
              <w:adjustRightInd w:val="0"/>
              <w:rPr>
                <w:color w:val="000000"/>
                <w:sz w:val="21"/>
                <w:szCs w:val="21"/>
              </w:rPr>
            </w:pPr>
            <w:r>
              <w:rPr>
                <w:rFonts w:hint="eastAsia"/>
                <w:color w:val="000000"/>
                <w:sz w:val="21"/>
                <w:szCs w:val="21"/>
              </w:rPr>
              <w:t>备注：</w:t>
            </w:r>
            <w:r>
              <w:rPr>
                <w:color w:val="000000"/>
                <w:sz w:val="21"/>
                <w:szCs w:val="21"/>
              </w:rPr>
              <w:t>1.</w:t>
            </w:r>
            <w:r>
              <w:rPr>
                <w:rFonts w:hint="eastAsia"/>
                <w:color w:val="000000"/>
                <w:sz w:val="21"/>
                <w:szCs w:val="21"/>
              </w:rPr>
              <w:t>本结果只对当时监测的数据负责。</w:t>
            </w:r>
          </w:p>
          <w:p>
            <w:pPr>
              <w:autoSpaceDE w:val="0"/>
              <w:autoSpaceDN w:val="0"/>
              <w:adjustRightInd w:val="0"/>
              <w:rPr>
                <w:color w:val="000000"/>
                <w:sz w:val="21"/>
                <w:szCs w:val="21"/>
              </w:rPr>
            </w:pPr>
            <w:r>
              <w:rPr>
                <w:color w:val="000000"/>
                <w:sz w:val="21"/>
                <w:szCs w:val="21"/>
              </w:rPr>
              <w:t xml:space="preserve">      2.</w:t>
            </w:r>
            <w:r>
              <w:rPr>
                <w:rFonts w:hint="eastAsia"/>
                <w:color w:val="000000"/>
                <w:sz w:val="21"/>
                <w:szCs w:val="21"/>
              </w:rPr>
              <w:t>燃料类型为煤。</w:t>
            </w:r>
          </w:p>
          <w:p>
            <w:pPr>
              <w:autoSpaceDE w:val="0"/>
              <w:autoSpaceDN w:val="0"/>
              <w:adjustRightInd w:val="0"/>
              <w:rPr>
                <w:color w:val="000000"/>
                <w:kern w:val="0"/>
              </w:rPr>
            </w:pPr>
            <w:r>
              <w:rPr>
                <w:color w:val="000000"/>
                <w:kern w:val="0"/>
                <w:sz w:val="21"/>
                <w:szCs w:val="21"/>
              </w:rPr>
              <w:t xml:space="preserve">      3.</w:t>
            </w:r>
            <w:r>
              <w:rPr>
                <w:rFonts w:hint="eastAsia"/>
                <w:color w:val="000000"/>
                <w:kern w:val="0"/>
                <w:sz w:val="21"/>
                <w:szCs w:val="21"/>
              </w:rPr>
              <w:t>废气排放执行《锅炉大气污染物排放标准》（</w:t>
            </w:r>
            <w:r>
              <w:rPr>
                <w:color w:val="000000"/>
                <w:kern w:val="0"/>
                <w:sz w:val="21"/>
                <w:szCs w:val="21"/>
              </w:rPr>
              <w:t>GB13271-2014</w:t>
            </w:r>
            <w:r>
              <w:rPr>
                <w:rFonts w:hint="eastAsia"/>
                <w:color w:val="000000"/>
                <w:kern w:val="0"/>
                <w:sz w:val="21"/>
                <w:szCs w:val="21"/>
              </w:rPr>
              <w:t>）中表</w:t>
            </w:r>
            <w:r>
              <w:rPr>
                <w:color w:val="000000"/>
                <w:kern w:val="0"/>
                <w:sz w:val="21"/>
                <w:szCs w:val="21"/>
              </w:rPr>
              <w:t>1</w:t>
            </w:r>
            <w:r>
              <w:rPr>
                <w:rFonts w:hint="eastAsia"/>
                <w:color w:val="000000"/>
                <w:kern w:val="0"/>
                <w:sz w:val="21"/>
                <w:szCs w:val="21"/>
              </w:rPr>
              <w:t>规定的大气污染物排放限值。</w:t>
            </w:r>
          </w:p>
        </w:tc>
      </w:tr>
    </w:tbl>
    <w:p>
      <w:pPr>
        <w:adjustRightInd w:val="0"/>
        <w:snapToGrid w:val="0"/>
        <w:spacing w:line="360" w:lineRule="auto"/>
        <w:ind w:firstLine="480" w:firstLineChars="200"/>
        <w:rPr>
          <w:rFonts w:ascii="??_GB2312"/>
          <w:szCs w:val="28"/>
        </w:rPr>
        <w:sectPr>
          <w:pgSz w:w="16838" w:h="11906" w:orient="landscape"/>
          <w:pgMar w:top="1644" w:right="1440" w:bottom="1418" w:left="1440" w:header="709" w:footer="709" w:gutter="0"/>
          <w:pgNumType w:fmt="decimal"/>
          <w:cols w:space="708" w:num="1"/>
          <w:docGrid w:linePitch="360" w:charSpace="0"/>
        </w:sectPr>
      </w:pPr>
    </w:p>
    <w:p>
      <w:pPr>
        <w:adjustRightInd w:val="0"/>
        <w:snapToGrid w:val="0"/>
        <w:spacing w:line="360" w:lineRule="auto"/>
        <w:jc w:val="center"/>
        <w:rPr>
          <w:b/>
        </w:rPr>
      </w:pPr>
      <w:r>
        <w:rPr>
          <w:rFonts w:hint="eastAsia"/>
          <w:b/>
        </w:rPr>
        <w:t>续表</w:t>
      </w:r>
      <w:r>
        <w:rPr>
          <w:b/>
        </w:rPr>
        <w:t xml:space="preserve">9-4    </w:t>
      </w:r>
      <w:r>
        <w:rPr>
          <w:rFonts w:hint="eastAsia"/>
          <w:b/>
        </w:rPr>
        <w:t>锅炉排气筒废气监测结果</w:t>
      </w:r>
    </w:p>
    <w:tbl>
      <w:tblPr>
        <w:tblStyle w:val="47"/>
        <w:tblW w:w="9027" w:type="dxa"/>
        <w:jc w:val="center"/>
        <w:tblInd w:w="-120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9"/>
        <w:gridCol w:w="594"/>
        <w:gridCol w:w="1701"/>
        <w:gridCol w:w="1276"/>
        <w:gridCol w:w="1558"/>
        <w:gridCol w:w="1417"/>
        <w:gridCol w:w="12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Merge w:val="restart"/>
            <w:vAlign w:val="center"/>
          </w:tcPr>
          <w:p>
            <w:pPr>
              <w:spacing w:line="240" w:lineRule="atLeast"/>
              <w:ind w:left="31680" w:hanging="480" w:hangingChars="200"/>
              <w:jc w:val="center"/>
            </w:pPr>
            <w:r>
              <w:rPr>
                <w:rFonts w:hint="eastAsia"/>
              </w:rPr>
              <w:t>监测时间</w:t>
            </w:r>
          </w:p>
        </w:tc>
        <w:tc>
          <w:tcPr>
            <w:tcW w:w="7234" w:type="dxa"/>
            <w:gridSpan w:val="5"/>
            <w:vAlign w:val="center"/>
          </w:tcPr>
          <w:p>
            <w:pPr>
              <w:spacing w:line="240" w:lineRule="atLeast"/>
              <w:jc w:val="center"/>
            </w:pPr>
            <w:r>
              <w:rPr>
                <w:rFonts w:hint="eastAsia"/>
              </w:rPr>
              <w:t>监测结果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Merge w:val="continue"/>
            <w:vAlign w:val="center"/>
          </w:tcPr>
          <w:p>
            <w:pPr>
              <w:spacing w:line="240" w:lineRule="atLeast"/>
              <w:ind w:left="31680" w:hanging="480" w:hangingChars="200"/>
              <w:jc w:val="center"/>
            </w:pPr>
          </w:p>
        </w:tc>
        <w:tc>
          <w:tcPr>
            <w:tcW w:w="1701" w:type="dxa"/>
            <w:vMerge w:val="restart"/>
            <w:vAlign w:val="center"/>
          </w:tcPr>
          <w:p>
            <w:pPr>
              <w:jc w:val="center"/>
            </w:pPr>
            <w:r>
              <w:rPr>
                <w:rFonts w:hint="eastAsia"/>
              </w:rPr>
              <w:t>标干流量（</w:t>
            </w:r>
            <w:r>
              <w:t>m</w:t>
            </w:r>
            <w:r>
              <w:rPr>
                <w:vertAlign w:val="superscript"/>
              </w:rPr>
              <w:t>3/</w:t>
            </w:r>
            <w:r>
              <w:t>h</w:t>
            </w:r>
            <w:r>
              <w:rPr>
                <w:rFonts w:hint="eastAsia"/>
              </w:rPr>
              <w:t>）</w:t>
            </w:r>
          </w:p>
        </w:tc>
        <w:tc>
          <w:tcPr>
            <w:tcW w:w="1276" w:type="dxa"/>
            <w:vMerge w:val="restart"/>
            <w:vAlign w:val="center"/>
          </w:tcPr>
          <w:p>
            <w:pPr>
              <w:jc w:val="center"/>
            </w:pPr>
            <w:r>
              <w:rPr>
                <w:rFonts w:hint="eastAsia"/>
              </w:rPr>
              <w:t>排气筒高度（</w:t>
            </w:r>
            <w:r>
              <w:t>m</w:t>
            </w:r>
            <w:r>
              <w:rPr>
                <w:rFonts w:hint="eastAsia"/>
              </w:rPr>
              <w:t>）</w:t>
            </w:r>
          </w:p>
        </w:tc>
        <w:tc>
          <w:tcPr>
            <w:tcW w:w="4257" w:type="dxa"/>
            <w:gridSpan w:val="3"/>
            <w:vAlign w:val="center"/>
          </w:tcPr>
          <w:p>
            <w:pPr>
              <w:spacing w:line="240" w:lineRule="atLeast"/>
              <w:jc w:val="center"/>
            </w:pPr>
            <w:r>
              <w:rPr>
                <w:rFonts w:hint="eastAsia"/>
              </w:rPr>
              <w:t>粉尘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37" w:hRule="atLeast"/>
          <w:jc w:val="center"/>
        </w:trPr>
        <w:tc>
          <w:tcPr>
            <w:tcW w:w="1793" w:type="dxa"/>
            <w:gridSpan w:val="2"/>
            <w:vMerge w:val="continue"/>
            <w:vAlign w:val="center"/>
          </w:tcPr>
          <w:p>
            <w:pPr>
              <w:spacing w:line="240" w:lineRule="atLeast"/>
              <w:ind w:left="31680" w:hanging="480" w:hangingChars="200"/>
              <w:jc w:val="center"/>
            </w:pPr>
          </w:p>
        </w:tc>
        <w:tc>
          <w:tcPr>
            <w:tcW w:w="1701" w:type="dxa"/>
            <w:vMerge w:val="continue"/>
            <w:vAlign w:val="center"/>
          </w:tcPr>
          <w:p>
            <w:pPr>
              <w:spacing w:line="240" w:lineRule="atLeast"/>
              <w:ind w:left="-120" w:leftChars="-50"/>
              <w:jc w:val="center"/>
            </w:pPr>
          </w:p>
        </w:tc>
        <w:tc>
          <w:tcPr>
            <w:tcW w:w="1276" w:type="dxa"/>
            <w:vMerge w:val="continue"/>
            <w:vAlign w:val="center"/>
          </w:tcPr>
          <w:p>
            <w:pPr>
              <w:jc w:val="center"/>
            </w:pPr>
          </w:p>
        </w:tc>
        <w:tc>
          <w:tcPr>
            <w:tcW w:w="1558" w:type="dxa"/>
            <w:vAlign w:val="center"/>
          </w:tcPr>
          <w:p>
            <w:pPr>
              <w:spacing w:line="240" w:lineRule="atLeast"/>
              <w:jc w:val="center"/>
            </w:pPr>
            <w:r>
              <w:rPr>
                <w:rFonts w:hint="eastAsia"/>
              </w:rPr>
              <w:t>实测浓度（</w:t>
            </w:r>
            <w:r>
              <w:t>mg/m</w:t>
            </w:r>
            <w:r>
              <w:rPr>
                <w:vertAlign w:val="superscript"/>
              </w:rPr>
              <w:t>3</w:t>
            </w:r>
            <w:r>
              <w:rPr>
                <w:rFonts w:hint="eastAsia"/>
              </w:rPr>
              <w:t>）</w:t>
            </w:r>
          </w:p>
        </w:tc>
        <w:tc>
          <w:tcPr>
            <w:tcW w:w="1417" w:type="dxa"/>
            <w:vAlign w:val="center"/>
          </w:tcPr>
          <w:p>
            <w:pPr>
              <w:spacing w:line="240" w:lineRule="atLeast"/>
              <w:jc w:val="center"/>
            </w:pPr>
            <w:r>
              <w:rPr>
                <w:rFonts w:hint="eastAsia"/>
              </w:rPr>
              <w:t>折算浓度（</w:t>
            </w:r>
            <w:r>
              <w:t>mg/m</w:t>
            </w:r>
            <w:r>
              <w:rPr>
                <w:vertAlign w:val="superscript"/>
              </w:rPr>
              <w:t>3</w:t>
            </w:r>
            <w:r>
              <w:rPr>
                <w:rFonts w:hint="eastAsia"/>
              </w:rPr>
              <w:t>）</w:t>
            </w:r>
          </w:p>
        </w:tc>
        <w:tc>
          <w:tcPr>
            <w:tcW w:w="1282" w:type="dxa"/>
            <w:vAlign w:val="center"/>
          </w:tcPr>
          <w:p>
            <w:pPr>
              <w:spacing w:line="240" w:lineRule="atLeast"/>
              <w:jc w:val="center"/>
            </w:pPr>
            <w:r>
              <w:rPr>
                <w:rFonts w:hint="eastAsia"/>
              </w:rPr>
              <w:t>排放速率（</w:t>
            </w:r>
            <w:r>
              <w:t>kg/h</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05</w:t>
            </w:r>
            <w:r>
              <w:rPr>
                <w:rFonts w:hint="eastAsia"/>
              </w:rPr>
              <w:t>日</w:t>
            </w:r>
          </w:p>
          <w:p>
            <w:pPr>
              <w:spacing w:line="240" w:lineRule="atLeast"/>
              <w:jc w:val="center"/>
            </w:pPr>
            <w:r>
              <w:rPr>
                <w:rFonts w:hint="eastAsia"/>
              </w:rPr>
              <w:t>第一次</w:t>
            </w:r>
          </w:p>
        </w:tc>
        <w:tc>
          <w:tcPr>
            <w:tcW w:w="1701" w:type="dxa"/>
            <w:vAlign w:val="center"/>
          </w:tcPr>
          <w:p>
            <w:pPr>
              <w:widowControl/>
              <w:jc w:val="center"/>
            </w:pPr>
            <w:r>
              <w:rPr>
                <w:color w:val="000000"/>
              </w:rPr>
              <w:t>15543</w:t>
            </w:r>
          </w:p>
        </w:tc>
        <w:tc>
          <w:tcPr>
            <w:tcW w:w="1276" w:type="dxa"/>
            <w:vMerge w:val="restart"/>
            <w:vAlign w:val="center"/>
          </w:tcPr>
          <w:p>
            <w:pPr>
              <w:jc w:val="center"/>
            </w:pPr>
            <w:r>
              <w:t xml:space="preserve">45 </w:t>
            </w:r>
          </w:p>
        </w:tc>
        <w:tc>
          <w:tcPr>
            <w:tcW w:w="1558" w:type="dxa"/>
            <w:vAlign w:val="center"/>
          </w:tcPr>
          <w:p>
            <w:pPr>
              <w:autoSpaceDE w:val="0"/>
              <w:autoSpaceDN w:val="0"/>
              <w:adjustRightInd w:val="0"/>
              <w:jc w:val="center"/>
            </w:pPr>
            <w:r>
              <w:rPr>
                <w:color w:val="000000"/>
                <w:kern w:val="0"/>
              </w:rPr>
              <w:t>10.9</w:t>
            </w:r>
          </w:p>
        </w:tc>
        <w:tc>
          <w:tcPr>
            <w:tcW w:w="1417" w:type="dxa"/>
            <w:vAlign w:val="center"/>
          </w:tcPr>
          <w:p>
            <w:pPr>
              <w:autoSpaceDE w:val="0"/>
              <w:autoSpaceDN w:val="0"/>
              <w:adjustRightInd w:val="0"/>
              <w:jc w:val="center"/>
            </w:pPr>
            <w:r>
              <w:rPr>
                <w:color w:val="000000"/>
                <w:kern w:val="0"/>
              </w:rPr>
              <w:t>22.1</w:t>
            </w:r>
          </w:p>
        </w:tc>
        <w:tc>
          <w:tcPr>
            <w:tcW w:w="1282" w:type="dxa"/>
            <w:vAlign w:val="center"/>
          </w:tcPr>
          <w:p>
            <w:pPr>
              <w:autoSpaceDE w:val="0"/>
              <w:autoSpaceDN w:val="0"/>
              <w:adjustRightInd w:val="0"/>
              <w:jc w:val="center"/>
            </w:pPr>
            <w:r>
              <w:rPr>
                <w:color w:val="000000"/>
                <w:kern w:val="0"/>
              </w:rPr>
              <w:t>0.169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05</w:t>
            </w:r>
            <w:r>
              <w:rPr>
                <w:rFonts w:hint="eastAsia"/>
              </w:rPr>
              <w:t>日</w:t>
            </w:r>
          </w:p>
          <w:p>
            <w:pPr>
              <w:spacing w:line="240" w:lineRule="atLeast"/>
              <w:jc w:val="center"/>
            </w:pPr>
            <w:r>
              <w:rPr>
                <w:rFonts w:hint="eastAsia"/>
              </w:rPr>
              <w:t>第二次</w:t>
            </w:r>
          </w:p>
        </w:tc>
        <w:tc>
          <w:tcPr>
            <w:tcW w:w="1701" w:type="dxa"/>
            <w:vAlign w:val="center"/>
          </w:tcPr>
          <w:p>
            <w:pPr>
              <w:widowControl/>
              <w:jc w:val="center"/>
            </w:pPr>
            <w:r>
              <w:rPr>
                <w:color w:val="000000"/>
              </w:rPr>
              <w:t>15356</w:t>
            </w:r>
          </w:p>
        </w:tc>
        <w:tc>
          <w:tcPr>
            <w:tcW w:w="1276" w:type="dxa"/>
            <w:vMerge w:val="continue"/>
            <w:vAlign w:val="center"/>
          </w:tcPr>
          <w:p>
            <w:pPr>
              <w:jc w:val="center"/>
            </w:pPr>
          </w:p>
        </w:tc>
        <w:tc>
          <w:tcPr>
            <w:tcW w:w="1558" w:type="dxa"/>
            <w:vAlign w:val="center"/>
          </w:tcPr>
          <w:p>
            <w:pPr>
              <w:autoSpaceDE w:val="0"/>
              <w:autoSpaceDN w:val="0"/>
              <w:adjustRightInd w:val="0"/>
              <w:jc w:val="center"/>
            </w:pPr>
            <w:r>
              <w:rPr>
                <w:color w:val="000000"/>
                <w:kern w:val="0"/>
              </w:rPr>
              <w:t>11.5</w:t>
            </w:r>
          </w:p>
        </w:tc>
        <w:tc>
          <w:tcPr>
            <w:tcW w:w="1417" w:type="dxa"/>
            <w:vAlign w:val="center"/>
          </w:tcPr>
          <w:p>
            <w:pPr>
              <w:autoSpaceDE w:val="0"/>
              <w:autoSpaceDN w:val="0"/>
              <w:adjustRightInd w:val="0"/>
              <w:jc w:val="center"/>
            </w:pPr>
            <w:r>
              <w:rPr>
                <w:color w:val="000000"/>
                <w:kern w:val="0"/>
              </w:rPr>
              <w:t>23.8</w:t>
            </w:r>
          </w:p>
        </w:tc>
        <w:tc>
          <w:tcPr>
            <w:tcW w:w="1282" w:type="dxa"/>
            <w:vAlign w:val="center"/>
          </w:tcPr>
          <w:p>
            <w:pPr>
              <w:autoSpaceDE w:val="0"/>
              <w:autoSpaceDN w:val="0"/>
              <w:adjustRightInd w:val="0"/>
              <w:jc w:val="center"/>
            </w:pPr>
            <w:r>
              <w:rPr>
                <w:color w:val="000000"/>
                <w:kern w:val="0"/>
              </w:rPr>
              <w:t>0.177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05</w:t>
            </w:r>
            <w:r>
              <w:rPr>
                <w:rFonts w:hint="eastAsia"/>
              </w:rPr>
              <w:t>日</w:t>
            </w:r>
          </w:p>
          <w:p>
            <w:pPr>
              <w:spacing w:line="240" w:lineRule="atLeast"/>
              <w:jc w:val="center"/>
            </w:pPr>
            <w:r>
              <w:rPr>
                <w:rFonts w:hint="eastAsia"/>
              </w:rPr>
              <w:t>第三次</w:t>
            </w:r>
          </w:p>
        </w:tc>
        <w:tc>
          <w:tcPr>
            <w:tcW w:w="1701" w:type="dxa"/>
            <w:vAlign w:val="center"/>
          </w:tcPr>
          <w:p>
            <w:pPr>
              <w:widowControl/>
              <w:jc w:val="center"/>
            </w:pPr>
            <w:r>
              <w:rPr>
                <w:color w:val="000000"/>
              </w:rPr>
              <w:t>15669</w:t>
            </w:r>
          </w:p>
        </w:tc>
        <w:tc>
          <w:tcPr>
            <w:tcW w:w="1276" w:type="dxa"/>
            <w:vMerge w:val="continue"/>
            <w:vAlign w:val="center"/>
          </w:tcPr>
          <w:p>
            <w:pPr>
              <w:jc w:val="center"/>
            </w:pPr>
          </w:p>
        </w:tc>
        <w:tc>
          <w:tcPr>
            <w:tcW w:w="1558" w:type="dxa"/>
            <w:vAlign w:val="center"/>
          </w:tcPr>
          <w:p>
            <w:pPr>
              <w:autoSpaceDE w:val="0"/>
              <w:autoSpaceDN w:val="0"/>
              <w:adjustRightInd w:val="0"/>
              <w:jc w:val="center"/>
            </w:pPr>
            <w:r>
              <w:rPr>
                <w:color w:val="000000"/>
                <w:kern w:val="0"/>
              </w:rPr>
              <w:t>10.8</w:t>
            </w:r>
          </w:p>
        </w:tc>
        <w:tc>
          <w:tcPr>
            <w:tcW w:w="1417" w:type="dxa"/>
            <w:vAlign w:val="center"/>
          </w:tcPr>
          <w:p>
            <w:pPr>
              <w:autoSpaceDE w:val="0"/>
              <w:autoSpaceDN w:val="0"/>
              <w:adjustRightInd w:val="0"/>
              <w:jc w:val="center"/>
            </w:pPr>
            <w:r>
              <w:rPr>
                <w:color w:val="000000"/>
                <w:kern w:val="0"/>
              </w:rPr>
              <w:t>23.1</w:t>
            </w:r>
          </w:p>
        </w:tc>
        <w:tc>
          <w:tcPr>
            <w:tcW w:w="1282" w:type="dxa"/>
            <w:vAlign w:val="center"/>
          </w:tcPr>
          <w:p>
            <w:pPr>
              <w:autoSpaceDE w:val="0"/>
              <w:autoSpaceDN w:val="0"/>
              <w:adjustRightInd w:val="0"/>
              <w:jc w:val="center"/>
            </w:pPr>
            <w:r>
              <w:rPr>
                <w:color w:val="000000"/>
                <w:kern w:val="0"/>
              </w:rPr>
              <w:t>0.169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81" w:hRule="atLeast"/>
          <w:jc w:val="center"/>
        </w:trPr>
        <w:tc>
          <w:tcPr>
            <w:tcW w:w="1793" w:type="dxa"/>
            <w:gridSpan w:val="2"/>
            <w:vAlign w:val="center"/>
          </w:tcPr>
          <w:p>
            <w:pPr>
              <w:spacing w:line="240" w:lineRule="atLeast"/>
              <w:jc w:val="center"/>
            </w:pPr>
            <w:r>
              <w:rPr>
                <w:rFonts w:hint="eastAsia"/>
              </w:rPr>
              <w:t>平均值</w:t>
            </w:r>
          </w:p>
        </w:tc>
        <w:tc>
          <w:tcPr>
            <w:tcW w:w="1701" w:type="dxa"/>
            <w:vAlign w:val="center"/>
          </w:tcPr>
          <w:p>
            <w:pPr>
              <w:jc w:val="center"/>
            </w:pPr>
            <w:r>
              <w:t>15523</w:t>
            </w:r>
          </w:p>
        </w:tc>
        <w:tc>
          <w:tcPr>
            <w:tcW w:w="1276" w:type="dxa"/>
            <w:vMerge w:val="continue"/>
            <w:vAlign w:val="center"/>
          </w:tcPr>
          <w:p>
            <w:pPr>
              <w:jc w:val="center"/>
            </w:pPr>
          </w:p>
        </w:tc>
        <w:tc>
          <w:tcPr>
            <w:tcW w:w="1558" w:type="dxa"/>
            <w:vAlign w:val="center"/>
          </w:tcPr>
          <w:p>
            <w:pPr>
              <w:jc w:val="center"/>
            </w:pPr>
            <w:r>
              <w:t>11.1</w:t>
            </w:r>
          </w:p>
        </w:tc>
        <w:tc>
          <w:tcPr>
            <w:tcW w:w="1417" w:type="dxa"/>
            <w:vAlign w:val="center"/>
          </w:tcPr>
          <w:p>
            <w:pPr>
              <w:jc w:val="center"/>
            </w:pPr>
            <w:r>
              <w:t>23.0</w:t>
            </w:r>
          </w:p>
        </w:tc>
        <w:tc>
          <w:tcPr>
            <w:tcW w:w="1282" w:type="dxa"/>
            <w:vAlign w:val="center"/>
          </w:tcPr>
          <w:p>
            <w:pPr>
              <w:jc w:val="center"/>
            </w:pPr>
            <w:r>
              <w:t>0.172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64" w:hRule="atLeast"/>
          <w:jc w:val="center"/>
        </w:trPr>
        <w:tc>
          <w:tcPr>
            <w:tcW w:w="1199" w:type="dxa"/>
            <w:vAlign w:val="center"/>
          </w:tcPr>
          <w:p>
            <w:pPr>
              <w:spacing w:line="240" w:lineRule="atLeast"/>
              <w:jc w:val="center"/>
            </w:pPr>
            <w:r>
              <w:rPr>
                <w:rFonts w:hint="eastAsia"/>
              </w:rPr>
              <w:t>标准限值</w:t>
            </w:r>
          </w:p>
        </w:tc>
        <w:tc>
          <w:tcPr>
            <w:tcW w:w="2295" w:type="dxa"/>
            <w:gridSpan w:val="2"/>
            <w:vAlign w:val="center"/>
          </w:tcPr>
          <w:p>
            <w:pPr>
              <w:ind w:left="-120" w:leftChars="-50"/>
              <w:jc w:val="center"/>
            </w:pPr>
            <w:r>
              <w:rPr>
                <w:color w:val="000000"/>
                <w:kern w:val="0"/>
                <w:szCs w:val="21"/>
              </w:rPr>
              <w:t>GB13271-2014</w:t>
            </w:r>
          </w:p>
        </w:tc>
        <w:tc>
          <w:tcPr>
            <w:tcW w:w="1276" w:type="dxa"/>
            <w:vMerge w:val="continue"/>
            <w:vAlign w:val="center"/>
          </w:tcPr>
          <w:p>
            <w:pPr>
              <w:jc w:val="center"/>
              <w:rPr>
                <w:spacing w:val="-10"/>
              </w:rPr>
            </w:pPr>
          </w:p>
        </w:tc>
        <w:tc>
          <w:tcPr>
            <w:tcW w:w="1558" w:type="dxa"/>
            <w:vAlign w:val="center"/>
          </w:tcPr>
          <w:p>
            <w:pPr>
              <w:jc w:val="center"/>
              <w:rPr>
                <w:spacing w:val="-10"/>
              </w:rPr>
            </w:pPr>
            <w:r>
              <w:rPr>
                <w:spacing w:val="-10"/>
              </w:rPr>
              <w:t>--</w:t>
            </w:r>
          </w:p>
        </w:tc>
        <w:tc>
          <w:tcPr>
            <w:tcW w:w="1417" w:type="dxa"/>
            <w:vAlign w:val="center"/>
          </w:tcPr>
          <w:p>
            <w:pPr>
              <w:jc w:val="center"/>
              <w:rPr>
                <w:spacing w:val="-10"/>
              </w:rPr>
            </w:pPr>
            <w:r>
              <w:rPr>
                <w:spacing w:val="-10"/>
              </w:rPr>
              <w:t>80</w:t>
            </w:r>
          </w:p>
        </w:tc>
        <w:tc>
          <w:tcPr>
            <w:tcW w:w="1282" w:type="dxa"/>
            <w:vAlign w:val="center"/>
          </w:tcPr>
          <w:p>
            <w:pPr>
              <w:jc w:val="center"/>
              <w:rPr>
                <w:spacing w:val="-10"/>
              </w:rPr>
            </w:pPr>
            <w:r>
              <w:rPr>
                <w:spacing w:val="-1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9" w:hRule="atLeast"/>
          <w:jc w:val="center"/>
        </w:trPr>
        <w:tc>
          <w:tcPr>
            <w:tcW w:w="3494" w:type="dxa"/>
            <w:gridSpan w:val="3"/>
            <w:vAlign w:val="center"/>
          </w:tcPr>
          <w:p>
            <w:pPr>
              <w:spacing w:line="240" w:lineRule="atLeast"/>
              <w:jc w:val="center"/>
            </w:pPr>
            <w:r>
              <w:rPr>
                <w:rFonts w:hint="eastAsia"/>
              </w:rPr>
              <w:t>达标情况</w:t>
            </w:r>
          </w:p>
        </w:tc>
        <w:tc>
          <w:tcPr>
            <w:tcW w:w="1276" w:type="dxa"/>
            <w:vMerge w:val="continue"/>
            <w:vAlign w:val="center"/>
          </w:tcPr>
          <w:p>
            <w:pPr>
              <w:jc w:val="center"/>
            </w:pPr>
          </w:p>
        </w:tc>
        <w:tc>
          <w:tcPr>
            <w:tcW w:w="1558" w:type="dxa"/>
            <w:vAlign w:val="center"/>
          </w:tcPr>
          <w:p>
            <w:pPr>
              <w:jc w:val="center"/>
            </w:pPr>
            <w:r>
              <w:t>--</w:t>
            </w:r>
          </w:p>
        </w:tc>
        <w:tc>
          <w:tcPr>
            <w:tcW w:w="1417" w:type="dxa"/>
            <w:vAlign w:val="center"/>
          </w:tcPr>
          <w:p>
            <w:pPr>
              <w:jc w:val="center"/>
            </w:pPr>
            <w:r>
              <w:rPr>
                <w:rFonts w:hint="eastAsia"/>
              </w:rPr>
              <w:t>达标</w:t>
            </w:r>
          </w:p>
        </w:tc>
        <w:tc>
          <w:tcPr>
            <w:tcW w:w="1282" w:type="dxa"/>
            <w:vAlign w:val="center"/>
          </w:tcPr>
          <w:p>
            <w:pPr>
              <w:jc w:val="center"/>
            </w:pPr>
            <w: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06</w:t>
            </w:r>
            <w:r>
              <w:rPr>
                <w:rFonts w:hint="eastAsia"/>
              </w:rPr>
              <w:t>日</w:t>
            </w:r>
          </w:p>
          <w:p>
            <w:pPr>
              <w:spacing w:line="240" w:lineRule="atLeast"/>
              <w:jc w:val="center"/>
            </w:pPr>
            <w:r>
              <w:rPr>
                <w:rFonts w:hint="eastAsia"/>
              </w:rPr>
              <w:t>第一次</w:t>
            </w:r>
          </w:p>
        </w:tc>
        <w:tc>
          <w:tcPr>
            <w:tcW w:w="1701" w:type="dxa"/>
            <w:vAlign w:val="center"/>
          </w:tcPr>
          <w:p>
            <w:pPr>
              <w:widowControl/>
              <w:jc w:val="center"/>
            </w:pPr>
            <w:r>
              <w:rPr>
                <w:color w:val="000000"/>
              </w:rPr>
              <w:t>15385</w:t>
            </w:r>
          </w:p>
        </w:tc>
        <w:tc>
          <w:tcPr>
            <w:tcW w:w="1276" w:type="dxa"/>
            <w:vMerge w:val="continue"/>
            <w:vAlign w:val="center"/>
          </w:tcPr>
          <w:p>
            <w:pPr>
              <w:jc w:val="center"/>
            </w:pPr>
          </w:p>
        </w:tc>
        <w:tc>
          <w:tcPr>
            <w:tcW w:w="1558" w:type="dxa"/>
            <w:vAlign w:val="center"/>
          </w:tcPr>
          <w:p>
            <w:pPr>
              <w:autoSpaceDE w:val="0"/>
              <w:autoSpaceDN w:val="0"/>
              <w:adjustRightInd w:val="0"/>
              <w:jc w:val="center"/>
            </w:pPr>
            <w:r>
              <w:rPr>
                <w:color w:val="000000"/>
                <w:kern w:val="0"/>
              </w:rPr>
              <w:t>10.7</w:t>
            </w:r>
          </w:p>
        </w:tc>
        <w:tc>
          <w:tcPr>
            <w:tcW w:w="1417" w:type="dxa"/>
            <w:vAlign w:val="center"/>
          </w:tcPr>
          <w:p>
            <w:pPr>
              <w:autoSpaceDE w:val="0"/>
              <w:autoSpaceDN w:val="0"/>
              <w:adjustRightInd w:val="0"/>
              <w:jc w:val="center"/>
            </w:pPr>
            <w:r>
              <w:rPr>
                <w:color w:val="000000"/>
                <w:kern w:val="0"/>
              </w:rPr>
              <w:t>22.4</w:t>
            </w:r>
          </w:p>
        </w:tc>
        <w:tc>
          <w:tcPr>
            <w:tcW w:w="1282" w:type="dxa"/>
            <w:vAlign w:val="center"/>
          </w:tcPr>
          <w:p>
            <w:pPr>
              <w:autoSpaceDE w:val="0"/>
              <w:autoSpaceDN w:val="0"/>
              <w:adjustRightInd w:val="0"/>
              <w:jc w:val="center"/>
            </w:pPr>
            <w:r>
              <w:rPr>
                <w:color w:val="000000"/>
                <w:kern w:val="0"/>
              </w:rPr>
              <w:t>0.165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06</w:t>
            </w:r>
            <w:r>
              <w:rPr>
                <w:rFonts w:hint="eastAsia"/>
              </w:rPr>
              <w:t>日</w:t>
            </w:r>
          </w:p>
          <w:p>
            <w:pPr>
              <w:spacing w:line="240" w:lineRule="atLeast"/>
              <w:jc w:val="center"/>
            </w:pPr>
            <w:r>
              <w:rPr>
                <w:rFonts w:hint="eastAsia"/>
              </w:rPr>
              <w:t>第二次</w:t>
            </w:r>
          </w:p>
        </w:tc>
        <w:tc>
          <w:tcPr>
            <w:tcW w:w="1701" w:type="dxa"/>
            <w:vAlign w:val="center"/>
          </w:tcPr>
          <w:p>
            <w:pPr>
              <w:widowControl/>
              <w:jc w:val="center"/>
            </w:pPr>
            <w:r>
              <w:rPr>
                <w:color w:val="000000"/>
              </w:rPr>
              <w:t>15800</w:t>
            </w:r>
          </w:p>
        </w:tc>
        <w:tc>
          <w:tcPr>
            <w:tcW w:w="1276" w:type="dxa"/>
            <w:vMerge w:val="continue"/>
            <w:vAlign w:val="center"/>
          </w:tcPr>
          <w:p>
            <w:pPr>
              <w:jc w:val="center"/>
            </w:pPr>
          </w:p>
        </w:tc>
        <w:tc>
          <w:tcPr>
            <w:tcW w:w="1558" w:type="dxa"/>
            <w:vAlign w:val="center"/>
          </w:tcPr>
          <w:p>
            <w:pPr>
              <w:autoSpaceDE w:val="0"/>
              <w:autoSpaceDN w:val="0"/>
              <w:adjustRightInd w:val="0"/>
              <w:jc w:val="center"/>
            </w:pPr>
            <w:r>
              <w:rPr>
                <w:color w:val="000000"/>
                <w:kern w:val="0"/>
              </w:rPr>
              <w:t>10.6</w:t>
            </w:r>
          </w:p>
        </w:tc>
        <w:tc>
          <w:tcPr>
            <w:tcW w:w="1417" w:type="dxa"/>
            <w:vAlign w:val="center"/>
          </w:tcPr>
          <w:p>
            <w:pPr>
              <w:autoSpaceDE w:val="0"/>
              <w:autoSpaceDN w:val="0"/>
              <w:adjustRightInd w:val="0"/>
              <w:jc w:val="center"/>
            </w:pPr>
            <w:r>
              <w:rPr>
                <w:color w:val="000000"/>
                <w:kern w:val="0"/>
              </w:rPr>
              <w:t>22.3</w:t>
            </w:r>
          </w:p>
        </w:tc>
        <w:tc>
          <w:tcPr>
            <w:tcW w:w="1282" w:type="dxa"/>
            <w:vAlign w:val="center"/>
          </w:tcPr>
          <w:p>
            <w:pPr>
              <w:autoSpaceDE w:val="0"/>
              <w:autoSpaceDN w:val="0"/>
              <w:adjustRightInd w:val="0"/>
              <w:jc w:val="center"/>
            </w:pPr>
            <w:r>
              <w:rPr>
                <w:color w:val="000000"/>
                <w:kern w:val="0"/>
              </w:rPr>
              <w:t>0.167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60" w:hRule="atLeast"/>
          <w:jc w:val="center"/>
        </w:trPr>
        <w:tc>
          <w:tcPr>
            <w:tcW w:w="1793" w:type="dxa"/>
            <w:gridSpan w:val="2"/>
            <w:vAlign w:val="center"/>
          </w:tcPr>
          <w:p>
            <w:pPr>
              <w:spacing w:line="240" w:lineRule="atLeast"/>
              <w:jc w:val="center"/>
            </w:pPr>
            <w:r>
              <w:t>09</w:t>
            </w:r>
            <w:r>
              <w:rPr>
                <w:rFonts w:hint="eastAsia"/>
              </w:rPr>
              <w:t>月</w:t>
            </w:r>
            <w:r>
              <w:t>06</w:t>
            </w:r>
            <w:r>
              <w:rPr>
                <w:rFonts w:hint="eastAsia"/>
              </w:rPr>
              <w:t>日</w:t>
            </w:r>
          </w:p>
          <w:p>
            <w:pPr>
              <w:spacing w:line="240" w:lineRule="atLeast"/>
              <w:jc w:val="center"/>
            </w:pPr>
            <w:r>
              <w:rPr>
                <w:rFonts w:hint="eastAsia"/>
              </w:rPr>
              <w:t>第三次</w:t>
            </w:r>
          </w:p>
        </w:tc>
        <w:tc>
          <w:tcPr>
            <w:tcW w:w="1701" w:type="dxa"/>
            <w:vAlign w:val="center"/>
          </w:tcPr>
          <w:p>
            <w:pPr>
              <w:widowControl/>
              <w:jc w:val="center"/>
            </w:pPr>
            <w:r>
              <w:rPr>
                <w:color w:val="000000"/>
              </w:rPr>
              <w:t>15580</w:t>
            </w:r>
          </w:p>
        </w:tc>
        <w:tc>
          <w:tcPr>
            <w:tcW w:w="1276" w:type="dxa"/>
            <w:vMerge w:val="continue"/>
            <w:vAlign w:val="center"/>
          </w:tcPr>
          <w:p>
            <w:pPr>
              <w:jc w:val="center"/>
            </w:pPr>
          </w:p>
        </w:tc>
        <w:tc>
          <w:tcPr>
            <w:tcW w:w="1558" w:type="dxa"/>
            <w:vAlign w:val="center"/>
          </w:tcPr>
          <w:p>
            <w:pPr>
              <w:autoSpaceDE w:val="0"/>
              <w:autoSpaceDN w:val="0"/>
              <w:adjustRightInd w:val="0"/>
              <w:jc w:val="center"/>
            </w:pPr>
            <w:r>
              <w:rPr>
                <w:color w:val="000000"/>
                <w:kern w:val="0"/>
              </w:rPr>
              <w:t>10.9</w:t>
            </w:r>
          </w:p>
        </w:tc>
        <w:tc>
          <w:tcPr>
            <w:tcW w:w="1417" w:type="dxa"/>
            <w:vAlign w:val="center"/>
          </w:tcPr>
          <w:p>
            <w:pPr>
              <w:autoSpaceDE w:val="0"/>
              <w:autoSpaceDN w:val="0"/>
              <w:adjustRightInd w:val="0"/>
              <w:jc w:val="center"/>
            </w:pPr>
            <w:r>
              <w:rPr>
                <w:color w:val="000000"/>
                <w:kern w:val="0"/>
              </w:rPr>
              <w:t>23.4</w:t>
            </w:r>
          </w:p>
        </w:tc>
        <w:tc>
          <w:tcPr>
            <w:tcW w:w="1282" w:type="dxa"/>
            <w:vAlign w:val="center"/>
          </w:tcPr>
          <w:p>
            <w:pPr>
              <w:autoSpaceDE w:val="0"/>
              <w:autoSpaceDN w:val="0"/>
              <w:adjustRightInd w:val="0"/>
              <w:jc w:val="center"/>
            </w:pPr>
            <w:r>
              <w:rPr>
                <w:color w:val="000000"/>
                <w:kern w:val="0"/>
              </w:rPr>
              <w:t>0.170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7" w:hRule="atLeast"/>
          <w:jc w:val="center"/>
        </w:trPr>
        <w:tc>
          <w:tcPr>
            <w:tcW w:w="1793" w:type="dxa"/>
            <w:gridSpan w:val="2"/>
            <w:vAlign w:val="center"/>
          </w:tcPr>
          <w:p>
            <w:pPr>
              <w:spacing w:line="240" w:lineRule="atLeast"/>
              <w:jc w:val="center"/>
            </w:pPr>
            <w:r>
              <w:rPr>
                <w:rFonts w:hint="eastAsia"/>
              </w:rPr>
              <w:t>平均值</w:t>
            </w:r>
          </w:p>
        </w:tc>
        <w:tc>
          <w:tcPr>
            <w:tcW w:w="1701" w:type="dxa"/>
            <w:vAlign w:val="center"/>
          </w:tcPr>
          <w:p>
            <w:pPr>
              <w:jc w:val="center"/>
            </w:pPr>
            <w:r>
              <w:t>15588</w:t>
            </w:r>
          </w:p>
        </w:tc>
        <w:tc>
          <w:tcPr>
            <w:tcW w:w="1276" w:type="dxa"/>
            <w:vMerge w:val="continue"/>
            <w:vAlign w:val="center"/>
          </w:tcPr>
          <w:p>
            <w:pPr>
              <w:jc w:val="center"/>
            </w:pPr>
          </w:p>
        </w:tc>
        <w:tc>
          <w:tcPr>
            <w:tcW w:w="1558" w:type="dxa"/>
            <w:vAlign w:val="center"/>
          </w:tcPr>
          <w:p>
            <w:pPr>
              <w:jc w:val="center"/>
            </w:pPr>
            <w:r>
              <w:t>10.7</w:t>
            </w:r>
          </w:p>
        </w:tc>
        <w:tc>
          <w:tcPr>
            <w:tcW w:w="1417" w:type="dxa"/>
            <w:vAlign w:val="center"/>
          </w:tcPr>
          <w:p>
            <w:pPr>
              <w:spacing w:line="240" w:lineRule="atLeast"/>
              <w:jc w:val="center"/>
            </w:pPr>
            <w:r>
              <w:t>22.7</w:t>
            </w:r>
          </w:p>
        </w:tc>
        <w:tc>
          <w:tcPr>
            <w:tcW w:w="1282" w:type="dxa"/>
            <w:vAlign w:val="center"/>
          </w:tcPr>
          <w:p>
            <w:pPr>
              <w:spacing w:line="240" w:lineRule="atLeast"/>
              <w:jc w:val="center"/>
            </w:pPr>
            <w:r>
              <w:t>0.167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704" w:hRule="atLeast"/>
          <w:jc w:val="center"/>
        </w:trPr>
        <w:tc>
          <w:tcPr>
            <w:tcW w:w="1199" w:type="dxa"/>
            <w:vAlign w:val="center"/>
          </w:tcPr>
          <w:p>
            <w:pPr>
              <w:spacing w:line="240" w:lineRule="atLeast"/>
              <w:jc w:val="center"/>
            </w:pPr>
            <w:r>
              <w:rPr>
                <w:rFonts w:hint="eastAsia"/>
              </w:rPr>
              <w:t>标准限值</w:t>
            </w:r>
          </w:p>
        </w:tc>
        <w:tc>
          <w:tcPr>
            <w:tcW w:w="2295" w:type="dxa"/>
            <w:gridSpan w:val="2"/>
            <w:vAlign w:val="center"/>
          </w:tcPr>
          <w:p>
            <w:pPr>
              <w:ind w:left="-120" w:leftChars="-50"/>
              <w:jc w:val="center"/>
            </w:pPr>
            <w:r>
              <w:rPr>
                <w:color w:val="000000"/>
                <w:kern w:val="0"/>
                <w:szCs w:val="21"/>
              </w:rPr>
              <w:t>GB13271-2014</w:t>
            </w:r>
          </w:p>
        </w:tc>
        <w:tc>
          <w:tcPr>
            <w:tcW w:w="1276" w:type="dxa"/>
            <w:vMerge w:val="continue"/>
            <w:vAlign w:val="center"/>
          </w:tcPr>
          <w:p>
            <w:pPr>
              <w:jc w:val="center"/>
              <w:rPr>
                <w:spacing w:val="-10"/>
              </w:rPr>
            </w:pPr>
          </w:p>
        </w:tc>
        <w:tc>
          <w:tcPr>
            <w:tcW w:w="1558" w:type="dxa"/>
            <w:vAlign w:val="center"/>
          </w:tcPr>
          <w:p>
            <w:pPr>
              <w:jc w:val="center"/>
              <w:rPr>
                <w:spacing w:val="-10"/>
              </w:rPr>
            </w:pPr>
            <w:r>
              <w:rPr>
                <w:spacing w:val="-10"/>
              </w:rPr>
              <w:t>--</w:t>
            </w:r>
          </w:p>
        </w:tc>
        <w:tc>
          <w:tcPr>
            <w:tcW w:w="1417" w:type="dxa"/>
            <w:vAlign w:val="center"/>
          </w:tcPr>
          <w:p>
            <w:pPr>
              <w:jc w:val="center"/>
              <w:rPr>
                <w:spacing w:val="-10"/>
              </w:rPr>
            </w:pPr>
            <w:r>
              <w:rPr>
                <w:spacing w:val="-10"/>
              </w:rPr>
              <w:t>80</w:t>
            </w:r>
          </w:p>
        </w:tc>
        <w:tc>
          <w:tcPr>
            <w:tcW w:w="1282" w:type="dxa"/>
            <w:vAlign w:val="center"/>
          </w:tcPr>
          <w:p>
            <w:pPr>
              <w:jc w:val="center"/>
              <w:rPr>
                <w:spacing w:val="-10"/>
              </w:rPr>
            </w:pPr>
            <w:r>
              <w:rPr>
                <w:spacing w:val="-1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04" w:hRule="atLeast"/>
          <w:jc w:val="center"/>
        </w:trPr>
        <w:tc>
          <w:tcPr>
            <w:tcW w:w="3494" w:type="dxa"/>
            <w:gridSpan w:val="3"/>
            <w:vAlign w:val="center"/>
          </w:tcPr>
          <w:p>
            <w:pPr>
              <w:spacing w:line="240" w:lineRule="atLeast"/>
              <w:jc w:val="center"/>
            </w:pPr>
            <w:r>
              <w:rPr>
                <w:rFonts w:hint="eastAsia"/>
              </w:rPr>
              <w:t>达标情况</w:t>
            </w:r>
          </w:p>
        </w:tc>
        <w:tc>
          <w:tcPr>
            <w:tcW w:w="1276" w:type="dxa"/>
            <w:vMerge w:val="continue"/>
            <w:vAlign w:val="center"/>
          </w:tcPr>
          <w:p>
            <w:pPr>
              <w:jc w:val="center"/>
            </w:pPr>
          </w:p>
        </w:tc>
        <w:tc>
          <w:tcPr>
            <w:tcW w:w="1558" w:type="dxa"/>
            <w:vAlign w:val="center"/>
          </w:tcPr>
          <w:p>
            <w:pPr>
              <w:jc w:val="center"/>
            </w:pPr>
            <w:r>
              <w:t>--</w:t>
            </w:r>
          </w:p>
        </w:tc>
        <w:tc>
          <w:tcPr>
            <w:tcW w:w="1417" w:type="dxa"/>
            <w:vAlign w:val="center"/>
          </w:tcPr>
          <w:p>
            <w:pPr>
              <w:jc w:val="center"/>
            </w:pPr>
            <w:r>
              <w:rPr>
                <w:rFonts w:hint="eastAsia"/>
              </w:rPr>
              <w:t>达标</w:t>
            </w:r>
          </w:p>
        </w:tc>
        <w:tc>
          <w:tcPr>
            <w:tcW w:w="1282" w:type="dxa"/>
            <w:vAlign w:val="center"/>
          </w:tcPr>
          <w:p>
            <w:pPr>
              <w:jc w:val="center"/>
            </w:pPr>
            <w:r>
              <w:t>--</w:t>
            </w:r>
          </w:p>
        </w:tc>
      </w:tr>
    </w:tbl>
    <w:p>
      <w:pPr>
        <w:adjustRightInd w:val="0"/>
        <w:snapToGrid w:val="0"/>
        <w:spacing w:line="360" w:lineRule="auto"/>
        <w:ind w:firstLine="480" w:firstLineChars="200"/>
        <w:rPr>
          <w:szCs w:val="28"/>
        </w:rPr>
      </w:pPr>
      <w:r>
        <w:rPr>
          <w:rFonts w:hint="eastAsia"/>
          <w:szCs w:val="28"/>
        </w:rPr>
        <w:t>表</w:t>
      </w:r>
      <w:r>
        <w:rPr>
          <w:szCs w:val="28"/>
        </w:rPr>
        <w:t>9-4</w:t>
      </w:r>
      <w:r>
        <w:rPr>
          <w:rFonts w:hint="eastAsia"/>
          <w:szCs w:val="28"/>
        </w:rPr>
        <w:t>监测结果表明，燃煤锅炉废气经布袋除尘和麻石水膜（碱液喷淋）处理后经</w:t>
      </w:r>
      <w:r>
        <w:rPr>
          <w:szCs w:val="28"/>
        </w:rPr>
        <w:t>45</w:t>
      </w:r>
      <w:r>
        <w:rPr>
          <w:rFonts w:hint="eastAsia"/>
          <w:szCs w:val="28"/>
        </w:rPr>
        <w:t>米高排气筒外排，外排废气中各污染物排放浓度未超过</w:t>
      </w:r>
      <w:r>
        <w:rPr>
          <w:rFonts w:hint="eastAsia"/>
          <w:color w:val="000000"/>
          <w:kern w:val="0"/>
          <w:szCs w:val="21"/>
        </w:rPr>
        <w:t>《锅炉大气污染物排放标准》（</w:t>
      </w:r>
      <w:r>
        <w:rPr>
          <w:color w:val="000000"/>
          <w:kern w:val="0"/>
          <w:szCs w:val="21"/>
        </w:rPr>
        <w:t>GB13271-2014</w:t>
      </w:r>
      <w:r>
        <w:rPr>
          <w:rFonts w:hint="eastAsia"/>
          <w:color w:val="000000"/>
          <w:kern w:val="0"/>
          <w:szCs w:val="21"/>
        </w:rPr>
        <w:t>）中表</w:t>
      </w:r>
      <w:r>
        <w:rPr>
          <w:color w:val="000000"/>
          <w:kern w:val="0"/>
          <w:szCs w:val="21"/>
        </w:rPr>
        <w:t>1</w:t>
      </w:r>
      <w:r>
        <w:rPr>
          <w:rFonts w:hint="eastAsia"/>
          <w:color w:val="000000"/>
          <w:kern w:val="0"/>
          <w:szCs w:val="21"/>
        </w:rPr>
        <w:t>规定的大气污染物排放限值</w:t>
      </w:r>
      <w:r>
        <w:rPr>
          <w:rFonts w:hint="eastAsia"/>
        </w:rPr>
        <w:t>。</w:t>
      </w:r>
    </w:p>
    <w:p>
      <w:pPr>
        <w:rPr>
          <w:b/>
        </w:rPr>
      </w:pPr>
    </w:p>
    <w:p>
      <w:pPr>
        <w:rPr>
          <w:rFonts w:ascii="宋体"/>
          <w:b/>
        </w:rPr>
      </w:pPr>
    </w:p>
    <w:p>
      <w:pPr>
        <w:rPr>
          <w:rFonts w:ascii="宋体"/>
          <w:b/>
        </w:rPr>
      </w:pPr>
    </w:p>
    <w:p>
      <w:pPr>
        <w:rPr>
          <w:rFonts w:ascii="宋体"/>
          <w:b/>
        </w:rPr>
      </w:pPr>
    </w:p>
    <w:p>
      <w:pPr>
        <w:rPr>
          <w:rFonts w:ascii="宋体"/>
          <w:b/>
        </w:rPr>
      </w:pPr>
    </w:p>
    <w:p>
      <w:pPr>
        <w:rPr>
          <w:rFonts w:ascii="宋体"/>
          <w:b/>
        </w:rPr>
        <w:sectPr>
          <w:pgSz w:w="11906" w:h="16838"/>
          <w:pgMar w:top="1440" w:right="1418" w:bottom="1440" w:left="1644" w:header="709" w:footer="709" w:gutter="0"/>
          <w:pgNumType w:fmt="decimal"/>
          <w:cols w:space="708" w:num="1"/>
          <w:docGrid w:linePitch="381" w:charSpace="0"/>
        </w:sectPr>
      </w:pPr>
    </w:p>
    <w:p>
      <w:pPr>
        <w:jc w:val="center"/>
        <w:rPr>
          <w:rFonts w:ascii="宋体"/>
          <w:b/>
        </w:rPr>
      </w:pPr>
      <w:r>
        <w:rPr>
          <w:rFonts w:hint="eastAsia" w:ascii="宋体" w:hAnsi="宋体"/>
          <w:b/>
        </w:rPr>
        <w:t>表</w:t>
      </w:r>
      <w:r>
        <w:rPr>
          <w:rFonts w:ascii="宋体" w:hAnsi="宋体"/>
          <w:b/>
        </w:rPr>
        <w:t>9</w:t>
      </w:r>
      <w:r>
        <w:rPr>
          <w:rFonts w:ascii="宋体"/>
          <w:b/>
        </w:rPr>
        <w:t>-</w:t>
      </w:r>
      <w:r>
        <w:rPr>
          <w:rFonts w:ascii="宋体" w:hAnsi="宋体"/>
          <w:b/>
        </w:rPr>
        <w:t xml:space="preserve">5     </w:t>
      </w:r>
      <w:r>
        <w:rPr>
          <w:rFonts w:hint="eastAsia" w:ascii="宋体" w:hAnsi="宋体"/>
          <w:b/>
        </w:rPr>
        <w:t>车间废气排气筒采样口废气监测结果</w:t>
      </w:r>
    </w:p>
    <w:tbl>
      <w:tblPr>
        <w:tblStyle w:val="47"/>
        <w:tblW w:w="1423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3"/>
        <w:gridCol w:w="1350"/>
        <w:gridCol w:w="1815"/>
        <w:gridCol w:w="1530"/>
        <w:gridCol w:w="1589"/>
        <w:gridCol w:w="1589"/>
        <w:gridCol w:w="1589"/>
        <w:gridCol w:w="1590"/>
        <w:gridCol w:w="15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4758" w:type="dxa"/>
            <w:gridSpan w:val="3"/>
            <w:vAlign w:val="center"/>
          </w:tcPr>
          <w:p>
            <w:pPr>
              <w:jc w:val="center"/>
              <w:rPr>
                <w:b/>
                <w:bCs/>
              </w:rPr>
            </w:pPr>
            <w:r>
              <w:rPr>
                <w:rFonts w:hint="eastAsia"/>
                <w:b/>
                <w:bCs/>
              </w:rPr>
              <w:t>检测项目</w:t>
            </w:r>
          </w:p>
        </w:tc>
        <w:tc>
          <w:tcPr>
            <w:tcW w:w="1530" w:type="dxa"/>
            <w:vMerge w:val="restart"/>
            <w:vAlign w:val="center"/>
          </w:tcPr>
          <w:p>
            <w:pPr>
              <w:jc w:val="center"/>
              <w:rPr>
                <w:b/>
              </w:rPr>
            </w:pPr>
            <w:r>
              <w:rPr>
                <w:rFonts w:hint="eastAsia"/>
                <w:b/>
              </w:rPr>
              <w:t>标干流量</w:t>
            </w:r>
          </w:p>
          <w:p>
            <w:pPr>
              <w:jc w:val="center"/>
              <w:rPr>
                <w:b/>
              </w:rPr>
            </w:pPr>
            <w:r>
              <w:rPr>
                <w:rFonts w:hint="eastAsia"/>
                <w:b/>
                <w:color w:val="000000"/>
              </w:rPr>
              <w:t>（</w:t>
            </w:r>
            <w:r>
              <w:rPr>
                <w:b/>
                <w:color w:val="000000"/>
                <w:kern w:val="0"/>
              </w:rPr>
              <w:t>m</w:t>
            </w:r>
            <w:r>
              <w:rPr>
                <w:b/>
                <w:color w:val="000000"/>
                <w:kern w:val="0"/>
                <w:vertAlign w:val="superscript"/>
              </w:rPr>
              <w:t>3</w:t>
            </w:r>
            <w:r>
              <w:rPr>
                <w:b/>
                <w:color w:val="000000"/>
                <w:kern w:val="0"/>
              </w:rPr>
              <w:t>/h</w:t>
            </w:r>
            <w:r>
              <w:rPr>
                <w:rFonts w:hint="eastAsia"/>
                <w:b/>
                <w:color w:val="000000"/>
                <w:kern w:val="0"/>
              </w:rPr>
              <w:t>）</w:t>
            </w:r>
          </w:p>
        </w:tc>
        <w:tc>
          <w:tcPr>
            <w:tcW w:w="3178" w:type="dxa"/>
            <w:gridSpan w:val="2"/>
            <w:vAlign w:val="center"/>
          </w:tcPr>
          <w:p>
            <w:pPr>
              <w:jc w:val="center"/>
              <w:rPr>
                <w:b/>
                <w:color w:val="000000"/>
              </w:rPr>
            </w:pPr>
            <w:r>
              <w:rPr>
                <w:rFonts w:hint="eastAsia"/>
                <w:b/>
                <w:color w:val="000000"/>
              </w:rPr>
              <w:t>二甲苯</w:t>
            </w:r>
          </w:p>
        </w:tc>
        <w:tc>
          <w:tcPr>
            <w:tcW w:w="3179" w:type="dxa"/>
            <w:gridSpan w:val="2"/>
            <w:vAlign w:val="center"/>
          </w:tcPr>
          <w:p>
            <w:pPr>
              <w:jc w:val="center"/>
              <w:rPr>
                <w:b/>
              </w:rPr>
            </w:pPr>
            <w:r>
              <w:rPr>
                <w:b/>
              </w:rPr>
              <w:t>VOCs</w:t>
            </w:r>
          </w:p>
        </w:tc>
        <w:tc>
          <w:tcPr>
            <w:tcW w:w="1590" w:type="dxa"/>
            <w:vMerge w:val="restart"/>
            <w:vAlign w:val="center"/>
          </w:tcPr>
          <w:p>
            <w:pPr>
              <w:jc w:val="center"/>
              <w:rPr>
                <w:b/>
              </w:rPr>
            </w:pPr>
            <w:r>
              <w:rPr>
                <w:rFonts w:hint="eastAsia"/>
                <w:b/>
              </w:rPr>
              <w:t>排气筒高度</w:t>
            </w:r>
          </w:p>
          <w:p>
            <w:pPr>
              <w:jc w:val="center"/>
              <w:rPr>
                <w:b/>
              </w:rPr>
            </w:pPr>
            <w:r>
              <w:rPr>
                <w:rFonts w:hint="eastAsia"/>
                <w:b/>
              </w:rPr>
              <w:t>（</w:t>
            </w:r>
            <w:r>
              <w:rPr>
                <w:b/>
              </w:rPr>
              <w:t>m</w:t>
            </w:r>
            <w:r>
              <w:rPr>
                <w:rFonts w:hint="eastAsia"/>
                <w:b/>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667" w:hRule="exact"/>
          <w:jc w:val="center"/>
        </w:trPr>
        <w:tc>
          <w:tcPr>
            <w:tcW w:w="4758" w:type="dxa"/>
            <w:gridSpan w:val="3"/>
            <w:vAlign w:val="center"/>
          </w:tcPr>
          <w:p>
            <w:pPr>
              <w:jc w:val="center"/>
              <w:rPr>
                <w:b/>
                <w:bCs/>
              </w:rPr>
            </w:pPr>
            <w:r>
              <w:rPr>
                <w:rFonts w:hint="eastAsia"/>
                <w:b/>
                <w:bCs/>
              </w:rPr>
              <w:t>采样点位置及采样时间</w:t>
            </w:r>
          </w:p>
        </w:tc>
        <w:tc>
          <w:tcPr>
            <w:tcW w:w="1530" w:type="dxa"/>
            <w:vMerge w:val="continue"/>
            <w:vAlign w:val="center"/>
          </w:tcPr>
          <w:p>
            <w:pPr>
              <w:jc w:val="center"/>
              <w:rPr>
                <w:bCs/>
              </w:rPr>
            </w:pPr>
          </w:p>
        </w:tc>
        <w:tc>
          <w:tcPr>
            <w:tcW w:w="1589" w:type="dxa"/>
            <w:vAlign w:val="center"/>
          </w:tcPr>
          <w:p>
            <w:pPr>
              <w:jc w:val="center"/>
              <w:rPr>
                <w:b/>
              </w:rPr>
            </w:pPr>
            <w:r>
              <w:rPr>
                <w:rFonts w:hint="eastAsia"/>
                <w:b/>
              </w:rPr>
              <w:t>排放浓度</w:t>
            </w:r>
          </w:p>
          <w:p>
            <w:pPr>
              <w:jc w:val="center"/>
              <w:rPr>
                <w:bCs/>
              </w:rPr>
            </w:pPr>
            <w:r>
              <w:rPr>
                <w:rFonts w:hint="eastAsia"/>
                <w:b/>
              </w:rPr>
              <w:t>（</w:t>
            </w:r>
            <w:r>
              <w:rPr>
                <w:b/>
              </w:rPr>
              <w:t>mg/m</w:t>
            </w:r>
            <w:r>
              <w:rPr>
                <w:b/>
                <w:vertAlign w:val="superscript"/>
              </w:rPr>
              <w:t>3</w:t>
            </w:r>
            <w:r>
              <w:rPr>
                <w:rFonts w:hint="eastAsia"/>
                <w:b/>
              </w:rPr>
              <w:t>）</w:t>
            </w:r>
          </w:p>
        </w:tc>
        <w:tc>
          <w:tcPr>
            <w:tcW w:w="1589" w:type="dxa"/>
            <w:vAlign w:val="center"/>
          </w:tcPr>
          <w:p>
            <w:pPr>
              <w:jc w:val="center"/>
              <w:rPr>
                <w:b/>
              </w:rPr>
            </w:pPr>
            <w:r>
              <w:rPr>
                <w:rFonts w:hint="eastAsia"/>
                <w:b/>
              </w:rPr>
              <w:t>排放速率</w:t>
            </w:r>
          </w:p>
          <w:p>
            <w:pPr>
              <w:jc w:val="center"/>
              <w:rPr>
                <w:bCs/>
              </w:rPr>
            </w:pPr>
            <w:r>
              <w:rPr>
                <w:rFonts w:hint="eastAsia"/>
                <w:b/>
              </w:rPr>
              <w:t>（</w:t>
            </w:r>
            <w:r>
              <w:rPr>
                <w:b/>
              </w:rPr>
              <w:t>kg/h</w:t>
            </w:r>
            <w:r>
              <w:rPr>
                <w:rFonts w:hint="eastAsia"/>
                <w:b/>
              </w:rPr>
              <w:t>）</w:t>
            </w:r>
          </w:p>
        </w:tc>
        <w:tc>
          <w:tcPr>
            <w:tcW w:w="1589" w:type="dxa"/>
            <w:vAlign w:val="center"/>
          </w:tcPr>
          <w:p>
            <w:pPr>
              <w:jc w:val="center"/>
              <w:rPr>
                <w:b/>
              </w:rPr>
            </w:pPr>
            <w:r>
              <w:rPr>
                <w:rFonts w:hint="eastAsia"/>
                <w:b/>
              </w:rPr>
              <w:t>排放浓度</w:t>
            </w:r>
          </w:p>
          <w:p>
            <w:pPr>
              <w:jc w:val="center"/>
              <w:rPr>
                <w:bCs/>
              </w:rPr>
            </w:pPr>
            <w:r>
              <w:rPr>
                <w:rFonts w:hint="eastAsia"/>
                <w:b/>
              </w:rPr>
              <w:t>（</w:t>
            </w:r>
            <w:r>
              <w:rPr>
                <w:b/>
              </w:rPr>
              <w:t>mg/m</w:t>
            </w:r>
            <w:r>
              <w:rPr>
                <w:b/>
                <w:vertAlign w:val="superscript"/>
              </w:rPr>
              <w:t>3</w:t>
            </w:r>
            <w:r>
              <w:rPr>
                <w:rFonts w:hint="eastAsia"/>
                <w:b/>
              </w:rPr>
              <w:t>）</w:t>
            </w:r>
          </w:p>
        </w:tc>
        <w:tc>
          <w:tcPr>
            <w:tcW w:w="1590" w:type="dxa"/>
            <w:vAlign w:val="center"/>
          </w:tcPr>
          <w:p>
            <w:pPr>
              <w:jc w:val="center"/>
              <w:rPr>
                <w:b/>
              </w:rPr>
            </w:pPr>
            <w:r>
              <w:rPr>
                <w:rFonts w:hint="eastAsia"/>
                <w:b/>
              </w:rPr>
              <w:t>排放速率</w:t>
            </w:r>
          </w:p>
          <w:p>
            <w:pPr>
              <w:jc w:val="center"/>
              <w:rPr>
                <w:bCs/>
              </w:rPr>
            </w:pPr>
            <w:r>
              <w:rPr>
                <w:rFonts w:hint="eastAsia"/>
                <w:b/>
              </w:rPr>
              <w:t>（</w:t>
            </w:r>
            <w:r>
              <w:rPr>
                <w:b/>
              </w:rPr>
              <w:t>kg/h</w:t>
            </w:r>
            <w:r>
              <w:rPr>
                <w:rFonts w:hint="eastAsia"/>
                <w:b/>
              </w:rPr>
              <w:t>）</w:t>
            </w:r>
          </w:p>
        </w:tc>
        <w:tc>
          <w:tcPr>
            <w:tcW w:w="1590" w:type="dxa"/>
            <w:vMerge w:val="continue"/>
            <w:vAlign w:val="center"/>
          </w:tcPr>
          <w:p>
            <w:pPr>
              <w:jc w:val="center"/>
              <w:rPr>
                <w:b/>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restart"/>
            <w:vAlign w:val="center"/>
          </w:tcPr>
          <w:p>
            <w:pPr>
              <w:jc w:val="center"/>
            </w:pPr>
          </w:p>
          <w:p>
            <w:pPr>
              <w:jc w:val="center"/>
            </w:pPr>
            <w:r>
              <w:rPr>
                <w:rFonts w:hint="eastAsia"/>
              </w:rPr>
              <w:t>车间废气排气筒采样口</w:t>
            </w:r>
          </w:p>
        </w:tc>
        <w:tc>
          <w:tcPr>
            <w:tcW w:w="1350" w:type="dxa"/>
            <w:vMerge w:val="restart"/>
            <w:vAlign w:val="center"/>
          </w:tcPr>
          <w:p>
            <w:pPr>
              <w:jc w:val="center"/>
            </w:pPr>
          </w:p>
          <w:p>
            <w:pPr>
              <w:jc w:val="center"/>
            </w:pPr>
            <w:r>
              <w:t>09</w:t>
            </w:r>
            <w:r>
              <w:rPr>
                <w:rFonts w:hint="eastAsia"/>
              </w:rPr>
              <w:t>月</w:t>
            </w:r>
            <w:r>
              <w:t>05</w:t>
            </w:r>
            <w:r>
              <w:rPr>
                <w:rFonts w:hint="eastAsia"/>
              </w:rPr>
              <w:t>日</w:t>
            </w:r>
          </w:p>
          <w:p>
            <w:pPr>
              <w:jc w:val="center"/>
            </w:pPr>
          </w:p>
        </w:tc>
        <w:tc>
          <w:tcPr>
            <w:tcW w:w="1815" w:type="dxa"/>
            <w:vAlign w:val="center"/>
          </w:tcPr>
          <w:p>
            <w:pPr>
              <w:jc w:val="center"/>
            </w:pPr>
            <w:r>
              <w:rPr>
                <w:rFonts w:hint="eastAsia"/>
              </w:rPr>
              <w:t>第一次</w:t>
            </w:r>
          </w:p>
        </w:tc>
        <w:tc>
          <w:tcPr>
            <w:tcW w:w="1530" w:type="dxa"/>
            <w:vAlign w:val="center"/>
          </w:tcPr>
          <w:p>
            <w:pPr>
              <w:autoSpaceDE w:val="0"/>
              <w:autoSpaceDN w:val="0"/>
              <w:adjustRightInd w:val="0"/>
              <w:jc w:val="center"/>
              <w:rPr>
                <w:color w:val="000000"/>
              </w:rPr>
            </w:pPr>
            <w:r>
              <w:rPr>
                <w:color w:val="000000"/>
                <w:kern w:val="0"/>
              </w:rPr>
              <w:t>131</w:t>
            </w:r>
          </w:p>
        </w:tc>
        <w:tc>
          <w:tcPr>
            <w:tcW w:w="1589" w:type="dxa"/>
            <w:vAlign w:val="center"/>
          </w:tcPr>
          <w:p>
            <w:pPr>
              <w:autoSpaceDE w:val="0"/>
              <w:autoSpaceDN w:val="0"/>
              <w:adjustRightInd w:val="0"/>
              <w:jc w:val="center"/>
              <w:rPr>
                <w:color w:val="000000"/>
                <w:kern w:val="0"/>
              </w:rPr>
            </w:pPr>
            <w:r>
              <w:rPr>
                <w:color w:val="000000"/>
              </w:rPr>
              <w:t>0.38</w:t>
            </w:r>
          </w:p>
        </w:tc>
        <w:tc>
          <w:tcPr>
            <w:tcW w:w="1589" w:type="dxa"/>
            <w:vAlign w:val="center"/>
          </w:tcPr>
          <w:p>
            <w:pPr>
              <w:autoSpaceDE w:val="0"/>
              <w:autoSpaceDN w:val="0"/>
              <w:adjustRightInd w:val="0"/>
              <w:jc w:val="center"/>
              <w:rPr>
                <w:color w:val="000000"/>
                <w:kern w:val="0"/>
              </w:rPr>
            </w:pPr>
            <w:r>
              <w:rPr>
                <w:bCs/>
                <w:color w:val="000000"/>
              </w:rPr>
              <w:t>4.98</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rPr>
            </w:pPr>
            <w:r>
              <w:rPr>
                <w:color w:val="000000"/>
              </w:rPr>
              <w:t>1.33</w:t>
            </w:r>
          </w:p>
        </w:tc>
        <w:tc>
          <w:tcPr>
            <w:tcW w:w="1590" w:type="dxa"/>
            <w:vAlign w:val="center"/>
          </w:tcPr>
          <w:p>
            <w:pPr>
              <w:autoSpaceDE w:val="0"/>
              <w:autoSpaceDN w:val="0"/>
              <w:adjustRightInd w:val="0"/>
              <w:jc w:val="center"/>
              <w:rPr>
                <w:bCs/>
                <w:color w:val="000000"/>
              </w:rPr>
            </w:pPr>
            <w:r>
              <w:rPr>
                <w:bCs/>
                <w:color w:val="000000"/>
              </w:rPr>
              <w:t>1.74</w:t>
            </w:r>
            <w:r>
              <w:rPr>
                <w:color w:val="000000"/>
              </w:rPr>
              <w:t>×10</w:t>
            </w:r>
            <w:r>
              <w:rPr>
                <w:color w:val="000000"/>
                <w:vertAlign w:val="superscript"/>
              </w:rPr>
              <w:t>-4</w:t>
            </w:r>
          </w:p>
        </w:tc>
        <w:tc>
          <w:tcPr>
            <w:tcW w:w="1590" w:type="dxa"/>
            <w:vMerge w:val="restart"/>
            <w:vAlign w:val="center"/>
          </w:tcPr>
          <w:p>
            <w:pPr>
              <w:autoSpaceDE w:val="0"/>
              <w:autoSpaceDN w:val="0"/>
              <w:adjustRightInd w:val="0"/>
              <w:jc w:val="center"/>
              <w:rPr>
                <w:bCs/>
                <w:color w:val="000000"/>
              </w:rPr>
            </w:pPr>
            <w:r>
              <w:rPr>
                <w:bCs/>
                <w:color w:val="000000"/>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pPr>
            <w:r>
              <w:rPr>
                <w:rFonts w:hint="eastAsia"/>
              </w:rPr>
              <w:t>第二次</w:t>
            </w:r>
          </w:p>
        </w:tc>
        <w:tc>
          <w:tcPr>
            <w:tcW w:w="1530" w:type="dxa"/>
            <w:vAlign w:val="center"/>
          </w:tcPr>
          <w:p>
            <w:pPr>
              <w:autoSpaceDE w:val="0"/>
              <w:autoSpaceDN w:val="0"/>
              <w:adjustRightInd w:val="0"/>
              <w:jc w:val="center"/>
              <w:rPr>
                <w:color w:val="000000"/>
              </w:rPr>
            </w:pPr>
            <w:r>
              <w:rPr>
                <w:color w:val="000000"/>
                <w:kern w:val="0"/>
              </w:rPr>
              <w:t>137</w:t>
            </w:r>
          </w:p>
        </w:tc>
        <w:tc>
          <w:tcPr>
            <w:tcW w:w="1589" w:type="dxa"/>
            <w:vAlign w:val="center"/>
          </w:tcPr>
          <w:p>
            <w:pPr>
              <w:autoSpaceDE w:val="0"/>
              <w:autoSpaceDN w:val="0"/>
              <w:adjustRightInd w:val="0"/>
              <w:jc w:val="center"/>
              <w:rPr>
                <w:color w:val="000000"/>
                <w:kern w:val="0"/>
              </w:rPr>
            </w:pPr>
            <w:r>
              <w:rPr>
                <w:color w:val="000000"/>
                <w:kern w:val="0"/>
              </w:rPr>
              <w:t>0.97</w:t>
            </w:r>
          </w:p>
        </w:tc>
        <w:tc>
          <w:tcPr>
            <w:tcW w:w="1589" w:type="dxa"/>
            <w:vAlign w:val="center"/>
          </w:tcPr>
          <w:p>
            <w:pPr>
              <w:autoSpaceDE w:val="0"/>
              <w:autoSpaceDN w:val="0"/>
              <w:adjustRightInd w:val="0"/>
              <w:jc w:val="center"/>
              <w:rPr>
                <w:color w:val="000000"/>
                <w:kern w:val="0"/>
              </w:rPr>
            </w:pPr>
            <w:r>
              <w:rPr>
                <w:color w:val="000000"/>
                <w:kern w:val="0"/>
              </w:rPr>
              <w:t>1.33</w:t>
            </w:r>
            <w:r>
              <w:rPr>
                <w:color w:val="000000"/>
              </w:rPr>
              <w:t>×10</w:t>
            </w:r>
            <w:r>
              <w:rPr>
                <w:color w:val="000000"/>
                <w:vertAlign w:val="superscript"/>
              </w:rPr>
              <w:t>-4</w:t>
            </w:r>
          </w:p>
        </w:tc>
        <w:tc>
          <w:tcPr>
            <w:tcW w:w="1589" w:type="dxa"/>
            <w:vAlign w:val="center"/>
          </w:tcPr>
          <w:p>
            <w:pPr>
              <w:autoSpaceDE w:val="0"/>
              <w:autoSpaceDN w:val="0"/>
              <w:adjustRightInd w:val="0"/>
              <w:jc w:val="center"/>
              <w:rPr>
                <w:color w:val="000000"/>
                <w:kern w:val="0"/>
              </w:rPr>
            </w:pPr>
            <w:r>
              <w:rPr>
                <w:color w:val="000000"/>
                <w:kern w:val="0"/>
              </w:rPr>
              <w:t>3.25</w:t>
            </w:r>
          </w:p>
        </w:tc>
        <w:tc>
          <w:tcPr>
            <w:tcW w:w="1590" w:type="dxa"/>
            <w:vAlign w:val="center"/>
          </w:tcPr>
          <w:p>
            <w:pPr>
              <w:autoSpaceDE w:val="0"/>
              <w:autoSpaceDN w:val="0"/>
              <w:adjustRightInd w:val="0"/>
              <w:jc w:val="center"/>
              <w:rPr>
                <w:color w:val="000000"/>
                <w:kern w:val="0"/>
              </w:rPr>
            </w:pPr>
            <w:r>
              <w:rPr>
                <w:color w:val="000000"/>
                <w:kern w:val="0"/>
              </w:rPr>
              <w:t>4.45</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pPr>
            <w:r>
              <w:rPr>
                <w:rFonts w:hint="eastAsia"/>
              </w:rPr>
              <w:t>第三次</w:t>
            </w:r>
          </w:p>
        </w:tc>
        <w:tc>
          <w:tcPr>
            <w:tcW w:w="1530" w:type="dxa"/>
            <w:vAlign w:val="center"/>
          </w:tcPr>
          <w:p>
            <w:pPr>
              <w:autoSpaceDE w:val="0"/>
              <w:autoSpaceDN w:val="0"/>
              <w:adjustRightInd w:val="0"/>
              <w:jc w:val="center"/>
              <w:rPr>
                <w:color w:val="000000"/>
              </w:rPr>
            </w:pPr>
            <w:r>
              <w:rPr>
                <w:color w:val="000000"/>
                <w:kern w:val="0"/>
              </w:rPr>
              <w:t>145</w:t>
            </w:r>
          </w:p>
        </w:tc>
        <w:tc>
          <w:tcPr>
            <w:tcW w:w="1589" w:type="dxa"/>
            <w:vAlign w:val="center"/>
          </w:tcPr>
          <w:p>
            <w:pPr>
              <w:autoSpaceDE w:val="0"/>
              <w:autoSpaceDN w:val="0"/>
              <w:adjustRightInd w:val="0"/>
              <w:jc w:val="center"/>
              <w:rPr>
                <w:color w:val="000000"/>
                <w:kern w:val="0"/>
              </w:rPr>
            </w:pPr>
            <w:r>
              <w:rPr>
                <w:color w:val="000000"/>
                <w:kern w:val="0"/>
              </w:rPr>
              <w:t>0.81</w:t>
            </w:r>
          </w:p>
        </w:tc>
        <w:tc>
          <w:tcPr>
            <w:tcW w:w="1589" w:type="dxa"/>
            <w:vAlign w:val="center"/>
          </w:tcPr>
          <w:p>
            <w:pPr>
              <w:autoSpaceDE w:val="0"/>
              <w:autoSpaceDN w:val="0"/>
              <w:adjustRightInd w:val="0"/>
              <w:jc w:val="center"/>
              <w:rPr>
                <w:color w:val="000000"/>
                <w:kern w:val="0"/>
              </w:rPr>
            </w:pPr>
            <w:r>
              <w:rPr>
                <w:color w:val="000000"/>
                <w:kern w:val="0"/>
              </w:rPr>
              <w:t>1.17</w:t>
            </w:r>
            <w:r>
              <w:rPr>
                <w:color w:val="000000"/>
              </w:rPr>
              <w:t>×10</w:t>
            </w:r>
            <w:r>
              <w:rPr>
                <w:color w:val="000000"/>
                <w:vertAlign w:val="superscript"/>
              </w:rPr>
              <w:t>-4</w:t>
            </w:r>
          </w:p>
        </w:tc>
        <w:tc>
          <w:tcPr>
            <w:tcW w:w="1589" w:type="dxa"/>
            <w:vAlign w:val="center"/>
          </w:tcPr>
          <w:p>
            <w:pPr>
              <w:autoSpaceDE w:val="0"/>
              <w:autoSpaceDN w:val="0"/>
              <w:adjustRightInd w:val="0"/>
              <w:jc w:val="center"/>
              <w:rPr>
                <w:color w:val="000000"/>
                <w:kern w:val="0"/>
              </w:rPr>
            </w:pPr>
            <w:r>
              <w:rPr>
                <w:color w:val="000000"/>
                <w:kern w:val="0"/>
              </w:rPr>
              <w:t>2.27</w:t>
            </w:r>
          </w:p>
        </w:tc>
        <w:tc>
          <w:tcPr>
            <w:tcW w:w="1590" w:type="dxa"/>
            <w:vAlign w:val="center"/>
          </w:tcPr>
          <w:p>
            <w:pPr>
              <w:autoSpaceDE w:val="0"/>
              <w:autoSpaceDN w:val="0"/>
              <w:adjustRightInd w:val="0"/>
              <w:jc w:val="center"/>
              <w:rPr>
                <w:color w:val="000000"/>
                <w:kern w:val="0"/>
              </w:rPr>
            </w:pPr>
            <w:r>
              <w:rPr>
                <w:color w:val="000000"/>
                <w:kern w:val="0"/>
              </w:rPr>
              <w:t>3.29</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rPr>
                <w:color w:val="000000"/>
              </w:rPr>
            </w:pPr>
            <w:r>
              <w:rPr>
                <w:rFonts w:hint="eastAsia"/>
                <w:color w:val="000000"/>
              </w:rPr>
              <w:t>平均值</w:t>
            </w:r>
          </w:p>
        </w:tc>
        <w:tc>
          <w:tcPr>
            <w:tcW w:w="1530" w:type="dxa"/>
            <w:vAlign w:val="center"/>
          </w:tcPr>
          <w:p>
            <w:pPr>
              <w:autoSpaceDE w:val="0"/>
              <w:autoSpaceDN w:val="0"/>
              <w:adjustRightInd w:val="0"/>
              <w:jc w:val="center"/>
              <w:rPr>
                <w:color w:val="000000"/>
              </w:rPr>
            </w:pPr>
            <w:r>
              <w:rPr>
                <w:color w:val="000000"/>
                <w:kern w:val="0"/>
              </w:rPr>
              <w:t>138</w:t>
            </w:r>
          </w:p>
        </w:tc>
        <w:tc>
          <w:tcPr>
            <w:tcW w:w="1589" w:type="dxa"/>
            <w:vAlign w:val="center"/>
          </w:tcPr>
          <w:p>
            <w:pPr>
              <w:autoSpaceDE w:val="0"/>
              <w:autoSpaceDN w:val="0"/>
              <w:adjustRightInd w:val="0"/>
              <w:jc w:val="center"/>
              <w:rPr>
                <w:color w:val="000000"/>
                <w:kern w:val="0"/>
              </w:rPr>
            </w:pPr>
            <w:r>
              <w:rPr>
                <w:color w:val="000000"/>
                <w:kern w:val="0"/>
              </w:rPr>
              <w:t>0.72</w:t>
            </w:r>
          </w:p>
        </w:tc>
        <w:tc>
          <w:tcPr>
            <w:tcW w:w="1589" w:type="dxa"/>
            <w:vAlign w:val="center"/>
          </w:tcPr>
          <w:p>
            <w:pPr>
              <w:autoSpaceDE w:val="0"/>
              <w:autoSpaceDN w:val="0"/>
              <w:adjustRightInd w:val="0"/>
              <w:jc w:val="center"/>
              <w:rPr>
                <w:color w:val="000000"/>
                <w:kern w:val="0"/>
              </w:rPr>
            </w:pPr>
            <w:r>
              <w:rPr>
                <w:color w:val="000000"/>
                <w:kern w:val="0"/>
              </w:rPr>
              <w:t>9.94</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kern w:val="0"/>
              </w:rPr>
            </w:pPr>
            <w:r>
              <w:rPr>
                <w:color w:val="000000"/>
                <w:kern w:val="0"/>
              </w:rPr>
              <w:t>2.28</w:t>
            </w:r>
          </w:p>
        </w:tc>
        <w:tc>
          <w:tcPr>
            <w:tcW w:w="1590" w:type="dxa"/>
            <w:vAlign w:val="center"/>
          </w:tcPr>
          <w:p>
            <w:pPr>
              <w:autoSpaceDE w:val="0"/>
              <w:autoSpaceDN w:val="0"/>
              <w:adjustRightInd w:val="0"/>
              <w:jc w:val="center"/>
              <w:rPr>
                <w:color w:val="000000"/>
                <w:kern w:val="0"/>
              </w:rPr>
            </w:pPr>
            <w:r>
              <w:rPr>
                <w:color w:val="000000"/>
                <w:kern w:val="0"/>
              </w:rPr>
              <w:t>3.15</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restart"/>
            <w:vAlign w:val="center"/>
          </w:tcPr>
          <w:p>
            <w:pPr>
              <w:jc w:val="center"/>
            </w:pPr>
          </w:p>
          <w:p>
            <w:pPr>
              <w:jc w:val="center"/>
            </w:pPr>
            <w:r>
              <w:t>09</w:t>
            </w:r>
            <w:r>
              <w:rPr>
                <w:rFonts w:hint="eastAsia"/>
              </w:rPr>
              <w:t>月</w:t>
            </w:r>
            <w:r>
              <w:t>06</w:t>
            </w:r>
            <w:r>
              <w:rPr>
                <w:rFonts w:hint="eastAsia"/>
              </w:rPr>
              <w:t>日</w:t>
            </w:r>
          </w:p>
          <w:p>
            <w:pPr>
              <w:jc w:val="center"/>
            </w:pPr>
          </w:p>
        </w:tc>
        <w:tc>
          <w:tcPr>
            <w:tcW w:w="1815" w:type="dxa"/>
            <w:vAlign w:val="center"/>
          </w:tcPr>
          <w:p>
            <w:pPr>
              <w:jc w:val="center"/>
            </w:pPr>
            <w:r>
              <w:rPr>
                <w:rFonts w:hint="eastAsia"/>
              </w:rPr>
              <w:t>第一次</w:t>
            </w:r>
          </w:p>
        </w:tc>
        <w:tc>
          <w:tcPr>
            <w:tcW w:w="1530" w:type="dxa"/>
            <w:vAlign w:val="center"/>
          </w:tcPr>
          <w:p>
            <w:pPr>
              <w:autoSpaceDE w:val="0"/>
              <w:autoSpaceDN w:val="0"/>
              <w:adjustRightInd w:val="0"/>
              <w:jc w:val="center"/>
              <w:rPr>
                <w:color w:val="000000"/>
              </w:rPr>
            </w:pPr>
            <w:r>
              <w:rPr>
                <w:color w:val="000000"/>
                <w:kern w:val="0"/>
              </w:rPr>
              <w:t>142</w:t>
            </w:r>
          </w:p>
        </w:tc>
        <w:tc>
          <w:tcPr>
            <w:tcW w:w="1589" w:type="dxa"/>
            <w:vAlign w:val="center"/>
          </w:tcPr>
          <w:p>
            <w:pPr>
              <w:autoSpaceDE w:val="0"/>
              <w:autoSpaceDN w:val="0"/>
              <w:adjustRightInd w:val="0"/>
              <w:jc w:val="center"/>
              <w:rPr>
                <w:color w:val="000000"/>
                <w:kern w:val="0"/>
              </w:rPr>
            </w:pPr>
            <w:r>
              <w:rPr>
                <w:color w:val="000000"/>
              </w:rPr>
              <w:t>0.10</w:t>
            </w:r>
          </w:p>
        </w:tc>
        <w:tc>
          <w:tcPr>
            <w:tcW w:w="1589" w:type="dxa"/>
            <w:vAlign w:val="center"/>
          </w:tcPr>
          <w:p>
            <w:pPr>
              <w:autoSpaceDE w:val="0"/>
              <w:autoSpaceDN w:val="0"/>
              <w:adjustRightInd w:val="0"/>
              <w:jc w:val="center"/>
              <w:rPr>
                <w:color w:val="000000"/>
                <w:kern w:val="0"/>
              </w:rPr>
            </w:pPr>
            <w:r>
              <w:rPr>
                <w:bCs/>
                <w:color w:val="000000"/>
              </w:rPr>
              <w:t>1.42</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rPr>
            </w:pPr>
            <w:r>
              <w:rPr>
                <w:color w:val="000000"/>
              </w:rPr>
              <w:t>2.66</w:t>
            </w:r>
          </w:p>
        </w:tc>
        <w:tc>
          <w:tcPr>
            <w:tcW w:w="1590" w:type="dxa"/>
            <w:vAlign w:val="center"/>
          </w:tcPr>
          <w:p>
            <w:pPr>
              <w:autoSpaceDE w:val="0"/>
              <w:autoSpaceDN w:val="0"/>
              <w:adjustRightInd w:val="0"/>
              <w:jc w:val="center"/>
              <w:rPr>
                <w:bCs/>
                <w:color w:val="000000"/>
              </w:rPr>
            </w:pPr>
            <w:r>
              <w:rPr>
                <w:bCs/>
                <w:color w:val="000000"/>
              </w:rPr>
              <w:t>3.78</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bCs/>
                <w:color w:val="00000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pPr>
            <w:r>
              <w:rPr>
                <w:rFonts w:hint="eastAsia"/>
              </w:rPr>
              <w:t>第二次</w:t>
            </w:r>
          </w:p>
        </w:tc>
        <w:tc>
          <w:tcPr>
            <w:tcW w:w="1530" w:type="dxa"/>
            <w:vAlign w:val="center"/>
          </w:tcPr>
          <w:p>
            <w:pPr>
              <w:autoSpaceDE w:val="0"/>
              <w:autoSpaceDN w:val="0"/>
              <w:adjustRightInd w:val="0"/>
              <w:jc w:val="center"/>
              <w:rPr>
                <w:color w:val="000000"/>
              </w:rPr>
            </w:pPr>
            <w:r>
              <w:rPr>
                <w:color w:val="000000"/>
                <w:kern w:val="0"/>
              </w:rPr>
              <w:t>132</w:t>
            </w:r>
          </w:p>
        </w:tc>
        <w:tc>
          <w:tcPr>
            <w:tcW w:w="1589" w:type="dxa"/>
            <w:vAlign w:val="center"/>
          </w:tcPr>
          <w:p>
            <w:pPr>
              <w:autoSpaceDE w:val="0"/>
              <w:autoSpaceDN w:val="0"/>
              <w:adjustRightInd w:val="0"/>
              <w:jc w:val="center"/>
              <w:rPr>
                <w:color w:val="000000"/>
                <w:kern w:val="0"/>
              </w:rPr>
            </w:pPr>
            <w:r>
              <w:rPr>
                <w:color w:val="000000"/>
                <w:kern w:val="0"/>
              </w:rPr>
              <w:t>0.23</w:t>
            </w:r>
          </w:p>
        </w:tc>
        <w:tc>
          <w:tcPr>
            <w:tcW w:w="1589" w:type="dxa"/>
            <w:vAlign w:val="center"/>
          </w:tcPr>
          <w:p>
            <w:pPr>
              <w:autoSpaceDE w:val="0"/>
              <w:autoSpaceDN w:val="0"/>
              <w:adjustRightInd w:val="0"/>
              <w:jc w:val="center"/>
              <w:rPr>
                <w:color w:val="000000"/>
                <w:kern w:val="0"/>
              </w:rPr>
            </w:pPr>
            <w:r>
              <w:rPr>
                <w:color w:val="000000"/>
                <w:kern w:val="0"/>
              </w:rPr>
              <w:t>3.04</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kern w:val="0"/>
              </w:rPr>
            </w:pPr>
            <w:r>
              <w:rPr>
                <w:color w:val="000000"/>
                <w:kern w:val="0"/>
              </w:rPr>
              <w:t>4.53</w:t>
            </w:r>
          </w:p>
        </w:tc>
        <w:tc>
          <w:tcPr>
            <w:tcW w:w="1590" w:type="dxa"/>
            <w:vAlign w:val="center"/>
          </w:tcPr>
          <w:p>
            <w:pPr>
              <w:autoSpaceDE w:val="0"/>
              <w:autoSpaceDN w:val="0"/>
              <w:adjustRightInd w:val="0"/>
              <w:jc w:val="center"/>
              <w:rPr>
                <w:color w:val="000000"/>
                <w:kern w:val="0"/>
              </w:rPr>
            </w:pPr>
            <w:r>
              <w:rPr>
                <w:color w:val="000000"/>
                <w:kern w:val="0"/>
              </w:rPr>
              <w:t>5.98</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pPr>
            <w:r>
              <w:rPr>
                <w:rFonts w:hint="eastAsia"/>
              </w:rPr>
              <w:t>第三次</w:t>
            </w:r>
          </w:p>
        </w:tc>
        <w:tc>
          <w:tcPr>
            <w:tcW w:w="1530" w:type="dxa"/>
            <w:vAlign w:val="center"/>
          </w:tcPr>
          <w:p>
            <w:pPr>
              <w:autoSpaceDE w:val="0"/>
              <w:autoSpaceDN w:val="0"/>
              <w:adjustRightInd w:val="0"/>
              <w:jc w:val="center"/>
              <w:rPr>
                <w:color w:val="000000"/>
              </w:rPr>
            </w:pPr>
            <w:r>
              <w:rPr>
                <w:color w:val="000000"/>
                <w:kern w:val="0"/>
              </w:rPr>
              <w:t>138</w:t>
            </w:r>
          </w:p>
        </w:tc>
        <w:tc>
          <w:tcPr>
            <w:tcW w:w="1589" w:type="dxa"/>
            <w:vAlign w:val="center"/>
          </w:tcPr>
          <w:p>
            <w:pPr>
              <w:autoSpaceDE w:val="0"/>
              <w:autoSpaceDN w:val="0"/>
              <w:adjustRightInd w:val="0"/>
              <w:jc w:val="center"/>
              <w:rPr>
                <w:color w:val="000000"/>
                <w:kern w:val="0"/>
              </w:rPr>
            </w:pPr>
            <w:r>
              <w:rPr>
                <w:color w:val="000000"/>
                <w:kern w:val="0"/>
              </w:rPr>
              <w:t>0.15</w:t>
            </w:r>
          </w:p>
        </w:tc>
        <w:tc>
          <w:tcPr>
            <w:tcW w:w="1589" w:type="dxa"/>
            <w:vAlign w:val="center"/>
          </w:tcPr>
          <w:p>
            <w:pPr>
              <w:autoSpaceDE w:val="0"/>
              <w:autoSpaceDN w:val="0"/>
              <w:adjustRightInd w:val="0"/>
              <w:jc w:val="center"/>
              <w:rPr>
                <w:color w:val="000000"/>
                <w:kern w:val="0"/>
              </w:rPr>
            </w:pPr>
            <w:r>
              <w:rPr>
                <w:color w:val="000000"/>
                <w:kern w:val="0"/>
              </w:rPr>
              <w:t>2.07</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kern w:val="0"/>
              </w:rPr>
            </w:pPr>
            <w:r>
              <w:rPr>
                <w:color w:val="000000"/>
                <w:kern w:val="0"/>
              </w:rPr>
              <w:t>2.60</w:t>
            </w:r>
          </w:p>
        </w:tc>
        <w:tc>
          <w:tcPr>
            <w:tcW w:w="1590" w:type="dxa"/>
            <w:vAlign w:val="center"/>
          </w:tcPr>
          <w:p>
            <w:pPr>
              <w:autoSpaceDE w:val="0"/>
              <w:autoSpaceDN w:val="0"/>
              <w:adjustRightInd w:val="0"/>
              <w:jc w:val="center"/>
              <w:rPr>
                <w:color w:val="000000"/>
                <w:kern w:val="0"/>
              </w:rPr>
            </w:pPr>
            <w:r>
              <w:rPr>
                <w:color w:val="000000"/>
                <w:kern w:val="0"/>
              </w:rPr>
              <w:t>3.59</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1350" w:type="dxa"/>
            <w:vMerge w:val="continue"/>
            <w:vAlign w:val="center"/>
          </w:tcPr>
          <w:p>
            <w:pPr>
              <w:jc w:val="center"/>
            </w:pPr>
          </w:p>
        </w:tc>
        <w:tc>
          <w:tcPr>
            <w:tcW w:w="1815" w:type="dxa"/>
            <w:vAlign w:val="center"/>
          </w:tcPr>
          <w:p>
            <w:pPr>
              <w:jc w:val="center"/>
              <w:rPr>
                <w:color w:val="000000"/>
              </w:rPr>
            </w:pPr>
            <w:r>
              <w:rPr>
                <w:rFonts w:hint="eastAsia"/>
                <w:color w:val="000000"/>
              </w:rPr>
              <w:t>平均值</w:t>
            </w:r>
          </w:p>
        </w:tc>
        <w:tc>
          <w:tcPr>
            <w:tcW w:w="1530" w:type="dxa"/>
            <w:vAlign w:val="center"/>
          </w:tcPr>
          <w:p>
            <w:pPr>
              <w:autoSpaceDE w:val="0"/>
              <w:autoSpaceDN w:val="0"/>
              <w:adjustRightInd w:val="0"/>
              <w:jc w:val="center"/>
              <w:rPr>
                <w:color w:val="000000"/>
              </w:rPr>
            </w:pPr>
            <w:r>
              <w:rPr>
                <w:color w:val="000000"/>
                <w:kern w:val="0"/>
              </w:rPr>
              <w:t>137</w:t>
            </w:r>
          </w:p>
        </w:tc>
        <w:tc>
          <w:tcPr>
            <w:tcW w:w="1589" w:type="dxa"/>
            <w:vAlign w:val="center"/>
          </w:tcPr>
          <w:p>
            <w:pPr>
              <w:autoSpaceDE w:val="0"/>
              <w:autoSpaceDN w:val="0"/>
              <w:adjustRightInd w:val="0"/>
              <w:jc w:val="center"/>
              <w:rPr>
                <w:color w:val="000000"/>
                <w:kern w:val="0"/>
              </w:rPr>
            </w:pPr>
            <w:r>
              <w:rPr>
                <w:color w:val="000000"/>
                <w:kern w:val="0"/>
              </w:rPr>
              <w:t>0.16</w:t>
            </w:r>
          </w:p>
        </w:tc>
        <w:tc>
          <w:tcPr>
            <w:tcW w:w="1589" w:type="dxa"/>
            <w:vAlign w:val="center"/>
          </w:tcPr>
          <w:p>
            <w:pPr>
              <w:autoSpaceDE w:val="0"/>
              <w:autoSpaceDN w:val="0"/>
              <w:adjustRightInd w:val="0"/>
              <w:jc w:val="center"/>
              <w:rPr>
                <w:color w:val="000000"/>
                <w:kern w:val="0"/>
              </w:rPr>
            </w:pPr>
            <w:r>
              <w:rPr>
                <w:color w:val="000000"/>
                <w:kern w:val="0"/>
              </w:rPr>
              <w:t>2.10</w:t>
            </w:r>
            <w:r>
              <w:rPr>
                <w:color w:val="000000"/>
              </w:rPr>
              <w:t>×10</w:t>
            </w:r>
            <w:r>
              <w:rPr>
                <w:color w:val="000000"/>
                <w:vertAlign w:val="superscript"/>
              </w:rPr>
              <w:t>-5</w:t>
            </w:r>
          </w:p>
        </w:tc>
        <w:tc>
          <w:tcPr>
            <w:tcW w:w="1589" w:type="dxa"/>
            <w:vAlign w:val="center"/>
          </w:tcPr>
          <w:p>
            <w:pPr>
              <w:autoSpaceDE w:val="0"/>
              <w:autoSpaceDN w:val="0"/>
              <w:adjustRightInd w:val="0"/>
              <w:jc w:val="center"/>
              <w:rPr>
                <w:color w:val="000000"/>
                <w:kern w:val="0"/>
              </w:rPr>
            </w:pPr>
            <w:r>
              <w:rPr>
                <w:color w:val="000000"/>
                <w:kern w:val="0"/>
              </w:rPr>
              <w:t>3.26</w:t>
            </w:r>
          </w:p>
        </w:tc>
        <w:tc>
          <w:tcPr>
            <w:tcW w:w="1590" w:type="dxa"/>
            <w:vAlign w:val="center"/>
          </w:tcPr>
          <w:p>
            <w:pPr>
              <w:autoSpaceDE w:val="0"/>
              <w:autoSpaceDN w:val="0"/>
              <w:adjustRightInd w:val="0"/>
              <w:jc w:val="center"/>
              <w:rPr>
                <w:color w:val="000000"/>
                <w:kern w:val="0"/>
              </w:rPr>
            </w:pPr>
            <w:r>
              <w:rPr>
                <w:color w:val="000000"/>
                <w:kern w:val="0"/>
              </w:rPr>
              <w:t>4.47</w:t>
            </w:r>
            <w:r>
              <w:rPr>
                <w:color w:val="000000"/>
              </w:rPr>
              <w:t>×10</w:t>
            </w:r>
            <w:r>
              <w:rPr>
                <w:color w:val="000000"/>
                <w:vertAlign w:val="superscript"/>
              </w:rPr>
              <w:t>-4</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restart"/>
            <w:vAlign w:val="center"/>
          </w:tcPr>
          <w:p>
            <w:pPr>
              <w:jc w:val="center"/>
            </w:pPr>
            <w:r>
              <w:rPr>
                <w:rFonts w:hint="eastAsia"/>
              </w:rPr>
              <w:t>排放限值</w:t>
            </w:r>
          </w:p>
        </w:tc>
        <w:tc>
          <w:tcPr>
            <w:tcW w:w="4695" w:type="dxa"/>
            <w:gridSpan w:val="3"/>
            <w:vAlign w:val="center"/>
          </w:tcPr>
          <w:p>
            <w:pPr>
              <w:jc w:val="center"/>
            </w:pPr>
            <w:r>
              <w:rPr>
                <w:bCs/>
                <w:szCs w:val="21"/>
              </w:rPr>
              <w:t>DB44/814-2010</w:t>
            </w:r>
          </w:p>
        </w:tc>
        <w:tc>
          <w:tcPr>
            <w:tcW w:w="1589" w:type="dxa"/>
            <w:vAlign w:val="center"/>
          </w:tcPr>
          <w:p>
            <w:pPr>
              <w:autoSpaceDE w:val="0"/>
              <w:autoSpaceDN w:val="0"/>
              <w:adjustRightInd w:val="0"/>
              <w:jc w:val="center"/>
            </w:pPr>
            <w:r>
              <w:rPr>
                <w:color w:val="000000"/>
                <w:kern w:val="0"/>
              </w:rPr>
              <w:t>—</w:t>
            </w:r>
          </w:p>
        </w:tc>
        <w:tc>
          <w:tcPr>
            <w:tcW w:w="1589" w:type="dxa"/>
            <w:vAlign w:val="center"/>
          </w:tcPr>
          <w:p>
            <w:pPr>
              <w:autoSpaceDE w:val="0"/>
              <w:autoSpaceDN w:val="0"/>
              <w:adjustRightInd w:val="0"/>
              <w:jc w:val="center"/>
            </w:pPr>
            <w:r>
              <w:rPr>
                <w:color w:val="000000"/>
                <w:kern w:val="0"/>
              </w:rPr>
              <w:t>—</w:t>
            </w:r>
          </w:p>
        </w:tc>
        <w:tc>
          <w:tcPr>
            <w:tcW w:w="1589" w:type="dxa"/>
            <w:vAlign w:val="center"/>
          </w:tcPr>
          <w:p>
            <w:pPr>
              <w:autoSpaceDE w:val="0"/>
              <w:autoSpaceDN w:val="0"/>
              <w:adjustRightInd w:val="0"/>
              <w:jc w:val="center"/>
              <w:rPr>
                <w:color w:val="000000"/>
                <w:kern w:val="0"/>
              </w:rPr>
            </w:pPr>
            <w:r>
              <w:rPr>
                <w:color w:val="000000"/>
                <w:kern w:val="0"/>
              </w:rPr>
              <w:t>30</w:t>
            </w:r>
          </w:p>
        </w:tc>
        <w:tc>
          <w:tcPr>
            <w:tcW w:w="1590" w:type="dxa"/>
            <w:vAlign w:val="center"/>
          </w:tcPr>
          <w:p>
            <w:pPr>
              <w:autoSpaceDE w:val="0"/>
              <w:autoSpaceDN w:val="0"/>
              <w:adjustRightInd w:val="0"/>
              <w:jc w:val="center"/>
              <w:rPr>
                <w:color w:val="000000"/>
                <w:kern w:val="0"/>
              </w:rPr>
            </w:pPr>
            <w:r>
              <w:rPr>
                <w:color w:val="000000"/>
                <w:kern w:val="0"/>
              </w:rPr>
              <w:t>2.9</w:t>
            </w:r>
          </w:p>
        </w:tc>
        <w:tc>
          <w:tcPr>
            <w:tcW w:w="1590" w:type="dxa"/>
            <w:vMerge w:val="restart"/>
            <w:vAlign w:val="center"/>
          </w:tcPr>
          <w:p>
            <w:pPr>
              <w:autoSpaceDE w:val="0"/>
              <w:autoSpaceDN w:val="0"/>
              <w:adjustRightInd w:val="0"/>
              <w:jc w:val="center"/>
              <w:rPr>
                <w:color w:val="000000"/>
                <w:kern w:val="0"/>
              </w:rPr>
            </w:pPr>
            <w:r>
              <w:rPr>
                <w:color w:val="000000"/>
                <w:kern w:val="0"/>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1593" w:type="dxa"/>
            <w:vMerge w:val="continue"/>
            <w:vAlign w:val="center"/>
          </w:tcPr>
          <w:p>
            <w:pPr>
              <w:jc w:val="center"/>
            </w:pPr>
          </w:p>
        </w:tc>
        <w:tc>
          <w:tcPr>
            <w:tcW w:w="4695" w:type="dxa"/>
            <w:gridSpan w:val="3"/>
            <w:vAlign w:val="center"/>
          </w:tcPr>
          <w:p>
            <w:pPr>
              <w:jc w:val="center"/>
            </w:pPr>
            <w:r>
              <w:rPr>
                <w:rFonts w:hint="eastAsia"/>
                <w:bCs/>
                <w:szCs w:val="21"/>
              </w:rPr>
              <w:t>（</w:t>
            </w:r>
            <w:r>
              <w:rPr>
                <w:bCs/>
                <w:szCs w:val="21"/>
              </w:rPr>
              <w:t>DB44/27-2001</w:t>
            </w:r>
            <w:r>
              <w:rPr>
                <w:rFonts w:hint="eastAsia"/>
                <w:bCs/>
                <w:szCs w:val="21"/>
              </w:rPr>
              <w:t>）第二时段二级标准</w:t>
            </w:r>
          </w:p>
        </w:tc>
        <w:tc>
          <w:tcPr>
            <w:tcW w:w="1589" w:type="dxa"/>
            <w:vAlign w:val="center"/>
          </w:tcPr>
          <w:p>
            <w:pPr>
              <w:autoSpaceDE w:val="0"/>
              <w:autoSpaceDN w:val="0"/>
              <w:adjustRightInd w:val="0"/>
              <w:jc w:val="center"/>
              <w:rPr>
                <w:color w:val="000000"/>
                <w:kern w:val="0"/>
              </w:rPr>
            </w:pPr>
            <w:r>
              <w:rPr>
                <w:color w:val="000000"/>
                <w:kern w:val="0"/>
              </w:rPr>
              <w:t>70</w:t>
            </w:r>
          </w:p>
        </w:tc>
        <w:tc>
          <w:tcPr>
            <w:tcW w:w="1589" w:type="dxa"/>
            <w:vAlign w:val="center"/>
          </w:tcPr>
          <w:p>
            <w:pPr>
              <w:autoSpaceDE w:val="0"/>
              <w:autoSpaceDN w:val="0"/>
              <w:adjustRightInd w:val="0"/>
              <w:jc w:val="center"/>
              <w:rPr>
                <w:color w:val="000000"/>
                <w:kern w:val="0"/>
              </w:rPr>
            </w:pPr>
            <w:r>
              <w:rPr>
                <w:color w:val="000000"/>
                <w:kern w:val="0"/>
              </w:rPr>
              <w:t>0.84</w:t>
            </w:r>
          </w:p>
        </w:tc>
        <w:tc>
          <w:tcPr>
            <w:tcW w:w="1589" w:type="dxa"/>
            <w:vAlign w:val="center"/>
          </w:tcPr>
          <w:p>
            <w:pPr>
              <w:autoSpaceDE w:val="0"/>
              <w:autoSpaceDN w:val="0"/>
              <w:adjustRightInd w:val="0"/>
              <w:jc w:val="center"/>
              <w:rPr>
                <w:color w:val="000000"/>
                <w:kern w:val="0"/>
              </w:rPr>
            </w:pPr>
            <w:r>
              <w:rPr>
                <w:color w:val="000000"/>
                <w:kern w:val="0"/>
              </w:rPr>
              <w:t>—</w:t>
            </w:r>
          </w:p>
        </w:tc>
        <w:tc>
          <w:tcPr>
            <w:tcW w:w="1590" w:type="dxa"/>
            <w:vAlign w:val="center"/>
          </w:tcPr>
          <w:p>
            <w:pPr>
              <w:autoSpaceDE w:val="0"/>
              <w:autoSpaceDN w:val="0"/>
              <w:adjustRightInd w:val="0"/>
              <w:jc w:val="center"/>
              <w:rPr>
                <w:color w:val="000000"/>
                <w:kern w:val="0"/>
              </w:rPr>
            </w:pPr>
            <w:r>
              <w:rPr>
                <w:color w:val="000000"/>
                <w:kern w:val="0"/>
              </w:rPr>
              <w:t>—</w:t>
            </w:r>
          </w:p>
        </w:tc>
        <w:tc>
          <w:tcPr>
            <w:tcW w:w="1590" w:type="dxa"/>
            <w:vMerge w:val="continue"/>
            <w:vAlign w:val="center"/>
          </w:tcPr>
          <w:p>
            <w:pPr>
              <w:autoSpaceDE w:val="0"/>
              <w:autoSpaceDN w:val="0"/>
              <w:adjustRightInd w:val="0"/>
              <w:jc w:val="center"/>
              <w:rPr>
                <w:color w:val="000000"/>
                <w:kern w:val="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10" w:hRule="exact"/>
          <w:jc w:val="center"/>
        </w:trPr>
        <w:tc>
          <w:tcPr>
            <w:tcW w:w="6288" w:type="dxa"/>
            <w:gridSpan w:val="4"/>
            <w:vAlign w:val="center"/>
          </w:tcPr>
          <w:p>
            <w:pPr>
              <w:jc w:val="center"/>
            </w:pPr>
            <w:r>
              <w:rPr>
                <w:rFonts w:hint="eastAsia"/>
              </w:rPr>
              <w:t>达标情况</w:t>
            </w:r>
          </w:p>
        </w:tc>
        <w:tc>
          <w:tcPr>
            <w:tcW w:w="1589" w:type="dxa"/>
            <w:vAlign w:val="center"/>
          </w:tcPr>
          <w:p>
            <w:pPr>
              <w:autoSpaceDE w:val="0"/>
              <w:autoSpaceDN w:val="0"/>
              <w:adjustRightInd w:val="0"/>
              <w:jc w:val="center"/>
            </w:pPr>
            <w:r>
              <w:rPr>
                <w:rFonts w:hint="eastAsia"/>
                <w:color w:val="000000"/>
                <w:kern w:val="0"/>
              </w:rPr>
              <w:t>达标</w:t>
            </w:r>
          </w:p>
        </w:tc>
        <w:tc>
          <w:tcPr>
            <w:tcW w:w="1589" w:type="dxa"/>
            <w:vAlign w:val="center"/>
          </w:tcPr>
          <w:p>
            <w:pPr>
              <w:autoSpaceDE w:val="0"/>
              <w:autoSpaceDN w:val="0"/>
              <w:adjustRightInd w:val="0"/>
              <w:jc w:val="center"/>
            </w:pPr>
            <w:r>
              <w:rPr>
                <w:rFonts w:hint="eastAsia"/>
                <w:color w:val="000000"/>
                <w:kern w:val="0"/>
              </w:rPr>
              <w:t>达标</w:t>
            </w:r>
          </w:p>
        </w:tc>
        <w:tc>
          <w:tcPr>
            <w:tcW w:w="1589" w:type="dxa"/>
            <w:vAlign w:val="center"/>
          </w:tcPr>
          <w:p>
            <w:pPr>
              <w:autoSpaceDE w:val="0"/>
              <w:autoSpaceDN w:val="0"/>
              <w:adjustRightInd w:val="0"/>
              <w:jc w:val="center"/>
              <w:rPr>
                <w:color w:val="000000"/>
                <w:kern w:val="0"/>
              </w:rPr>
            </w:pPr>
            <w:r>
              <w:rPr>
                <w:rFonts w:hint="eastAsia"/>
                <w:color w:val="000000"/>
                <w:kern w:val="0"/>
              </w:rPr>
              <w:t>达标</w:t>
            </w:r>
          </w:p>
        </w:tc>
        <w:tc>
          <w:tcPr>
            <w:tcW w:w="1590" w:type="dxa"/>
            <w:vAlign w:val="center"/>
          </w:tcPr>
          <w:p>
            <w:pPr>
              <w:autoSpaceDE w:val="0"/>
              <w:autoSpaceDN w:val="0"/>
              <w:adjustRightInd w:val="0"/>
              <w:jc w:val="center"/>
              <w:rPr>
                <w:color w:val="000000"/>
                <w:kern w:val="0"/>
              </w:rPr>
            </w:pPr>
            <w:r>
              <w:rPr>
                <w:rFonts w:hint="eastAsia"/>
                <w:color w:val="000000"/>
                <w:kern w:val="0"/>
              </w:rPr>
              <w:t>达标</w:t>
            </w:r>
          </w:p>
        </w:tc>
        <w:tc>
          <w:tcPr>
            <w:tcW w:w="1590" w:type="dxa"/>
            <w:vMerge w:val="continue"/>
            <w:vAlign w:val="center"/>
          </w:tcPr>
          <w:p>
            <w:pPr>
              <w:autoSpaceDE w:val="0"/>
              <w:autoSpaceDN w:val="0"/>
              <w:adjustRightInd w:val="0"/>
              <w:jc w:val="center"/>
              <w:rPr>
                <w:color w:val="000000"/>
                <w:kern w:val="0"/>
              </w:rPr>
            </w:pPr>
          </w:p>
        </w:tc>
      </w:tr>
    </w:tbl>
    <w:p>
      <w:pPr>
        <w:adjustRightInd w:val="0"/>
        <w:snapToGrid w:val="0"/>
        <w:spacing w:line="360" w:lineRule="auto"/>
        <w:ind w:firstLine="480" w:firstLineChars="200"/>
        <w:rPr>
          <w:szCs w:val="28"/>
        </w:rPr>
      </w:pPr>
      <w:r>
        <w:rPr>
          <w:rFonts w:hint="eastAsia"/>
          <w:szCs w:val="28"/>
        </w:rPr>
        <w:t>表</w:t>
      </w:r>
      <w:r>
        <w:rPr>
          <w:szCs w:val="28"/>
        </w:rPr>
        <w:t>9-5</w:t>
      </w:r>
      <w:r>
        <w:rPr>
          <w:rFonts w:hint="eastAsia"/>
          <w:szCs w:val="28"/>
        </w:rPr>
        <w:t>监测结果表明，车间工艺废气经水喷淋</w:t>
      </w:r>
      <w:r>
        <w:rPr>
          <w:szCs w:val="28"/>
        </w:rPr>
        <w:t>+</w:t>
      </w:r>
      <w:r>
        <w:rPr>
          <w:rFonts w:hint="eastAsia"/>
          <w:szCs w:val="28"/>
        </w:rPr>
        <w:t>活性炭吸附处理后由</w:t>
      </w:r>
      <w:r>
        <w:rPr>
          <w:szCs w:val="28"/>
        </w:rPr>
        <w:t>15</w:t>
      </w:r>
      <w:r>
        <w:rPr>
          <w:rFonts w:hint="eastAsia"/>
          <w:szCs w:val="28"/>
        </w:rPr>
        <w:t>米高排气筒外排，外排废气中二甲苯排放浓度和排放速率未超过广东省《大气污染物排放限值》（</w:t>
      </w:r>
      <w:r>
        <w:rPr>
          <w:szCs w:val="28"/>
        </w:rPr>
        <w:t>DB 44/27-2001</w:t>
      </w:r>
      <w:r>
        <w:rPr>
          <w:rFonts w:hint="eastAsia"/>
          <w:szCs w:val="28"/>
        </w:rPr>
        <w:t>）第二时段二级标准限值要求；</w:t>
      </w:r>
      <w:r>
        <w:rPr>
          <w:szCs w:val="28"/>
        </w:rPr>
        <w:t>VOCs</w:t>
      </w:r>
      <w:r>
        <w:rPr>
          <w:rFonts w:hint="eastAsia"/>
          <w:szCs w:val="28"/>
        </w:rPr>
        <w:t>排放浓度未超过《家具制造行业挥发性有机化合物排放标准》（</w:t>
      </w:r>
      <w:r>
        <w:rPr>
          <w:szCs w:val="28"/>
        </w:rPr>
        <w:t>DB44/814-2010</w:t>
      </w:r>
      <w:r>
        <w:rPr>
          <w:rFonts w:hint="eastAsia"/>
          <w:szCs w:val="28"/>
        </w:rPr>
        <w:t>）标准限值。</w:t>
      </w:r>
    </w:p>
    <w:p>
      <w:pPr>
        <w:spacing w:line="500" w:lineRule="atLeast"/>
        <w:rPr>
          <w:szCs w:val="21"/>
        </w:rPr>
        <w:sectPr>
          <w:pgSz w:w="16838" w:h="11906" w:orient="landscape"/>
          <w:pgMar w:top="1644" w:right="1440" w:bottom="1418" w:left="1440" w:header="709" w:footer="709" w:gutter="0"/>
          <w:pgNumType w:fmt="decimal"/>
          <w:cols w:space="708" w:num="1"/>
          <w:docGrid w:linePitch="360" w:charSpace="0"/>
        </w:sectPr>
      </w:pPr>
    </w:p>
    <w:p>
      <w:pPr>
        <w:pStyle w:val="4"/>
      </w:pPr>
      <w:bookmarkStart w:id="49" w:name="_Toc14241"/>
      <w:r>
        <w:t xml:space="preserve">9.4 </w:t>
      </w:r>
      <w:r>
        <w:rPr>
          <w:rFonts w:hint="eastAsia"/>
        </w:rPr>
        <w:t>噪声监测结果及评价</w:t>
      </w:r>
      <w:bookmarkEnd w:id="49"/>
    </w:p>
    <w:p>
      <w:pPr>
        <w:adjustRightInd w:val="0"/>
        <w:snapToGrid w:val="0"/>
        <w:spacing w:line="360" w:lineRule="auto"/>
        <w:ind w:firstLine="480" w:firstLineChars="200"/>
        <w:rPr>
          <w:szCs w:val="28"/>
        </w:rPr>
      </w:pPr>
      <w:r>
        <w:rPr>
          <w:rFonts w:hint="eastAsia"/>
        </w:rPr>
        <w:t>在该公司的厂界东、南、西、北外各布设一个监测点位，共</w:t>
      </w:r>
      <w:r>
        <w:t>4</w:t>
      </w:r>
      <w:r>
        <w:rPr>
          <w:rFonts w:hint="eastAsia"/>
        </w:rPr>
        <w:t>个。连续监测</w:t>
      </w:r>
      <w:r>
        <w:t>2</w:t>
      </w:r>
      <w:r>
        <w:rPr>
          <w:rFonts w:hint="eastAsia"/>
        </w:rPr>
        <w:t>天，昼、夜各一次。</w:t>
      </w:r>
      <w:r>
        <w:rPr>
          <w:rFonts w:hint="eastAsia"/>
          <w:szCs w:val="28"/>
        </w:rPr>
        <w:t>噪声监测结果见表</w:t>
      </w:r>
      <w:r>
        <w:rPr>
          <w:szCs w:val="28"/>
        </w:rPr>
        <w:t>9-6</w:t>
      </w:r>
      <w:r>
        <w:rPr>
          <w:rFonts w:hint="eastAsia"/>
          <w:szCs w:val="28"/>
        </w:rPr>
        <w:t>。</w:t>
      </w:r>
    </w:p>
    <w:p>
      <w:pPr>
        <w:adjustRightInd w:val="0"/>
        <w:snapToGrid w:val="0"/>
        <w:spacing w:line="360" w:lineRule="auto"/>
        <w:ind w:firstLine="482" w:firstLineChars="200"/>
        <w:jc w:val="center"/>
        <w:rPr>
          <w:b/>
        </w:rPr>
      </w:pPr>
      <w:r>
        <w:rPr>
          <w:rFonts w:hint="eastAsia"/>
          <w:b/>
        </w:rPr>
        <w:t>表</w:t>
      </w:r>
      <w:r>
        <w:rPr>
          <w:b/>
        </w:rPr>
        <w:t xml:space="preserve">9-6    </w:t>
      </w:r>
      <w:r>
        <w:rPr>
          <w:rFonts w:hint="eastAsia"/>
          <w:b/>
        </w:rPr>
        <w:t>噪</w:t>
      </w:r>
      <w:r>
        <w:rPr>
          <w:b/>
        </w:rPr>
        <w:t xml:space="preserve"> </w:t>
      </w:r>
      <w:r>
        <w:rPr>
          <w:rFonts w:hint="eastAsia"/>
          <w:b/>
        </w:rPr>
        <w:t>声</w:t>
      </w:r>
      <w:r>
        <w:rPr>
          <w:b/>
        </w:rPr>
        <w:t xml:space="preserve"> </w:t>
      </w:r>
      <w:r>
        <w:rPr>
          <w:rFonts w:hint="eastAsia"/>
          <w:b/>
        </w:rPr>
        <w:t>监</w:t>
      </w:r>
      <w:r>
        <w:rPr>
          <w:b/>
        </w:rPr>
        <w:t xml:space="preserve"> </w:t>
      </w:r>
      <w:r>
        <w:rPr>
          <w:rFonts w:hint="eastAsia"/>
          <w:b/>
        </w:rPr>
        <w:t>测</w:t>
      </w:r>
      <w:r>
        <w:rPr>
          <w:b/>
        </w:rPr>
        <w:t xml:space="preserve"> </w:t>
      </w:r>
      <w:r>
        <w:rPr>
          <w:rFonts w:hint="eastAsia"/>
          <w:b/>
        </w:rPr>
        <w:t>结</w:t>
      </w:r>
      <w:r>
        <w:rPr>
          <w:b/>
        </w:rPr>
        <w:t xml:space="preserve"> </w:t>
      </w:r>
      <w:r>
        <w:rPr>
          <w:rFonts w:hint="eastAsia"/>
          <w:b/>
        </w:rPr>
        <w:t>果</w:t>
      </w:r>
    </w:p>
    <w:tbl>
      <w:tblPr>
        <w:tblStyle w:val="47"/>
        <w:tblW w:w="9991" w:type="dxa"/>
        <w:jc w:val="center"/>
        <w:tblInd w:w="-3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37"/>
        <w:gridCol w:w="1355"/>
        <w:gridCol w:w="1900"/>
        <w:gridCol w:w="1530"/>
        <w:gridCol w:w="1531"/>
        <w:gridCol w:w="751"/>
        <w:gridCol w:w="752"/>
        <w:gridCol w:w="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85" w:hRule="exact"/>
          <w:jc w:val="center"/>
        </w:trPr>
        <w:tc>
          <w:tcPr>
            <w:tcW w:w="1337" w:type="dxa"/>
            <w:vMerge w:val="restart"/>
            <w:vAlign w:val="center"/>
          </w:tcPr>
          <w:p>
            <w:pPr>
              <w:jc w:val="center"/>
              <w:rPr>
                <w:b/>
                <w:bCs/>
              </w:rPr>
            </w:pPr>
            <w:r>
              <w:rPr>
                <w:rFonts w:hint="eastAsia"/>
                <w:b/>
                <w:bCs/>
              </w:rPr>
              <w:t>测点编号</w:t>
            </w:r>
          </w:p>
        </w:tc>
        <w:tc>
          <w:tcPr>
            <w:tcW w:w="3255" w:type="dxa"/>
            <w:gridSpan w:val="2"/>
            <w:vMerge w:val="restart"/>
            <w:vAlign w:val="center"/>
          </w:tcPr>
          <w:p>
            <w:pPr>
              <w:jc w:val="center"/>
              <w:rPr>
                <w:b/>
                <w:bCs/>
              </w:rPr>
            </w:pPr>
            <w:r>
              <w:rPr>
                <w:rFonts w:hint="eastAsia"/>
                <w:b/>
                <w:bCs/>
              </w:rPr>
              <w:t>监测时间及监测点名称</w:t>
            </w:r>
          </w:p>
        </w:tc>
        <w:tc>
          <w:tcPr>
            <w:tcW w:w="3061" w:type="dxa"/>
            <w:gridSpan w:val="2"/>
            <w:vAlign w:val="center"/>
          </w:tcPr>
          <w:p>
            <w:pPr>
              <w:jc w:val="center"/>
              <w:rPr>
                <w:b/>
                <w:bCs/>
              </w:rPr>
            </w:pPr>
            <w:r>
              <w:rPr>
                <w:rFonts w:hint="eastAsia"/>
                <w:b/>
                <w:bCs/>
              </w:rPr>
              <w:t>测量结果，</w:t>
            </w:r>
            <w:r>
              <w:rPr>
                <w:b/>
                <w:bCs/>
              </w:rPr>
              <w:t>Leq</w:t>
            </w:r>
            <w:r>
              <w:rPr>
                <w:rFonts w:hint="eastAsia"/>
                <w:b/>
                <w:bCs/>
              </w:rPr>
              <w:t>值，</w:t>
            </w:r>
            <w:r>
              <w:rPr>
                <w:b/>
                <w:bCs/>
              </w:rPr>
              <w:t>dB(A)</w:t>
            </w:r>
          </w:p>
        </w:tc>
        <w:tc>
          <w:tcPr>
            <w:tcW w:w="1503" w:type="dxa"/>
            <w:gridSpan w:val="2"/>
            <w:vAlign w:val="center"/>
          </w:tcPr>
          <w:p>
            <w:pPr>
              <w:jc w:val="center"/>
              <w:rPr>
                <w:b/>
                <w:bCs/>
              </w:rPr>
            </w:pPr>
            <w:r>
              <w:rPr>
                <w:rFonts w:hint="eastAsia"/>
                <w:b/>
                <w:bCs/>
              </w:rPr>
              <w:t>排放限值</w:t>
            </w:r>
          </w:p>
          <w:p>
            <w:pPr>
              <w:jc w:val="center"/>
              <w:rPr>
                <w:b/>
                <w:bCs/>
              </w:rPr>
            </w:pPr>
            <w:r>
              <w:rPr>
                <w:b/>
                <w:bCs/>
              </w:rPr>
              <w:t>dB(A)</w:t>
            </w:r>
          </w:p>
        </w:tc>
        <w:tc>
          <w:tcPr>
            <w:tcW w:w="835" w:type="dxa"/>
            <w:vMerge w:val="restart"/>
            <w:vAlign w:val="center"/>
          </w:tcPr>
          <w:p>
            <w:pPr>
              <w:jc w:val="center"/>
              <w:rPr>
                <w:b/>
                <w:bCs/>
              </w:rPr>
            </w:pPr>
            <w:r>
              <w:rPr>
                <w:rFonts w:hint="eastAsia"/>
                <w:b/>
                <w:bCs/>
              </w:rPr>
              <w:t>达标</w:t>
            </w:r>
          </w:p>
          <w:p>
            <w:pPr>
              <w:jc w:val="center"/>
              <w:rPr>
                <w:b/>
                <w:bCs/>
              </w:rPr>
            </w:pPr>
            <w:r>
              <w:rPr>
                <w:rFonts w:hint="eastAsia"/>
                <w:b/>
                <w:bCs/>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Merge w:val="continue"/>
            <w:vAlign w:val="center"/>
          </w:tcPr>
          <w:p>
            <w:pPr>
              <w:jc w:val="center"/>
            </w:pPr>
          </w:p>
        </w:tc>
        <w:tc>
          <w:tcPr>
            <w:tcW w:w="3255" w:type="dxa"/>
            <w:gridSpan w:val="2"/>
            <w:vMerge w:val="continue"/>
            <w:vAlign w:val="center"/>
          </w:tcPr>
          <w:p>
            <w:pPr>
              <w:jc w:val="center"/>
            </w:pPr>
          </w:p>
        </w:tc>
        <w:tc>
          <w:tcPr>
            <w:tcW w:w="1530" w:type="dxa"/>
            <w:vAlign w:val="center"/>
          </w:tcPr>
          <w:p>
            <w:pPr>
              <w:jc w:val="center"/>
            </w:pPr>
            <w:r>
              <w:rPr>
                <w:rFonts w:hint="eastAsia"/>
              </w:rPr>
              <w:t>昼间</w:t>
            </w:r>
          </w:p>
        </w:tc>
        <w:tc>
          <w:tcPr>
            <w:tcW w:w="1531" w:type="dxa"/>
            <w:vAlign w:val="center"/>
          </w:tcPr>
          <w:p>
            <w:pPr>
              <w:jc w:val="center"/>
            </w:pPr>
            <w:r>
              <w:rPr>
                <w:rFonts w:hint="eastAsia"/>
              </w:rPr>
              <w:t>夜间</w:t>
            </w:r>
          </w:p>
        </w:tc>
        <w:tc>
          <w:tcPr>
            <w:tcW w:w="751" w:type="dxa"/>
            <w:vAlign w:val="center"/>
          </w:tcPr>
          <w:p>
            <w:pPr>
              <w:jc w:val="center"/>
            </w:pPr>
            <w:r>
              <w:rPr>
                <w:rFonts w:hint="eastAsia"/>
              </w:rPr>
              <w:t>昼间</w:t>
            </w:r>
          </w:p>
        </w:tc>
        <w:tc>
          <w:tcPr>
            <w:tcW w:w="752" w:type="dxa"/>
            <w:vAlign w:val="center"/>
          </w:tcPr>
          <w:p>
            <w:pPr>
              <w:jc w:val="center"/>
            </w:pPr>
            <w:r>
              <w:rPr>
                <w:rFonts w:hint="eastAsia"/>
              </w:rPr>
              <w:t>夜间</w:t>
            </w: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1</w:t>
            </w:r>
          </w:p>
        </w:tc>
        <w:tc>
          <w:tcPr>
            <w:tcW w:w="1355" w:type="dxa"/>
            <w:vMerge w:val="restart"/>
            <w:vAlign w:val="center"/>
          </w:tcPr>
          <w:p>
            <w:pPr>
              <w:jc w:val="center"/>
            </w:pPr>
          </w:p>
          <w:p>
            <w:pPr>
              <w:jc w:val="center"/>
            </w:pPr>
            <w:r>
              <w:t>09</w:t>
            </w:r>
            <w:r>
              <w:rPr>
                <w:rFonts w:hint="eastAsia"/>
              </w:rPr>
              <w:t>月</w:t>
            </w:r>
            <w:r>
              <w:t>05</w:t>
            </w:r>
            <w:r>
              <w:rPr>
                <w:rFonts w:hint="eastAsia"/>
              </w:rPr>
              <w:t>日</w:t>
            </w:r>
          </w:p>
          <w:p>
            <w:pPr>
              <w:jc w:val="center"/>
            </w:pPr>
          </w:p>
        </w:tc>
        <w:tc>
          <w:tcPr>
            <w:tcW w:w="1900" w:type="dxa"/>
            <w:vAlign w:val="center"/>
          </w:tcPr>
          <w:p>
            <w:pPr>
              <w:jc w:val="center"/>
            </w:pPr>
            <w:r>
              <w:rPr>
                <w:rFonts w:hint="eastAsia"/>
              </w:rPr>
              <w:t>厂界东外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59</w:t>
            </w:r>
          </w:p>
        </w:tc>
        <w:tc>
          <w:tcPr>
            <w:tcW w:w="1531" w:type="dxa"/>
            <w:vAlign w:val="center"/>
          </w:tcPr>
          <w:p>
            <w:pPr>
              <w:autoSpaceDE w:val="0"/>
              <w:autoSpaceDN w:val="0"/>
              <w:adjustRightInd w:val="0"/>
              <w:jc w:val="center"/>
              <w:rPr>
                <w:color w:val="000000"/>
              </w:rPr>
            </w:pPr>
            <w:r>
              <w:rPr>
                <w:color w:val="000000"/>
              </w:rPr>
              <w:t>51</w:t>
            </w:r>
          </w:p>
        </w:tc>
        <w:tc>
          <w:tcPr>
            <w:tcW w:w="751" w:type="dxa"/>
            <w:vMerge w:val="restart"/>
            <w:vAlign w:val="center"/>
          </w:tcPr>
          <w:p>
            <w:pPr>
              <w:jc w:val="center"/>
            </w:pPr>
            <w:r>
              <w:t>65</w:t>
            </w:r>
          </w:p>
        </w:tc>
        <w:tc>
          <w:tcPr>
            <w:tcW w:w="752" w:type="dxa"/>
            <w:vMerge w:val="restart"/>
            <w:vAlign w:val="center"/>
          </w:tcPr>
          <w:p>
            <w:pPr>
              <w:jc w:val="center"/>
            </w:pPr>
            <w:r>
              <w:t>55</w:t>
            </w:r>
          </w:p>
        </w:tc>
        <w:tc>
          <w:tcPr>
            <w:tcW w:w="835" w:type="dxa"/>
            <w:vMerge w:val="restart"/>
            <w:vAlign w:val="center"/>
          </w:tcPr>
          <w:p>
            <w:pPr>
              <w:jc w:val="center"/>
            </w:pPr>
            <w:r>
              <w:rPr>
                <w:rFonts w:hint="eastAsia"/>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2</w:t>
            </w:r>
          </w:p>
        </w:tc>
        <w:tc>
          <w:tcPr>
            <w:tcW w:w="1355" w:type="dxa"/>
            <w:vMerge w:val="continue"/>
            <w:vAlign w:val="center"/>
          </w:tcPr>
          <w:p>
            <w:pPr>
              <w:jc w:val="center"/>
            </w:pPr>
          </w:p>
        </w:tc>
        <w:tc>
          <w:tcPr>
            <w:tcW w:w="1900" w:type="dxa"/>
            <w:vAlign w:val="center"/>
          </w:tcPr>
          <w:p>
            <w:pPr>
              <w:jc w:val="center"/>
            </w:pPr>
            <w:r>
              <w:rPr>
                <w:rFonts w:hint="eastAsia"/>
              </w:rPr>
              <w:t>厂界南外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60</w:t>
            </w:r>
          </w:p>
        </w:tc>
        <w:tc>
          <w:tcPr>
            <w:tcW w:w="1531" w:type="dxa"/>
            <w:vAlign w:val="center"/>
          </w:tcPr>
          <w:p>
            <w:pPr>
              <w:autoSpaceDE w:val="0"/>
              <w:autoSpaceDN w:val="0"/>
              <w:adjustRightInd w:val="0"/>
              <w:jc w:val="center"/>
              <w:rPr>
                <w:color w:val="000000"/>
              </w:rPr>
            </w:pPr>
            <w:r>
              <w:rPr>
                <w:color w:val="000000"/>
              </w:rPr>
              <w:t>52</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3</w:t>
            </w:r>
          </w:p>
        </w:tc>
        <w:tc>
          <w:tcPr>
            <w:tcW w:w="1355" w:type="dxa"/>
            <w:vMerge w:val="continue"/>
            <w:vAlign w:val="center"/>
          </w:tcPr>
          <w:p>
            <w:pPr>
              <w:jc w:val="center"/>
            </w:pPr>
          </w:p>
        </w:tc>
        <w:tc>
          <w:tcPr>
            <w:tcW w:w="1900" w:type="dxa"/>
            <w:vAlign w:val="center"/>
          </w:tcPr>
          <w:p>
            <w:pPr>
              <w:jc w:val="center"/>
            </w:pPr>
            <w:r>
              <w:rPr>
                <w:rFonts w:hint="eastAsia"/>
              </w:rPr>
              <w:t>厂界西外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62</w:t>
            </w:r>
          </w:p>
        </w:tc>
        <w:tc>
          <w:tcPr>
            <w:tcW w:w="1531" w:type="dxa"/>
            <w:vAlign w:val="center"/>
          </w:tcPr>
          <w:p>
            <w:pPr>
              <w:autoSpaceDE w:val="0"/>
              <w:autoSpaceDN w:val="0"/>
              <w:adjustRightInd w:val="0"/>
              <w:jc w:val="center"/>
              <w:rPr>
                <w:color w:val="000000"/>
              </w:rPr>
            </w:pPr>
            <w:r>
              <w:rPr>
                <w:color w:val="000000"/>
              </w:rPr>
              <w:t>51</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4</w:t>
            </w:r>
          </w:p>
        </w:tc>
        <w:tc>
          <w:tcPr>
            <w:tcW w:w="1355" w:type="dxa"/>
            <w:vMerge w:val="continue"/>
            <w:vAlign w:val="center"/>
          </w:tcPr>
          <w:p>
            <w:pPr>
              <w:jc w:val="center"/>
            </w:pPr>
          </w:p>
        </w:tc>
        <w:tc>
          <w:tcPr>
            <w:tcW w:w="1900" w:type="dxa"/>
            <w:vAlign w:val="center"/>
          </w:tcPr>
          <w:p>
            <w:pPr>
              <w:jc w:val="center"/>
            </w:pPr>
            <w:r>
              <w:rPr>
                <w:rFonts w:hint="eastAsia"/>
              </w:rPr>
              <w:t>厂界北外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62</w:t>
            </w:r>
          </w:p>
        </w:tc>
        <w:tc>
          <w:tcPr>
            <w:tcW w:w="1531" w:type="dxa"/>
            <w:vAlign w:val="center"/>
          </w:tcPr>
          <w:p>
            <w:pPr>
              <w:autoSpaceDE w:val="0"/>
              <w:autoSpaceDN w:val="0"/>
              <w:adjustRightInd w:val="0"/>
              <w:jc w:val="center"/>
              <w:rPr>
                <w:color w:val="000000"/>
              </w:rPr>
            </w:pPr>
            <w:r>
              <w:rPr>
                <w:color w:val="000000"/>
              </w:rPr>
              <w:t>51</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5</w:t>
            </w:r>
          </w:p>
        </w:tc>
        <w:tc>
          <w:tcPr>
            <w:tcW w:w="1355" w:type="dxa"/>
            <w:vMerge w:val="restart"/>
            <w:vAlign w:val="center"/>
          </w:tcPr>
          <w:p>
            <w:pPr>
              <w:jc w:val="center"/>
            </w:pPr>
          </w:p>
          <w:p>
            <w:pPr>
              <w:jc w:val="center"/>
            </w:pPr>
            <w:r>
              <w:t>09</w:t>
            </w:r>
            <w:r>
              <w:rPr>
                <w:rFonts w:hint="eastAsia"/>
              </w:rPr>
              <w:t>月</w:t>
            </w:r>
            <w:r>
              <w:t>06</w:t>
            </w:r>
            <w:r>
              <w:rPr>
                <w:rFonts w:hint="eastAsia"/>
              </w:rPr>
              <w:t>日</w:t>
            </w:r>
          </w:p>
          <w:p>
            <w:pPr>
              <w:jc w:val="center"/>
            </w:pPr>
          </w:p>
        </w:tc>
        <w:tc>
          <w:tcPr>
            <w:tcW w:w="1900" w:type="dxa"/>
            <w:vAlign w:val="center"/>
          </w:tcPr>
          <w:p>
            <w:pPr>
              <w:jc w:val="center"/>
            </w:pPr>
            <w:r>
              <w:rPr>
                <w:rFonts w:hint="eastAsia"/>
              </w:rPr>
              <w:t>厂界东外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59</w:t>
            </w:r>
          </w:p>
        </w:tc>
        <w:tc>
          <w:tcPr>
            <w:tcW w:w="1531" w:type="dxa"/>
            <w:vAlign w:val="center"/>
          </w:tcPr>
          <w:p>
            <w:pPr>
              <w:autoSpaceDE w:val="0"/>
              <w:autoSpaceDN w:val="0"/>
              <w:adjustRightInd w:val="0"/>
              <w:jc w:val="center"/>
              <w:rPr>
                <w:color w:val="000000"/>
              </w:rPr>
            </w:pPr>
            <w:r>
              <w:rPr>
                <w:color w:val="000000"/>
              </w:rPr>
              <w:t>51</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6</w:t>
            </w:r>
          </w:p>
        </w:tc>
        <w:tc>
          <w:tcPr>
            <w:tcW w:w="1355" w:type="dxa"/>
            <w:vMerge w:val="continue"/>
            <w:vAlign w:val="center"/>
          </w:tcPr>
          <w:p>
            <w:pPr>
              <w:jc w:val="center"/>
            </w:pPr>
          </w:p>
        </w:tc>
        <w:tc>
          <w:tcPr>
            <w:tcW w:w="1900" w:type="dxa"/>
            <w:vAlign w:val="center"/>
          </w:tcPr>
          <w:p>
            <w:pPr>
              <w:jc w:val="center"/>
            </w:pPr>
            <w:r>
              <w:rPr>
                <w:rFonts w:hint="eastAsia"/>
              </w:rPr>
              <w:t>厂界南外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59</w:t>
            </w:r>
          </w:p>
        </w:tc>
        <w:tc>
          <w:tcPr>
            <w:tcW w:w="1531" w:type="dxa"/>
            <w:vAlign w:val="center"/>
          </w:tcPr>
          <w:p>
            <w:pPr>
              <w:autoSpaceDE w:val="0"/>
              <w:autoSpaceDN w:val="0"/>
              <w:adjustRightInd w:val="0"/>
              <w:jc w:val="center"/>
              <w:rPr>
                <w:color w:val="000000"/>
              </w:rPr>
            </w:pPr>
            <w:r>
              <w:rPr>
                <w:color w:val="000000"/>
              </w:rPr>
              <w:t>50</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7</w:t>
            </w:r>
          </w:p>
        </w:tc>
        <w:tc>
          <w:tcPr>
            <w:tcW w:w="1355" w:type="dxa"/>
            <w:vMerge w:val="continue"/>
            <w:vAlign w:val="center"/>
          </w:tcPr>
          <w:p>
            <w:pPr>
              <w:jc w:val="center"/>
            </w:pPr>
          </w:p>
        </w:tc>
        <w:tc>
          <w:tcPr>
            <w:tcW w:w="1900" w:type="dxa"/>
            <w:vAlign w:val="center"/>
          </w:tcPr>
          <w:p>
            <w:pPr>
              <w:jc w:val="center"/>
            </w:pPr>
            <w:r>
              <w:rPr>
                <w:rFonts w:hint="eastAsia"/>
              </w:rPr>
              <w:t>厂界西外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60</w:t>
            </w:r>
          </w:p>
        </w:tc>
        <w:tc>
          <w:tcPr>
            <w:tcW w:w="1531" w:type="dxa"/>
            <w:vAlign w:val="center"/>
          </w:tcPr>
          <w:p>
            <w:pPr>
              <w:autoSpaceDE w:val="0"/>
              <w:autoSpaceDN w:val="0"/>
              <w:adjustRightInd w:val="0"/>
              <w:jc w:val="center"/>
              <w:rPr>
                <w:color w:val="000000"/>
              </w:rPr>
            </w:pPr>
            <w:r>
              <w:rPr>
                <w:color w:val="000000"/>
              </w:rPr>
              <w:t>49</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0" w:hRule="exact"/>
          <w:jc w:val="center"/>
        </w:trPr>
        <w:tc>
          <w:tcPr>
            <w:tcW w:w="1337" w:type="dxa"/>
            <w:vAlign w:val="center"/>
          </w:tcPr>
          <w:p>
            <w:pPr>
              <w:jc w:val="center"/>
            </w:pPr>
            <w:r>
              <w:t>8</w:t>
            </w:r>
          </w:p>
        </w:tc>
        <w:tc>
          <w:tcPr>
            <w:tcW w:w="1355" w:type="dxa"/>
            <w:vMerge w:val="continue"/>
            <w:vAlign w:val="center"/>
          </w:tcPr>
          <w:p>
            <w:pPr>
              <w:jc w:val="center"/>
            </w:pPr>
          </w:p>
        </w:tc>
        <w:tc>
          <w:tcPr>
            <w:tcW w:w="1900" w:type="dxa"/>
            <w:vAlign w:val="center"/>
          </w:tcPr>
          <w:p>
            <w:pPr>
              <w:jc w:val="center"/>
            </w:pPr>
            <w:r>
              <w:rPr>
                <w:rFonts w:hint="eastAsia"/>
              </w:rPr>
              <w:t>厂界北外</w:t>
            </w:r>
            <w:r>
              <w:t>1m</w:t>
            </w:r>
            <w:r>
              <w:rPr>
                <w:rFonts w:hint="eastAsia"/>
              </w:rPr>
              <w:t>处</w:t>
            </w:r>
          </w:p>
        </w:tc>
        <w:tc>
          <w:tcPr>
            <w:tcW w:w="1530" w:type="dxa"/>
            <w:vAlign w:val="center"/>
          </w:tcPr>
          <w:p>
            <w:pPr>
              <w:autoSpaceDE w:val="0"/>
              <w:autoSpaceDN w:val="0"/>
              <w:adjustRightInd w:val="0"/>
              <w:jc w:val="center"/>
              <w:rPr>
                <w:color w:val="000000"/>
              </w:rPr>
            </w:pPr>
            <w:r>
              <w:rPr>
                <w:color w:val="000000"/>
              </w:rPr>
              <w:t>61</w:t>
            </w:r>
          </w:p>
        </w:tc>
        <w:tc>
          <w:tcPr>
            <w:tcW w:w="1531" w:type="dxa"/>
            <w:vAlign w:val="center"/>
          </w:tcPr>
          <w:p>
            <w:pPr>
              <w:autoSpaceDE w:val="0"/>
              <w:autoSpaceDN w:val="0"/>
              <w:adjustRightInd w:val="0"/>
              <w:jc w:val="center"/>
              <w:rPr>
                <w:color w:val="000000"/>
              </w:rPr>
            </w:pPr>
            <w:r>
              <w:rPr>
                <w:color w:val="000000"/>
              </w:rPr>
              <w:t>50</w:t>
            </w:r>
          </w:p>
        </w:tc>
        <w:tc>
          <w:tcPr>
            <w:tcW w:w="751" w:type="dxa"/>
            <w:vMerge w:val="continue"/>
            <w:vAlign w:val="center"/>
          </w:tcPr>
          <w:p>
            <w:pPr>
              <w:jc w:val="center"/>
            </w:pPr>
          </w:p>
        </w:tc>
        <w:tc>
          <w:tcPr>
            <w:tcW w:w="752" w:type="dxa"/>
            <w:vMerge w:val="continue"/>
            <w:vAlign w:val="center"/>
          </w:tcPr>
          <w:p>
            <w:pPr>
              <w:jc w:val="center"/>
            </w:pPr>
          </w:p>
        </w:tc>
        <w:tc>
          <w:tcPr>
            <w:tcW w:w="835" w:type="dxa"/>
            <w:vMerge w:val="continue"/>
            <w:vAlign w:val="center"/>
          </w:tcPr>
          <w:p>
            <w:pPr>
              <w:jc w:val="cente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35" w:hRule="exact"/>
          <w:jc w:val="center"/>
        </w:trPr>
        <w:tc>
          <w:tcPr>
            <w:tcW w:w="9991" w:type="dxa"/>
            <w:gridSpan w:val="8"/>
            <w:vAlign w:val="center"/>
          </w:tcPr>
          <w:p>
            <w:pPr>
              <w:rPr>
                <w:sz w:val="21"/>
                <w:szCs w:val="21"/>
              </w:rPr>
            </w:pPr>
            <w:r>
              <w:rPr>
                <w:rFonts w:hint="eastAsia"/>
                <w:sz w:val="21"/>
                <w:szCs w:val="21"/>
              </w:rPr>
              <w:t>备注：</w:t>
            </w:r>
            <w:r>
              <w:rPr>
                <w:sz w:val="21"/>
                <w:szCs w:val="21"/>
              </w:rPr>
              <w:t>1.</w:t>
            </w:r>
            <w:r>
              <w:rPr>
                <w:rFonts w:hint="eastAsia"/>
                <w:sz w:val="21"/>
                <w:szCs w:val="21"/>
              </w:rPr>
              <w:t>本结果只对当时监测的结果负责。</w:t>
            </w:r>
          </w:p>
          <w:p>
            <w:r>
              <w:rPr>
                <w:sz w:val="21"/>
                <w:szCs w:val="21"/>
              </w:rPr>
              <w:t xml:space="preserve">      2.</w:t>
            </w:r>
            <w:r>
              <w:rPr>
                <w:rFonts w:hint="eastAsia"/>
                <w:sz w:val="21"/>
                <w:szCs w:val="21"/>
              </w:rPr>
              <w:t>厂界噪声执行《工业企业厂界环境噪声排放标准》</w:t>
            </w:r>
            <w:r>
              <w:rPr>
                <w:sz w:val="21"/>
                <w:szCs w:val="21"/>
              </w:rPr>
              <w:t>(GB 12348-2008 )</w:t>
            </w:r>
            <w:r>
              <w:rPr>
                <w:rFonts w:hint="eastAsia"/>
                <w:sz w:val="21"/>
                <w:szCs w:val="21"/>
              </w:rPr>
              <w:t>中</w:t>
            </w:r>
            <w:r>
              <w:rPr>
                <w:sz w:val="21"/>
                <w:szCs w:val="21"/>
              </w:rPr>
              <w:t>3</w:t>
            </w:r>
            <w:r>
              <w:rPr>
                <w:rFonts w:hint="eastAsia"/>
                <w:sz w:val="21"/>
                <w:szCs w:val="21"/>
              </w:rPr>
              <w:t>类标准。</w:t>
            </w:r>
          </w:p>
        </w:tc>
      </w:tr>
    </w:tbl>
    <w:p>
      <w:pPr>
        <w:adjustRightInd w:val="0"/>
        <w:snapToGrid w:val="0"/>
        <w:spacing w:line="360" w:lineRule="auto"/>
        <w:rPr>
          <w:rFonts w:ascii="宋体"/>
          <w:b/>
        </w:rPr>
      </w:pPr>
    </w:p>
    <w:p>
      <w:pPr>
        <w:adjustRightInd w:val="0"/>
        <w:snapToGrid w:val="0"/>
        <w:spacing w:line="360" w:lineRule="auto"/>
        <w:ind w:firstLine="240" w:firstLineChars="100"/>
        <w:rPr>
          <w:b/>
        </w:rPr>
      </w:pPr>
      <w:r>
        <w:rPr>
          <w:rFonts w:hint="eastAsia"/>
          <w:szCs w:val="28"/>
        </w:rPr>
        <w:t>从表</w:t>
      </w:r>
      <w:r>
        <w:rPr>
          <w:szCs w:val="28"/>
        </w:rPr>
        <w:t>9-6</w:t>
      </w:r>
      <w:r>
        <w:rPr>
          <w:rFonts w:hint="eastAsia"/>
          <w:szCs w:val="28"/>
        </w:rPr>
        <w:t>监测结果看，验收监测期间，昼间厂界噪声等效声级范围为</w:t>
      </w:r>
      <w:r>
        <w:rPr>
          <w:szCs w:val="28"/>
        </w:rPr>
        <w:t>59</w:t>
      </w:r>
      <w:r>
        <w:rPr>
          <w:rFonts w:hint="eastAsia"/>
          <w:szCs w:val="28"/>
        </w:rPr>
        <w:t>～</w:t>
      </w:r>
      <w:r>
        <w:rPr>
          <w:szCs w:val="28"/>
        </w:rPr>
        <w:t>62dB(A),</w:t>
      </w:r>
      <w:r>
        <w:rPr>
          <w:rFonts w:hint="eastAsia"/>
          <w:szCs w:val="28"/>
        </w:rPr>
        <w:t>夜间厂界噪声等效声级范围为</w:t>
      </w:r>
      <w:r>
        <w:rPr>
          <w:szCs w:val="28"/>
        </w:rPr>
        <w:t>49</w:t>
      </w:r>
      <w:r>
        <w:rPr>
          <w:rFonts w:hint="eastAsia"/>
          <w:szCs w:val="28"/>
        </w:rPr>
        <w:t>～</w:t>
      </w:r>
      <w:r>
        <w:rPr>
          <w:szCs w:val="28"/>
        </w:rPr>
        <w:t>52dB(A),</w:t>
      </w:r>
      <w:r>
        <w:rPr>
          <w:rFonts w:hint="eastAsia"/>
          <w:szCs w:val="28"/>
        </w:rPr>
        <w:t>昼间和夜间厂界噪声均符合</w:t>
      </w:r>
      <w:r>
        <w:rPr>
          <w:rFonts w:hint="eastAsia"/>
        </w:rPr>
        <w:t>《工业企业厂界环境噪声排放标准》（</w:t>
      </w:r>
      <w:r>
        <w:t>GB 12348-2008</w:t>
      </w:r>
      <w:r>
        <w:rPr>
          <w:rFonts w:hint="eastAsia"/>
        </w:rPr>
        <w:t>）中的</w:t>
      </w:r>
      <w:r>
        <w:t>3</w:t>
      </w:r>
      <w:r>
        <w:rPr>
          <w:rFonts w:hint="eastAsia"/>
        </w:rPr>
        <w:t>类标准</w:t>
      </w:r>
      <w:r>
        <w:rPr>
          <w:rFonts w:hint="eastAsia"/>
          <w:szCs w:val="28"/>
        </w:rPr>
        <w:t>限值的要求。</w:t>
      </w:r>
    </w:p>
    <w:p>
      <w:pPr>
        <w:pStyle w:val="4"/>
      </w:pPr>
      <w:bookmarkStart w:id="50" w:name="_Toc10359"/>
      <w:r>
        <w:t xml:space="preserve">9.5 </w:t>
      </w:r>
      <w:r>
        <w:rPr>
          <w:rFonts w:hint="eastAsia"/>
        </w:rPr>
        <w:t>污染物总量控制监测结果及评价</w:t>
      </w:r>
      <w:bookmarkEnd w:id="50"/>
    </w:p>
    <w:p>
      <w:pPr>
        <w:adjustRightInd w:val="0"/>
        <w:snapToGrid w:val="0"/>
        <w:spacing w:line="360" w:lineRule="auto"/>
        <w:ind w:firstLine="480" w:firstLineChars="200"/>
        <w:rPr>
          <w:rFonts w:hint="eastAsia"/>
          <w:color w:val="000000"/>
          <w:szCs w:val="28"/>
        </w:rPr>
      </w:pPr>
      <w:r>
        <w:rPr>
          <w:rFonts w:hint="eastAsia"/>
          <w:color w:val="000000"/>
          <w:szCs w:val="28"/>
        </w:rPr>
        <w:t>本项目与三氯蔗糖项目共用一套污水处理措施且共用一个排水口，以及共用一套锅炉供热系统，所以化学需氧量、氨氮、二氧化硫、氮氧化物、粉尘的年排放总量应与三氯蔗糖项目的年排放总量叠加核算，即废水流量应由本项目废水排放量与三氯蔗糖项目废水排放量合计得废水量为</w:t>
      </w:r>
      <w:r>
        <w:rPr>
          <w:color w:val="000000"/>
          <w:szCs w:val="28"/>
        </w:rPr>
        <w:t>1539.94m</w:t>
      </w:r>
      <w:r>
        <w:rPr>
          <w:color w:val="000000"/>
          <w:szCs w:val="28"/>
          <w:vertAlign w:val="superscript"/>
        </w:rPr>
        <w:t>3</w:t>
      </w:r>
      <w:r>
        <w:rPr>
          <w:color w:val="000000"/>
          <w:szCs w:val="28"/>
        </w:rPr>
        <w:t>/d</w:t>
      </w:r>
      <w:r>
        <w:rPr>
          <w:rFonts w:hint="eastAsia"/>
          <w:color w:val="000000"/>
          <w:szCs w:val="28"/>
        </w:rPr>
        <w:t>，而新建车间的生产废气集中于一条新建的排气筒排放，所以</w:t>
      </w:r>
      <w:r>
        <w:rPr>
          <w:color w:val="000000"/>
          <w:szCs w:val="28"/>
        </w:rPr>
        <w:t>VOCs</w:t>
      </w:r>
      <w:r>
        <w:rPr>
          <w:rFonts w:hint="eastAsia"/>
          <w:color w:val="000000"/>
          <w:szCs w:val="28"/>
        </w:rPr>
        <w:t>年排放总量单独核算。污染物总量监测结果见表</w:t>
      </w:r>
      <w:r>
        <w:rPr>
          <w:color w:val="000000"/>
          <w:szCs w:val="28"/>
        </w:rPr>
        <w:t>9-7</w:t>
      </w:r>
      <w:r>
        <w:rPr>
          <w:rFonts w:hint="eastAsia"/>
          <w:color w:val="000000"/>
          <w:szCs w:val="28"/>
        </w:rPr>
        <w:t>。</w:t>
      </w:r>
    </w:p>
    <w:p>
      <w:pPr>
        <w:ind w:right="28"/>
        <w:jc w:val="center"/>
        <w:rPr>
          <w:rFonts w:hint="eastAsia"/>
          <w:color w:val="000000"/>
          <w:szCs w:val="28"/>
        </w:rPr>
      </w:pPr>
      <w:r>
        <w:rPr>
          <w:rFonts w:hint="eastAsia"/>
          <w:b/>
          <w:color w:val="000000"/>
        </w:rPr>
        <w:t>表</w:t>
      </w:r>
      <w:r>
        <w:rPr>
          <w:b/>
          <w:color w:val="000000"/>
        </w:rPr>
        <w:t xml:space="preserve">9-7        </w:t>
      </w:r>
      <w:r>
        <w:rPr>
          <w:rFonts w:hint="eastAsia"/>
          <w:b/>
          <w:color w:val="000000"/>
        </w:rPr>
        <w:t>污染物总量监测结果</w:t>
      </w:r>
    </w:p>
    <w:tbl>
      <w:tblPr>
        <w:tblStyle w:val="47"/>
        <w:tblpPr w:leftFromText="180" w:rightFromText="180" w:vertAnchor="text" w:horzAnchor="page" w:tblpX="1017" w:tblpY="311"/>
        <w:tblOverlap w:val="never"/>
        <w:tblW w:w="1009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70"/>
        <w:gridCol w:w="840"/>
        <w:gridCol w:w="1758"/>
        <w:gridCol w:w="1758"/>
        <w:gridCol w:w="1916"/>
        <w:gridCol w:w="1335"/>
        <w:gridCol w:w="10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3" w:hRule="atLeast"/>
        </w:trPr>
        <w:tc>
          <w:tcPr>
            <w:tcW w:w="1470" w:type="dxa"/>
            <w:vAlign w:val="center"/>
          </w:tcPr>
          <w:p>
            <w:pPr>
              <w:adjustRightInd w:val="0"/>
              <w:snapToGrid w:val="0"/>
              <w:ind w:right="32"/>
              <w:jc w:val="center"/>
              <w:rPr>
                <w:color w:val="000000"/>
              </w:rPr>
            </w:pPr>
            <w:r>
              <w:rPr>
                <w:rFonts w:hint="eastAsia"/>
                <w:color w:val="000000"/>
              </w:rPr>
              <w:t>污染物名称</w:t>
            </w:r>
          </w:p>
        </w:tc>
        <w:tc>
          <w:tcPr>
            <w:tcW w:w="840" w:type="dxa"/>
            <w:vAlign w:val="center"/>
          </w:tcPr>
          <w:p>
            <w:pPr>
              <w:adjustRightInd w:val="0"/>
              <w:snapToGrid w:val="0"/>
              <w:ind w:right="32"/>
              <w:jc w:val="center"/>
              <w:rPr>
                <w:color w:val="000000"/>
              </w:rPr>
            </w:pPr>
            <w:r>
              <w:rPr>
                <w:rFonts w:hint="eastAsia"/>
                <w:color w:val="000000"/>
              </w:rPr>
              <w:t>单位</w:t>
            </w:r>
          </w:p>
        </w:tc>
        <w:tc>
          <w:tcPr>
            <w:tcW w:w="1758" w:type="dxa"/>
            <w:vAlign w:val="center"/>
          </w:tcPr>
          <w:p>
            <w:pPr>
              <w:adjustRightInd w:val="0"/>
              <w:snapToGrid w:val="0"/>
              <w:ind w:right="32"/>
              <w:jc w:val="center"/>
              <w:rPr>
                <w:color w:val="000000"/>
              </w:rPr>
            </w:pPr>
            <w:r>
              <w:rPr>
                <w:rFonts w:hint="eastAsia"/>
                <w:color w:val="000000"/>
                <w:szCs w:val="28"/>
              </w:rPr>
              <w:t>韶环审</w:t>
            </w:r>
            <w:r>
              <w:rPr>
                <w:color w:val="000000"/>
                <w:szCs w:val="28"/>
              </w:rPr>
              <w:t>[2015]348</w:t>
            </w:r>
            <w:r>
              <w:rPr>
                <w:rFonts w:hint="eastAsia"/>
                <w:color w:val="000000"/>
                <w:szCs w:val="28"/>
              </w:rPr>
              <w:t>号文下达的年排放总量指标要求</w:t>
            </w:r>
          </w:p>
        </w:tc>
        <w:tc>
          <w:tcPr>
            <w:tcW w:w="1758" w:type="dxa"/>
            <w:vAlign w:val="center"/>
          </w:tcPr>
          <w:p>
            <w:pPr>
              <w:snapToGrid w:val="0"/>
              <w:jc w:val="center"/>
              <w:rPr>
                <w:bCs/>
                <w:color w:val="000000"/>
              </w:rPr>
            </w:pPr>
            <w:r>
              <w:rPr>
                <w:rFonts w:hint="eastAsia"/>
                <w:bCs/>
                <w:color w:val="000000"/>
              </w:rPr>
              <w:t>韶环审</w:t>
            </w:r>
            <w:r>
              <w:rPr>
                <w:color w:val="000000"/>
                <w:szCs w:val="28"/>
              </w:rPr>
              <w:t>[2012]27</w:t>
            </w:r>
            <w:r>
              <w:rPr>
                <w:rFonts w:hint="eastAsia"/>
                <w:color w:val="000000"/>
                <w:szCs w:val="28"/>
              </w:rPr>
              <w:t>号文下达的年排放总量指标要求</w:t>
            </w:r>
          </w:p>
        </w:tc>
        <w:tc>
          <w:tcPr>
            <w:tcW w:w="1916" w:type="dxa"/>
            <w:vAlign w:val="center"/>
          </w:tcPr>
          <w:p>
            <w:pPr>
              <w:snapToGrid w:val="0"/>
              <w:jc w:val="center"/>
              <w:rPr>
                <w:b/>
                <w:color w:val="000000"/>
              </w:rPr>
            </w:pPr>
            <w:r>
              <w:rPr>
                <w:rFonts w:hint="eastAsia"/>
                <w:b/>
                <w:color w:val="000000"/>
              </w:rPr>
              <w:t>年产</w:t>
            </w:r>
            <w:r>
              <w:rPr>
                <w:b/>
                <w:color w:val="000000"/>
              </w:rPr>
              <w:t>300</w:t>
            </w:r>
            <w:r>
              <w:rPr>
                <w:rFonts w:hint="eastAsia"/>
                <w:b/>
                <w:color w:val="000000"/>
              </w:rPr>
              <w:t>吨三氯蔗糖项目和本项目的设计年排放总量要求</w:t>
            </w:r>
          </w:p>
        </w:tc>
        <w:tc>
          <w:tcPr>
            <w:tcW w:w="1335" w:type="dxa"/>
            <w:vAlign w:val="center"/>
          </w:tcPr>
          <w:p>
            <w:pPr>
              <w:snapToGrid w:val="0"/>
              <w:jc w:val="center"/>
              <w:rPr>
                <w:b/>
                <w:color w:val="000000"/>
              </w:rPr>
            </w:pPr>
            <w:r>
              <w:rPr>
                <w:rFonts w:hint="eastAsia"/>
                <w:b/>
                <w:color w:val="000000"/>
              </w:rPr>
              <w:t>本次验收监测实际年排放总量</w:t>
            </w:r>
          </w:p>
        </w:tc>
        <w:tc>
          <w:tcPr>
            <w:tcW w:w="1020" w:type="dxa"/>
            <w:vAlign w:val="center"/>
          </w:tcPr>
          <w:p>
            <w:pPr>
              <w:snapToGrid w:val="0"/>
              <w:jc w:val="center"/>
              <w:rPr>
                <w:b/>
                <w:color w:val="000000"/>
              </w:rPr>
            </w:pPr>
            <w:r>
              <w:rPr>
                <w:rFonts w:hint="eastAsia"/>
                <w:b/>
                <w:color w:val="000000"/>
              </w:rPr>
              <w:t>是否符合总量要求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rFonts w:hint="eastAsia"/>
                <w:color w:val="000000"/>
              </w:rPr>
              <w:t>化学需氧量</w:t>
            </w:r>
          </w:p>
        </w:tc>
        <w:tc>
          <w:tcPr>
            <w:tcW w:w="840" w:type="dxa"/>
            <w:vAlign w:val="center"/>
          </w:tcPr>
          <w:p>
            <w:pPr>
              <w:adjustRightInd w:val="0"/>
              <w:snapToGrid w:val="0"/>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2.7</w:t>
            </w:r>
          </w:p>
        </w:tc>
        <w:tc>
          <w:tcPr>
            <w:tcW w:w="1758" w:type="dxa"/>
            <w:vAlign w:val="center"/>
          </w:tcPr>
          <w:p>
            <w:pPr>
              <w:adjustRightInd w:val="0"/>
              <w:snapToGrid w:val="0"/>
              <w:jc w:val="center"/>
              <w:rPr>
                <w:color w:val="000000"/>
              </w:rPr>
            </w:pPr>
            <w:r>
              <w:rPr>
                <w:color w:val="000000"/>
              </w:rPr>
              <w:t>39.2</w:t>
            </w:r>
          </w:p>
        </w:tc>
        <w:tc>
          <w:tcPr>
            <w:tcW w:w="1916" w:type="dxa"/>
            <w:vAlign w:val="center"/>
          </w:tcPr>
          <w:p>
            <w:pPr>
              <w:adjustRightInd w:val="0"/>
              <w:snapToGrid w:val="0"/>
              <w:jc w:val="center"/>
              <w:rPr>
                <w:b/>
                <w:color w:val="000000"/>
              </w:rPr>
            </w:pPr>
            <w:r>
              <w:rPr>
                <w:b/>
                <w:color w:val="000000"/>
              </w:rPr>
              <w:t>41.9</w:t>
            </w:r>
          </w:p>
        </w:tc>
        <w:tc>
          <w:tcPr>
            <w:tcW w:w="1335" w:type="dxa"/>
            <w:vAlign w:val="center"/>
          </w:tcPr>
          <w:p>
            <w:pPr>
              <w:adjustRightInd w:val="0"/>
              <w:snapToGrid w:val="0"/>
              <w:jc w:val="center"/>
              <w:rPr>
                <w:b/>
                <w:color w:val="000000"/>
              </w:rPr>
            </w:pPr>
            <w:r>
              <w:rPr>
                <w:b/>
                <w:color w:val="000000"/>
              </w:rPr>
              <w:t>15.3</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rFonts w:hint="eastAsia"/>
                <w:color w:val="000000"/>
              </w:rPr>
              <w:t>氨氮</w:t>
            </w:r>
          </w:p>
        </w:tc>
        <w:tc>
          <w:tcPr>
            <w:tcW w:w="840" w:type="dxa"/>
            <w:vAlign w:val="center"/>
          </w:tcPr>
          <w:p>
            <w:pPr>
              <w:snapToGrid w:val="0"/>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0.3</w:t>
            </w:r>
          </w:p>
        </w:tc>
        <w:tc>
          <w:tcPr>
            <w:tcW w:w="1758" w:type="dxa"/>
            <w:vAlign w:val="center"/>
          </w:tcPr>
          <w:p>
            <w:pPr>
              <w:adjustRightInd w:val="0"/>
              <w:snapToGrid w:val="0"/>
              <w:jc w:val="center"/>
              <w:rPr>
                <w:color w:val="000000"/>
              </w:rPr>
            </w:pPr>
            <w:r>
              <w:rPr>
                <w:color w:val="000000"/>
              </w:rPr>
              <w:t>4.36</w:t>
            </w:r>
          </w:p>
        </w:tc>
        <w:tc>
          <w:tcPr>
            <w:tcW w:w="1916" w:type="dxa"/>
            <w:vAlign w:val="center"/>
          </w:tcPr>
          <w:p>
            <w:pPr>
              <w:adjustRightInd w:val="0"/>
              <w:snapToGrid w:val="0"/>
              <w:jc w:val="center"/>
              <w:rPr>
                <w:b/>
                <w:color w:val="000000"/>
              </w:rPr>
            </w:pPr>
            <w:r>
              <w:rPr>
                <w:b/>
                <w:color w:val="000000"/>
              </w:rPr>
              <w:t>4.66</w:t>
            </w:r>
          </w:p>
        </w:tc>
        <w:tc>
          <w:tcPr>
            <w:tcW w:w="1335" w:type="dxa"/>
            <w:vAlign w:val="center"/>
          </w:tcPr>
          <w:p>
            <w:pPr>
              <w:adjustRightInd w:val="0"/>
              <w:snapToGrid w:val="0"/>
              <w:jc w:val="center"/>
              <w:rPr>
                <w:b/>
                <w:color w:val="000000"/>
              </w:rPr>
            </w:pPr>
            <w:r>
              <w:rPr>
                <w:b/>
                <w:color w:val="000000"/>
              </w:rPr>
              <w:t>0.686</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rFonts w:hint="eastAsia"/>
                <w:color w:val="000000"/>
              </w:rPr>
              <w:t>二氧化硫</w:t>
            </w:r>
          </w:p>
        </w:tc>
        <w:tc>
          <w:tcPr>
            <w:tcW w:w="840" w:type="dxa"/>
            <w:vAlign w:val="center"/>
          </w:tcPr>
          <w:p>
            <w:pPr>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5.35</w:t>
            </w:r>
          </w:p>
        </w:tc>
        <w:tc>
          <w:tcPr>
            <w:tcW w:w="1758" w:type="dxa"/>
            <w:vAlign w:val="center"/>
          </w:tcPr>
          <w:p>
            <w:pPr>
              <w:adjustRightInd w:val="0"/>
              <w:snapToGrid w:val="0"/>
              <w:jc w:val="center"/>
              <w:rPr>
                <w:color w:val="000000"/>
              </w:rPr>
            </w:pPr>
            <w:r>
              <w:rPr>
                <w:color w:val="000000"/>
              </w:rPr>
              <w:t>65.656</w:t>
            </w:r>
          </w:p>
        </w:tc>
        <w:tc>
          <w:tcPr>
            <w:tcW w:w="1916" w:type="dxa"/>
            <w:vAlign w:val="center"/>
          </w:tcPr>
          <w:p>
            <w:pPr>
              <w:adjustRightInd w:val="0"/>
              <w:snapToGrid w:val="0"/>
              <w:jc w:val="center"/>
              <w:rPr>
                <w:b/>
                <w:color w:val="000000"/>
              </w:rPr>
            </w:pPr>
            <w:r>
              <w:rPr>
                <w:b/>
                <w:color w:val="000000"/>
              </w:rPr>
              <w:t>71.006</w:t>
            </w:r>
          </w:p>
        </w:tc>
        <w:tc>
          <w:tcPr>
            <w:tcW w:w="1335" w:type="dxa"/>
            <w:vAlign w:val="center"/>
          </w:tcPr>
          <w:p>
            <w:pPr>
              <w:adjustRightInd w:val="0"/>
              <w:snapToGrid w:val="0"/>
              <w:jc w:val="center"/>
              <w:rPr>
                <w:b/>
                <w:color w:val="000000"/>
              </w:rPr>
            </w:pPr>
            <w:r>
              <w:rPr>
                <w:b/>
                <w:color w:val="000000"/>
              </w:rPr>
              <w:t>10.22</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rFonts w:hint="eastAsia"/>
                <w:color w:val="000000"/>
              </w:rPr>
              <w:t>氮氧化物</w:t>
            </w:r>
          </w:p>
        </w:tc>
        <w:tc>
          <w:tcPr>
            <w:tcW w:w="840" w:type="dxa"/>
            <w:vAlign w:val="center"/>
          </w:tcPr>
          <w:p>
            <w:pPr>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8.25</w:t>
            </w:r>
          </w:p>
        </w:tc>
        <w:tc>
          <w:tcPr>
            <w:tcW w:w="1758" w:type="dxa"/>
            <w:vAlign w:val="center"/>
          </w:tcPr>
          <w:p>
            <w:pPr>
              <w:adjustRightInd w:val="0"/>
              <w:snapToGrid w:val="0"/>
              <w:jc w:val="center"/>
              <w:rPr>
                <w:color w:val="000000"/>
              </w:rPr>
            </w:pPr>
            <w:r>
              <w:rPr>
                <w:color w:val="000000"/>
              </w:rPr>
              <w:t>91.12</w:t>
            </w:r>
          </w:p>
        </w:tc>
        <w:tc>
          <w:tcPr>
            <w:tcW w:w="1916" w:type="dxa"/>
            <w:vAlign w:val="center"/>
          </w:tcPr>
          <w:p>
            <w:pPr>
              <w:adjustRightInd w:val="0"/>
              <w:snapToGrid w:val="0"/>
              <w:jc w:val="center"/>
              <w:rPr>
                <w:b/>
                <w:color w:val="000000"/>
              </w:rPr>
            </w:pPr>
            <w:r>
              <w:rPr>
                <w:b/>
                <w:color w:val="000000"/>
              </w:rPr>
              <w:t>99.37</w:t>
            </w:r>
          </w:p>
        </w:tc>
        <w:tc>
          <w:tcPr>
            <w:tcW w:w="1335" w:type="dxa"/>
            <w:vAlign w:val="center"/>
          </w:tcPr>
          <w:p>
            <w:pPr>
              <w:adjustRightInd w:val="0"/>
              <w:snapToGrid w:val="0"/>
              <w:jc w:val="center"/>
              <w:rPr>
                <w:b/>
                <w:color w:val="000000"/>
              </w:rPr>
            </w:pPr>
            <w:r>
              <w:rPr>
                <w:b/>
                <w:color w:val="000000"/>
              </w:rPr>
              <w:t>14.47</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color w:val="000000"/>
              </w:rPr>
              <w:t>VOC</w:t>
            </w:r>
            <w:r>
              <w:rPr>
                <w:color w:val="000000"/>
                <w:vertAlign w:val="subscript"/>
              </w:rPr>
              <w:t>S</w:t>
            </w:r>
          </w:p>
        </w:tc>
        <w:tc>
          <w:tcPr>
            <w:tcW w:w="840" w:type="dxa"/>
            <w:vAlign w:val="center"/>
          </w:tcPr>
          <w:p>
            <w:pPr>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0.28</w:t>
            </w:r>
          </w:p>
        </w:tc>
        <w:tc>
          <w:tcPr>
            <w:tcW w:w="1758" w:type="dxa"/>
            <w:vAlign w:val="center"/>
          </w:tcPr>
          <w:p>
            <w:pPr>
              <w:adjustRightInd w:val="0"/>
              <w:snapToGrid w:val="0"/>
              <w:jc w:val="center"/>
              <w:rPr>
                <w:color w:val="000000"/>
              </w:rPr>
            </w:pPr>
            <w:r>
              <w:rPr>
                <w:color w:val="000000"/>
              </w:rPr>
              <w:t>—</w:t>
            </w:r>
          </w:p>
        </w:tc>
        <w:tc>
          <w:tcPr>
            <w:tcW w:w="1916" w:type="dxa"/>
            <w:vAlign w:val="center"/>
          </w:tcPr>
          <w:p>
            <w:pPr>
              <w:adjustRightInd w:val="0"/>
              <w:snapToGrid w:val="0"/>
              <w:jc w:val="center"/>
              <w:rPr>
                <w:b/>
                <w:color w:val="000000"/>
              </w:rPr>
            </w:pPr>
            <w:r>
              <w:rPr>
                <w:b/>
                <w:color w:val="000000"/>
              </w:rPr>
              <w:t>0.28</w:t>
            </w:r>
          </w:p>
        </w:tc>
        <w:tc>
          <w:tcPr>
            <w:tcW w:w="1335" w:type="dxa"/>
            <w:vAlign w:val="center"/>
          </w:tcPr>
          <w:p>
            <w:pPr>
              <w:adjustRightInd w:val="0"/>
              <w:snapToGrid w:val="0"/>
              <w:jc w:val="center"/>
              <w:rPr>
                <w:b/>
                <w:color w:val="000000"/>
              </w:rPr>
            </w:pPr>
            <w:r>
              <w:rPr>
                <w:b/>
                <w:color w:val="000000"/>
              </w:rPr>
              <w:t>0.0032</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trPr>
        <w:tc>
          <w:tcPr>
            <w:tcW w:w="1470" w:type="dxa"/>
            <w:vAlign w:val="center"/>
          </w:tcPr>
          <w:p>
            <w:pPr>
              <w:adjustRightInd w:val="0"/>
              <w:snapToGrid w:val="0"/>
              <w:jc w:val="center"/>
              <w:rPr>
                <w:color w:val="000000"/>
              </w:rPr>
            </w:pPr>
            <w:r>
              <w:rPr>
                <w:rFonts w:hint="eastAsia"/>
                <w:color w:val="000000"/>
              </w:rPr>
              <w:t>粉尘</w:t>
            </w:r>
          </w:p>
        </w:tc>
        <w:tc>
          <w:tcPr>
            <w:tcW w:w="840" w:type="dxa"/>
            <w:vAlign w:val="center"/>
          </w:tcPr>
          <w:p>
            <w:pPr>
              <w:jc w:val="center"/>
              <w:rPr>
                <w:color w:val="000000"/>
              </w:rPr>
            </w:pPr>
            <w:r>
              <w:rPr>
                <w:rFonts w:hint="eastAsia"/>
                <w:color w:val="000000"/>
              </w:rPr>
              <w:t>吨</w:t>
            </w:r>
            <w:r>
              <w:rPr>
                <w:color w:val="000000"/>
              </w:rPr>
              <w:t>/</w:t>
            </w:r>
            <w:r>
              <w:rPr>
                <w:rFonts w:hint="eastAsia"/>
                <w:color w:val="000000"/>
              </w:rPr>
              <w:t>年</w:t>
            </w:r>
          </w:p>
        </w:tc>
        <w:tc>
          <w:tcPr>
            <w:tcW w:w="1758" w:type="dxa"/>
            <w:vAlign w:val="center"/>
          </w:tcPr>
          <w:p>
            <w:pPr>
              <w:adjustRightInd w:val="0"/>
              <w:snapToGrid w:val="0"/>
              <w:jc w:val="center"/>
              <w:rPr>
                <w:color w:val="000000"/>
              </w:rPr>
            </w:pPr>
            <w:r>
              <w:rPr>
                <w:color w:val="000000"/>
              </w:rPr>
              <w:t>0.67</w:t>
            </w:r>
          </w:p>
        </w:tc>
        <w:tc>
          <w:tcPr>
            <w:tcW w:w="1758" w:type="dxa"/>
            <w:vAlign w:val="center"/>
          </w:tcPr>
          <w:p>
            <w:pPr>
              <w:adjustRightInd w:val="0"/>
              <w:snapToGrid w:val="0"/>
              <w:jc w:val="center"/>
              <w:rPr>
                <w:color w:val="000000"/>
              </w:rPr>
            </w:pPr>
            <w:r>
              <w:rPr>
                <w:color w:val="000000"/>
              </w:rPr>
              <w:t>10.7488</w:t>
            </w:r>
          </w:p>
        </w:tc>
        <w:tc>
          <w:tcPr>
            <w:tcW w:w="1916" w:type="dxa"/>
            <w:vAlign w:val="center"/>
          </w:tcPr>
          <w:p>
            <w:pPr>
              <w:adjustRightInd w:val="0"/>
              <w:snapToGrid w:val="0"/>
              <w:jc w:val="center"/>
              <w:rPr>
                <w:b/>
                <w:color w:val="000000"/>
              </w:rPr>
            </w:pPr>
            <w:r>
              <w:rPr>
                <w:b/>
                <w:color w:val="000000"/>
              </w:rPr>
              <w:t>11.4188</w:t>
            </w:r>
          </w:p>
        </w:tc>
        <w:tc>
          <w:tcPr>
            <w:tcW w:w="1335" w:type="dxa"/>
            <w:vAlign w:val="center"/>
          </w:tcPr>
          <w:p>
            <w:pPr>
              <w:adjustRightInd w:val="0"/>
              <w:snapToGrid w:val="0"/>
              <w:jc w:val="center"/>
              <w:rPr>
                <w:b/>
                <w:color w:val="000000"/>
              </w:rPr>
            </w:pPr>
            <w:r>
              <w:rPr>
                <w:b/>
                <w:color w:val="000000"/>
              </w:rPr>
              <w:t>1.24</w:t>
            </w:r>
          </w:p>
        </w:tc>
        <w:tc>
          <w:tcPr>
            <w:tcW w:w="1020" w:type="dxa"/>
            <w:vAlign w:val="center"/>
          </w:tcPr>
          <w:p>
            <w:pPr>
              <w:adjustRightInd w:val="0"/>
              <w:snapToGrid w:val="0"/>
              <w:jc w:val="center"/>
              <w:rPr>
                <w:b/>
                <w:color w:val="000000"/>
              </w:rPr>
            </w:pPr>
            <w:r>
              <w:rPr>
                <w:rFonts w:hint="eastAsia"/>
                <w:b/>
                <w:color w:val="000000"/>
              </w:rPr>
              <w:t>符合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63" w:hRule="atLeast"/>
        </w:trPr>
        <w:tc>
          <w:tcPr>
            <w:tcW w:w="10097" w:type="dxa"/>
            <w:gridSpan w:val="7"/>
            <w:vAlign w:val="center"/>
          </w:tcPr>
          <w:p>
            <w:pPr>
              <w:adjustRightInd w:val="0"/>
              <w:snapToGrid w:val="0"/>
              <w:rPr>
                <w:color w:val="000000"/>
                <w:sz w:val="21"/>
                <w:szCs w:val="21"/>
              </w:rPr>
            </w:pPr>
            <w:r>
              <w:rPr>
                <w:rFonts w:hint="eastAsia"/>
                <w:color w:val="000000"/>
                <w:sz w:val="21"/>
                <w:szCs w:val="21"/>
              </w:rPr>
              <w:t>备注：</w:t>
            </w:r>
            <w:r>
              <w:rPr>
                <w:color w:val="000000"/>
                <w:sz w:val="21"/>
                <w:szCs w:val="21"/>
              </w:rPr>
              <w:t>1.</w:t>
            </w:r>
            <w:r>
              <w:rPr>
                <w:rFonts w:hint="eastAsia"/>
                <w:color w:val="000000"/>
                <w:sz w:val="21"/>
                <w:szCs w:val="21"/>
              </w:rPr>
              <w:t>废水量为</w:t>
            </w:r>
            <w:r>
              <w:rPr>
                <w:color w:val="000000"/>
                <w:sz w:val="21"/>
                <w:szCs w:val="21"/>
              </w:rPr>
              <w:t>1539.94m</w:t>
            </w:r>
            <w:r>
              <w:rPr>
                <w:color w:val="000000"/>
                <w:sz w:val="21"/>
                <w:szCs w:val="21"/>
                <w:vertAlign w:val="superscript"/>
              </w:rPr>
              <w:t>3</w:t>
            </w:r>
            <w:r>
              <w:rPr>
                <w:color w:val="000000"/>
                <w:sz w:val="21"/>
                <w:szCs w:val="21"/>
              </w:rPr>
              <w:t>/d</w:t>
            </w:r>
            <w:r>
              <w:rPr>
                <w:rFonts w:hint="eastAsia"/>
                <w:color w:val="000000"/>
                <w:sz w:val="21"/>
                <w:szCs w:val="21"/>
              </w:rPr>
              <w:t>，按一年</w:t>
            </w:r>
            <w:r>
              <w:rPr>
                <w:color w:val="000000"/>
                <w:sz w:val="21"/>
                <w:szCs w:val="21"/>
              </w:rPr>
              <w:t>300</w:t>
            </w:r>
            <w:r>
              <w:rPr>
                <w:rFonts w:hint="eastAsia"/>
                <w:color w:val="000000"/>
                <w:sz w:val="21"/>
                <w:szCs w:val="21"/>
              </w:rPr>
              <w:t>天，一天</w:t>
            </w:r>
            <w:r>
              <w:rPr>
                <w:color w:val="000000"/>
                <w:sz w:val="21"/>
                <w:szCs w:val="21"/>
              </w:rPr>
              <w:t>24</w:t>
            </w:r>
            <w:r>
              <w:rPr>
                <w:rFonts w:hint="eastAsia"/>
                <w:color w:val="000000"/>
                <w:sz w:val="21"/>
                <w:szCs w:val="21"/>
              </w:rPr>
              <w:t>小时计。</w:t>
            </w:r>
          </w:p>
          <w:p>
            <w:pPr>
              <w:adjustRightInd w:val="0"/>
              <w:snapToGrid w:val="0"/>
              <w:ind w:firstLine="420" w:firstLineChars="200"/>
              <w:rPr>
                <w:color w:val="000000"/>
                <w:sz w:val="21"/>
                <w:szCs w:val="21"/>
              </w:rPr>
            </w:pPr>
            <w:r>
              <w:rPr>
                <w:color w:val="000000"/>
                <w:sz w:val="21"/>
                <w:szCs w:val="21"/>
              </w:rPr>
              <w:t xml:space="preserve">  2.</w:t>
            </w:r>
            <w:r>
              <w:rPr>
                <w:rFonts w:hint="eastAsia"/>
                <w:color w:val="000000"/>
                <w:sz w:val="21"/>
                <w:szCs w:val="21"/>
              </w:rPr>
              <w:t>化学需氧量排放总量</w:t>
            </w:r>
            <w:r>
              <w:rPr>
                <w:color w:val="000000"/>
                <w:sz w:val="21"/>
                <w:szCs w:val="21"/>
              </w:rPr>
              <w:t>=33.15mg/L*1539.94m</w:t>
            </w:r>
            <w:r>
              <w:rPr>
                <w:color w:val="000000"/>
                <w:sz w:val="21"/>
                <w:szCs w:val="21"/>
                <w:vertAlign w:val="superscript"/>
              </w:rPr>
              <w:t>3</w:t>
            </w:r>
            <w:r>
              <w:rPr>
                <w:color w:val="000000"/>
                <w:sz w:val="21"/>
                <w:szCs w:val="21"/>
              </w:rPr>
              <w:t>/d*300d*10</w:t>
            </w:r>
            <w:r>
              <w:rPr>
                <w:color w:val="000000"/>
                <w:sz w:val="21"/>
                <w:szCs w:val="21"/>
                <w:vertAlign w:val="superscript"/>
              </w:rPr>
              <w:t>-6</w:t>
            </w:r>
            <w:r>
              <w:rPr>
                <w:color w:val="000000"/>
                <w:sz w:val="21"/>
                <w:szCs w:val="21"/>
              </w:rPr>
              <w:t>=15.3t/a</w:t>
            </w:r>
            <w:r>
              <w:rPr>
                <w:rFonts w:hint="eastAsia"/>
                <w:color w:val="000000"/>
                <w:sz w:val="21"/>
                <w:szCs w:val="21"/>
              </w:rPr>
              <w:t>；</w:t>
            </w:r>
          </w:p>
          <w:p>
            <w:pPr>
              <w:adjustRightInd w:val="0"/>
              <w:snapToGrid w:val="0"/>
              <w:ind w:firstLine="840" w:firstLineChars="400"/>
              <w:rPr>
                <w:color w:val="000000"/>
                <w:sz w:val="21"/>
                <w:szCs w:val="21"/>
              </w:rPr>
            </w:pPr>
            <w:r>
              <w:rPr>
                <w:rFonts w:hint="eastAsia"/>
                <w:color w:val="000000"/>
                <w:sz w:val="21"/>
                <w:szCs w:val="21"/>
              </w:rPr>
              <w:t>氨氮排放总量</w:t>
            </w:r>
            <w:r>
              <w:rPr>
                <w:color w:val="000000"/>
                <w:sz w:val="21"/>
                <w:szCs w:val="21"/>
              </w:rPr>
              <w:t>=1.485mg/L*1539.94m</w:t>
            </w:r>
            <w:r>
              <w:rPr>
                <w:color w:val="000000"/>
                <w:sz w:val="21"/>
                <w:szCs w:val="21"/>
                <w:vertAlign w:val="superscript"/>
              </w:rPr>
              <w:t>3</w:t>
            </w:r>
            <w:r>
              <w:rPr>
                <w:color w:val="000000"/>
                <w:sz w:val="21"/>
                <w:szCs w:val="21"/>
              </w:rPr>
              <w:t>/d*300d*10</w:t>
            </w:r>
            <w:r>
              <w:rPr>
                <w:color w:val="000000"/>
                <w:sz w:val="21"/>
                <w:szCs w:val="21"/>
                <w:vertAlign w:val="superscript"/>
              </w:rPr>
              <w:t>-6</w:t>
            </w:r>
            <w:r>
              <w:rPr>
                <w:color w:val="000000"/>
                <w:sz w:val="21"/>
                <w:szCs w:val="21"/>
              </w:rPr>
              <w:t>=0.686t/a</w:t>
            </w:r>
            <w:r>
              <w:rPr>
                <w:rFonts w:hint="eastAsia"/>
                <w:color w:val="000000"/>
                <w:sz w:val="21"/>
                <w:szCs w:val="21"/>
              </w:rPr>
              <w:t>；</w:t>
            </w:r>
          </w:p>
          <w:p>
            <w:pPr>
              <w:adjustRightInd w:val="0"/>
              <w:snapToGrid w:val="0"/>
              <w:ind w:firstLine="840" w:firstLineChars="400"/>
              <w:rPr>
                <w:color w:val="000000"/>
                <w:sz w:val="21"/>
                <w:szCs w:val="21"/>
              </w:rPr>
            </w:pPr>
            <w:r>
              <w:rPr>
                <w:rFonts w:hint="eastAsia"/>
                <w:color w:val="000000"/>
                <w:sz w:val="21"/>
                <w:szCs w:val="21"/>
              </w:rPr>
              <w:t>二氧化硫排放总量</w:t>
            </w:r>
            <w:r>
              <w:rPr>
                <w:color w:val="000000"/>
                <w:sz w:val="21"/>
                <w:szCs w:val="21"/>
              </w:rPr>
              <w:t>=1.42kg/h*300d*24h*10</w:t>
            </w:r>
            <w:r>
              <w:rPr>
                <w:color w:val="000000"/>
                <w:sz w:val="21"/>
                <w:szCs w:val="21"/>
                <w:vertAlign w:val="superscript"/>
              </w:rPr>
              <w:t>-3</w:t>
            </w:r>
            <w:r>
              <w:rPr>
                <w:color w:val="000000"/>
                <w:sz w:val="21"/>
                <w:szCs w:val="21"/>
              </w:rPr>
              <w:t>=10.22t/a</w:t>
            </w:r>
            <w:r>
              <w:rPr>
                <w:rFonts w:hint="eastAsia"/>
                <w:color w:val="000000"/>
                <w:sz w:val="21"/>
                <w:szCs w:val="21"/>
              </w:rPr>
              <w:t>；</w:t>
            </w:r>
          </w:p>
          <w:p>
            <w:pPr>
              <w:adjustRightInd w:val="0"/>
              <w:snapToGrid w:val="0"/>
              <w:ind w:firstLine="840" w:firstLineChars="400"/>
              <w:rPr>
                <w:color w:val="000000"/>
                <w:sz w:val="21"/>
                <w:szCs w:val="21"/>
              </w:rPr>
            </w:pPr>
            <w:r>
              <w:rPr>
                <w:rFonts w:hint="eastAsia"/>
                <w:color w:val="000000"/>
                <w:sz w:val="21"/>
                <w:szCs w:val="21"/>
              </w:rPr>
              <w:t>氮氧化物排放总量</w:t>
            </w:r>
            <w:r>
              <w:rPr>
                <w:color w:val="000000"/>
                <w:sz w:val="21"/>
                <w:szCs w:val="21"/>
              </w:rPr>
              <w:t>=2.01kg/h*300d*24h*10</w:t>
            </w:r>
            <w:r>
              <w:rPr>
                <w:color w:val="000000"/>
                <w:sz w:val="21"/>
                <w:szCs w:val="21"/>
                <w:vertAlign w:val="superscript"/>
              </w:rPr>
              <w:t>-3</w:t>
            </w:r>
            <w:r>
              <w:rPr>
                <w:color w:val="000000"/>
                <w:sz w:val="21"/>
                <w:szCs w:val="21"/>
              </w:rPr>
              <w:t>=14.47t/a</w:t>
            </w:r>
            <w:r>
              <w:rPr>
                <w:rFonts w:hint="eastAsia"/>
                <w:color w:val="000000"/>
                <w:sz w:val="21"/>
                <w:szCs w:val="21"/>
              </w:rPr>
              <w:t>；</w:t>
            </w:r>
          </w:p>
          <w:p>
            <w:pPr>
              <w:adjustRightInd w:val="0"/>
              <w:snapToGrid w:val="0"/>
              <w:ind w:firstLine="840" w:firstLineChars="400"/>
              <w:rPr>
                <w:color w:val="000000"/>
                <w:sz w:val="21"/>
                <w:szCs w:val="21"/>
              </w:rPr>
            </w:pPr>
            <w:r>
              <w:rPr>
                <w:color w:val="000000"/>
                <w:sz w:val="21"/>
                <w:szCs w:val="21"/>
              </w:rPr>
              <w:t>VOC</w:t>
            </w:r>
            <w:r>
              <w:rPr>
                <w:color w:val="000000"/>
                <w:sz w:val="21"/>
                <w:szCs w:val="21"/>
                <w:vertAlign w:val="subscript"/>
              </w:rPr>
              <w:t>S</w:t>
            </w:r>
            <w:r>
              <w:rPr>
                <w:rFonts w:hint="eastAsia"/>
                <w:color w:val="000000"/>
                <w:sz w:val="21"/>
                <w:szCs w:val="21"/>
              </w:rPr>
              <w:t>排放总量</w:t>
            </w:r>
            <w:r>
              <w:rPr>
                <w:color w:val="000000"/>
                <w:sz w:val="21"/>
                <w:szCs w:val="21"/>
              </w:rPr>
              <w:t>=4.47*10</w:t>
            </w:r>
            <w:r>
              <w:rPr>
                <w:color w:val="000000"/>
                <w:sz w:val="21"/>
                <w:szCs w:val="21"/>
                <w:vertAlign w:val="superscript"/>
              </w:rPr>
              <w:t>-4</w:t>
            </w:r>
            <w:r>
              <w:rPr>
                <w:color w:val="000000"/>
                <w:sz w:val="21"/>
                <w:szCs w:val="21"/>
              </w:rPr>
              <w:t>kg/h*300d*24h*10</w:t>
            </w:r>
            <w:r>
              <w:rPr>
                <w:color w:val="000000"/>
                <w:sz w:val="21"/>
                <w:szCs w:val="21"/>
                <w:vertAlign w:val="superscript"/>
              </w:rPr>
              <w:t>-3</w:t>
            </w:r>
            <w:r>
              <w:rPr>
                <w:color w:val="000000"/>
                <w:sz w:val="21"/>
                <w:szCs w:val="21"/>
              </w:rPr>
              <w:t>=0.0032t/a</w:t>
            </w:r>
            <w:r>
              <w:rPr>
                <w:rFonts w:hint="eastAsia"/>
                <w:color w:val="000000"/>
                <w:sz w:val="21"/>
                <w:szCs w:val="21"/>
              </w:rPr>
              <w:t>；</w:t>
            </w:r>
          </w:p>
          <w:p>
            <w:pPr>
              <w:adjustRightInd w:val="0"/>
              <w:snapToGrid w:val="0"/>
              <w:ind w:firstLine="840" w:firstLineChars="400"/>
              <w:rPr>
                <w:color w:val="000000"/>
                <w:sz w:val="21"/>
                <w:szCs w:val="21"/>
              </w:rPr>
            </w:pPr>
            <w:r>
              <w:rPr>
                <w:rFonts w:hint="eastAsia"/>
                <w:color w:val="000000"/>
                <w:sz w:val="21"/>
                <w:szCs w:val="21"/>
              </w:rPr>
              <w:t>粉尘排放总量</w:t>
            </w:r>
            <w:r>
              <w:rPr>
                <w:color w:val="000000"/>
                <w:sz w:val="21"/>
                <w:szCs w:val="21"/>
              </w:rPr>
              <w:t>=0.172kg/h*300d*24h*10</w:t>
            </w:r>
            <w:r>
              <w:rPr>
                <w:color w:val="000000"/>
                <w:sz w:val="21"/>
                <w:szCs w:val="21"/>
                <w:vertAlign w:val="superscript"/>
              </w:rPr>
              <w:t>-3</w:t>
            </w:r>
            <w:r>
              <w:rPr>
                <w:color w:val="000000"/>
                <w:sz w:val="21"/>
                <w:szCs w:val="21"/>
              </w:rPr>
              <w:t>=1.24t/a</w:t>
            </w:r>
            <w:r>
              <w:rPr>
                <w:rFonts w:hint="eastAsia"/>
                <w:color w:val="000000"/>
                <w:sz w:val="21"/>
                <w:szCs w:val="21"/>
              </w:rPr>
              <w:t>；</w:t>
            </w:r>
          </w:p>
        </w:tc>
      </w:tr>
    </w:tbl>
    <w:p>
      <w:pPr>
        <w:adjustRightInd w:val="0"/>
        <w:snapToGrid w:val="0"/>
        <w:spacing w:line="360" w:lineRule="auto"/>
        <w:ind w:firstLine="480" w:firstLineChars="200"/>
      </w:pPr>
      <w:r>
        <w:rPr>
          <w:rFonts w:hint="eastAsia"/>
          <w:szCs w:val="28"/>
        </w:rPr>
        <w:t>化学需氧量、氨氮、二氧化硫、二氧化氮、</w:t>
      </w:r>
      <w:r>
        <w:rPr>
          <w:szCs w:val="28"/>
        </w:rPr>
        <w:t>VOC</w:t>
      </w:r>
      <w:r>
        <w:rPr>
          <w:szCs w:val="28"/>
          <w:vertAlign w:val="subscript"/>
        </w:rPr>
        <w:t>S</w:t>
      </w:r>
      <w:r>
        <w:rPr>
          <w:rFonts w:hint="eastAsia"/>
          <w:szCs w:val="28"/>
        </w:rPr>
        <w:t>和粉尘的排放总量均符合韶环审</w:t>
      </w:r>
      <w:r>
        <w:rPr>
          <w:szCs w:val="28"/>
        </w:rPr>
        <w:t>[2015]348</w:t>
      </w:r>
      <w:r>
        <w:rPr>
          <w:rFonts w:hint="eastAsia"/>
          <w:szCs w:val="28"/>
        </w:rPr>
        <w:t>号《韶关市环境保护局关于翁源广业清怡食品科技有限公司年产</w:t>
      </w:r>
      <w:r>
        <w:rPr>
          <w:szCs w:val="28"/>
        </w:rPr>
        <w:t>600</w:t>
      </w:r>
      <w:r>
        <w:rPr>
          <w:rFonts w:hint="eastAsia"/>
          <w:szCs w:val="28"/>
        </w:rPr>
        <w:t>吨食品抗氧化剂</w:t>
      </w:r>
      <w:r>
        <w:rPr>
          <w:szCs w:val="28"/>
        </w:rPr>
        <w:t>TBHQ</w:t>
      </w:r>
      <w:r>
        <w:rPr>
          <w:rFonts w:hint="eastAsia"/>
          <w:szCs w:val="28"/>
        </w:rPr>
        <w:t>建设项目环境影响报告书审批意见的函》</w:t>
      </w:r>
      <w:r>
        <w:rPr>
          <w:rFonts w:hint="eastAsia"/>
        </w:rPr>
        <w:t>下达本验收项目各</w:t>
      </w:r>
      <w:r>
        <w:rPr>
          <w:rFonts w:hint="eastAsia"/>
          <w:szCs w:val="28"/>
        </w:rPr>
        <w:t>污染物总量控制指标要求。</w:t>
      </w:r>
    </w:p>
    <w:p>
      <w:pPr>
        <w:pStyle w:val="4"/>
      </w:pPr>
      <w:bookmarkStart w:id="51" w:name="_Toc29381"/>
      <w:r>
        <w:t>9.6</w:t>
      </w:r>
      <w:r>
        <w:rPr>
          <w:rFonts w:hint="eastAsia"/>
        </w:rPr>
        <w:t>卫生防护距离调查结果</w:t>
      </w:r>
      <w:bookmarkEnd w:id="51"/>
    </w:p>
    <w:p>
      <w:pPr>
        <w:spacing w:line="360" w:lineRule="auto"/>
        <w:ind w:firstLine="480" w:firstLineChars="200"/>
        <w:rPr>
          <w:b/>
        </w:rPr>
      </w:pPr>
      <w:r>
        <w:rPr>
          <w:rFonts w:hint="eastAsia"/>
          <w:szCs w:val="28"/>
        </w:rPr>
        <w:t>据调查，东北侧</w:t>
      </w:r>
      <w:r>
        <w:rPr>
          <w:szCs w:val="28"/>
        </w:rPr>
        <w:t>58</w:t>
      </w:r>
      <w:r>
        <w:rPr>
          <w:rFonts w:hint="eastAsia"/>
          <w:szCs w:val="28"/>
        </w:rPr>
        <w:t>米为金悦通电子（翁源）有限公司，北面隔</w:t>
      </w:r>
      <w:r>
        <w:rPr>
          <w:szCs w:val="28"/>
        </w:rPr>
        <w:t>250</w:t>
      </w:r>
      <w:r>
        <w:rPr>
          <w:rFonts w:hint="eastAsia"/>
          <w:szCs w:val="28"/>
        </w:rPr>
        <w:t>米荒地为京珠高速公路翁城进出口引道，西面距京珠高速公路最近</w:t>
      </w:r>
      <w:r>
        <w:rPr>
          <w:szCs w:val="28"/>
        </w:rPr>
        <w:t>130</w:t>
      </w:r>
      <w:r>
        <w:rPr>
          <w:rFonts w:hint="eastAsia"/>
          <w:szCs w:val="28"/>
        </w:rPr>
        <w:t>米，西南距下卢屋村最近距离为</w:t>
      </w:r>
      <w:r>
        <w:rPr>
          <w:szCs w:val="28"/>
        </w:rPr>
        <w:t>110</w:t>
      </w:r>
      <w:r>
        <w:rPr>
          <w:rFonts w:hint="eastAsia"/>
          <w:szCs w:val="28"/>
        </w:rPr>
        <w:t>米，东面隔</w:t>
      </w:r>
      <w:r>
        <w:rPr>
          <w:szCs w:val="28"/>
        </w:rPr>
        <w:t>435</w:t>
      </w:r>
      <w:r>
        <w:rPr>
          <w:rFonts w:hint="eastAsia"/>
          <w:szCs w:val="28"/>
        </w:rPr>
        <w:t>米荒地，南面为山地。满足卫生防护距离的要求。</w:t>
      </w:r>
    </w:p>
    <w:p>
      <w:pPr>
        <w:adjustRightInd w:val="0"/>
        <w:snapToGrid w:val="0"/>
        <w:spacing w:line="360" w:lineRule="auto"/>
        <w:rPr>
          <w:rFonts w:ascii="黑体" w:hAnsi="宋体" w:eastAsia="黑体"/>
          <w:b/>
          <w:szCs w:val="28"/>
        </w:rPr>
      </w:pPr>
      <w:r>
        <w:rPr>
          <w:rFonts w:ascii="黑体" w:hAnsi="宋体" w:eastAsia="黑体"/>
          <w:b/>
          <w:szCs w:val="28"/>
        </w:rPr>
        <w:t xml:space="preserve">            </w:t>
      </w:r>
    </w:p>
    <w:p>
      <w:pPr>
        <w:pStyle w:val="4"/>
      </w:pPr>
      <w:bookmarkStart w:id="52" w:name="_Toc31450"/>
      <w:r>
        <w:t>10</w:t>
      </w:r>
      <w:r>
        <w:rPr>
          <w:rFonts w:hint="eastAsia"/>
        </w:rPr>
        <w:t>、环境管理检查</w:t>
      </w:r>
      <w:bookmarkEnd w:id="52"/>
    </w:p>
    <w:p>
      <w:pPr>
        <w:spacing w:line="360" w:lineRule="auto"/>
        <w:ind w:firstLine="482" w:firstLineChars="200"/>
      </w:pPr>
      <w:r>
        <w:rPr>
          <w:b/>
          <w:bCs/>
        </w:rPr>
        <w:t>10.1</w:t>
      </w:r>
      <w:r>
        <w:rPr>
          <w:rFonts w:hint="eastAsia"/>
          <w:b/>
          <w:bCs/>
        </w:rPr>
        <w:t>该项目执行国家建设项目环境管理制度情况</w:t>
      </w:r>
    </w:p>
    <w:p>
      <w:pPr>
        <w:spacing w:line="360" w:lineRule="auto"/>
        <w:ind w:right="32" w:firstLine="480" w:firstLineChars="200"/>
        <w:rPr>
          <w:szCs w:val="28"/>
        </w:rPr>
      </w:pPr>
      <w:r>
        <w:rPr>
          <w:rFonts w:hint="eastAsia"/>
          <w:szCs w:val="28"/>
        </w:rPr>
        <w:t>该项目执行了</w:t>
      </w:r>
      <w:r>
        <w:rPr>
          <w:szCs w:val="28"/>
        </w:rPr>
        <w:t>“</w:t>
      </w:r>
      <w:r>
        <w:rPr>
          <w:rFonts w:hint="eastAsia"/>
          <w:szCs w:val="28"/>
        </w:rPr>
        <w:t>三同时</w:t>
      </w:r>
      <w:r>
        <w:rPr>
          <w:szCs w:val="28"/>
        </w:rPr>
        <w:t>”</w:t>
      </w:r>
      <w:r>
        <w:rPr>
          <w:rFonts w:hint="eastAsia"/>
          <w:szCs w:val="28"/>
        </w:rPr>
        <w:t>及环境影响评价制度。项目建设单位向韶关市环保局申报了《翁源广业清怡食品科技有限公司年产</w:t>
      </w:r>
      <w:r>
        <w:rPr>
          <w:szCs w:val="28"/>
        </w:rPr>
        <w:t>600</w:t>
      </w:r>
      <w:r>
        <w:rPr>
          <w:rFonts w:hint="eastAsia"/>
          <w:szCs w:val="28"/>
        </w:rPr>
        <w:t>吨食品抗氧化剂</w:t>
      </w:r>
      <w:r>
        <w:rPr>
          <w:szCs w:val="28"/>
        </w:rPr>
        <w:t>TBHQ</w:t>
      </w:r>
      <w:r>
        <w:rPr>
          <w:rFonts w:hint="eastAsia"/>
          <w:szCs w:val="28"/>
        </w:rPr>
        <w:t>建设项目环境影响报告书》，韶关市环境保护局以韶环审</w:t>
      </w:r>
      <w:r>
        <w:rPr>
          <w:szCs w:val="28"/>
        </w:rPr>
        <w:t>[2015]348</w:t>
      </w:r>
      <w:r>
        <w:rPr>
          <w:rFonts w:hint="eastAsia"/>
          <w:szCs w:val="28"/>
        </w:rPr>
        <w:t>号文给予批复，同意该项目的建设。项目基本按环评报告书及其批复求建设各项环保设施，环保设施能与主体工程同时设计、同时施工、同时投入运行。</w:t>
      </w:r>
    </w:p>
    <w:p>
      <w:pPr>
        <w:spacing w:line="360" w:lineRule="auto"/>
        <w:ind w:right="32" w:firstLine="482" w:firstLineChars="200"/>
        <w:rPr>
          <w:b/>
          <w:bCs/>
        </w:rPr>
      </w:pPr>
      <w:r>
        <w:rPr>
          <w:b/>
          <w:bCs/>
        </w:rPr>
        <w:t>10.2</w:t>
      </w:r>
      <w:r>
        <w:rPr>
          <w:rFonts w:hint="eastAsia"/>
          <w:b/>
          <w:bCs/>
        </w:rPr>
        <w:t>环境保护管理规章制度的建立及其执行情况</w:t>
      </w:r>
    </w:p>
    <w:p>
      <w:pPr>
        <w:spacing w:line="360" w:lineRule="auto"/>
        <w:ind w:right="32" w:firstLine="480" w:firstLineChars="200"/>
        <w:rPr>
          <w:rFonts w:ascii="??_GB2312" w:hAnsi="宋体"/>
          <w:szCs w:val="28"/>
        </w:rPr>
      </w:pPr>
      <w:r>
        <w:rPr>
          <w:rFonts w:hint="eastAsia" w:ascii="??_GB2312" w:hAnsi="宋体"/>
          <w:szCs w:val="28"/>
        </w:rPr>
        <w:t>该公司建立了《环保管理制度》等环境保护管理规章制度，并设有专职的环保管理部门。该公司较好的实行了以上环保规章制度，废弃物做到了分类收集和妥善处理，环境管理的整体工作做得较好。</w:t>
      </w:r>
    </w:p>
    <w:p>
      <w:pPr>
        <w:spacing w:line="360" w:lineRule="auto"/>
        <w:ind w:right="32" w:firstLine="482" w:firstLineChars="200"/>
        <w:rPr>
          <w:b/>
          <w:bCs/>
          <w:szCs w:val="28"/>
        </w:rPr>
      </w:pPr>
      <w:r>
        <w:rPr>
          <w:b/>
          <w:bCs/>
          <w:szCs w:val="28"/>
        </w:rPr>
        <w:t>10.3</w:t>
      </w:r>
      <w:r>
        <w:rPr>
          <w:rFonts w:hint="eastAsia"/>
          <w:b/>
          <w:bCs/>
          <w:szCs w:val="28"/>
        </w:rPr>
        <w:t>环境保护档案建立及管理情况</w:t>
      </w:r>
    </w:p>
    <w:p>
      <w:pPr>
        <w:spacing w:line="360" w:lineRule="auto"/>
        <w:ind w:right="-1162" w:firstLine="360" w:firstLineChars="150"/>
        <w:rPr>
          <w:rFonts w:hint="eastAsia" w:ascii="??_GB2312" w:hAnsi="宋体"/>
          <w:szCs w:val="28"/>
        </w:rPr>
      </w:pPr>
      <w:r>
        <w:rPr>
          <w:rFonts w:hint="eastAsia" w:ascii="??_GB2312" w:hAnsi="宋体"/>
          <w:szCs w:val="28"/>
        </w:rPr>
        <w:t>有专人负责全公司环境保护档案管理工作，环保档案较齐全。</w:t>
      </w:r>
    </w:p>
    <w:p>
      <w:pPr>
        <w:spacing w:line="360" w:lineRule="auto"/>
        <w:ind w:right="-1162" w:firstLine="482" w:firstLineChars="200"/>
        <w:rPr>
          <w:b/>
          <w:bCs/>
          <w:szCs w:val="28"/>
        </w:rPr>
      </w:pPr>
      <w:r>
        <w:rPr>
          <w:b/>
          <w:bCs/>
          <w:szCs w:val="28"/>
        </w:rPr>
        <w:t>10.4</w:t>
      </w:r>
      <w:r>
        <w:rPr>
          <w:rFonts w:hint="eastAsia"/>
          <w:b/>
          <w:bCs/>
          <w:szCs w:val="28"/>
        </w:rPr>
        <w:t>环境保护监测机构、人员和仪器设备的配置情况</w:t>
      </w:r>
    </w:p>
    <w:p>
      <w:pPr>
        <w:spacing w:line="360" w:lineRule="auto"/>
        <w:ind w:right="32" w:firstLine="360" w:firstLineChars="150"/>
        <w:rPr>
          <w:rFonts w:ascii="??_GB2312" w:hAnsi="Batang"/>
          <w:szCs w:val="28"/>
        </w:rPr>
      </w:pPr>
      <w:r>
        <w:rPr>
          <w:rFonts w:hint="eastAsia" w:ascii="??_GB2312"/>
          <w:szCs w:val="28"/>
        </w:rPr>
        <w:t>该</w:t>
      </w:r>
      <w:r>
        <w:rPr>
          <w:rFonts w:hint="eastAsia" w:ascii="??_GB2312" w:hAnsi="Batang"/>
          <w:szCs w:val="28"/>
        </w:rPr>
        <w:t>公司</w:t>
      </w:r>
      <w:r>
        <w:rPr>
          <w:rFonts w:hint="eastAsia" w:ascii="??_GB2312"/>
          <w:szCs w:val="28"/>
        </w:rPr>
        <w:t>对环</w:t>
      </w:r>
      <w:r>
        <w:rPr>
          <w:rFonts w:hint="eastAsia" w:ascii="??_GB2312" w:hAnsi="Batang"/>
          <w:szCs w:val="28"/>
        </w:rPr>
        <w:t>境</w:t>
      </w:r>
      <w:r>
        <w:rPr>
          <w:rFonts w:hint="eastAsia" w:ascii="??_GB2312"/>
          <w:szCs w:val="28"/>
        </w:rPr>
        <w:t>处</w:t>
      </w:r>
      <w:r>
        <w:rPr>
          <w:rFonts w:hint="eastAsia" w:ascii="??_GB2312" w:hAnsi="Batang"/>
          <w:szCs w:val="28"/>
        </w:rPr>
        <w:t>理</w:t>
      </w:r>
      <w:r>
        <w:rPr>
          <w:rFonts w:hint="eastAsia" w:ascii="??_GB2312"/>
          <w:szCs w:val="28"/>
        </w:rPr>
        <w:t>设</w:t>
      </w:r>
      <w:r>
        <w:rPr>
          <w:rFonts w:hint="eastAsia" w:ascii="??_GB2312" w:hAnsi="Batang"/>
          <w:szCs w:val="28"/>
        </w:rPr>
        <w:t>施的</w:t>
      </w:r>
      <w:r>
        <w:rPr>
          <w:rFonts w:hint="eastAsia" w:ascii="??_GB2312"/>
          <w:szCs w:val="28"/>
        </w:rPr>
        <w:t>维护</w:t>
      </w:r>
      <w:r>
        <w:rPr>
          <w:rFonts w:hint="eastAsia" w:ascii="??_GB2312" w:hAnsi="Batang"/>
          <w:szCs w:val="28"/>
        </w:rPr>
        <w:t>、</w:t>
      </w:r>
      <w:r>
        <w:rPr>
          <w:rFonts w:hint="eastAsia" w:ascii="??_GB2312"/>
          <w:szCs w:val="28"/>
        </w:rPr>
        <w:t>维</w:t>
      </w:r>
      <w:r>
        <w:rPr>
          <w:rFonts w:hint="eastAsia" w:ascii="??_GB2312" w:hAnsi="Batang"/>
          <w:szCs w:val="28"/>
        </w:rPr>
        <w:t>修建立了</w:t>
      </w:r>
      <w:r>
        <w:rPr>
          <w:rFonts w:hint="eastAsia" w:ascii="??_GB2312"/>
          <w:szCs w:val="28"/>
        </w:rPr>
        <w:t>规</w:t>
      </w:r>
      <w:r>
        <w:rPr>
          <w:rFonts w:hint="eastAsia" w:ascii="??_GB2312" w:hAnsi="Batang"/>
          <w:szCs w:val="28"/>
        </w:rPr>
        <w:t>章制度，</w:t>
      </w:r>
      <w:r>
        <w:rPr>
          <w:rFonts w:hint="eastAsia" w:ascii="??_GB2312"/>
          <w:szCs w:val="28"/>
        </w:rPr>
        <w:t>并</w:t>
      </w:r>
      <w:r>
        <w:rPr>
          <w:rFonts w:hint="eastAsia" w:ascii="??_GB2312" w:hAnsi="Batang"/>
          <w:szCs w:val="28"/>
        </w:rPr>
        <w:t>配有</w:t>
      </w:r>
      <w:r>
        <w:rPr>
          <w:rFonts w:hint="eastAsia" w:ascii="??_GB2312"/>
          <w:szCs w:val="28"/>
        </w:rPr>
        <w:t>专</w:t>
      </w:r>
      <w:r>
        <w:rPr>
          <w:rFonts w:hint="eastAsia" w:ascii="??_GB2312" w:hAnsi="Batang"/>
          <w:szCs w:val="28"/>
        </w:rPr>
        <w:t>人</w:t>
      </w:r>
      <w:r>
        <w:rPr>
          <w:rFonts w:hint="eastAsia" w:ascii="??_GB2312"/>
          <w:szCs w:val="28"/>
        </w:rPr>
        <w:t>进</w:t>
      </w:r>
      <w:r>
        <w:rPr>
          <w:rFonts w:hint="eastAsia" w:ascii="??_GB2312" w:hAnsi="Batang"/>
          <w:szCs w:val="28"/>
        </w:rPr>
        <w:t>行</w:t>
      </w:r>
      <w:r>
        <w:rPr>
          <w:rFonts w:hint="eastAsia" w:ascii="??_GB2312"/>
          <w:szCs w:val="28"/>
        </w:rPr>
        <w:t>维护，设有专门的化验室</w:t>
      </w:r>
      <w:r>
        <w:rPr>
          <w:rFonts w:hint="eastAsia" w:ascii="??_GB2312" w:hAnsi="Batang"/>
          <w:szCs w:val="28"/>
        </w:rPr>
        <w:t>。</w:t>
      </w:r>
    </w:p>
    <w:p>
      <w:pPr>
        <w:spacing w:line="360" w:lineRule="auto"/>
        <w:ind w:right="32" w:firstLine="361" w:firstLineChars="150"/>
        <w:rPr>
          <w:b/>
          <w:bCs/>
          <w:szCs w:val="28"/>
        </w:rPr>
      </w:pPr>
      <w:r>
        <w:rPr>
          <w:b/>
          <w:bCs/>
          <w:szCs w:val="28"/>
        </w:rPr>
        <w:t xml:space="preserve">10.5 </w:t>
      </w:r>
      <w:r>
        <w:rPr>
          <w:rFonts w:hint="eastAsia"/>
          <w:b/>
          <w:bCs/>
          <w:szCs w:val="28"/>
        </w:rPr>
        <w:t>制定环境污染事故的应急制度，配备的应急设备及设施情况</w:t>
      </w:r>
    </w:p>
    <w:p>
      <w:pPr>
        <w:spacing w:line="360" w:lineRule="auto"/>
        <w:ind w:right="32" w:firstLine="480" w:firstLineChars="200"/>
        <w:rPr>
          <w:rFonts w:ascii="??_GB2312" w:hAnsi="宋体"/>
          <w:szCs w:val="28"/>
        </w:rPr>
      </w:pPr>
      <w:r>
        <w:rPr>
          <w:rFonts w:hint="eastAsia" w:ascii="??_GB2312" w:hAnsi="宋体"/>
          <w:szCs w:val="28"/>
        </w:rPr>
        <w:t>该公司建立了《环境风险事故应急预案》</w:t>
      </w:r>
      <w:r>
        <w:rPr>
          <w:rFonts w:hint="eastAsia" w:ascii="??_GB2312" w:hAnsi="宋体"/>
          <w:szCs w:val="28"/>
          <w:lang w:eastAsia="zh-CN"/>
        </w:rPr>
        <w:t>，并已在当地环保局备案，详见附</w:t>
      </w:r>
      <w:r>
        <w:rPr>
          <w:rFonts w:hint="default" w:ascii="Times New Roman" w:hAnsi="Times New Roman" w:cs="Times New Roman"/>
          <w:szCs w:val="28"/>
          <w:lang w:eastAsia="zh-CN"/>
        </w:rPr>
        <w:t>件</w:t>
      </w:r>
      <w:r>
        <w:rPr>
          <w:rFonts w:hint="eastAsia" w:cs="Times New Roman"/>
          <w:szCs w:val="28"/>
          <w:lang w:val="en-US" w:eastAsia="zh-CN"/>
        </w:rPr>
        <w:t>5</w:t>
      </w:r>
      <w:r>
        <w:rPr>
          <w:rFonts w:hint="eastAsia" w:ascii="??_GB2312" w:hAnsi="宋体"/>
          <w:szCs w:val="28"/>
        </w:rPr>
        <w:t>，对风险识别、日常检查、应急处理措施、紧急救援等方面进行了详细规定</w:t>
      </w:r>
      <w:r>
        <w:rPr>
          <w:rFonts w:ascii="??_GB2312" w:hAnsi="宋体"/>
          <w:szCs w:val="28"/>
        </w:rPr>
        <w:t>,</w:t>
      </w:r>
      <w:r>
        <w:rPr>
          <w:rFonts w:hint="eastAsia" w:ascii="??_GB2312" w:hAnsi="宋体"/>
          <w:szCs w:val="28"/>
        </w:rPr>
        <w:t>并要求实施。</w:t>
      </w:r>
      <w:r>
        <w:rPr>
          <w:rFonts w:ascii="??_GB2312" w:hAnsi="宋体"/>
          <w:szCs w:val="28"/>
        </w:rPr>
        <w:t xml:space="preserve">  </w:t>
      </w:r>
    </w:p>
    <w:p>
      <w:pPr>
        <w:spacing w:line="360" w:lineRule="auto"/>
        <w:ind w:right="32" w:firstLine="482" w:firstLineChars="200"/>
        <w:rPr>
          <w:b/>
          <w:bCs/>
          <w:szCs w:val="28"/>
        </w:rPr>
      </w:pPr>
      <w:r>
        <w:rPr>
          <w:b/>
          <w:bCs/>
          <w:szCs w:val="28"/>
        </w:rPr>
        <w:t>10.6</w:t>
      </w:r>
      <w:r>
        <w:rPr>
          <w:rFonts w:hint="eastAsia"/>
          <w:b/>
          <w:bCs/>
          <w:szCs w:val="28"/>
        </w:rPr>
        <w:t>建设期间和试生产阶段是否发生了扰民和污染事故</w:t>
      </w:r>
    </w:p>
    <w:p>
      <w:pPr>
        <w:spacing w:line="360" w:lineRule="auto"/>
        <w:ind w:right="-1162" w:firstLine="480" w:firstLineChars="200"/>
        <w:rPr>
          <w:rFonts w:ascii="??_GB2312" w:hAnsi="宋体"/>
          <w:szCs w:val="28"/>
        </w:rPr>
      </w:pPr>
      <w:r>
        <w:rPr>
          <w:rFonts w:hint="eastAsia" w:ascii="??_GB2312" w:hAnsi="宋体"/>
          <w:szCs w:val="28"/>
        </w:rPr>
        <w:t>经调查，建设期间和试生产阶段没有发生扰民和污染事故的记录。</w:t>
      </w:r>
    </w:p>
    <w:p>
      <w:pPr>
        <w:spacing w:line="360" w:lineRule="auto"/>
        <w:ind w:right="-1162" w:firstLine="482" w:firstLineChars="200"/>
        <w:rPr>
          <w:b/>
          <w:bCs/>
          <w:szCs w:val="28"/>
        </w:rPr>
      </w:pPr>
      <w:r>
        <w:rPr>
          <w:b/>
          <w:bCs/>
          <w:szCs w:val="28"/>
        </w:rPr>
        <w:t>10.7</w:t>
      </w:r>
      <w:r>
        <w:rPr>
          <w:rFonts w:hint="eastAsia"/>
          <w:b/>
          <w:bCs/>
          <w:szCs w:val="28"/>
        </w:rPr>
        <w:t>环评报告书批复执行情况</w:t>
      </w:r>
    </w:p>
    <w:p>
      <w:pPr>
        <w:spacing w:line="360" w:lineRule="auto"/>
        <w:ind w:right="-1162" w:firstLine="480" w:firstLineChars="200"/>
        <w:rPr>
          <w:rFonts w:cs="宋体"/>
        </w:rPr>
      </w:pPr>
      <w:r>
        <w:rPr>
          <w:rFonts w:hint="eastAsia"/>
          <w:szCs w:val="28"/>
        </w:rPr>
        <w:t>该公司环保设施（措施）落实情况及环评批复要求情况见表</w:t>
      </w:r>
      <w:r>
        <w:rPr>
          <w:szCs w:val="28"/>
        </w:rPr>
        <w:t>10-1</w:t>
      </w:r>
      <w:r>
        <w:rPr>
          <w:rFonts w:hint="eastAsia"/>
          <w:szCs w:val="28"/>
        </w:rPr>
        <w:t>。</w:t>
      </w:r>
      <w:r>
        <w:rPr>
          <w:rFonts w:hint="eastAsia" w:cs="宋体"/>
        </w:rPr>
        <w:t>环评报告书结论执行</w:t>
      </w:r>
    </w:p>
    <w:p>
      <w:pPr>
        <w:spacing w:line="360" w:lineRule="auto"/>
        <w:ind w:right="-1162"/>
        <w:rPr>
          <w:b/>
        </w:rPr>
      </w:pPr>
      <w:r>
        <w:rPr>
          <w:rFonts w:hint="eastAsia" w:cs="宋体"/>
        </w:rPr>
        <w:t>情况见表</w:t>
      </w:r>
      <w:r>
        <w:rPr>
          <w:rFonts w:cs="宋体"/>
        </w:rPr>
        <w:t>10-2</w:t>
      </w:r>
      <w:r>
        <w:rPr>
          <w:rFonts w:hint="eastAsia" w:cs="宋体"/>
        </w:rPr>
        <w:t>。</w:t>
      </w:r>
    </w:p>
    <w:p>
      <w:pPr>
        <w:spacing w:line="360" w:lineRule="auto"/>
        <w:ind w:right="-1162"/>
        <w:jc w:val="center"/>
        <w:rPr>
          <w:b/>
        </w:rPr>
      </w:pPr>
      <w:r>
        <w:rPr>
          <w:rFonts w:hint="eastAsia"/>
          <w:b/>
        </w:rPr>
        <w:t>表</w:t>
      </w:r>
      <w:r>
        <w:rPr>
          <w:b/>
        </w:rPr>
        <w:t xml:space="preserve">10-1     </w:t>
      </w:r>
      <w:r>
        <w:rPr>
          <w:rFonts w:hint="eastAsia"/>
          <w:b/>
        </w:rPr>
        <w:t>环保设施（措施）及环评批复要求落实情况</w:t>
      </w:r>
    </w:p>
    <w:tbl>
      <w:tblPr>
        <w:tblStyle w:val="47"/>
        <w:tblW w:w="9910" w:type="dxa"/>
        <w:jc w:val="center"/>
        <w:tblInd w:w="-92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56"/>
        <w:gridCol w:w="660"/>
        <w:gridCol w:w="4350"/>
        <w:gridCol w:w="41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9" w:hRule="atLeast"/>
          <w:jc w:val="center"/>
        </w:trPr>
        <w:tc>
          <w:tcPr>
            <w:tcW w:w="756" w:type="dxa"/>
            <w:vAlign w:val="center"/>
          </w:tcPr>
          <w:p>
            <w:pPr>
              <w:spacing w:line="360" w:lineRule="exact"/>
              <w:jc w:val="center"/>
              <w:rPr>
                <w:rFonts w:ascii="宋体"/>
                <w:sz w:val="21"/>
                <w:szCs w:val="21"/>
              </w:rPr>
            </w:pPr>
            <w:r>
              <w:rPr>
                <w:rFonts w:hint="eastAsia" w:ascii="宋体" w:hAnsi="宋体"/>
                <w:sz w:val="21"/>
                <w:szCs w:val="21"/>
              </w:rPr>
              <w:t>项目</w:t>
            </w:r>
          </w:p>
        </w:tc>
        <w:tc>
          <w:tcPr>
            <w:tcW w:w="660" w:type="dxa"/>
            <w:vAlign w:val="center"/>
          </w:tcPr>
          <w:p>
            <w:pPr>
              <w:spacing w:line="360" w:lineRule="exact"/>
              <w:jc w:val="center"/>
              <w:rPr>
                <w:rFonts w:ascii="宋体"/>
                <w:sz w:val="21"/>
                <w:szCs w:val="21"/>
              </w:rPr>
            </w:pPr>
            <w:r>
              <w:rPr>
                <w:rFonts w:hint="eastAsia" w:ascii="宋体" w:hAnsi="宋体"/>
                <w:sz w:val="21"/>
                <w:szCs w:val="21"/>
              </w:rPr>
              <w:t>序号</w:t>
            </w:r>
          </w:p>
        </w:tc>
        <w:tc>
          <w:tcPr>
            <w:tcW w:w="4350" w:type="dxa"/>
            <w:vAlign w:val="center"/>
          </w:tcPr>
          <w:p>
            <w:pPr>
              <w:spacing w:line="360" w:lineRule="exact"/>
              <w:jc w:val="center"/>
              <w:rPr>
                <w:rFonts w:ascii="宋体"/>
                <w:sz w:val="21"/>
                <w:szCs w:val="21"/>
              </w:rPr>
            </w:pPr>
            <w:r>
              <w:rPr>
                <w:rFonts w:hint="eastAsia" w:ascii="宋体" w:hAnsi="宋体"/>
                <w:sz w:val="21"/>
                <w:szCs w:val="21"/>
              </w:rPr>
              <w:t>批复要求</w:t>
            </w:r>
          </w:p>
        </w:tc>
        <w:tc>
          <w:tcPr>
            <w:tcW w:w="4144" w:type="dxa"/>
            <w:vAlign w:val="center"/>
          </w:tcPr>
          <w:p>
            <w:pPr>
              <w:spacing w:line="360" w:lineRule="exact"/>
              <w:jc w:val="center"/>
              <w:rPr>
                <w:rFonts w:ascii="宋体"/>
                <w:sz w:val="21"/>
                <w:szCs w:val="21"/>
              </w:rPr>
            </w:pPr>
            <w:r>
              <w:rPr>
                <w:rFonts w:hint="eastAsia" w:ascii="宋体" w:hAnsi="宋体"/>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 w:hRule="atLeast"/>
          <w:jc w:val="center"/>
        </w:trPr>
        <w:tc>
          <w:tcPr>
            <w:tcW w:w="756" w:type="dxa"/>
            <w:vAlign w:val="center"/>
          </w:tcPr>
          <w:p>
            <w:pPr>
              <w:spacing w:line="360" w:lineRule="exact"/>
              <w:jc w:val="center"/>
              <w:rPr>
                <w:rFonts w:ascii="宋体"/>
                <w:sz w:val="21"/>
                <w:szCs w:val="21"/>
              </w:rPr>
            </w:pPr>
            <w:r>
              <w:rPr>
                <w:rFonts w:hint="eastAsia" w:ascii="宋体" w:hAnsi="宋体"/>
                <w:sz w:val="21"/>
                <w:szCs w:val="21"/>
              </w:rPr>
              <w:t>废水</w:t>
            </w:r>
          </w:p>
        </w:tc>
        <w:tc>
          <w:tcPr>
            <w:tcW w:w="660" w:type="dxa"/>
            <w:vAlign w:val="center"/>
          </w:tcPr>
          <w:p>
            <w:pPr>
              <w:spacing w:line="360" w:lineRule="exact"/>
              <w:jc w:val="center"/>
              <w:rPr>
                <w:rFonts w:ascii="宋体"/>
                <w:sz w:val="21"/>
                <w:szCs w:val="21"/>
              </w:rPr>
            </w:pPr>
            <w:r>
              <w:rPr>
                <w:rFonts w:ascii="宋体" w:hAnsi="宋体"/>
                <w:sz w:val="21"/>
                <w:szCs w:val="21"/>
              </w:rPr>
              <w:t>1</w:t>
            </w:r>
          </w:p>
        </w:tc>
        <w:tc>
          <w:tcPr>
            <w:tcW w:w="4350" w:type="dxa"/>
            <w:vAlign w:val="center"/>
          </w:tcPr>
          <w:p>
            <w:pPr>
              <w:adjustRightInd w:val="0"/>
              <w:snapToGrid w:val="0"/>
              <w:spacing w:line="360" w:lineRule="exact"/>
              <w:rPr>
                <w:rFonts w:ascii="宋体"/>
                <w:sz w:val="21"/>
                <w:szCs w:val="21"/>
              </w:rPr>
            </w:pPr>
            <w:r>
              <w:rPr>
                <w:sz w:val="21"/>
                <w:szCs w:val="21"/>
              </w:rPr>
              <w:t xml:space="preserve">  </w:t>
            </w:r>
            <w:r>
              <w:rPr>
                <w:rFonts w:hint="eastAsia"/>
                <w:sz w:val="21"/>
                <w:szCs w:val="21"/>
              </w:rPr>
              <w:t>项目运营期生产废水（烷基化反应生成废水、水提纯废水、车间喷淋废水、凉水塔清洗废水、锅炉废水、树脂清洗废水）、生活污水（经三级化粪池预处理）和初期雨水（经事故应急池收集、暂存），须经收集后，送废水处理站，采用</w:t>
            </w:r>
            <w:r>
              <w:rPr>
                <w:sz w:val="21"/>
                <w:szCs w:val="21"/>
              </w:rPr>
              <w:t>“</w:t>
            </w:r>
            <w:r>
              <w:rPr>
                <w:rFonts w:hint="eastAsia"/>
                <w:sz w:val="21"/>
                <w:szCs w:val="21"/>
              </w:rPr>
              <w:t>预酸化池</w:t>
            </w:r>
            <w:r>
              <w:rPr>
                <w:sz w:val="21"/>
                <w:szCs w:val="21"/>
              </w:rPr>
              <w:t>+IC</w:t>
            </w:r>
            <w:r>
              <w:rPr>
                <w:rFonts w:hint="eastAsia"/>
                <w:sz w:val="21"/>
                <w:szCs w:val="21"/>
              </w:rPr>
              <w:t>厌氧池</w:t>
            </w:r>
            <w:r>
              <w:rPr>
                <w:sz w:val="21"/>
                <w:szCs w:val="21"/>
              </w:rPr>
              <w:t>+</w:t>
            </w:r>
            <w:r>
              <w:rPr>
                <w:rFonts w:hint="eastAsia"/>
                <w:sz w:val="21"/>
                <w:szCs w:val="21"/>
              </w:rPr>
              <w:t>生化</w:t>
            </w:r>
            <w:r>
              <w:rPr>
                <w:sz w:val="21"/>
                <w:szCs w:val="21"/>
              </w:rPr>
              <w:t>+</w:t>
            </w:r>
            <w:r>
              <w:rPr>
                <w:rFonts w:hint="eastAsia"/>
                <w:sz w:val="21"/>
                <w:szCs w:val="21"/>
              </w:rPr>
              <w:t>深度处理</w:t>
            </w:r>
            <w:r>
              <w:rPr>
                <w:sz w:val="21"/>
                <w:szCs w:val="21"/>
              </w:rPr>
              <w:t>”</w:t>
            </w:r>
            <w:r>
              <w:rPr>
                <w:rFonts w:hint="eastAsia"/>
                <w:sz w:val="21"/>
                <w:szCs w:val="21"/>
              </w:rPr>
              <w:t>工艺处理达到广东省地方标准《水污染物排放限值》（</w:t>
            </w:r>
            <w:r>
              <w:rPr>
                <w:sz w:val="21"/>
                <w:szCs w:val="21"/>
              </w:rPr>
              <w:t>DB44/26-2001</w:t>
            </w:r>
            <w:r>
              <w:rPr>
                <w:rFonts w:hint="eastAsia"/>
                <w:sz w:val="21"/>
                <w:szCs w:val="21"/>
              </w:rPr>
              <w:t>）第二时段一级标准排入横石水。</w:t>
            </w:r>
          </w:p>
        </w:tc>
        <w:tc>
          <w:tcPr>
            <w:tcW w:w="4144" w:type="dxa"/>
            <w:vAlign w:val="center"/>
          </w:tcPr>
          <w:p>
            <w:pPr>
              <w:adjustRightInd w:val="0"/>
              <w:snapToGrid w:val="0"/>
              <w:spacing w:line="360" w:lineRule="exact"/>
              <w:rPr>
                <w:rFonts w:ascii="宋体"/>
                <w:sz w:val="21"/>
                <w:szCs w:val="21"/>
              </w:rPr>
            </w:pPr>
            <w:r>
              <w:rPr>
                <w:rFonts w:hint="eastAsia" w:ascii="宋体"/>
                <w:sz w:val="21"/>
                <w:szCs w:val="21"/>
              </w:rPr>
              <w:t>已落实，经检测结果表明，本项目废水经过废水处理站处理后达到</w:t>
            </w:r>
            <w:r>
              <w:rPr>
                <w:rFonts w:hint="eastAsia"/>
                <w:sz w:val="21"/>
                <w:szCs w:val="21"/>
              </w:rPr>
              <w:t>广东省地方标准《水污染物排放限值》（</w:t>
            </w:r>
            <w:r>
              <w:rPr>
                <w:sz w:val="21"/>
                <w:szCs w:val="21"/>
              </w:rPr>
              <w:t>DB44/26-2001</w:t>
            </w:r>
            <w:r>
              <w:rPr>
                <w:rFonts w:hint="eastAsia"/>
                <w:sz w:val="21"/>
                <w:szCs w:val="21"/>
              </w:rPr>
              <w:t>）第二时段一级标准后排放。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rFonts w:ascii="宋体"/>
                <w:sz w:val="21"/>
                <w:szCs w:val="21"/>
              </w:rPr>
            </w:pPr>
            <w:r>
              <w:rPr>
                <w:rFonts w:hint="eastAsia" w:ascii="宋体" w:hAnsi="宋体"/>
                <w:sz w:val="21"/>
                <w:szCs w:val="21"/>
              </w:rPr>
              <w:t>废气</w:t>
            </w:r>
          </w:p>
        </w:tc>
        <w:tc>
          <w:tcPr>
            <w:tcW w:w="660" w:type="dxa"/>
            <w:vAlign w:val="center"/>
          </w:tcPr>
          <w:p>
            <w:pPr>
              <w:spacing w:line="360" w:lineRule="exact"/>
              <w:jc w:val="center"/>
              <w:rPr>
                <w:rFonts w:ascii="宋体"/>
                <w:sz w:val="21"/>
                <w:szCs w:val="21"/>
              </w:rPr>
            </w:pPr>
            <w:r>
              <w:rPr>
                <w:rFonts w:ascii="宋体" w:hAnsi="宋体"/>
                <w:sz w:val="21"/>
                <w:szCs w:val="21"/>
              </w:rPr>
              <w:t>2</w:t>
            </w:r>
          </w:p>
        </w:tc>
        <w:tc>
          <w:tcPr>
            <w:tcW w:w="4350" w:type="dxa"/>
            <w:vAlign w:val="center"/>
          </w:tcPr>
          <w:p>
            <w:pPr>
              <w:adjustRightInd w:val="0"/>
              <w:snapToGrid w:val="0"/>
              <w:spacing w:line="360" w:lineRule="exact"/>
              <w:rPr>
                <w:rFonts w:ascii="宋体"/>
                <w:sz w:val="21"/>
                <w:szCs w:val="21"/>
              </w:rPr>
            </w:pPr>
            <w:r>
              <w:rPr>
                <w:sz w:val="21"/>
                <w:szCs w:val="21"/>
              </w:rPr>
              <w:t xml:space="preserve">  </w:t>
            </w:r>
            <w:r>
              <w:rPr>
                <w:rFonts w:hint="eastAsia"/>
                <w:sz w:val="21"/>
                <w:szCs w:val="21"/>
              </w:rPr>
              <w:t>项目废气主要为车间废气、锅炉烟气和罐区废气。车间废气须采用“水喷淋</w:t>
            </w:r>
            <w:r>
              <w:rPr>
                <w:sz w:val="21"/>
                <w:szCs w:val="21"/>
              </w:rPr>
              <w:t>+</w:t>
            </w:r>
            <w:r>
              <w:rPr>
                <w:rFonts w:hint="eastAsia"/>
                <w:sz w:val="21"/>
                <w:szCs w:val="21"/>
              </w:rPr>
              <w:t>活性炭治理”措施处理后，污染物二甲苯确保达到《大气污染物排放限值》（</w:t>
            </w:r>
            <w:r>
              <w:rPr>
                <w:sz w:val="21"/>
                <w:szCs w:val="21"/>
              </w:rPr>
              <w:t>DB44/27-2001</w:t>
            </w:r>
            <w:r>
              <w:rPr>
                <w:rFonts w:hint="eastAsia"/>
                <w:sz w:val="21"/>
                <w:szCs w:val="21"/>
              </w:rPr>
              <w:t>）第二时段二级标准、</w:t>
            </w:r>
            <w:r>
              <w:rPr>
                <w:sz w:val="21"/>
                <w:szCs w:val="21"/>
              </w:rPr>
              <w:t>VOCs</w:t>
            </w:r>
            <w:r>
              <w:rPr>
                <w:rFonts w:hint="eastAsia"/>
                <w:sz w:val="21"/>
                <w:szCs w:val="21"/>
              </w:rPr>
              <w:t>达到《家具制造行业挥发性有机化合物排放标准》（</w:t>
            </w:r>
            <w:r>
              <w:rPr>
                <w:sz w:val="21"/>
                <w:szCs w:val="21"/>
              </w:rPr>
              <w:t>DB44/814-2010</w:t>
            </w:r>
            <w:r>
              <w:rPr>
                <w:rFonts w:hint="eastAsia"/>
                <w:sz w:val="21"/>
                <w:szCs w:val="21"/>
              </w:rPr>
              <w:t>），废气须通过</w:t>
            </w:r>
            <w:r>
              <w:rPr>
                <w:sz w:val="21"/>
                <w:szCs w:val="21"/>
              </w:rPr>
              <w:t>15m</w:t>
            </w:r>
            <w:r>
              <w:rPr>
                <w:rFonts w:hint="eastAsia"/>
                <w:sz w:val="21"/>
                <w:szCs w:val="21"/>
              </w:rPr>
              <w:t>高的排气筒外排；</w:t>
            </w:r>
            <w:r>
              <w:rPr>
                <w:sz w:val="21"/>
                <w:szCs w:val="21"/>
              </w:rPr>
              <w:t>2016</w:t>
            </w:r>
            <w:r>
              <w:rPr>
                <w:rFonts w:hint="eastAsia"/>
                <w:sz w:val="21"/>
                <w:szCs w:val="21"/>
              </w:rPr>
              <w:t>年</w:t>
            </w:r>
            <w:r>
              <w:rPr>
                <w:sz w:val="21"/>
                <w:szCs w:val="21"/>
              </w:rPr>
              <w:t>6</w:t>
            </w:r>
            <w:r>
              <w:rPr>
                <w:rFonts w:hint="eastAsia"/>
                <w:sz w:val="21"/>
                <w:szCs w:val="21"/>
              </w:rPr>
              <w:t>月</w:t>
            </w:r>
            <w:r>
              <w:rPr>
                <w:sz w:val="21"/>
                <w:szCs w:val="21"/>
              </w:rPr>
              <w:t>30</w:t>
            </w:r>
            <w:r>
              <w:rPr>
                <w:rFonts w:hint="eastAsia"/>
                <w:sz w:val="21"/>
                <w:szCs w:val="21"/>
              </w:rPr>
              <w:t>日前锅炉烟气须采用“布袋除尘</w:t>
            </w:r>
            <w:r>
              <w:rPr>
                <w:sz w:val="21"/>
                <w:szCs w:val="21"/>
              </w:rPr>
              <w:t>+</w:t>
            </w:r>
            <w:r>
              <w:rPr>
                <w:rFonts w:hint="eastAsia"/>
                <w:sz w:val="21"/>
                <w:szCs w:val="21"/>
              </w:rPr>
              <w:t>麻石水膜（碱液喷淋）”工艺处理，污染物</w:t>
            </w:r>
            <w:r>
              <w:rPr>
                <w:sz w:val="21"/>
                <w:szCs w:val="21"/>
              </w:rPr>
              <w:t>SO</w:t>
            </w:r>
            <w:r>
              <w:rPr>
                <w:sz w:val="21"/>
                <w:szCs w:val="21"/>
                <w:vertAlign w:val="subscript"/>
              </w:rPr>
              <w:t>2</w:t>
            </w:r>
            <w:r>
              <w:rPr>
                <w:rFonts w:hint="eastAsia"/>
                <w:sz w:val="21"/>
                <w:szCs w:val="21"/>
              </w:rPr>
              <w:t>、</w:t>
            </w:r>
            <w:r>
              <w:rPr>
                <w:sz w:val="21"/>
                <w:szCs w:val="21"/>
              </w:rPr>
              <w:t>NO</w:t>
            </w:r>
            <w:r>
              <w:rPr>
                <w:sz w:val="21"/>
                <w:szCs w:val="21"/>
                <w:vertAlign w:val="subscript"/>
              </w:rPr>
              <w:t>2</w:t>
            </w:r>
            <w:r>
              <w:rPr>
                <w:rFonts w:hint="eastAsia"/>
                <w:sz w:val="21"/>
                <w:szCs w:val="21"/>
              </w:rPr>
              <w:t>、烟尘和烟气黑度排放确保达到《锅炉大气污染物排放标准》（</w:t>
            </w:r>
            <w:r>
              <w:rPr>
                <w:sz w:val="21"/>
                <w:szCs w:val="21"/>
              </w:rPr>
              <w:t>DB44/765-2010</w:t>
            </w:r>
            <w:r>
              <w:rPr>
                <w:rFonts w:hint="eastAsia"/>
                <w:sz w:val="21"/>
                <w:szCs w:val="21"/>
              </w:rPr>
              <w:t>），废气须通过</w:t>
            </w:r>
            <w:r>
              <w:rPr>
                <w:sz w:val="21"/>
                <w:szCs w:val="21"/>
              </w:rPr>
              <w:t>45m</w:t>
            </w:r>
            <w:r>
              <w:rPr>
                <w:rFonts w:hint="eastAsia"/>
                <w:sz w:val="21"/>
                <w:szCs w:val="21"/>
              </w:rPr>
              <w:t>高的排气筒外排；</w:t>
            </w:r>
            <w:r>
              <w:rPr>
                <w:sz w:val="21"/>
                <w:szCs w:val="21"/>
              </w:rPr>
              <w:t>2016</w:t>
            </w:r>
            <w:r>
              <w:rPr>
                <w:rFonts w:hint="eastAsia"/>
                <w:sz w:val="21"/>
                <w:szCs w:val="21"/>
              </w:rPr>
              <w:t>年</w:t>
            </w:r>
            <w:r>
              <w:rPr>
                <w:sz w:val="21"/>
                <w:szCs w:val="21"/>
              </w:rPr>
              <w:t>7</w:t>
            </w:r>
            <w:r>
              <w:rPr>
                <w:rFonts w:hint="eastAsia"/>
                <w:sz w:val="21"/>
                <w:szCs w:val="21"/>
              </w:rPr>
              <w:t>月</w:t>
            </w:r>
            <w:r>
              <w:rPr>
                <w:sz w:val="21"/>
                <w:szCs w:val="21"/>
              </w:rPr>
              <w:t>1</w:t>
            </w:r>
            <w:r>
              <w:rPr>
                <w:rFonts w:hint="eastAsia"/>
                <w:sz w:val="21"/>
                <w:szCs w:val="21"/>
              </w:rPr>
              <w:t>日起锅炉烟气须经处理后，污染物</w:t>
            </w:r>
            <w:r>
              <w:rPr>
                <w:sz w:val="21"/>
                <w:szCs w:val="21"/>
              </w:rPr>
              <w:t>SO</w:t>
            </w:r>
            <w:r>
              <w:rPr>
                <w:sz w:val="21"/>
                <w:szCs w:val="21"/>
                <w:vertAlign w:val="subscript"/>
              </w:rPr>
              <w:t>2</w:t>
            </w:r>
            <w:r>
              <w:rPr>
                <w:rFonts w:hint="eastAsia"/>
                <w:sz w:val="21"/>
                <w:szCs w:val="21"/>
              </w:rPr>
              <w:t>、</w:t>
            </w:r>
            <w:r>
              <w:rPr>
                <w:sz w:val="21"/>
                <w:szCs w:val="21"/>
              </w:rPr>
              <w:t>NO</w:t>
            </w:r>
            <w:r>
              <w:rPr>
                <w:sz w:val="21"/>
                <w:szCs w:val="21"/>
                <w:vertAlign w:val="subscript"/>
              </w:rPr>
              <w:t>2</w:t>
            </w:r>
            <w:r>
              <w:rPr>
                <w:rFonts w:hint="eastAsia"/>
                <w:sz w:val="21"/>
                <w:szCs w:val="21"/>
              </w:rPr>
              <w:t>、烟尘和烟气黑度排放执行《锅炉大气污染物排放标准》（</w:t>
            </w:r>
            <w:r>
              <w:rPr>
                <w:sz w:val="21"/>
                <w:szCs w:val="21"/>
              </w:rPr>
              <w:t>GB13271-2014</w:t>
            </w:r>
            <w:r>
              <w:rPr>
                <w:rFonts w:hint="eastAsia"/>
                <w:sz w:val="21"/>
                <w:szCs w:val="21"/>
              </w:rPr>
              <w:t>）中表</w:t>
            </w:r>
            <w:r>
              <w:rPr>
                <w:sz w:val="21"/>
                <w:szCs w:val="21"/>
              </w:rPr>
              <w:t>1</w:t>
            </w:r>
            <w:r>
              <w:rPr>
                <w:rFonts w:hint="eastAsia"/>
                <w:sz w:val="21"/>
                <w:szCs w:val="21"/>
              </w:rPr>
              <w:t>规定的大气污染物排放限值，废气须通过</w:t>
            </w:r>
            <w:r>
              <w:rPr>
                <w:sz w:val="21"/>
                <w:szCs w:val="21"/>
              </w:rPr>
              <w:t>45m</w:t>
            </w:r>
            <w:r>
              <w:rPr>
                <w:rFonts w:hint="eastAsia"/>
                <w:sz w:val="21"/>
                <w:szCs w:val="21"/>
              </w:rPr>
              <w:t>高的排气筒外排。车间废气、锅炉烟气和罐区无组织排放废气须通过加强车间和罐区的排风、淋水降温、强化自然扩散稀释、注意容器的密闭性、减少挥发量等措施来减少无组织工艺废气排放。</w:t>
            </w:r>
          </w:p>
        </w:tc>
        <w:tc>
          <w:tcPr>
            <w:tcW w:w="4144" w:type="dxa"/>
            <w:vAlign w:val="center"/>
          </w:tcPr>
          <w:p>
            <w:pPr>
              <w:spacing w:line="360" w:lineRule="exact"/>
              <w:rPr>
                <w:rFonts w:ascii="宋体"/>
                <w:sz w:val="21"/>
                <w:szCs w:val="21"/>
              </w:rPr>
            </w:pPr>
            <w:r>
              <w:rPr>
                <w:rFonts w:hint="eastAsia" w:ascii="宋体"/>
                <w:sz w:val="21"/>
                <w:szCs w:val="21"/>
              </w:rPr>
              <w:t>已落实，经检测结果表明，本项目锅炉废气经</w:t>
            </w:r>
            <w:r>
              <w:rPr>
                <w:rFonts w:hint="eastAsia"/>
                <w:sz w:val="21"/>
                <w:szCs w:val="21"/>
              </w:rPr>
              <w:t>“布袋除尘</w:t>
            </w:r>
            <w:r>
              <w:rPr>
                <w:sz w:val="21"/>
                <w:szCs w:val="21"/>
              </w:rPr>
              <w:t>+</w:t>
            </w:r>
            <w:r>
              <w:rPr>
                <w:rFonts w:hint="eastAsia"/>
                <w:sz w:val="21"/>
                <w:szCs w:val="21"/>
              </w:rPr>
              <w:t>麻石水膜（碱液喷淋）”工艺处理后，达到《锅炉大气污染物排放标准》（</w:t>
            </w:r>
            <w:r>
              <w:rPr>
                <w:sz w:val="21"/>
                <w:szCs w:val="21"/>
              </w:rPr>
              <w:t>GB13271-2014</w:t>
            </w:r>
            <w:r>
              <w:rPr>
                <w:rFonts w:hint="eastAsia"/>
                <w:sz w:val="21"/>
                <w:szCs w:val="21"/>
              </w:rPr>
              <w:t>）中表</w:t>
            </w:r>
            <w:r>
              <w:rPr>
                <w:sz w:val="21"/>
                <w:szCs w:val="21"/>
              </w:rPr>
              <w:t>1</w:t>
            </w:r>
            <w:r>
              <w:rPr>
                <w:rFonts w:hint="eastAsia"/>
                <w:sz w:val="21"/>
                <w:szCs w:val="21"/>
              </w:rPr>
              <w:t>规定的大气污染物排放限值，经一条</w:t>
            </w:r>
            <w:r>
              <w:rPr>
                <w:sz w:val="21"/>
                <w:szCs w:val="21"/>
              </w:rPr>
              <w:t>45</w:t>
            </w:r>
            <w:r>
              <w:rPr>
                <w:rFonts w:hint="eastAsia"/>
                <w:sz w:val="21"/>
                <w:szCs w:val="21"/>
              </w:rPr>
              <w:t>米高排气筒排放，车间废气经“水喷淋</w:t>
            </w:r>
            <w:r>
              <w:rPr>
                <w:sz w:val="21"/>
                <w:szCs w:val="21"/>
              </w:rPr>
              <w:t>+</w:t>
            </w:r>
            <w:r>
              <w:rPr>
                <w:rFonts w:hint="eastAsia"/>
                <w:sz w:val="21"/>
                <w:szCs w:val="21"/>
              </w:rPr>
              <w:t>活性炭治理”措施处理后，二甲苯浓度低于《大气污染物排放限值》（</w:t>
            </w:r>
            <w:r>
              <w:rPr>
                <w:sz w:val="21"/>
                <w:szCs w:val="21"/>
              </w:rPr>
              <w:t>DB44/27-2001</w:t>
            </w:r>
            <w:r>
              <w:rPr>
                <w:rFonts w:hint="eastAsia"/>
                <w:sz w:val="21"/>
                <w:szCs w:val="21"/>
              </w:rPr>
              <w:t>）第二时段二级标准、</w:t>
            </w:r>
            <w:r>
              <w:rPr>
                <w:sz w:val="21"/>
                <w:szCs w:val="21"/>
              </w:rPr>
              <w:t>VOCs</w:t>
            </w:r>
            <w:r>
              <w:rPr>
                <w:rFonts w:hint="eastAsia"/>
                <w:sz w:val="21"/>
                <w:szCs w:val="21"/>
              </w:rPr>
              <w:t>浓度低于《家具制造行业挥发性有机化合物排放标准》（</w:t>
            </w:r>
            <w:r>
              <w:rPr>
                <w:sz w:val="21"/>
                <w:szCs w:val="21"/>
              </w:rPr>
              <w:t>DB44/814-2010</w:t>
            </w:r>
            <w:r>
              <w:rPr>
                <w:rFonts w:hint="eastAsia"/>
                <w:sz w:val="21"/>
                <w:szCs w:val="21"/>
              </w:rPr>
              <w:t>），车间废气经一条</w:t>
            </w:r>
            <w:r>
              <w:rPr>
                <w:sz w:val="21"/>
                <w:szCs w:val="21"/>
              </w:rPr>
              <w:t>15</w:t>
            </w:r>
            <w:r>
              <w:rPr>
                <w:rFonts w:hint="eastAsia"/>
                <w:sz w:val="21"/>
                <w:szCs w:val="21"/>
              </w:rPr>
              <w:t>米高排气筒高空排放。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rFonts w:ascii="宋体"/>
                <w:sz w:val="21"/>
                <w:szCs w:val="21"/>
              </w:rPr>
            </w:pPr>
            <w:r>
              <w:rPr>
                <w:rFonts w:hint="eastAsia" w:ascii="宋体" w:hAnsi="宋体"/>
                <w:sz w:val="21"/>
                <w:szCs w:val="21"/>
              </w:rPr>
              <w:t>噪声</w:t>
            </w:r>
          </w:p>
        </w:tc>
        <w:tc>
          <w:tcPr>
            <w:tcW w:w="660" w:type="dxa"/>
            <w:vAlign w:val="center"/>
          </w:tcPr>
          <w:p>
            <w:pPr>
              <w:spacing w:line="360" w:lineRule="exact"/>
              <w:jc w:val="center"/>
              <w:rPr>
                <w:rFonts w:ascii="宋体"/>
                <w:sz w:val="21"/>
                <w:szCs w:val="21"/>
              </w:rPr>
            </w:pPr>
            <w:r>
              <w:rPr>
                <w:rFonts w:ascii="宋体" w:hAnsi="宋体"/>
                <w:sz w:val="21"/>
                <w:szCs w:val="21"/>
              </w:rPr>
              <w:t>3</w:t>
            </w:r>
          </w:p>
        </w:tc>
        <w:tc>
          <w:tcPr>
            <w:tcW w:w="4350" w:type="dxa"/>
            <w:vAlign w:val="center"/>
          </w:tcPr>
          <w:p>
            <w:pPr>
              <w:adjustRightInd w:val="0"/>
              <w:snapToGrid w:val="0"/>
              <w:spacing w:line="360" w:lineRule="exact"/>
              <w:rPr>
                <w:rFonts w:ascii="宋体"/>
                <w:sz w:val="21"/>
                <w:szCs w:val="21"/>
              </w:rPr>
            </w:pPr>
            <w:r>
              <w:rPr>
                <w:rFonts w:hint="eastAsia"/>
                <w:sz w:val="21"/>
                <w:szCs w:val="21"/>
              </w:rPr>
              <w:t>采取减震、隔声、消声等有效措施防治生产过程中产生的噪声对周围环境的影响，噪声排放须满足《工业企业厂界环境噪声排放标准》（</w:t>
            </w:r>
            <w:r>
              <w:rPr>
                <w:sz w:val="21"/>
                <w:szCs w:val="21"/>
              </w:rPr>
              <w:t>GB12348-2008</w:t>
            </w:r>
            <w:r>
              <w:rPr>
                <w:rFonts w:hint="eastAsia"/>
                <w:sz w:val="21"/>
                <w:szCs w:val="21"/>
              </w:rPr>
              <w:t>）</w:t>
            </w:r>
            <w:r>
              <w:rPr>
                <w:sz w:val="21"/>
                <w:szCs w:val="21"/>
              </w:rPr>
              <w:t>3</w:t>
            </w:r>
            <w:r>
              <w:rPr>
                <w:rFonts w:hint="eastAsia"/>
                <w:sz w:val="21"/>
                <w:szCs w:val="21"/>
              </w:rPr>
              <w:t>类标准。</w:t>
            </w:r>
          </w:p>
        </w:tc>
        <w:tc>
          <w:tcPr>
            <w:tcW w:w="4144" w:type="dxa"/>
            <w:vAlign w:val="center"/>
          </w:tcPr>
          <w:p>
            <w:pPr>
              <w:adjustRightInd w:val="0"/>
              <w:snapToGrid w:val="0"/>
              <w:spacing w:line="360" w:lineRule="exact"/>
              <w:rPr>
                <w:rFonts w:ascii="宋体"/>
                <w:sz w:val="21"/>
                <w:szCs w:val="21"/>
              </w:rPr>
            </w:pPr>
            <w:r>
              <w:rPr>
                <w:rFonts w:hint="eastAsia" w:ascii="宋体"/>
                <w:sz w:val="21"/>
                <w:szCs w:val="21"/>
              </w:rPr>
              <w:t>已落实，经检测结果表明，</w:t>
            </w:r>
            <w:r>
              <w:rPr>
                <w:rFonts w:hint="eastAsia"/>
                <w:sz w:val="21"/>
                <w:szCs w:val="21"/>
              </w:rPr>
              <w:t>昼间厂界噪声等效声级范围为</w:t>
            </w:r>
            <w:r>
              <w:rPr>
                <w:sz w:val="21"/>
                <w:szCs w:val="21"/>
              </w:rPr>
              <w:t>59</w:t>
            </w:r>
            <w:r>
              <w:rPr>
                <w:rFonts w:hint="eastAsia"/>
                <w:sz w:val="21"/>
                <w:szCs w:val="21"/>
              </w:rPr>
              <w:t>～</w:t>
            </w:r>
            <w:r>
              <w:rPr>
                <w:sz w:val="21"/>
                <w:szCs w:val="21"/>
              </w:rPr>
              <w:t>62dB(A),</w:t>
            </w:r>
            <w:r>
              <w:rPr>
                <w:rFonts w:hint="eastAsia"/>
                <w:sz w:val="21"/>
                <w:szCs w:val="21"/>
              </w:rPr>
              <w:t>夜间厂界噪声等效声级范围为</w:t>
            </w:r>
            <w:r>
              <w:rPr>
                <w:sz w:val="21"/>
                <w:szCs w:val="21"/>
              </w:rPr>
              <w:t>49</w:t>
            </w:r>
            <w:r>
              <w:rPr>
                <w:rFonts w:hint="eastAsia"/>
                <w:sz w:val="21"/>
                <w:szCs w:val="21"/>
              </w:rPr>
              <w:t>～</w:t>
            </w:r>
            <w:r>
              <w:rPr>
                <w:sz w:val="21"/>
                <w:szCs w:val="21"/>
              </w:rPr>
              <w:t>52dB(A),</w:t>
            </w:r>
            <w:r>
              <w:rPr>
                <w:rFonts w:hint="eastAsia"/>
                <w:sz w:val="21"/>
                <w:szCs w:val="21"/>
              </w:rPr>
              <w:t>昼间和夜间厂界噪声均符合《工业企业厂界环境噪声排放标准》（</w:t>
            </w:r>
            <w:r>
              <w:rPr>
                <w:sz w:val="21"/>
                <w:szCs w:val="21"/>
              </w:rPr>
              <w:t>GB 12348-2008</w:t>
            </w:r>
            <w:r>
              <w:rPr>
                <w:rFonts w:hint="eastAsia"/>
                <w:sz w:val="21"/>
                <w:szCs w:val="21"/>
              </w:rPr>
              <w:t>）中的</w:t>
            </w:r>
            <w:r>
              <w:rPr>
                <w:sz w:val="21"/>
                <w:szCs w:val="21"/>
              </w:rPr>
              <w:t>3</w:t>
            </w:r>
            <w:r>
              <w:rPr>
                <w:rFonts w:hint="eastAsia"/>
                <w:sz w:val="21"/>
                <w:szCs w:val="21"/>
              </w:rPr>
              <w:t>类标准限值的要求。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rFonts w:ascii="宋体"/>
                <w:sz w:val="21"/>
                <w:szCs w:val="21"/>
              </w:rPr>
            </w:pPr>
            <w:r>
              <w:rPr>
                <w:rFonts w:hint="eastAsia"/>
                <w:sz w:val="21"/>
                <w:szCs w:val="21"/>
              </w:rPr>
              <w:t>固体废物</w:t>
            </w:r>
          </w:p>
        </w:tc>
        <w:tc>
          <w:tcPr>
            <w:tcW w:w="660" w:type="dxa"/>
            <w:vAlign w:val="center"/>
          </w:tcPr>
          <w:p>
            <w:pPr>
              <w:spacing w:line="360" w:lineRule="exact"/>
              <w:jc w:val="center"/>
              <w:rPr>
                <w:rFonts w:ascii="宋体"/>
                <w:sz w:val="21"/>
                <w:szCs w:val="21"/>
              </w:rPr>
            </w:pPr>
            <w:r>
              <w:rPr>
                <w:sz w:val="21"/>
                <w:szCs w:val="21"/>
              </w:rPr>
              <w:t>4</w:t>
            </w:r>
          </w:p>
        </w:tc>
        <w:tc>
          <w:tcPr>
            <w:tcW w:w="4350" w:type="dxa"/>
            <w:vAlign w:val="center"/>
          </w:tcPr>
          <w:p>
            <w:pPr>
              <w:adjustRightInd w:val="0"/>
              <w:snapToGrid w:val="0"/>
              <w:spacing w:line="360" w:lineRule="exact"/>
              <w:rPr>
                <w:sz w:val="21"/>
                <w:szCs w:val="21"/>
              </w:rPr>
            </w:pPr>
            <w:r>
              <w:rPr>
                <w:rFonts w:hint="eastAsia"/>
                <w:sz w:val="21"/>
                <w:szCs w:val="21"/>
              </w:rPr>
              <w:t>按照</w:t>
            </w:r>
            <w:r>
              <w:rPr>
                <w:sz w:val="21"/>
                <w:szCs w:val="21"/>
              </w:rPr>
              <w:t>“</w:t>
            </w:r>
            <w:r>
              <w:rPr>
                <w:rFonts w:hint="eastAsia"/>
                <w:sz w:val="21"/>
                <w:szCs w:val="21"/>
              </w:rPr>
              <w:t>减量化、资源化、无害化</w:t>
            </w:r>
            <w:r>
              <w:rPr>
                <w:sz w:val="21"/>
                <w:szCs w:val="21"/>
              </w:rPr>
              <w:t>”</w:t>
            </w:r>
            <w:r>
              <w:rPr>
                <w:rFonts w:hint="eastAsia"/>
                <w:sz w:val="21"/>
                <w:szCs w:val="21"/>
              </w:rPr>
              <w:t>的原则，建立固体废物的分类收集、储运及处置系统。须严格按照《一般工业固体废物贮存、处置场污染控制标准》（</w:t>
            </w:r>
            <w:r>
              <w:rPr>
                <w:sz w:val="21"/>
                <w:szCs w:val="21"/>
              </w:rPr>
              <w:t>GB18597-2001</w:t>
            </w:r>
            <w:r>
              <w:rPr>
                <w:rFonts w:hint="eastAsia"/>
                <w:sz w:val="21"/>
                <w:szCs w:val="21"/>
              </w:rPr>
              <w:t>）的要求进行设计、建设固废堆场，场地须硬底化，具有防渗透、防雨、防风、防流失等措施。项目生产过程中产生的废活性炭属于危险废物，禁止混入一般性固体废物。危险废物应委托有相应处理资质的单位进行处理处置，并严格执行危险废物转移联单制度；副产品</w:t>
            </w:r>
            <w:r>
              <w:rPr>
                <w:sz w:val="21"/>
                <w:szCs w:val="21"/>
              </w:rPr>
              <w:t>DT</w:t>
            </w:r>
            <w:r>
              <w:rPr>
                <w:rFonts w:hint="eastAsia"/>
                <w:sz w:val="21"/>
                <w:szCs w:val="21"/>
              </w:rPr>
              <w:t>和磷酸二氢钙，须经分类妥善收集贮存后、定期出售，不外排；废反渗透膜、废水处理站污泥和生活垃圾，须经分类妥善收集后定期委托环卫部门安全处理，不外排；煤渣须经收集后直接作为铺路材料外售。</w:t>
            </w:r>
          </w:p>
        </w:tc>
        <w:tc>
          <w:tcPr>
            <w:tcW w:w="4144" w:type="dxa"/>
            <w:vAlign w:val="center"/>
          </w:tcPr>
          <w:p>
            <w:pPr>
              <w:spacing w:line="360" w:lineRule="exact"/>
              <w:rPr>
                <w:sz w:val="21"/>
                <w:szCs w:val="21"/>
              </w:rPr>
            </w:pPr>
            <w:r>
              <w:rPr>
                <w:rFonts w:hint="eastAsia"/>
                <w:sz w:val="21"/>
                <w:szCs w:val="21"/>
              </w:rPr>
              <w:t>已落实，本项目建有危险废物暂存间，</w:t>
            </w:r>
            <w:r>
              <w:rPr>
                <w:rFonts w:hint="eastAsia"/>
                <w:color w:val="000000"/>
                <w:sz w:val="21"/>
                <w:szCs w:val="21"/>
              </w:rPr>
              <w:t>废活性炭（废气吸附）作为危险废物储存在危废暂存间，交由韶关绿然再生资源有限公司处置，</w:t>
            </w:r>
            <w:r>
              <w:rPr>
                <w:rFonts w:hint="eastAsia"/>
                <w:sz w:val="21"/>
                <w:szCs w:val="21"/>
              </w:rPr>
              <w:t>副产品</w:t>
            </w:r>
            <w:r>
              <w:rPr>
                <w:sz w:val="21"/>
                <w:szCs w:val="21"/>
              </w:rPr>
              <w:t>DT</w:t>
            </w:r>
            <w:r>
              <w:rPr>
                <w:rFonts w:hint="eastAsia"/>
                <w:sz w:val="21"/>
                <w:szCs w:val="21"/>
              </w:rPr>
              <w:t>须经分类妥善收集贮存后、定期出售，磷酸二氢钙，须经分类妥善收集贮存后、定期出售或厂区污水处理站内消耗，废反渗透膜、废水处理站污泥和生活垃圾，须经分类妥善收集后定期委托环卫部门安全处理，煤渣须经收集后直接作为铺路材料外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sz w:val="21"/>
                <w:szCs w:val="21"/>
              </w:rPr>
            </w:pPr>
            <w:r>
              <w:rPr>
                <w:rFonts w:hint="eastAsia"/>
                <w:sz w:val="21"/>
                <w:szCs w:val="21"/>
              </w:rPr>
              <w:t>安全管理</w:t>
            </w:r>
          </w:p>
        </w:tc>
        <w:tc>
          <w:tcPr>
            <w:tcW w:w="660" w:type="dxa"/>
            <w:vAlign w:val="center"/>
          </w:tcPr>
          <w:p>
            <w:pPr>
              <w:spacing w:line="360" w:lineRule="exact"/>
              <w:jc w:val="center"/>
              <w:rPr>
                <w:sz w:val="21"/>
                <w:szCs w:val="21"/>
              </w:rPr>
            </w:pPr>
            <w:r>
              <w:rPr>
                <w:sz w:val="21"/>
                <w:szCs w:val="21"/>
              </w:rPr>
              <w:t>5</w:t>
            </w:r>
          </w:p>
        </w:tc>
        <w:tc>
          <w:tcPr>
            <w:tcW w:w="4350" w:type="dxa"/>
            <w:vAlign w:val="center"/>
          </w:tcPr>
          <w:p>
            <w:pPr>
              <w:adjustRightInd w:val="0"/>
              <w:snapToGrid w:val="0"/>
              <w:spacing w:line="360" w:lineRule="exact"/>
              <w:rPr>
                <w:sz w:val="21"/>
                <w:szCs w:val="21"/>
              </w:rPr>
            </w:pPr>
            <w:r>
              <w:rPr>
                <w:rFonts w:hint="eastAsia"/>
                <w:sz w:val="21"/>
                <w:szCs w:val="21"/>
              </w:rPr>
              <w:t>按照《危险化学品安全管理条例》等有关要求，制定危险化学品安全管理制度，强化贮存和使用过程的管理，结合危险化学品类别制定有效、可操作性的环境风险事故防范措施和应急预案，最大限度地降低环境风险，确保环境安全。</w:t>
            </w:r>
          </w:p>
        </w:tc>
        <w:tc>
          <w:tcPr>
            <w:tcW w:w="4144" w:type="dxa"/>
            <w:vAlign w:val="center"/>
          </w:tcPr>
          <w:p>
            <w:pPr>
              <w:spacing w:line="360" w:lineRule="exact"/>
              <w:rPr>
                <w:sz w:val="21"/>
                <w:szCs w:val="21"/>
              </w:rPr>
            </w:pPr>
            <w:r>
              <w:rPr>
                <w:rFonts w:hint="eastAsia"/>
                <w:sz w:val="21"/>
                <w:szCs w:val="21"/>
              </w:rPr>
              <w:t>已落实，已设置</w:t>
            </w:r>
            <w:r>
              <w:rPr>
                <w:sz w:val="21"/>
                <w:szCs w:val="21"/>
              </w:rPr>
              <w:t>750m</w:t>
            </w:r>
            <w:r>
              <w:rPr>
                <w:sz w:val="21"/>
                <w:szCs w:val="21"/>
                <w:vertAlign w:val="superscript"/>
              </w:rPr>
              <w:t>3</w:t>
            </w:r>
            <w:r>
              <w:rPr>
                <w:rFonts w:hint="eastAsia"/>
                <w:sz w:val="21"/>
                <w:szCs w:val="21"/>
              </w:rPr>
              <w:t>的事故应急池和对项目罐区设置高度不低于</w:t>
            </w:r>
            <w:r>
              <w:rPr>
                <w:sz w:val="21"/>
                <w:szCs w:val="21"/>
              </w:rPr>
              <w:t>1</w:t>
            </w:r>
            <w:r>
              <w:rPr>
                <w:rFonts w:hint="eastAsia"/>
                <w:sz w:val="21"/>
                <w:szCs w:val="21"/>
              </w:rPr>
              <w:t>米，有效容积不小于</w:t>
            </w:r>
            <w:r>
              <w:rPr>
                <w:sz w:val="21"/>
                <w:szCs w:val="21"/>
              </w:rPr>
              <w:t>1575</w:t>
            </w:r>
            <w:r>
              <w:rPr>
                <w:rFonts w:hint="eastAsia"/>
                <w:sz w:val="21"/>
                <w:szCs w:val="21"/>
              </w:rPr>
              <w:t>立方米的罐区围堰，最大限度地降低环境风险，确保环境安全。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sz w:val="21"/>
                <w:szCs w:val="21"/>
              </w:rPr>
            </w:pPr>
            <w:r>
              <w:rPr>
                <w:rFonts w:hint="eastAsia"/>
                <w:sz w:val="21"/>
                <w:szCs w:val="21"/>
              </w:rPr>
              <w:t>清洁生产</w:t>
            </w:r>
          </w:p>
        </w:tc>
        <w:tc>
          <w:tcPr>
            <w:tcW w:w="660" w:type="dxa"/>
            <w:vAlign w:val="center"/>
          </w:tcPr>
          <w:p>
            <w:pPr>
              <w:spacing w:line="360" w:lineRule="exact"/>
              <w:jc w:val="center"/>
              <w:rPr>
                <w:sz w:val="21"/>
                <w:szCs w:val="21"/>
              </w:rPr>
            </w:pPr>
            <w:r>
              <w:rPr>
                <w:sz w:val="21"/>
                <w:szCs w:val="21"/>
              </w:rPr>
              <w:t>6</w:t>
            </w:r>
          </w:p>
        </w:tc>
        <w:tc>
          <w:tcPr>
            <w:tcW w:w="4350" w:type="dxa"/>
            <w:vAlign w:val="center"/>
          </w:tcPr>
          <w:p>
            <w:pPr>
              <w:adjustRightInd w:val="0"/>
              <w:snapToGrid w:val="0"/>
              <w:spacing w:line="360" w:lineRule="exact"/>
              <w:rPr>
                <w:sz w:val="21"/>
                <w:szCs w:val="21"/>
              </w:rPr>
            </w:pPr>
            <w:r>
              <w:rPr>
                <w:rFonts w:hint="eastAsia"/>
                <w:sz w:val="21"/>
                <w:szCs w:val="21"/>
              </w:rPr>
              <w:t>提高企业清洁生产水平。建立健全清洁生产组织机构、完善生产管理制度，加强岗位责任制，严格按操作规程</w:t>
            </w:r>
            <w:r>
              <w:rPr>
                <w:rFonts w:hint="eastAsia"/>
                <w:kern w:val="0"/>
                <w:sz w:val="21"/>
                <w:szCs w:val="21"/>
              </w:rPr>
              <w:t>进行工艺控制。减少设备</w:t>
            </w:r>
            <w:r>
              <w:rPr>
                <w:kern w:val="0"/>
                <w:sz w:val="21"/>
                <w:szCs w:val="21"/>
              </w:rPr>
              <w:t>“</w:t>
            </w:r>
            <w:r>
              <w:rPr>
                <w:rFonts w:hint="eastAsia"/>
                <w:kern w:val="0"/>
                <w:sz w:val="21"/>
                <w:szCs w:val="21"/>
              </w:rPr>
              <w:t>跑、冒、滴、漏</w:t>
            </w:r>
            <w:r>
              <w:rPr>
                <w:kern w:val="0"/>
                <w:sz w:val="21"/>
                <w:szCs w:val="21"/>
              </w:rPr>
              <w:t>”</w:t>
            </w:r>
            <w:r>
              <w:rPr>
                <w:rFonts w:hint="eastAsia"/>
                <w:kern w:val="0"/>
                <w:sz w:val="21"/>
                <w:szCs w:val="21"/>
              </w:rPr>
              <w:t>，采取新生产工艺和技术提高资源利用率，减少能耗、消耗。</w:t>
            </w:r>
          </w:p>
        </w:tc>
        <w:tc>
          <w:tcPr>
            <w:tcW w:w="4144" w:type="dxa"/>
            <w:vAlign w:val="center"/>
          </w:tcPr>
          <w:p>
            <w:pPr>
              <w:spacing w:line="360" w:lineRule="exact"/>
              <w:rPr>
                <w:sz w:val="21"/>
                <w:szCs w:val="21"/>
              </w:rPr>
            </w:pPr>
            <w:r>
              <w:rPr>
                <w:rFonts w:hint="eastAsia"/>
                <w:sz w:val="21"/>
                <w:szCs w:val="21"/>
              </w:rPr>
              <w:t>已落实。项目最大限度提高废水回用率，减少生产废水的排放。采取高效、节能、环保的生产工艺技术和设备，减少能耗、物耗，达到国内同行业清洁生产的先进水平。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sz w:val="21"/>
                <w:szCs w:val="21"/>
              </w:rPr>
            </w:pPr>
            <w:r>
              <w:rPr>
                <w:rFonts w:hint="eastAsia"/>
                <w:sz w:val="21"/>
                <w:szCs w:val="21"/>
              </w:rPr>
              <w:t>卫生防护距离</w:t>
            </w:r>
          </w:p>
        </w:tc>
        <w:tc>
          <w:tcPr>
            <w:tcW w:w="660" w:type="dxa"/>
            <w:vAlign w:val="center"/>
          </w:tcPr>
          <w:p>
            <w:pPr>
              <w:spacing w:line="360" w:lineRule="exact"/>
              <w:jc w:val="center"/>
              <w:rPr>
                <w:sz w:val="21"/>
                <w:szCs w:val="21"/>
              </w:rPr>
            </w:pPr>
            <w:r>
              <w:rPr>
                <w:sz w:val="21"/>
                <w:szCs w:val="21"/>
              </w:rPr>
              <w:t>7</w:t>
            </w:r>
          </w:p>
        </w:tc>
        <w:tc>
          <w:tcPr>
            <w:tcW w:w="4350" w:type="dxa"/>
            <w:vAlign w:val="center"/>
          </w:tcPr>
          <w:p>
            <w:pPr>
              <w:adjustRightInd w:val="0"/>
              <w:snapToGrid w:val="0"/>
              <w:spacing w:line="360" w:lineRule="exact"/>
              <w:rPr>
                <w:sz w:val="21"/>
                <w:szCs w:val="21"/>
              </w:rPr>
            </w:pPr>
            <w:r>
              <w:rPr>
                <w:rFonts w:hint="eastAsia"/>
                <w:sz w:val="21"/>
                <w:szCs w:val="21"/>
              </w:rPr>
              <w:t>落实《报告书》提出设置</w:t>
            </w:r>
            <w:r>
              <w:rPr>
                <w:sz w:val="21"/>
                <w:szCs w:val="21"/>
              </w:rPr>
              <w:t>100</w:t>
            </w:r>
            <w:r>
              <w:rPr>
                <w:rFonts w:hint="eastAsia"/>
                <w:sz w:val="21"/>
                <w:szCs w:val="21"/>
              </w:rPr>
              <w:t>米的卫生防护距离的要求。</w:t>
            </w:r>
          </w:p>
        </w:tc>
        <w:tc>
          <w:tcPr>
            <w:tcW w:w="4144" w:type="dxa"/>
            <w:vAlign w:val="center"/>
          </w:tcPr>
          <w:p>
            <w:pPr>
              <w:spacing w:line="360" w:lineRule="exact"/>
              <w:rPr>
                <w:sz w:val="21"/>
                <w:szCs w:val="21"/>
              </w:rPr>
            </w:pPr>
            <w:r>
              <w:rPr>
                <w:rFonts w:hint="eastAsia"/>
                <w:sz w:val="21"/>
                <w:szCs w:val="21"/>
              </w:rPr>
              <w:t>已落实，据调查，该项目四周均为山地，据调查附近</w:t>
            </w:r>
            <w:r>
              <w:rPr>
                <w:sz w:val="21"/>
                <w:szCs w:val="21"/>
              </w:rPr>
              <w:t>100</w:t>
            </w:r>
            <w:r>
              <w:rPr>
                <w:rFonts w:hint="eastAsia"/>
                <w:sz w:val="21"/>
                <w:szCs w:val="21"/>
              </w:rPr>
              <w:t>米内无学校、居民住宅等环境敏感建筑。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56" w:type="dxa"/>
            <w:vAlign w:val="center"/>
          </w:tcPr>
          <w:p>
            <w:pPr>
              <w:spacing w:line="360" w:lineRule="exact"/>
              <w:jc w:val="center"/>
              <w:rPr>
                <w:sz w:val="21"/>
                <w:szCs w:val="21"/>
              </w:rPr>
            </w:pPr>
            <w:r>
              <w:rPr>
                <w:rFonts w:hint="eastAsia"/>
                <w:sz w:val="21"/>
                <w:szCs w:val="21"/>
              </w:rPr>
              <w:t>总量控制</w:t>
            </w:r>
          </w:p>
        </w:tc>
        <w:tc>
          <w:tcPr>
            <w:tcW w:w="660" w:type="dxa"/>
            <w:vAlign w:val="center"/>
          </w:tcPr>
          <w:p>
            <w:pPr>
              <w:spacing w:line="360" w:lineRule="exact"/>
              <w:jc w:val="center"/>
              <w:rPr>
                <w:sz w:val="21"/>
                <w:szCs w:val="21"/>
              </w:rPr>
            </w:pPr>
            <w:r>
              <w:rPr>
                <w:sz w:val="21"/>
                <w:szCs w:val="21"/>
              </w:rPr>
              <w:t>8</w:t>
            </w:r>
          </w:p>
        </w:tc>
        <w:tc>
          <w:tcPr>
            <w:tcW w:w="4350" w:type="dxa"/>
            <w:vAlign w:val="center"/>
          </w:tcPr>
          <w:p>
            <w:pPr>
              <w:adjustRightInd w:val="0"/>
              <w:snapToGrid w:val="0"/>
              <w:spacing w:line="360" w:lineRule="exact"/>
              <w:rPr>
                <w:color w:val="auto"/>
                <w:sz w:val="21"/>
                <w:szCs w:val="21"/>
              </w:rPr>
            </w:pPr>
            <w:r>
              <w:rPr>
                <w:rFonts w:hint="eastAsia"/>
                <w:color w:val="auto"/>
                <w:sz w:val="21"/>
                <w:szCs w:val="21"/>
              </w:rPr>
              <w:t>同意《报告书》提出的污染物排放总量控制指标：</w:t>
            </w:r>
            <w:r>
              <w:rPr>
                <w:color w:val="auto"/>
                <w:sz w:val="21"/>
                <w:szCs w:val="21"/>
              </w:rPr>
              <w:t>SO</w:t>
            </w:r>
            <w:r>
              <w:rPr>
                <w:color w:val="auto"/>
                <w:sz w:val="21"/>
                <w:szCs w:val="21"/>
                <w:vertAlign w:val="subscript"/>
              </w:rPr>
              <w:t>2</w:t>
            </w:r>
            <w:r>
              <w:rPr>
                <w:rFonts w:hint="eastAsia"/>
                <w:color w:val="auto"/>
                <w:sz w:val="21"/>
                <w:szCs w:val="21"/>
              </w:rPr>
              <w:t>：</w:t>
            </w:r>
            <w:r>
              <w:rPr>
                <w:color w:val="auto"/>
                <w:sz w:val="21"/>
                <w:szCs w:val="21"/>
              </w:rPr>
              <w:t>5.35t/a</w:t>
            </w:r>
            <w:r>
              <w:rPr>
                <w:rFonts w:hint="eastAsia"/>
                <w:color w:val="auto"/>
                <w:sz w:val="21"/>
                <w:szCs w:val="21"/>
              </w:rPr>
              <w:t>；</w:t>
            </w:r>
            <w:r>
              <w:rPr>
                <w:color w:val="auto"/>
                <w:sz w:val="21"/>
                <w:szCs w:val="21"/>
              </w:rPr>
              <w:t>COD</w:t>
            </w:r>
            <w:r>
              <w:rPr>
                <w:rFonts w:hint="eastAsia"/>
                <w:color w:val="auto"/>
                <w:sz w:val="21"/>
                <w:szCs w:val="21"/>
              </w:rPr>
              <w:t>：</w:t>
            </w:r>
            <w:r>
              <w:rPr>
                <w:color w:val="auto"/>
                <w:sz w:val="21"/>
                <w:szCs w:val="21"/>
              </w:rPr>
              <w:t>2.7t/a</w:t>
            </w:r>
            <w:r>
              <w:rPr>
                <w:rFonts w:hint="eastAsia"/>
                <w:color w:val="auto"/>
                <w:sz w:val="21"/>
                <w:szCs w:val="21"/>
              </w:rPr>
              <w:t>；</w:t>
            </w:r>
            <w:r>
              <w:rPr>
                <w:color w:val="auto"/>
                <w:sz w:val="21"/>
                <w:szCs w:val="21"/>
              </w:rPr>
              <w:t>NOx</w:t>
            </w:r>
            <w:r>
              <w:rPr>
                <w:rFonts w:hint="eastAsia"/>
                <w:color w:val="auto"/>
                <w:sz w:val="21"/>
                <w:szCs w:val="21"/>
              </w:rPr>
              <w:t>：</w:t>
            </w:r>
            <w:r>
              <w:rPr>
                <w:color w:val="auto"/>
                <w:sz w:val="21"/>
                <w:szCs w:val="21"/>
              </w:rPr>
              <w:t>8.25t/a</w:t>
            </w:r>
            <w:r>
              <w:rPr>
                <w:rFonts w:hint="eastAsia"/>
                <w:color w:val="auto"/>
                <w:sz w:val="21"/>
                <w:szCs w:val="21"/>
              </w:rPr>
              <w:t>；</w:t>
            </w:r>
            <w:r>
              <w:rPr>
                <w:color w:val="auto"/>
                <w:sz w:val="21"/>
                <w:szCs w:val="21"/>
              </w:rPr>
              <w:t>NH</w:t>
            </w:r>
            <w:r>
              <w:rPr>
                <w:color w:val="auto"/>
                <w:sz w:val="21"/>
                <w:szCs w:val="21"/>
                <w:vertAlign w:val="subscript"/>
              </w:rPr>
              <w:t>3</w:t>
            </w:r>
            <w:r>
              <w:rPr>
                <w:color w:val="auto"/>
                <w:sz w:val="21"/>
                <w:szCs w:val="21"/>
              </w:rPr>
              <w:t>-N</w:t>
            </w:r>
            <w:r>
              <w:rPr>
                <w:rFonts w:hint="eastAsia"/>
                <w:color w:val="auto"/>
                <w:sz w:val="21"/>
                <w:szCs w:val="21"/>
              </w:rPr>
              <w:t>：</w:t>
            </w:r>
            <w:r>
              <w:rPr>
                <w:color w:val="auto"/>
                <w:sz w:val="21"/>
                <w:szCs w:val="21"/>
              </w:rPr>
              <w:t>0.3t/a</w:t>
            </w:r>
            <w:r>
              <w:rPr>
                <w:rFonts w:hint="eastAsia"/>
                <w:color w:val="auto"/>
                <w:sz w:val="21"/>
                <w:szCs w:val="21"/>
              </w:rPr>
              <w:t>；</w:t>
            </w:r>
            <w:r>
              <w:rPr>
                <w:color w:val="auto"/>
                <w:sz w:val="21"/>
                <w:szCs w:val="21"/>
              </w:rPr>
              <w:t>TVOC</w:t>
            </w:r>
            <w:r>
              <w:rPr>
                <w:rFonts w:hint="eastAsia"/>
                <w:color w:val="auto"/>
                <w:sz w:val="21"/>
                <w:szCs w:val="21"/>
              </w:rPr>
              <w:t>：</w:t>
            </w:r>
            <w:r>
              <w:rPr>
                <w:color w:val="auto"/>
                <w:sz w:val="21"/>
                <w:szCs w:val="21"/>
              </w:rPr>
              <w:t>0.28t/a</w:t>
            </w:r>
            <w:r>
              <w:rPr>
                <w:rFonts w:hint="eastAsia"/>
                <w:color w:val="auto"/>
                <w:sz w:val="21"/>
                <w:szCs w:val="21"/>
              </w:rPr>
              <w:t>；粉尘：</w:t>
            </w:r>
            <w:r>
              <w:rPr>
                <w:color w:val="auto"/>
                <w:sz w:val="21"/>
                <w:szCs w:val="21"/>
              </w:rPr>
              <w:t>0.67t/a</w:t>
            </w:r>
            <w:r>
              <w:rPr>
                <w:rFonts w:hint="eastAsia"/>
                <w:color w:val="auto"/>
                <w:sz w:val="21"/>
                <w:szCs w:val="21"/>
              </w:rPr>
              <w:t>。总量控制指标由翁源县安排。</w:t>
            </w:r>
          </w:p>
        </w:tc>
        <w:tc>
          <w:tcPr>
            <w:tcW w:w="4144" w:type="dxa"/>
            <w:vAlign w:val="center"/>
          </w:tcPr>
          <w:p>
            <w:pPr>
              <w:spacing w:line="360" w:lineRule="exact"/>
              <w:rPr>
                <w:color w:val="auto"/>
                <w:sz w:val="21"/>
                <w:szCs w:val="21"/>
              </w:rPr>
            </w:pPr>
            <w:r>
              <w:rPr>
                <w:rFonts w:hint="eastAsia"/>
                <w:sz w:val="21"/>
                <w:szCs w:val="21"/>
              </w:rPr>
              <w:t>已落实。本项目污染物中的化学需氧量、氨氮、二氧化硫、</w:t>
            </w:r>
            <w:r>
              <w:rPr>
                <w:rFonts w:hint="eastAsia"/>
                <w:sz w:val="21"/>
                <w:szCs w:val="21"/>
                <w:lang w:eastAsia="zh-CN"/>
              </w:rPr>
              <w:t>氮氧化物</w:t>
            </w:r>
            <w:r>
              <w:rPr>
                <w:rFonts w:hint="eastAsia"/>
                <w:sz w:val="21"/>
                <w:szCs w:val="21"/>
              </w:rPr>
              <w:t>、</w:t>
            </w:r>
            <w:r>
              <w:rPr>
                <w:sz w:val="21"/>
                <w:szCs w:val="21"/>
              </w:rPr>
              <w:t>VOCs</w:t>
            </w:r>
            <w:r>
              <w:rPr>
                <w:rFonts w:hint="eastAsia"/>
                <w:sz w:val="21"/>
                <w:szCs w:val="21"/>
              </w:rPr>
              <w:t>和粉尘的实际排放总量均符合韶环审</w:t>
            </w:r>
            <w:r>
              <w:rPr>
                <w:sz w:val="21"/>
                <w:szCs w:val="21"/>
              </w:rPr>
              <w:t>[2015]348</w:t>
            </w:r>
            <w:r>
              <w:rPr>
                <w:rFonts w:hint="eastAsia"/>
                <w:sz w:val="21"/>
                <w:szCs w:val="21"/>
              </w:rPr>
              <w:t>号《韶关市环境保护局关于翁源广业清怡食品科技有限公司年产</w:t>
            </w:r>
            <w:r>
              <w:rPr>
                <w:sz w:val="21"/>
                <w:szCs w:val="21"/>
              </w:rPr>
              <w:t>600</w:t>
            </w:r>
            <w:r>
              <w:rPr>
                <w:rFonts w:hint="eastAsia"/>
                <w:sz w:val="21"/>
                <w:szCs w:val="21"/>
              </w:rPr>
              <w:t>吨食品抗氧化剂</w:t>
            </w:r>
            <w:r>
              <w:rPr>
                <w:sz w:val="21"/>
                <w:szCs w:val="21"/>
              </w:rPr>
              <w:t>TBHQ</w:t>
            </w:r>
            <w:r>
              <w:rPr>
                <w:rFonts w:hint="eastAsia"/>
                <w:sz w:val="21"/>
                <w:szCs w:val="21"/>
              </w:rPr>
              <w:t>建设项目环境影响报告书审批意见的函》下达本验收项目各污染物总量控制指标要求。</w:t>
            </w:r>
          </w:p>
        </w:tc>
      </w:tr>
    </w:tbl>
    <w:p/>
    <w:p>
      <w:pPr>
        <w:spacing w:line="360" w:lineRule="auto"/>
        <w:ind w:right="-1162"/>
        <w:jc w:val="center"/>
      </w:pPr>
    </w:p>
    <w:p>
      <w:pPr>
        <w:jc w:val="center"/>
        <w:rPr>
          <w:rFonts w:cs="宋体"/>
          <w:color w:val="000000"/>
        </w:rPr>
      </w:pPr>
      <w:r>
        <w:rPr>
          <w:rFonts w:hint="eastAsia" w:cs="宋体"/>
          <w:b/>
          <w:color w:val="000000"/>
        </w:rPr>
        <w:t>表</w:t>
      </w:r>
      <w:r>
        <w:rPr>
          <w:rFonts w:cs="宋体"/>
          <w:b/>
          <w:color w:val="000000"/>
        </w:rPr>
        <w:t xml:space="preserve">10-2   </w:t>
      </w:r>
      <w:r>
        <w:rPr>
          <w:rFonts w:hint="eastAsia" w:cs="宋体"/>
          <w:b/>
          <w:color w:val="000000"/>
        </w:rPr>
        <w:t>环保设施</w:t>
      </w:r>
      <w:r>
        <w:rPr>
          <w:rFonts w:cs="宋体"/>
          <w:b/>
          <w:color w:val="000000"/>
        </w:rPr>
        <w:t>(</w:t>
      </w:r>
      <w:r>
        <w:rPr>
          <w:rFonts w:hint="eastAsia" w:cs="宋体"/>
          <w:b/>
          <w:color w:val="000000"/>
        </w:rPr>
        <w:t>措施</w:t>
      </w:r>
      <w:r>
        <w:rPr>
          <w:rFonts w:cs="宋体"/>
          <w:b/>
          <w:color w:val="000000"/>
        </w:rPr>
        <w:t>)</w:t>
      </w:r>
      <w:r>
        <w:rPr>
          <w:rFonts w:hint="eastAsia" w:cs="宋体"/>
          <w:b/>
          <w:color w:val="000000"/>
        </w:rPr>
        <w:t>落实情况及环评结论要求情况表</w:t>
      </w:r>
    </w:p>
    <w:tbl>
      <w:tblPr>
        <w:tblStyle w:val="47"/>
        <w:tblW w:w="9910" w:type="dxa"/>
        <w:jc w:val="center"/>
        <w:tblInd w:w="-92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71"/>
        <w:gridCol w:w="660"/>
        <w:gridCol w:w="4335"/>
        <w:gridCol w:w="414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49" w:hRule="atLeast"/>
          <w:jc w:val="center"/>
        </w:trPr>
        <w:tc>
          <w:tcPr>
            <w:tcW w:w="771" w:type="dxa"/>
            <w:vAlign w:val="center"/>
          </w:tcPr>
          <w:p>
            <w:pPr>
              <w:jc w:val="center"/>
              <w:rPr>
                <w:sz w:val="21"/>
                <w:szCs w:val="21"/>
              </w:rPr>
            </w:pPr>
            <w:r>
              <w:rPr>
                <w:rFonts w:hint="eastAsia"/>
                <w:sz w:val="21"/>
                <w:szCs w:val="21"/>
              </w:rPr>
              <w:t>项目</w:t>
            </w:r>
          </w:p>
        </w:tc>
        <w:tc>
          <w:tcPr>
            <w:tcW w:w="660" w:type="dxa"/>
            <w:vAlign w:val="center"/>
          </w:tcPr>
          <w:p>
            <w:pPr>
              <w:jc w:val="center"/>
              <w:rPr>
                <w:sz w:val="21"/>
                <w:szCs w:val="21"/>
              </w:rPr>
            </w:pPr>
            <w:r>
              <w:rPr>
                <w:rFonts w:hint="eastAsia"/>
                <w:sz w:val="21"/>
                <w:szCs w:val="21"/>
              </w:rPr>
              <w:t>序号</w:t>
            </w:r>
          </w:p>
        </w:tc>
        <w:tc>
          <w:tcPr>
            <w:tcW w:w="4335" w:type="dxa"/>
            <w:vAlign w:val="center"/>
          </w:tcPr>
          <w:p>
            <w:pPr>
              <w:jc w:val="center"/>
              <w:rPr>
                <w:sz w:val="21"/>
                <w:szCs w:val="21"/>
              </w:rPr>
            </w:pPr>
            <w:r>
              <w:rPr>
                <w:rFonts w:hint="eastAsia"/>
                <w:sz w:val="21"/>
                <w:szCs w:val="21"/>
              </w:rPr>
              <w:t>环评结论要求</w:t>
            </w:r>
          </w:p>
        </w:tc>
        <w:tc>
          <w:tcPr>
            <w:tcW w:w="4144" w:type="dxa"/>
            <w:vAlign w:val="center"/>
          </w:tcPr>
          <w:p>
            <w:pPr>
              <w:jc w:val="center"/>
              <w:rPr>
                <w:sz w:val="21"/>
                <w:szCs w:val="21"/>
              </w:rPr>
            </w:pPr>
            <w:r>
              <w:rPr>
                <w:rFonts w:hint="eastAsia"/>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4" w:hRule="atLeast"/>
          <w:jc w:val="center"/>
        </w:trPr>
        <w:tc>
          <w:tcPr>
            <w:tcW w:w="771" w:type="dxa"/>
            <w:vAlign w:val="center"/>
          </w:tcPr>
          <w:p>
            <w:pPr>
              <w:jc w:val="center"/>
              <w:rPr>
                <w:sz w:val="21"/>
                <w:szCs w:val="21"/>
              </w:rPr>
            </w:pPr>
            <w:r>
              <w:rPr>
                <w:rFonts w:hint="eastAsia"/>
                <w:sz w:val="21"/>
                <w:szCs w:val="21"/>
              </w:rPr>
              <w:t>废水</w:t>
            </w:r>
          </w:p>
        </w:tc>
        <w:tc>
          <w:tcPr>
            <w:tcW w:w="660" w:type="dxa"/>
            <w:vAlign w:val="center"/>
          </w:tcPr>
          <w:p>
            <w:pPr>
              <w:jc w:val="center"/>
              <w:rPr>
                <w:sz w:val="21"/>
                <w:szCs w:val="21"/>
              </w:rPr>
            </w:pPr>
            <w:r>
              <w:rPr>
                <w:sz w:val="21"/>
                <w:szCs w:val="21"/>
              </w:rPr>
              <w:t>1</w:t>
            </w:r>
          </w:p>
        </w:tc>
        <w:tc>
          <w:tcPr>
            <w:tcW w:w="4335" w:type="dxa"/>
            <w:vAlign w:val="center"/>
          </w:tcPr>
          <w:p>
            <w:pPr>
              <w:pStyle w:val="14"/>
              <w:snapToGrid w:val="0"/>
              <w:spacing w:line="240" w:lineRule="auto"/>
              <w:ind w:firstLine="480"/>
              <w:rPr>
                <w:rFonts w:ascii="Times New Roman" w:hAnsi="Times New Roman" w:cs="Times New Roman"/>
                <w:sz w:val="21"/>
                <w:szCs w:val="21"/>
              </w:rPr>
            </w:pPr>
            <w:r>
              <w:rPr>
                <w:rFonts w:hint="eastAsia" w:ascii="Times New Roman" w:hAnsi="Times New Roman" w:cs="Times New Roman"/>
                <w:sz w:val="21"/>
                <w:szCs w:val="21"/>
              </w:rPr>
              <w:t>本项目废水主要为生产废水、生活污水和初期雨水，产生的废水经管网进入现有的污水处理站，废水处理站采用</w:t>
            </w:r>
            <w:r>
              <w:rPr>
                <w:rFonts w:ascii="Times New Roman" w:hAnsi="Times New Roman" w:cs="Times New Roman"/>
                <w:sz w:val="21"/>
                <w:szCs w:val="21"/>
              </w:rPr>
              <w:t>“</w:t>
            </w:r>
            <w:r>
              <w:rPr>
                <w:rFonts w:hint="eastAsia" w:ascii="Times New Roman" w:hAnsi="Times New Roman" w:cs="Times New Roman"/>
                <w:sz w:val="21"/>
                <w:szCs w:val="21"/>
              </w:rPr>
              <w:t>催化氧化</w:t>
            </w:r>
            <w:r>
              <w:rPr>
                <w:rFonts w:ascii="Times New Roman" w:hAnsi="Times New Roman" w:cs="Times New Roman"/>
                <w:sz w:val="21"/>
                <w:szCs w:val="21"/>
              </w:rPr>
              <w:t>+</w:t>
            </w:r>
            <w:r>
              <w:rPr>
                <w:rFonts w:hint="eastAsia" w:ascii="Times New Roman" w:hAnsi="Times New Roman" w:cs="Times New Roman"/>
                <w:sz w:val="21"/>
                <w:szCs w:val="21"/>
              </w:rPr>
              <w:t>生化</w:t>
            </w:r>
            <w:r>
              <w:rPr>
                <w:rFonts w:ascii="Times New Roman" w:hAnsi="Times New Roman" w:cs="Times New Roman"/>
                <w:sz w:val="21"/>
                <w:szCs w:val="21"/>
              </w:rPr>
              <w:t>+</w:t>
            </w:r>
            <w:r>
              <w:rPr>
                <w:rFonts w:hint="eastAsia" w:ascii="Times New Roman" w:hAnsi="Times New Roman" w:cs="Times New Roman"/>
                <w:sz w:val="21"/>
                <w:szCs w:val="21"/>
              </w:rPr>
              <w:t>深度处理</w:t>
            </w:r>
            <w:r>
              <w:rPr>
                <w:rFonts w:ascii="Times New Roman" w:hAnsi="Times New Roman" w:cs="Times New Roman"/>
                <w:sz w:val="21"/>
                <w:szCs w:val="21"/>
              </w:rPr>
              <w:t>”</w:t>
            </w:r>
            <w:r>
              <w:rPr>
                <w:rFonts w:hint="eastAsia" w:ascii="Times New Roman" w:hAnsi="Times New Roman" w:cs="Times New Roman"/>
                <w:sz w:val="21"/>
                <w:szCs w:val="21"/>
              </w:rPr>
              <w:t>工艺，经处理后的废水达到广东省《水污染物排放限值》（</w:t>
            </w:r>
            <w:r>
              <w:rPr>
                <w:rFonts w:ascii="Times New Roman" w:hAnsi="Times New Roman" w:cs="Times New Roman"/>
                <w:sz w:val="21"/>
                <w:szCs w:val="21"/>
              </w:rPr>
              <w:t>DB 44/26-2001</w:t>
            </w:r>
            <w:r>
              <w:rPr>
                <w:rFonts w:hint="eastAsia" w:ascii="Times New Roman" w:hAnsi="Times New Roman" w:cs="Times New Roman"/>
                <w:sz w:val="21"/>
                <w:szCs w:val="21"/>
              </w:rPr>
              <w:t>）第二时段一级标准后，通过污水管网排放至横石水。</w:t>
            </w:r>
          </w:p>
        </w:tc>
        <w:tc>
          <w:tcPr>
            <w:tcW w:w="4144" w:type="dxa"/>
            <w:vAlign w:val="center"/>
          </w:tcPr>
          <w:p>
            <w:pPr>
              <w:adjustRightInd w:val="0"/>
              <w:snapToGrid w:val="0"/>
              <w:rPr>
                <w:sz w:val="21"/>
                <w:szCs w:val="21"/>
              </w:rPr>
            </w:pPr>
            <w:r>
              <w:rPr>
                <w:rFonts w:hint="eastAsia"/>
                <w:sz w:val="21"/>
                <w:szCs w:val="21"/>
              </w:rPr>
              <w:t>已落实，经检测结果表明，本项目废水经过废水处理站处理后达到广东省地方标准《水污染物排放限值》（</w:t>
            </w:r>
            <w:r>
              <w:rPr>
                <w:sz w:val="21"/>
                <w:szCs w:val="21"/>
              </w:rPr>
              <w:t>DB44/26-2001</w:t>
            </w:r>
            <w:r>
              <w:rPr>
                <w:rFonts w:hint="eastAsia"/>
                <w:sz w:val="21"/>
                <w:szCs w:val="21"/>
              </w:rPr>
              <w:t>）第二时段一级标准后排放。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71" w:type="dxa"/>
            <w:vAlign w:val="center"/>
          </w:tcPr>
          <w:p>
            <w:pPr>
              <w:jc w:val="center"/>
              <w:rPr>
                <w:sz w:val="21"/>
                <w:szCs w:val="21"/>
              </w:rPr>
            </w:pPr>
            <w:r>
              <w:rPr>
                <w:rFonts w:hint="eastAsia"/>
                <w:sz w:val="21"/>
                <w:szCs w:val="21"/>
              </w:rPr>
              <w:t>废气</w:t>
            </w:r>
          </w:p>
        </w:tc>
        <w:tc>
          <w:tcPr>
            <w:tcW w:w="660" w:type="dxa"/>
            <w:vAlign w:val="center"/>
          </w:tcPr>
          <w:p>
            <w:pPr>
              <w:jc w:val="center"/>
              <w:rPr>
                <w:sz w:val="21"/>
                <w:szCs w:val="21"/>
              </w:rPr>
            </w:pPr>
            <w:r>
              <w:rPr>
                <w:sz w:val="21"/>
                <w:szCs w:val="21"/>
              </w:rPr>
              <w:t>2</w:t>
            </w:r>
          </w:p>
        </w:tc>
        <w:tc>
          <w:tcPr>
            <w:tcW w:w="4335" w:type="dxa"/>
            <w:vAlign w:val="center"/>
          </w:tcPr>
          <w:p>
            <w:pPr>
              <w:snapToGrid w:val="0"/>
              <w:ind w:firstLine="630" w:firstLineChars="300"/>
              <w:rPr>
                <w:rFonts w:hAnsi="宋体"/>
                <w:kern w:val="0"/>
                <w:sz w:val="21"/>
                <w:szCs w:val="21"/>
              </w:rPr>
            </w:pPr>
            <w:r>
              <w:rPr>
                <w:rFonts w:hint="eastAsia" w:hAnsi="宋体"/>
                <w:kern w:val="0"/>
                <w:sz w:val="21"/>
                <w:szCs w:val="21"/>
              </w:rPr>
              <w:t>本项目产生的废气主要为车间废气、锅炉烟气和罐区废气。</w:t>
            </w:r>
            <w:r>
              <w:rPr>
                <w:rFonts w:hint="eastAsia"/>
                <w:kern w:val="0"/>
                <w:sz w:val="21"/>
                <w:szCs w:val="21"/>
              </w:rPr>
              <w:t>车间废气采用水喷淋</w:t>
            </w:r>
            <w:r>
              <w:rPr>
                <w:kern w:val="0"/>
                <w:sz w:val="21"/>
                <w:szCs w:val="21"/>
              </w:rPr>
              <w:t>+</w:t>
            </w:r>
            <w:r>
              <w:rPr>
                <w:rFonts w:hint="eastAsia"/>
                <w:kern w:val="0"/>
                <w:sz w:val="21"/>
                <w:szCs w:val="21"/>
              </w:rPr>
              <w:t>活性炭治理措施后，能够满足广东省《大气污染物排放限值》（</w:t>
            </w:r>
            <w:r>
              <w:rPr>
                <w:kern w:val="0"/>
                <w:sz w:val="21"/>
                <w:szCs w:val="21"/>
              </w:rPr>
              <w:t>DB 44/27-2001</w:t>
            </w:r>
            <w:r>
              <w:rPr>
                <w:rFonts w:hint="eastAsia"/>
                <w:kern w:val="0"/>
                <w:sz w:val="21"/>
                <w:szCs w:val="21"/>
              </w:rPr>
              <w:t>）第二时段二</w:t>
            </w:r>
            <w:r>
              <w:rPr>
                <w:rFonts w:hint="eastAsia" w:hAnsi="宋体"/>
                <w:kern w:val="0"/>
                <w:sz w:val="21"/>
                <w:szCs w:val="21"/>
              </w:rPr>
              <w:t>级标准，</w:t>
            </w:r>
            <w:r>
              <w:rPr>
                <w:rFonts w:hint="eastAsia"/>
                <w:color w:val="000000"/>
                <w:sz w:val="21"/>
                <w:szCs w:val="21"/>
              </w:rPr>
              <w:t>《家具制造行业挥发性有机化合物排放标准》（</w:t>
            </w:r>
            <w:r>
              <w:rPr>
                <w:color w:val="000000"/>
                <w:sz w:val="21"/>
                <w:szCs w:val="21"/>
              </w:rPr>
              <w:t>DB44/814-2010</w:t>
            </w:r>
            <w:r>
              <w:rPr>
                <w:rFonts w:hint="eastAsia"/>
                <w:color w:val="000000"/>
                <w:sz w:val="21"/>
                <w:szCs w:val="21"/>
              </w:rPr>
              <w:t>）</w:t>
            </w:r>
            <w:r>
              <w:rPr>
                <w:rFonts w:hint="eastAsia" w:hAnsi="宋体"/>
                <w:kern w:val="0"/>
                <w:sz w:val="21"/>
                <w:szCs w:val="21"/>
              </w:rPr>
              <w:t>，达标的废气经</w:t>
            </w:r>
            <w:r>
              <w:rPr>
                <w:rFonts w:hAnsi="宋体"/>
                <w:kern w:val="0"/>
                <w:sz w:val="21"/>
                <w:szCs w:val="21"/>
              </w:rPr>
              <w:t>15</w:t>
            </w:r>
            <w:r>
              <w:rPr>
                <w:rFonts w:hint="eastAsia" w:hAnsi="宋体"/>
                <w:kern w:val="0"/>
                <w:sz w:val="21"/>
                <w:szCs w:val="21"/>
              </w:rPr>
              <w:t>米高的排气筒外排。</w:t>
            </w:r>
          </w:p>
          <w:p>
            <w:pPr>
              <w:adjustRightInd w:val="0"/>
              <w:snapToGrid w:val="0"/>
              <w:ind w:firstLine="420" w:firstLineChars="200"/>
              <w:rPr>
                <w:sz w:val="21"/>
                <w:szCs w:val="21"/>
              </w:rPr>
            </w:pPr>
            <w:r>
              <w:rPr>
                <w:rFonts w:hint="eastAsia" w:hAnsi="宋体"/>
                <w:kern w:val="0"/>
                <w:sz w:val="21"/>
                <w:szCs w:val="21"/>
              </w:rPr>
              <w:t>锅炉烟气采用</w:t>
            </w:r>
            <w:r>
              <w:rPr>
                <w:rFonts w:hint="eastAsia" w:ascii="宋体"/>
                <w:sz w:val="21"/>
                <w:szCs w:val="21"/>
              </w:rPr>
              <w:t>“</w:t>
            </w:r>
            <w:r>
              <w:rPr>
                <w:rFonts w:hint="eastAsia" w:ascii="宋体" w:hAnsi="宋体"/>
                <w:sz w:val="21"/>
                <w:szCs w:val="21"/>
              </w:rPr>
              <w:t>布袋除尘</w:t>
            </w:r>
            <w:r>
              <w:rPr>
                <w:rFonts w:ascii="宋体" w:hAnsi="宋体"/>
                <w:sz w:val="21"/>
                <w:szCs w:val="21"/>
              </w:rPr>
              <w:t>+</w:t>
            </w:r>
            <w:r>
              <w:rPr>
                <w:rFonts w:hint="eastAsia" w:ascii="宋体" w:hAnsi="宋体"/>
                <w:sz w:val="21"/>
                <w:szCs w:val="21"/>
              </w:rPr>
              <w:t>麻石水膜</w:t>
            </w:r>
            <w:r>
              <w:rPr>
                <w:rFonts w:hint="eastAsia"/>
                <w:sz w:val="21"/>
                <w:szCs w:val="21"/>
              </w:rPr>
              <w:t>（碱液喷淋）”除尘效率达</w:t>
            </w:r>
            <w:r>
              <w:rPr>
                <w:sz w:val="21"/>
                <w:szCs w:val="21"/>
              </w:rPr>
              <w:t>99%</w:t>
            </w:r>
            <w:r>
              <w:rPr>
                <w:rFonts w:hint="eastAsia"/>
                <w:sz w:val="21"/>
                <w:szCs w:val="21"/>
              </w:rPr>
              <w:t>以上，脱硫率达</w:t>
            </w:r>
            <w:r>
              <w:rPr>
                <w:sz w:val="21"/>
                <w:szCs w:val="21"/>
              </w:rPr>
              <w:t>80%</w:t>
            </w:r>
            <w:r>
              <w:rPr>
                <w:rFonts w:hint="eastAsia"/>
                <w:sz w:val="21"/>
                <w:szCs w:val="21"/>
              </w:rPr>
              <w:t>以上，可达到广东省地方标准《锅炉大气污染物排放标准》（</w:t>
            </w:r>
            <w:r>
              <w:rPr>
                <w:sz w:val="21"/>
                <w:szCs w:val="21"/>
              </w:rPr>
              <w:t>DB44 /765-2010</w:t>
            </w:r>
            <w:r>
              <w:rPr>
                <w:rFonts w:hint="eastAsia"/>
                <w:sz w:val="21"/>
                <w:szCs w:val="21"/>
              </w:rPr>
              <w:t>）中</w:t>
            </w:r>
            <w:r>
              <w:rPr>
                <w:sz w:val="21"/>
                <w:szCs w:val="21"/>
              </w:rPr>
              <w:t>B</w:t>
            </w:r>
            <w:r>
              <w:rPr>
                <w:rFonts w:hint="eastAsia"/>
                <w:sz w:val="21"/>
                <w:szCs w:val="21"/>
              </w:rPr>
              <w:t>区相应限值要求，经处理后的烟气经</w:t>
            </w:r>
            <w:r>
              <w:rPr>
                <w:sz w:val="21"/>
                <w:szCs w:val="21"/>
              </w:rPr>
              <w:t>45</w:t>
            </w:r>
            <w:r>
              <w:rPr>
                <w:rFonts w:hint="eastAsia"/>
                <w:sz w:val="21"/>
                <w:szCs w:val="21"/>
              </w:rPr>
              <w:t>米高的排气筒外排。</w:t>
            </w:r>
          </w:p>
        </w:tc>
        <w:tc>
          <w:tcPr>
            <w:tcW w:w="4144" w:type="dxa"/>
            <w:vAlign w:val="center"/>
          </w:tcPr>
          <w:p>
            <w:pPr>
              <w:rPr>
                <w:sz w:val="21"/>
                <w:szCs w:val="21"/>
              </w:rPr>
            </w:pPr>
            <w:r>
              <w:rPr>
                <w:rFonts w:hint="eastAsia"/>
                <w:sz w:val="21"/>
                <w:szCs w:val="21"/>
              </w:rPr>
              <w:t>已落实，经检测结果表明，本项目锅炉废气经</w:t>
            </w:r>
            <w:r>
              <w:rPr>
                <w:sz w:val="21"/>
                <w:szCs w:val="21"/>
              </w:rPr>
              <w:t>“</w:t>
            </w:r>
            <w:r>
              <w:rPr>
                <w:rFonts w:hint="eastAsia"/>
                <w:sz w:val="21"/>
                <w:szCs w:val="21"/>
              </w:rPr>
              <w:t>布袋除尘</w:t>
            </w:r>
            <w:r>
              <w:rPr>
                <w:sz w:val="21"/>
                <w:szCs w:val="21"/>
              </w:rPr>
              <w:t>+</w:t>
            </w:r>
            <w:r>
              <w:rPr>
                <w:rFonts w:hint="eastAsia"/>
                <w:sz w:val="21"/>
                <w:szCs w:val="21"/>
              </w:rPr>
              <w:t>麻石水膜（碱液喷淋）</w:t>
            </w:r>
            <w:r>
              <w:rPr>
                <w:sz w:val="21"/>
                <w:szCs w:val="21"/>
              </w:rPr>
              <w:t>”</w:t>
            </w:r>
            <w:r>
              <w:rPr>
                <w:rFonts w:hint="eastAsia"/>
                <w:sz w:val="21"/>
                <w:szCs w:val="21"/>
              </w:rPr>
              <w:t>工艺处理后，达到《锅炉大气污染物排放标准》（</w:t>
            </w:r>
            <w:r>
              <w:rPr>
                <w:sz w:val="21"/>
                <w:szCs w:val="21"/>
              </w:rPr>
              <w:t>GB13271-2014</w:t>
            </w:r>
            <w:r>
              <w:rPr>
                <w:rFonts w:hint="eastAsia"/>
                <w:sz w:val="21"/>
                <w:szCs w:val="21"/>
              </w:rPr>
              <w:t>）中表</w:t>
            </w:r>
            <w:r>
              <w:rPr>
                <w:sz w:val="21"/>
                <w:szCs w:val="21"/>
              </w:rPr>
              <w:t>1</w:t>
            </w:r>
            <w:r>
              <w:rPr>
                <w:rFonts w:hint="eastAsia"/>
                <w:sz w:val="21"/>
                <w:szCs w:val="21"/>
              </w:rPr>
              <w:t>规定的大气污染物排放限值，经一条</w:t>
            </w:r>
            <w:r>
              <w:rPr>
                <w:sz w:val="21"/>
                <w:szCs w:val="21"/>
              </w:rPr>
              <w:t>45</w:t>
            </w:r>
            <w:r>
              <w:rPr>
                <w:rFonts w:hint="eastAsia"/>
                <w:sz w:val="21"/>
                <w:szCs w:val="21"/>
              </w:rPr>
              <w:t>米高排气筒排放，车间废气经</w:t>
            </w:r>
            <w:r>
              <w:rPr>
                <w:sz w:val="21"/>
                <w:szCs w:val="21"/>
              </w:rPr>
              <w:t>“</w:t>
            </w:r>
            <w:r>
              <w:rPr>
                <w:rFonts w:hint="eastAsia"/>
                <w:sz w:val="21"/>
                <w:szCs w:val="21"/>
              </w:rPr>
              <w:t>水喷淋</w:t>
            </w:r>
            <w:r>
              <w:rPr>
                <w:sz w:val="21"/>
                <w:szCs w:val="21"/>
              </w:rPr>
              <w:t>+</w:t>
            </w:r>
            <w:r>
              <w:rPr>
                <w:rFonts w:hint="eastAsia"/>
                <w:sz w:val="21"/>
                <w:szCs w:val="21"/>
              </w:rPr>
              <w:t>活性炭治理</w:t>
            </w:r>
            <w:r>
              <w:rPr>
                <w:sz w:val="21"/>
                <w:szCs w:val="21"/>
              </w:rPr>
              <w:t>”</w:t>
            </w:r>
            <w:r>
              <w:rPr>
                <w:rFonts w:hint="eastAsia"/>
                <w:sz w:val="21"/>
                <w:szCs w:val="21"/>
              </w:rPr>
              <w:t>措施处理后，二甲苯浓度低于《大气污染物排放限值》（</w:t>
            </w:r>
            <w:r>
              <w:rPr>
                <w:sz w:val="21"/>
                <w:szCs w:val="21"/>
              </w:rPr>
              <w:t>DB44/27-2001</w:t>
            </w:r>
            <w:r>
              <w:rPr>
                <w:rFonts w:hint="eastAsia"/>
                <w:sz w:val="21"/>
                <w:szCs w:val="21"/>
              </w:rPr>
              <w:t>）第二时段二级标准、</w:t>
            </w:r>
            <w:r>
              <w:rPr>
                <w:sz w:val="21"/>
                <w:szCs w:val="21"/>
              </w:rPr>
              <w:t>VOCs</w:t>
            </w:r>
            <w:r>
              <w:rPr>
                <w:rFonts w:hint="eastAsia"/>
                <w:sz w:val="21"/>
                <w:szCs w:val="21"/>
              </w:rPr>
              <w:t>浓度低于《家具制造行业挥发性有机化合物排放标准》（</w:t>
            </w:r>
            <w:r>
              <w:rPr>
                <w:sz w:val="21"/>
                <w:szCs w:val="21"/>
              </w:rPr>
              <w:t>DB44/814-2010</w:t>
            </w:r>
            <w:r>
              <w:rPr>
                <w:rFonts w:hint="eastAsia"/>
                <w:sz w:val="21"/>
                <w:szCs w:val="21"/>
              </w:rPr>
              <w:t>），车间废气经一条</w:t>
            </w:r>
            <w:r>
              <w:rPr>
                <w:sz w:val="21"/>
                <w:szCs w:val="21"/>
              </w:rPr>
              <w:t>15</w:t>
            </w:r>
            <w:r>
              <w:rPr>
                <w:rFonts w:hint="eastAsia"/>
                <w:sz w:val="21"/>
                <w:szCs w:val="21"/>
              </w:rPr>
              <w:t>米高排气筒高空排放。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03" w:hRule="atLeast"/>
          <w:jc w:val="center"/>
        </w:trPr>
        <w:tc>
          <w:tcPr>
            <w:tcW w:w="771" w:type="dxa"/>
            <w:vAlign w:val="center"/>
          </w:tcPr>
          <w:p>
            <w:pPr>
              <w:jc w:val="center"/>
              <w:rPr>
                <w:sz w:val="21"/>
                <w:szCs w:val="21"/>
              </w:rPr>
            </w:pPr>
            <w:r>
              <w:rPr>
                <w:rFonts w:hint="eastAsia"/>
                <w:sz w:val="21"/>
                <w:szCs w:val="21"/>
              </w:rPr>
              <w:t>噪声</w:t>
            </w:r>
          </w:p>
        </w:tc>
        <w:tc>
          <w:tcPr>
            <w:tcW w:w="660" w:type="dxa"/>
            <w:vAlign w:val="center"/>
          </w:tcPr>
          <w:p>
            <w:pPr>
              <w:jc w:val="center"/>
              <w:rPr>
                <w:sz w:val="21"/>
                <w:szCs w:val="21"/>
              </w:rPr>
            </w:pPr>
            <w:r>
              <w:rPr>
                <w:sz w:val="21"/>
                <w:szCs w:val="21"/>
              </w:rPr>
              <w:t>3</w:t>
            </w:r>
          </w:p>
        </w:tc>
        <w:tc>
          <w:tcPr>
            <w:tcW w:w="4335" w:type="dxa"/>
            <w:vAlign w:val="center"/>
          </w:tcPr>
          <w:p>
            <w:pPr>
              <w:snapToGrid w:val="0"/>
              <w:ind w:firstLine="420" w:firstLineChars="200"/>
              <w:rPr>
                <w:sz w:val="21"/>
                <w:szCs w:val="21"/>
              </w:rPr>
            </w:pPr>
            <w:r>
              <w:rPr>
                <w:rFonts w:hint="eastAsia" w:hAnsi="宋体"/>
                <w:sz w:val="21"/>
                <w:szCs w:val="21"/>
              </w:rPr>
              <w:t>①选用低噪声泵体等设备；②对车间各种泵体、风机、空压机等安装隔音罩；③水泵与基础之间配置减震器。对噪声强度比较大的设备，采取隔音降噪的措施，同时尽量把这些设备安装在室内，注意维护设备的完好性。</w:t>
            </w:r>
            <w:r>
              <w:rPr>
                <w:rFonts w:hint="eastAsia" w:hAnsi="宋体"/>
                <w:kern w:val="0"/>
                <w:sz w:val="21"/>
                <w:szCs w:val="21"/>
              </w:rPr>
              <w:t>经过以上一系列的措施，可以大大降低噪声源强，最大程度减少噪声对周围环境的影响。</w:t>
            </w:r>
          </w:p>
        </w:tc>
        <w:tc>
          <w:tcPr>
            <w:tcW w:w="4144" w:type="dxa"/>
            <w:vAlign w:val="center"/>
          </w:tcPr>
          <w:p>
            <w:pPr>
              <w:adjustRightInd w:val="0"/>
              <w:snapToGrid w:val="0"/>
              <w:rPr>
                <w:sz w:val="21"/>
                <w:szCs w:val="21"/>
              </w:rPr>
            </w:pPr>
            <w:r>
              <w:rPr>
                <w:rFonts w:hint="eastAsia"/>
                <w:sz w:val="21"/>
                <w:szCs w:val="21"/>
              </w:rPr>
              <w:t>已落实，经检测结果表明，昼间厂界噪声等效声级范围为</w:t>
            </w:r>
            <w:r>
              <w:rPr>
                <w:sz w:val="21"/>
                <w:szCs w:val="21"/>
              </w:rPr>
              <w:t>59</w:t>
            </w:r>
            <w:r>
              <w:rPr>
                <w:rFonts w:hint="eastAsia"/>
                <w:sz w:val="21"/>
                <w:szCs w:val="21"/>
              </w:rPr>
              <w:t>～</w:t>
            </w:r>
            <w:r>
              <w:rPr>
                <w:sz w:val="21"/>
                <w:szCs w:val="21"/>
              </w:rPr>
              <w:t>62dB(A),</w:t>
            </w:r>
            <w:r>
              <w:rPr>
                <w:rFonts w:hint="eastAsia"/>
                <w:sz w:val="21"/>
                <w:szCs w:val="21"/>
              </w:rPr>
              <w:t>夜间厂界噪声等效声级范围为</w:t>
            </w:r>
            <w:r>
              <w:rPr>
                <w:sz w:val="21"/>
                <w:szCs w:val="21"/>
              </w:rPr>
              <w:t>49</w:t>
            </w:r>
            <w:r>
              <w:rPr>
                <w:rFonts w:hint="eastAsia"/>
                <w:sz w:val="21"/>
                <w:szCs w:val="21"/>
              </w:rPr>
              <w:t>～</w:t>
            </w:r>
            <w:r>
              <w:rPr>
                <w:sz w:val="21"/>
                <w:szCs w:val="21"/>
              </w:rPr>
              <w:t>52dB(A),</w:t>
            </w:r>
            <w:r>
              <w:rPr>
                <w:rFonts w:hint="eastAsia"/>
                <w:sz w:val="21"/>
                <w:szCs w:val="21"/>
              </w:rPr>
              <w:t>昼间和夜间厂界噪声均符合《工业企业厂界环境噪声排放标准》（</w:t>
            </w:r>
            <w:r>
              <w:rPr>
                <w:sz w:val="21"/>
                <w:szCs w:val="21"/>
              </w:rPr>
              <w:t>GB 12348-2008</w:t>
            </w:r>
            <w:r>
              <w:rPr>
                <w:rFonts w:hint="eastAsia"/>
                <w:sz w:val="21"/>
                <w:szCs w:val="21"/>
              </w:rPr>
              <w:t>）中的</w:t>
            </w:r>
            <w:r>
              <w:rPr>
                <w:sz w:val="21"/>
                <w:szCs w:val="21"/>
              </w:rPr>
              <w:t>3</w:t>
            </w:r>
            <w:r>
              <w:rPr>
                <w:rFonts w:hint="eastAsia"/>
                <w:sz w:val="21"/>
                <w:szCs w:val="21"/>
              </w:rPr>
              <w:t>类标准限值的要求。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70" w:hRule="atLeast"/>
          <w:jc w:val="center"/>
        </w:trPr>
        <w:tc>
          <w:tcPr>
            <w:tcW w:w="771" w:type="dxa"/>
            <w:vAlign w:val="center"/>
          </w:tcPr>
          <w:p>
            <w:pPr>
              <w:jc w:val="center"/>
              <w:rPr>
                <w:sz w:val="21"/>
                <w:szCs w:val="21"/>
              </w:rPr>
            </w:pPr>
            <w:r>
              <w:rPr>
                <w:rFonts w:hint="eastAsia"/>
                <w:sz w:val="21"/>
                <w:szCs w:val="21"/>
              </w:rPr>
              <w:t>固体废物</w:t>
            </w:r>
          </w:p>
        </w:tc>
        <w:tc>
          <w:tcPr>
            <w:tcW w:w="660" w:type="dxa"/>
            <w:vAlign w:val="center"/>
          </w:tcPr>
          <w:p>
            <w:pPr>
              <w:jc w:val="center"/>
              <w:rPr>
                <w:sz w:val="21"/>
                <w:szCs w:val="21"/>
              </w:rPr>
            </w:pPr>
            <w:r>
              <w:rPr>
                <w:sz w:val="21"/>
                <w:szCs w:val="21"/>
              </w:rPr>
              <w:t>4</w:t>
            </w:r>
          </w:p>
        </w:tc>
        <w:tc>
          <w:tcPr>
            <w:tcW w:w="4335" w:type="dxa"/>
            <w:vAlign w:val="center"/>
          </w:tcPr>
          <w:p>
            <w:pPr>
              <w:adjustRightInd w:val="0"/>
              <w:snapToGrid w:val="0"/>
              <w:ind w:firstLine="420" w:firstLineChars="200"/>
              <w:rPr>
                <w:sz w:val="21"/>
                <w:szCs w:val="21"/>
              </w:rPr>
            </w:pPr>
            <w:r>
              <w:rPr>
                <w:rFonts w:hint="eastAsia"/>
                <w:sz w:val="21"/>
                <w:szCs w:val="21"/>
              </w:rPr>
              <w:t>本项目生产过程产生的固体废物主要包括</w:t>
            </w:r>
            <w:r>
              <w:rPr>
                <w:rFonts w:hint="eastAsia" w:hAnsi="宋体"/>
                <w:sz w:val="21"/>
                <w:szCs w:val="21"/>
              </w:rPr>
              <w:t>磷酸二氢钙、副产品</w:t>
            </w:r>
            <w:r>
              <w:rPr>
                <w:rFonts w:hAnsi="宋体"/>
                <w:sz w:val="21"/>
                <w:szCs w:val="21"/>
              </w:rPr>
              <w:t>DT</w:t>
            </w:r>
            <w:r>
              <w:rPr>
                <w:rFonts w:hint="eastAsia" w:hAnsi="宋体"/>
                <w:sz w:val="21"/>
                <w:szCs w:val="21"/>
              </w:rPr>
              <w:t>、煤渣、废反渗透膜、生活垃圾、废水处理站污泥和废活性炭（废气吸附）</w:t>
            </w:r>
            <w:r>
              <w:rPr>
                <w:rFonts w:hint="eastAsia"/>
                <w:sz w:val="21"/>
                <w:szCs w:val="21"/>
              </w:rPr>
              <w:t>。建设单位拟实行分类收集、分别处置；磷酸二氢钙和副产品</w:t>
            </w:r>
            <w:r>
              <w:rPr>
                <w:sz w:val="21"/>
                <w:szCs w:val="21"/>
              </w:rPr>
              <w:t>DT</w:t>
            </w:r>
            <w:r>
              <w:rPr>
                <w:rFonts w:hint="eastAsia"/>
                <w:sz w:val="21"/>
                <w:szCs w:val="21"/>
              </w:rPr>
              <w:t>作为资源，外售；煤渣外运铺路；废反渗透膜、生活垃圾和废水处理站污泥交由环卫部门安全填埋；废活性炭（废气吸附），集中收集，委托具有危险废物处理资质的单位处理。</w:t>
            </w:r>
          </w:p>
          <w:p>
            <w:pPr>
              <w:pStyle w:val="14"/>
              <w:snapToGrid w:val="0"/>
              <w:spacing w:line="240" w:lineRule="auto"/>
              <w:ind w:firstLine="480"/>
              <w:rPr>
                <w:rFonts w:ascii="Times New Roman" w:hAnsi="Times New Roman" w:cs="Times New Roman"/>
                <w:sz w:val="21"/>
                <w:szCs w:val="21"/>
              </w:rPr>
            </w:pPr>
            <w:r>
              <w:rPr>
                <w:rFonts w:hint="eastAsia"/>
                <w:sz w:val="21"/>
                <w:szCs w:val="21"/>
              </w:rPr>
              <w:t>本项目利用厂区已有的一般固体废物储存区和危险固废储存区，各储存区分开并设有明显标志，按照《一般工业固体废物贮存、处理场污染控制标准》（</w:t>
            </w:r>
            <w:r>
              <w:rPr>
                <w:sz w:val="21"/>
                <w:szCs w:val="21"/>
              </w:rPr>
              <w:t>GB 18599-2001</w:t>
            </w:r>
            <w:r>
              <w:rPr>
                <w:rFonts w:hint="eastAsia"/>
                <w:sz w:val="21"/>
                <w:szCs w:val="21"/>
              </w:rPr>
              <w:t>）和《危险废物贮存污染控制标准》（</w:t>
            </w:r>
            <w:r>
              <w:rPr>
                <w:sz w:val="21"/>
                <w:szCs w:val="21"/>
              </w:rPr>
              <w:t>GB 18597-2001</w:t>
            </w:r>
            <w:r>
              <w:rPr>
                <w:rFonts w:hint="eastAsia"/>
                <w:sz w:val="21"/>
                <w:szCs w:val="21"/>
              </w:rPr>
              <w:t>）规范建设和使用。</w:t>
            </w:r>
          </w:p>
        </w:tc>
        <w:tc>
          <w:tcPr>
            <w:tcW w:w="4144" w:type="dxa"/>
            <w:vAlign w:val="center"/>
          </w:tcPr>
          <w:p>
            <w:pPr>
              <w:rPr>
                <w:sz w:val="21"/>
                <w:szCs w:val="21"/>
              </w:rPr>
            </w:pPr>
            <w:r>
              <w:rPr>
                <w:rFonts w:hint="eastAsia"/>
                <w:sz w:val="21"/>
                <w:szCs w:val="21"/>
              </w:rPr>
              <w:t>已落实，本项目建有危险废物暂存间，</w:t>
            </w:r>
            <w:r>
              <w:rPr>
                <w:rFonts w:hint="eastAsia"/>
                <w:color w:val="000000"/>
                <w:sz w:val="21"/>
                <w:szCs w:val="21"/>
              </w:rPr>
              <w:t>废活性炭（废气吸附）作为危险废物储存在危废暂存间，交由韶关绿然再生资源有限公司处置，</w:t>
            </w:r>
            <w:r>
              <w:rPr>
                <w:rFonts w:hint="eastAsia"/>
                <w:sz w:val="21"/>
                <w:szCs w:val="21"/>
              </w:rPr>
              <w:t>副产品</w:t>
            </w:r>
            <w:r>
              <w:rPr>
                <w:sz w:val="21"/>
                <w:szCs w:val="21"/>
              </w:rPr>
              <w:t>DT</w:t>
            </w:r>
            <w:r>
              <w:rPr>
                <w:rFonts w:hint="eastAsia"/>
                <w:sz w:val="21"/>
                <w:szCs w:val="21"/>
              </w:rPr>
              <w:t>须经分类妥善收集贮存后、定期出售，磷酸二氢钙，须经分类妥善收集贮存后、定期出售或厂区污水处理站内消耗，废反渗透膜、废水处理站污泥和生活垃圾，须经分类妥善收集后定期委托环卫部门安全处理，煤渣须经收集后直接作为铺路材料外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225" w:hRule="atLeast"/>
          <w:jc w:val="center"/>
        </w:trPr>
        <w:tc>
          <w:tcPr>
            <w:tcW w:w="771" w:type="dxa"/>
            <w:vAlign w:val="center"/>
          </w:tcPr>
          <w:p>
            <w:pPr>
              <w:jc w:val="center"/>
              <w:rPr>
                <w:sz w:val="21"/>
                <w:szCs w:val="21"/>
              </w:rPr>
            </w:pPr>
            <w:r>
              <w:rPr>
                <w:rFonts w:hint="eastAsia"/>
                <w:sz w:val="21"/>
                <w:szCs w:val="21"/>
              </w:rPr>
              <w:t>环境风险评价</w:t>
            </w:r>
          </w:p>
        </w:tc>
        <w:tc>
          <w:tcPr>
            <w:tcW w:w="660" w:type="dxa"/>
            <w:vAlign w:val="center"/>
          </w:tcPr>
          <w:p>
            <w:pPr>
              <w:jc w:val="center"/>
              <w:rPr>
                <w:sz w:val="21"/>
                <w:szCs w:val="21"/>
              </w:rPr>
            </w:pPr>
            <w:r>
              <w:rPr>
                <w:sz w:val="21"/>
                <w:szCs w:val="21"/>
              </w:rPr>
              <w:t>5</w:t>
            </w:r>
          </w:p>
        </w:tc>
        <w:tc>
          <w:tcPr>
            <w:tcW w:w="4335" w:type="dxa"/>
            <w:vAlign w:val="center"/>
          </w:tcPr>
          <w:p>
            <w:pPr>
              <w:adjustRightInd w:val="0"/>
              <w:snapToGrid w:val="0"/>
              <w:ind w:firstLine="420" w:firstLineChars="200"/>
              <w:rPr>
                <w:sz w:val="21"/>
                <w:szCs w:val="21"/>
              </w:rPr>
            </w:pPr>
            <w:r>
              <w:rPr>
                <w:rFonts w:hint="eastAsia"/>
                <w:sz w:val="21"/>
                <w:szCs w:val="21"/>
              </w:rPr>
              <w:t>本项目的主要环境风险因素包括原辅原料在运输、储存和生产过程中可能发生的泄漏、火灾和爆炸等重大污染事故风险，针对项目存在的主要环境风险污染事故如泄漏、火灾、爆炸等，本评价已提出初步的防范对策措施和突发事故应急方案。建设单位必须根据消防和劳动安全主管部门的要求做好风险防范和事故应急工作。建设单位应在施工过程、营运过程切实落实消防和劳动安全主管部门的要求、本报告中提出的各项环保措施和对策建议，则本项目可最大限度地降低环境风险。在加强管理的前提下，本项目的环境风险是可以接受的。</w:t>
            </w:r>
          </w:p>
        </w:tc>
        <w:tc>
          <w:tcPr>
            <w:tcW w:w="4144" w:type="dxa"/>
            <w:vAlign w:val="center"/>
          </w:tcPr>
          <w:p>
            <w:pPr>
              <w:rPr>
                <w:sz w:val="21"/>
                <w:szCs w:val="21"/>
              </w:rPr>
            </w:pPr>
            <w:r>
              <w:rPr>
                <w:rFonts w:hint="eastAsia"/>
                <w:sz w:val="21"/>
                <w:szCs w:val="21"/>
              </w:rPr>
              <w:t>已落实，已设置</w:t>
            </w:r>
            <w:r>
              <w:rPr>
                <w:sz w:val="21"/>
                <w:szCs w:val="21"/>
              </w:rPr>
              <w:t>750m</w:t>
            </w:r>
            <w:r>
              <w:rPr>
                <w:sz w:val="21"/>
                <w:szCs w:val="21"/>
                <w:vertAlign w:val="superscript"/>
              </w:rPr>
              <w:t>3</w:t>
            </w:r>
            <w:r>
              <w:rPr>
                <w:rFonts w:hint="eastAsia"/>
                <w:sz w:val="21"/>
                <w:szCs w:val="21"/>
              </w:rPr>
              <w:t>的事故应急池和对项目罐区设置高度不低于</w:t>
            </w:r>
            <w:r>
              <w:rPr>
                <w:sz w:val="21"/>
                <w:szCs w:val="21"/>
              </w:rPr>
              <w:t>1</w:t>
            </w:r>
            <w:r>
              <w:rPr>
                <w:rFonts w:hint="eastAsia"/>
                <w:sz w:val="21"/>
                <w:szCs w:val="21"/>
              </w:rPr>
              <w:t>米，有效容积不小于</w:t>
            </w:r>
            <w:r>
              <w:rPr>
                <w:sz w:val="21"/>
                <w:szCs w:val="21"/>
              </w:rPr>
              <w:t>1575</w:t>
            </w:r>
            <w:r>
              <w:rPr>
                <w:rFonts w:hint="eastAsia"/>
                <w:sz w:val="21"/>
                <w:szCs w:val="21"/>
              </w:rPr>
              <w:t>立方米的罐区围堰，最大限度地降低环境风险，确保环境安全。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71" w:type="dxa"/>
            <w:vAlign w:val="center"/>
          </w:tcPr>
          <w:p>
            <w:pPr>
              <w:jc w:val="center"/>
              <w:rPr>
                <w:sz w:val="21"/>
                <w:szCs w:val="21"/>
              </w:rPr>
            </w:pPr>
            <w:r>
              <w:rPr>
                <w:rFonts w:hint="eastAsia"/>
                <w:sz w:val="21"/>
                <w:szCs w:val="21"/>
              </w:rPr>
              <w:t>清洁生产</w:t>
            </w:r>
          </w:p>
        </w:tc>
        <w:tc>
          <w:tcPr>
            <w:tcW w:w="660" w:type="dxa"/>
            <w:vAlign w:val="center"/>
          </w:tcPr>
          <w:p>
            <w:pPr>
              <w:jc w:val="center"/>
              <w:rPr>
                <w:sz w:val="21"/>
                <w:szCs w:val="21"/>
              </w:rPr>
            </w:pPr>
            <w:r>
              <w:rPr>
                <w:sz w:val="21"/>
                <w:szCs w:val="21"/>
              </w:rPr>
              <w:t>6</w:t>
            </w:r>
          </w:p>
        </w:tc>
        <w:tc>
          <w:tcPr>
            <w:tcW w:w="4335" w:type="dxa"/>
            <w:vAlign w:val="center"/>
          </w:tcPr>
          <w:p>
            <w:pPr>
              <w:pStyle w:val="14"/>
              <w:snapToGrid w:val="0"/>
              <w:spacing w:line="240" w:lineRule="auto"/>
              <w:ind w:firstLine="480"/>
              <w:rPr>
                <w:rFonts w:ascii="Times New Roman" w:hAnsi="Times New Roman" w:cs="Times New Roman"/>
                <w:sz w:val="21"/>
                <w:szCs w:val="21"/>
              </w:rPr>
            </w:pPr>
            <w:r>
              <w:rPr>
                <w:rFonts w:hint="eastAsia"/>
                <w:sz w:val="21"/>
                <w:szCs w:val="21"/>
              </w:rPr>
              <w:t>项目采用了先进的生产工艺和生产设备，实现节能减排的生产要求，对环境影响小，清洁生产水平基本达到国内先进水平。</w:t>
            </w:r>
          </w:p>
        </w:tc>
        <w:tc>
          <w:tcPr>
            <w:tcW w:w="4144" w:type="dxa"/>
            <w:vAlign w:val="center"/>
          </w:tcPr>
          <w:p>
            <w:pPr>
              <w:rPr>
                <w:sz w:val="21"/>
                <w:szCs w:val="21"/>
              </w:rPr>
            </w:pPr>
            <w:r>
              <w:rPr>
                <w:rFonts w:hint="eastAsia"/>
                <w:sz w:val="21"/>
                <w:szCs w:val="21"/>
              </w:rPr>
              <w:t>已落实。项目最大限度提高废水回用率，减少生产废水的排放。采取高效、节能、环保的生产工艺技术和设备，减少能耗、物耗，达到国内同行业清洁生产的先进水平。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16" w:hRule="atLeast"/>
          <w:jc w:val="center"/>
        </w:trPr>
        <w:tc>
          <w:tcPr>
            <w:tcW w:w="771" w:type="dxa"/>
            <w:vAlign w:val="center"/>
          </w:tcPr>
          <w:p>
            <w:pPr>
              <w:jc w:val="center"/>
              <w:rPr>
                <w:sz w:val="21"/>
                <w:szCs w:val="21"/>
              </w:rPr>
            </w:pPr>
            <w:r>
              <w:rPr>
                <w:rFonts w:hint="eastAsia"/>
                <w:sz w:val="21"/>
                <w:szCs w:val="21"/>
              </w:rPr>
              <w:t>总量控制</w:t>
            </w:r>
          </w:p>
        </w:tc>
        <w:tc>
          <w:tcPr>
            <w:tcW w:w="660" w:type="dxa"/>
            <w:vAlign w:val="center"/>
          </w:tcPr>
          <w:p>
            <w:pPr>
              <w:jc w:val="center"/>
              <w:rPr>
                <w:sz w:val="21"/>
                <w:szCs w:val="21"/>
              </w:rPr>
            </w:pPr>
            <w:r>
              <w:rPr>
                <w:sz w:val="21"/>
                <w:szCs w:val="21"/>
              </w:rPr>
              <w:t>7</w:t>
            </w:r>
          </w:p>
        </w:tc>
        <w:tc>
          <w:tcPr>
            <w:tcW w:w="4335" w:type="dxa"/>
            <w:vAlign w:val="center"/>
          </w:tcPr>
          <w:p>
            <w:pPr>
              <w:adjustRightInd w:val="0"/>
              <w:snapToGrid w:val="0"/>
              <w:rPr>
                <w:sz w:val="21"/>
                <w:szCs w:val="21"/>
              </w:rPr>
            </w:pPr>
            <w:r>
              <w:rPr>
                <w:rFonts w:hint="eastAsia"/>
                <w:sz w:val="21"/>
                <w:szCs w:val="21"/>
              </w:rPr>
              <w:t>建议各总量控制指标为：</w:t>
            </w:r>
            <w:r>
              <w:rPr>
                <w:sz w:val="21"/>
                <w:szCs w:val="21"/>
              </w:rPr>
              <w:t>COD=2.70t/a</w:t>
            </w:r>
            <w:r>
              <w:rPr>
                <w:rFonts w:hint="eastAsia"/>
                <w:sz w:val="21"/>
                <w:szCs w:val="21"/>
              </w:rPr>
              <w:t>、</w:t>
            </w:r>
            <w:r>
              <w:rPr>
                <w:sz w:val="21"/>
                <w:szCs w:val="21"/>
              </w:rPr>
              <w:t>NH</w:t>
            </w:r>
            <w:r>
              <w:rPr>
                <w:sz w:val="21"/>
                <w:szCs w:val="21"/>
                <w:vertAlign w:val="subscript"/>
              </w:rPr>
              <w:t>3</w:t>
            </w:r>
            <w:r>
              <w:rPr>
                <w:sz w:val="21"/>
                <w:szCs w:val="21"/>
              </w:rPr>
              <w:t>-N=0.30t/a</w:t>
            </w:r>
            <w:r>
              <w:rPr>
                <w:rFonts w:hint="eastAsia"/>
                <w:sz w:val="21"/>
                <w:szCs w:val="21"/>
              </w:rPr>
              <w:t>、</w:t>
            </w:r>
            <w:r>
              <w:rPr>
                <w:sz w:val="21"/>
                <w:szCs w:val="21"/>
              </w:rPr>
              <w:t>SO</w:t>
            </w:r>
            <w:r>
              <w:rPr>
                <w:sz w:val="21"/>
                <w:szCs w:val="21"/>
                <w:vertAlign w:val="subscript"/>
              </w:rPr>
              <w:t>2</w:t>
            </w:r>
            <w:r>
              <w:rPr>
                <w:sz w:val="21"/>
                <w:szCs w:val="21"/>
              </w:rPr>
              <w:t>=5.35t/a</w:t>
            </w:r>
            <w:r>
              <w:rPr>
                <w:rFonts w:hint="eastAsia"/>
                <w:sz w:val="21"/>
                <w:szCs w:val="21"/>
              </w:rPr>
              <w:t>、</w:t>
            </w:r>
            <w:r>
              <w:rPr>
                <w:sz w:val="21"/>
                <w:szCs w:val="21"/>
              </w:rPr>
              <w:t>NOx=8.25t/a</w:t>
            </w:r>
            <w:r>
              <w:rPr>
                <w:rFonts w:hint="eastAsia"/>
                <w:sz w:val="21"/>
                <w:szCs w:val="21"/>
              </w:rPr>
              <w:t>、烟粉尘</w:t>
            </w:r>
            <w:r>
              <w:rPr>
                <w:sz w:val="21"/>
                <w:szCs w:val="21"/>
              </w:rPr>
              <w:t>=0.67t/a</w:t>
            </w:r>
            <w:r>
              <w:rPr>
                <w:rFonts w:hint="eastAsia"/>
                <w:sz w:val="21"/>
                <w:szCs w:val="21"/>
              </w:rPr>
              <w:t>、挥发性有机物</w:t>
            </w:r>
            <w:r>
              <w:rPr>
                <w:sz w:val="21"/>
                <w:szCs w:val="21"/>
              </w:rPr>
              <w:t>=0.28t/a</w:t>
            </w:r>
            <w:r>
              <w:rPr>
                <w:rFonts w:hint="eastAsia"/>
                <w:sz w:val="21"/>
                <w:szCs w:val="21"/>
              </w:rPr>
              <w:t>。</w:t>
            </w:r>
          </w:p>
        </w:tc>
        <w:tc>
          <w:tcPr>
            <w:tcW w:w="4144" w:type="dxa"/>
            <w:vAlign w:val="center"/>
          </w:tcPr>
          <w:p>
            <w:pPr>
              <w:rPr>
                <w:sz w:val="21"/>
                <w:szCs w:val="21"/>
              </w:rPr>
            </w:pPr>
            <w:r>
              <w:rPr>
                <w:rFonts w:hint="eastAsia"/>
                <w:sz w:val="21"/>
                <w:szCs w:val="21"/>
              </w:rPr>
              <w:t>已落实。本项目污染物中的化学需氧量、氨氮、二氧化硫、</w:t>
            </w:r>
            <w:r>
              <w:rPr>
                <w:rFonts w:hint="eastAsia"/>
                <w:sz w:val="21"/>
                <w:szCs w:val="21"/>
                <w:lang w:eastAsia="zh-CN"/>
              </w:rPr>
              <w:t>氮氧化物</w:t>
            </w:r>
            <w:r>
              <w:rPr>
                <w:rFonts w:hint="eastAsia"/>
                <w:sz w:val="21"/>
                <w:szCs w:val="21"/>
              </w:rPr>
              <w:t>、</w:t>
            </w:r>
            <w:r>
              <w:rPr>
                <w:sz w:val="21"/>
                <w:szCs w:val="21"/>
              </w:rPr>
              <w:t>VOCs</w:t>
            </w:r>
            <w:r>
              <w:rPr>
                <w:rFonts w:hint="eastAsia"/>
                <w:sz w:val="21"/>
                <w:szCs w:val="21"/>
              </w:rPr>
              <w:t>和粉尘的实际排放总量均符合韶环审</w:t>
            </w:r>
            <w:r>
              <w:rPr>
                <w:sz w:val="21"/>
                <w:szCs w:val="21"/>
              </w:rPr>
              <w:t>[2015]348</w:t>
            </w:r>
            <w:r>
              <w:rPr>
                <w:rFonts w:hint="eastAsia"/>
                <w:sz w:val="21"/>
                <w:szCs w:val="21"/>
              </w:rPr>
              <w:t>号《韶关市环境保护局关于翁源广业清怡食品科技有限公司年产</w:t>
            </w:r>
            <w:r>
              <w:rPr>
                <w:sz w:val="21"/>
                <w:szCs w:val="21"/>
              </w:rPr>
              <w:t>600</w:t>
            </w:r>
            <w:r>
              <w:rPr>
                <w:rFonts w:hint="eastAsia"/>
                <w:sz w:val="21"/>
                <w:szCs w:val="21"/>
              </w:rPr>
              <w:t>吨食品抗氧化剂</w:t>
            </w:r>
            <w:r>
              <w:rPr>
                <w:sz w:val="21"/>
                <w:szCs w:val="21"/>
              </w:rPr>
              <w:t>TBHQ</w:t>
            </w:r>
            <w:r>
              <w:rPr>
                <w:rFonts w:hint="eastAsia"/>
                <w:sz w:val="21"/>
                <w:szCs w:val="21"/>
              </w:rPr>
              <w:t>建设项目环境影响报告书审批意见的函》下达本验收项目各污染物总量控制指标要求。</w:t>
            </w:r>
          </w:p>
        </w:tc>
      </w:tr>
    </w:tbl>
    <w:p>
      <w:pPr>
        <w:spacing w:line="360" w:lineRule="auto"/>
        <w:ind w:right="-1162"/>
        <w:jc w:val="center"/>
      </w:pPr>
    </w:p>
    <w:p>
      <w:pPr>
        <w:pStyle w:val="4"/>
      </w:pPr>
      <w:bookmarkStart w:id="53" w:name="_Toc13646"/>
      <w:r>
        <w:t>11</w:t>
      </w:r>
      <w:r>
        <w:rPr>
          <w:rFonts w:hint="eastAsia"/>
        </w:rPr>
        <w:t>、公众意见调查</w:t>
      </w:r>
      <w:bookmarkEnd w:id="53"/>
    </w:p>
    <w:p>
      <w:pPr>
        <w:adjustRightInd w:val="0"/>
        <w:spacing w:line="360" w:lineRule="auto"/>
        <w:ind w:firstLine="480" w:firstLineChars="200"/>
        <w:rPr>
          <w:rFonts w:ascii="宋体"/>
          <w:b/>
        </w:rPr>
      </w:pPr>
      <w:r>
        <w:rPr>
          <w:rFonts w:hint="eastAsia"/>
          <w:szCs w:val="28"/>
        </w:rPr>
        <w:t>此次调查以发放调查表和走访调查的形式进行。共发放调查表</w:t>
      </w:r>
      <w:r>
        <w:rPr>
          <w:szCs w:val="28"/>
        </w:rPr>
        <w:t>50</w:t>
      </w:r>
      <w:r>
        <w:rPr>
          <w:rFonts w:hint="eastAsia"/>
          <w:szCs w:val="28"/>
        </w:rPr>
        <w:t>份，回收</w:t>
      </w:r>
      <w:r>
        <w:rPr>
          <w:szCs w:val="28"/>
        </w:rPr>
        <w:t>48</w:t>
      </w:r>
      <w:r>
        <w:rPr>
          <w:rFonts w:hint="eastAsia"/>
          <w:szCs w:val="28"/>
        </w:rPr>
        <w:t>份。调查范围包括翁源县翁城镇的胜利</w:t>
      </w:r>
      <w:r>
        <w:rPr>
          <w:szCs w:val="28"/>
        </w:rPr>
        <w:t>1</w:t>
      </w:r>
      <w:r>
        <w:rPr>
          <w:rFonts w:hint="eastAsia"/>
          <w:szCs w:val="28"/>
        </w:rPr>
        <w:t>、胜利</w:t>
      </w:r>
      <w:r>
        <w:rPr>
          <w:szCs w:val="28"/>
        </w:rPr>
        <w:t>5</w:t>
      </w:r>
      <w:r>
        <w:rPr>
          <w:rFonts w:hint="eastAsia"/>
          <w:szCs w:val="28"/>
        </w:rPr>
        <w:t>、胜利</w:t>
      </w:r>
      <w:r>
        <w:rPr>
          <w:szCs w:val="28"/>
        </w:rPr>
        <w:t>6</w:t>
      </w:r>
      <w:r>
        <w:rPr>
          <w:rFonts w:hint="eastAsia"/>
          <w:szCs w:val="28"/>
        </w:rPr>
        <w:t>、胜利</w:t>
      </w:r>
      <w:r>
        <w:rPr>
          <w:szCs w:val="28"/>
        </w:rPr>
        <w:t>9</w:t>
      </w:r>
      <w:r>
        <w:rPr>
          <w:rFonts w:hint="eastAsia"/>
          <w:szCs w:val="28"/>
        </w:rPr>
        <w:t>、胜利</w:t>
      </w:r>
      <w:r>
        <w:rPr>
          <w:szCs w:val="28"/>
        </w:rPr>
        <w:t>10</w:t>
      </w:r>
      <w:r>
        <w:rPr>
          <w:rFonts w:hint="eastAsia"/>
          <w:szCs w:val="28"/>
        </w:rPr>
        <w:t>等村（组），受调查对象主要是周边的农民。受调查的对象中年龄在</w:t>
      </w:r>
      <w:r>
        <w:rPr>
          <w:szCs w:val="28"/>
        </w:rPr>
        <w:t>30</w:t>
      </w:r>
      <w:r>
        <w:rPr>
          <w:rFonts w:hint="eastAsia"/>
          <w:szCs w:val="28"/>
        </w:rPr>
        <w:t>～</w:t>
      </w:r>
      <w:r>
        <w:rPr>
          <w:szCs w:val="28"/>
        </w:rPr>
        <w:t>50</w:t>
      </w:r>
      <w:r>
        <w:rPr>
          <w:rFonts w:hint="eastAsia"/>
          <w:szCs w:val="28"/>
        </w:rPr>
        <w:t>岁的最多，占受调查总人数的</w:t>
      </w:r>
      <w:r>
        <w:rPr>
          <w:color w:val="000000"/>
          <w:szCs w:val="28"/>
        </w:rPr>
        <w:t>58.3</w:t>
      </w:r>
      <w:r>
        <w:rPr>
          <w:szCs w:val="28"/>
        </w:rPr>
        <w:t>%</w:t>
      </w:r>
      <w:r>
        <w:rPr>
          <w:rFonts w:hint="eastAsia"/>
          <w:szCs w:val="28"/>
        </w:rPr>
        <w:t>，初中及初中以上文化程度的调查对象占</w:t>
      </w:r>
      <w:r>
        <w:rPr>
          <w:szCs w:val="28"/>
        </w:rPr>
        <w:t>87.5%</w:t>
      </w:r>
      <w:r>
        <w:rPr>
          <w:rFonts w:hint="eastAsia"/>
          <w:szCs w:val="28"/>
        </w:rPr>
        <w:t>，详见表</w:t>
      </w:r>
      <w:r>
        <w:rPr>
          <w:szCs w:val="28"/>
        </w:rPr>
        <w:t>11-1</w:t>
      </w:r>
      <w:r>
        <w:rPr>
          <w:rFonts w:hint="eastAsia"/>
          <w:szCs w:val="28"/>
        </w:rPr>
        <w:t>及表</w:t>
      </w:r>
      <w:r>
        <w:rPr>
          <w:szCs w:val="28"/>
        </w:rPr>
        <w:t>11-2</w:t>
      </w:r>
      <w:r>
        <w:rPr>
          <w:rFonts w:hint="eastAsia"/>
          <w:szCs w:val="28"/>
          <w:lang w:eastAsia="zh-CN"/>
        </w:rPr>
        <w:t>。</w:t>
      </w:r>
    </w:p>
    <w:p>
      <w:pPr>
        <w:jc w:val="center"/>
        <w:rPr>
          <w:rFonts w:ascii="宋体"/>
          <w:b/>
        </w:rPr>
      </w:pPr>
      <w:r>
        <w:rPr>
          <w:rFonts w:hint="eastAsia" w:ascii="宋体" w:hAnsi="宋体"/>
          <w:b/>
        </w:rPr>
        <w:t>表</w:t>
      </w:r>
      <w:r>
        <w:rPr>
          <w:rFonts w:ascii="宋体" w:hAnsi="宋体"/>
          <w:b/>
        </w:rPr>
        <w:t xml:space="preserve">11-1       </w:t>
      </w:r>
      <w:r>
        <w:rPr>
          <w:rFonts w:hint="eastAsia" w:ascii="宋体" w:hAnsi="宋体"/>
          <w:b/>
        </w:rPr>
        <w:t>公众调查基本情况</w:t>
      </w:r>
    </w:p>
    <w:tbl>
      <w:tblPr>
        <w:tblStyle w:val="47"/>
        <w:tblW w:w="8364" w:type="dxa"/>
        <w:jc w:val="center"/>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22"/>
        <w:gridCol w:w="2133"/>
        <w:gridCol w:w="1941"/>
        <w:gridCol w:w="22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8" w:hRule="atLeast"/>
          <w:jc w:val="center"/>
        </w:trPr>
        <w:tc>
          <w:tcPr>
            <w:tcW w:w="2022" w:type="dxa"/>
            <w:vAlign w:val="center"/>
          </w:tcPr>
          <w:p>
            <w:pPr>
              <w:jc w:val="center"/>
            </w:pPr>
            <w:r>
              <w:rPr>
                <w:rFonts w:hint="eastAsia"/>
              </w:rPr>
              <w:t>调查项目</w:t>
            </w:r>
          </w:p>
        </w:tc>
        <w:tc>
          <w:tcPr>
            <w:tcW w:w="2133" w:type="dxa"/>
            <w:vAlign w:val="center"/>
          </w:tcPr>
          <w:p>
            <w:pPr>
              <w:jc w:val="center"/>
            </w:pPr>
            <w:r>
              <w:rPr>
                <w:rFonts w:hint="eastAsia"/>
              </w:rPr>
              <w:t>基本情况</w:t>
            </w:r>
          </w:p>
        </w:tc>
        <w:tc>
          <w:tcPr>
            <w:tcW w:w="1941" w:type="dxa"/>
            <w:vAlign w:val="center"/>
          </w:tcPr>
          <w:p>
            <w:pPr>
              <w:jc w:val="center"/>
            </w:pPr>
            <w:r>
              <w:rPr>
                <w:rFonts w:hint="eastAsia"/>
              </w:rPr>
              <w:t>受调查人数</w:t>
            </w:r>
          </w:p>
        </w:tc>
        <w:tc>
          <w:tcPr>
            <w:tcW w:w="2268" w:type="dxa"/>
            <w:vAlign w:val="center"/>
          </w:tcPr>
          <w:p>
            <w:pPr>
              <w:jc w:val="center"/>
            </w:pPr>
            <w:r>
              <w:rPr>
                <w:rFonts w:hint="eastAsia"/>
              </w:rPr>
              <w:t>受调查人数占总调查人数的百分比（</w:t>
            </w:r>
            <w:r>
              <w:t>%</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restart"/>
            <w:vAlign w:val="center"/>
          </w:tcPr>
          <w:p>
            <w:pPr>
              <w:jc w:val="center"/>
            </w:pPr>
            <w:r>
              <w:rPr>
                <w:rFonts w:hint="eastAsia"/>
              </w:rPr>
              <w:t>年龄</w:t>
            </w:r>
          </w:p>
        </w:tc>
        <w:tc>
          <w:tcPr>
            <w:tcW w:w="2133" w:type="dxa"/>
            <w:vAlign w:val="center"/>
          </w:tcPr>
          <w:p>
            <w:pPr>
              <w:jc w:val="center"/>
            </w:pPr>
            <w:r>
              <w:rPr>
                <w:rFonts w:hint="eastAsia"/>
              </w:rPr>
              <w:t>大于</w:t>
            </w:r>
            <w:r>
              <w:t>50</w:t>
            </w:r>
            <w:r>
              <w:rPr>
                <w:rFonts w:hint="eastAsia"/>
              </w:rPr>
              <w:t>岁</w:t>
            </w:r>
          </w:p>
        </w:tc>
        <w:tc>
          <w:tcPr>
            <w:tcW w:w="1941" w:type="dxa"/>
            <w:vAlign w:val="center"/>
          </w:tcPr>
          <w:p>
            <w:pPr>
              <w:jc w:val="center"/>
            </w:pPr>
            <w:r>
              <w:t>19</w:t>
            </w:r>
          </w:p>
        </w:tc>
        <w:tc>
          <w:tcPr>
            <w:tcW w:w="2268" w:type="dxa"/>
            <w:vAlign w:val="center"/>
          </w:tcPr>
          <w:p>
            <w:pPr>
              <w:jc w:val="center"/>
            </w:pPr>
            <w:r>
              <w:t>39.6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continue"/>
            <w:vAlign w:val="center"/>
          </w:tcPr>
          <w:p>
            <w:pPr>
              <w:jc w:val="center"/>
            </w:pPr>
          </w:p>
        </w:tc>
        <w:tc>
          <w:tcPr>
            <w:tcW w:w="2133" w:type="dxa"/>
            <w:vAlign w:val="center"/>
          </w:tcPr>
          <w:p>
            <w:pPr>
              <w:jc w:val="center"/>
            </w:pPr>
            <w:r>
              <w:t>30-50</w:t>
            </w:r>
            <w:r>
              <w:rPr>
                <w:rFonts w:hint="eastAsia"/>
              </w:rPr>
              <w:t>岁</w:t>
            </w:r>
          </w:p>
        </w:tc>
        <w:tc>
          <w:tcPr>
            <w:tcW w:w="1941" w:type="dxa"/>
            <w:vAlign w:val="center"/>
          </w:tcPr>
          <w:p>
            <w:pPr>
              <w:jc w:val="center"/>
            </w:pPr>
            <w:r>
              <w:t>28</w:t>
            </w:r>
          </w:p>
        </w:tc>
        <w:tc>
          <w:tcPr>
            <w:tcW w:w="2268" w:type="dxa"/>
            <w:vAlign w:val="center"/>
          </w:tcPr>
          <w:p>
            <w:pPr>
              <w:jc w:val="center"/>
            </w:pPr>
            <w:r>
              <w:t>58.3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continue"/>
            <w:vAlign w:val="center"/>
          </w:tcPr>
          <w:p>
            <w:pPr>
              <w:jc w:val="center"/>
            </w:pPr>
          </w:p>
        </w:tc>
        <w:tc>
          <w:tcPr>
            <w:tcW w:w="2133" w:type="dxa"/>
            <w:vAlign w:val="center"/>
          </w:tcPr>
          <w:p>
            <w:pPr>
              <w:jc w:val="center"/>
            </w:pPr>
            <w:r>
              <w:rPr>
                <w:rFonts w:hint="eastAsia"/>
              </w:rPr>
              <w:t>小于</w:t>
            </w:r>
            <w:r>
              <w:t>30</w:t>
            </w:r>
            <w:r>
              <w:rPr>
                <w:rFonts w:hint="eastAsia"/>
              </w:rPr>
              <w:t>岁</w:t>
            </w:r>
          </w:p>
        </w:tc>
        <w:tc>
          <w:tcPr>
            <w:tcW w:w="1941" w:type="dxa"/>
            <w:vAlign w:val="center"/>
          </w:tcPr>
          <w:p>
            <w:pPr>
              <w:jc w:val="center"/>
            </w:pPr>
            <w:r>
              <w:t>1</w:t>
            </w:r>
          </w:p>
        </w:tc>
        <w:tc>
          <w:tcPr>
            <w:tcW w:w="2268" w:type="dxa"/>
            <w:vAlign w:val="center"/>
          </w:tcPr>
          <w:p>
            <w:pPr>
              <w:jc w:val="center"/>
            </w:pPr>
            <w:r>
              <w:t>2.08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restart"/>
            <w:vAlign w:val="center"/>
          </w:tcPr>
          <w:p>
            <w:pPr>
              <w:jc w:val="center"/>
            </w:pPr>
            <w:r>
              <w:rPr>
                <w:rFonts w:hint="eastAsia"/>
              </w:rPr>
              <w:t>文化程度</w:t>
            </w:r>
          </w:p>
        </w:tc>
        <w:tc>
          <w:tcPr>
            <w:tcW w:w="2133" w:type="dxa"/>
            <w:vAlign w:val="center"/>
          </w:tcPr>
          <w:p>
            <w:pPr>
              <w:jc w:val="center"/>
            </w:pPr>
            <w:r>
              <w:rPr>
                <w:rFonts w:hint="eastAsia"/>
              </w:rPr>
              <w:t>初中及初中以上</w:t>
            </w:r>
          </w:p>
        </w:tc>
        <w:tc>
          <w:tcPr>
            <w:tcW w:w="1941" w:type="dxa"/>
            <w:vAlign w:val="center"/>
          </w:tcPr>
          <w:p>
            <w:pPr>
              <w:jc w:val="center"/>
            </w:pPr>
            <w:r>
              <w:t>42</w:t>
            </w:r>
          </w:p>
        </w:tc>
        <w:tc>
          <w:tcPr>
            <w:tcW w:w="2268" w:type="dxa"/>
            <w:vAlign w:val="center"/>
          </w:tcPr>
          <w:p>
            <w:pPr>
              <w:jc w:val="center"/>
            </w:pPr>
            <w:r>
              <w:t>87.5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continue"/>
            <w:vAlign w:val="center"/>
          </w:tcPr>
          <w:p>
            <w:pPr>
              <w:jc w:val="center"/>
            </w:pPr>
          </w:p>
        </w:tc>
        <w:tc>
          <w:tcPr>
            <w:tcW w:w="2133" w:type="dxa"/>
            <w:vAlign w:val="center"/>
          </w:tcPr>
          <w:p>
            <w:pPr>
              <w:jc w:val="center"/>
            </w:pPr>
            <w:r>
              <w:rPr>
                <w:rFonts w:hint="eastAsia"/>
              </w:rPr>
              <w:t>小学及小学以下</w:t>
            </w:r>
          </w:p>
        </w:tc>
        <w:tc>
          <w:tcPr>
            <w:tcW w:w="1941" w:type="dxa"/>
            <w:vAlign w:val="center"/>
          </w:tcPr>
          <w:p>
            <w:pPr>
              <w:jc w:val="center"/>
            </w:pPr>
            <w:r>
              <w:t>6</w:t>
            </w:r>
          </w:p>
        </w:tc>
        <w:tc>
          <w:tcPr>
            <w:tcW w:w="2268" w:type="dxa"/>
            <w:vAlign w:val="center"/>
          </w:tcPr>
          <w:p>
            <w:pPr>
              <w:jc w:val="center"/>
            </w:pPr>
            <w:r>
              <w:t>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restart"/>
            <w:vAlign w:val="center"/>
          </w:tcPr>
          <w:p>
            <w:pPr>
              <w:jc w:val="center"/>
            </w:pPr>
            <w:r>
              <w:rPr>
                <w:rFonts w:hint="eastAsia"/>
              </w:rPr>
              <w:t>职业</w:t>
            </w:r>
          </w:p>
        </w:tc>
        <w:tc>
          <w:tcPr>
            <w:tcW w:w="2133" w:type="dxa"/>
            <w:vAlign w:val="center"/>
          </w:tcPr>
          <w:p>
            <w:pPr>
              <w:jc w:val="center"/>
            </w:pPr>
            <w:r>
              <w:rPr>
                <w:rFonts w:hint="eastAsia"/>
              </w:rPr>
              <w:t>农民</w:t>
            </w:r>
          </w:p>
        </w:tc>
        <w:tc>
          <w:tcPr>
            <w:tcW w:w="1941" w:type="dxa"/>
            <w:vAlign w:val="center"/>
          </w:tcPr>
          <w:p>
            <w:pPr>
              <w:jc w:val="center"/>
            </w:pPr>
            <w:r>
              <w:t>34</w:t>
            </w:r>
          </w:p>
        </w:tc>
        <w:tc>
          <w:tcPr>
            <w:tcW w:w="2268" w:type="dxa"/>
            <w:vAlign w:val="center"/>
          </w:tcPr>
          <w:p>
            <w:pPr>
              <w:jc w:val="center"/>
            </w:pPr>
            <w:r>
              <w:t>70.8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continue"/>
            <w:vAlign w:val="center"/>
          </w:tcPr>
          <w:p>
            <w:pPr>
              <w:jc w:val="center"/>
            </w:pPr>
          </w:p>
        </w:tc>
        <w:tc>
          <w:tcPr>
            <w:tcW w:w="2133" w:type="dxa"/>
            <w:vAlign w:val="center"/>
          </w:tcPr>
          <w:p>
            <w:pPr>
              <w:jc w:val="center"/>
            </w:pPr>
            <w:r>
              <w:rPr>
                <w:rFonts w:hint="eastAsia"/>
              </w:rPr>
              <w:t>政府工作人员</w:t>
            </w:r>
          </w:p>
        </w:tc>
        <w:tc>
          <w:tcPr>
            <w:tcW w:w="1941" w:type="dxa"/>
            <w:vAlign w:val="center"/>
          </w:tcPr>
          <w:p>
            <w:pPr>
              <w:jc w:val="center"/>
            </w:pPr>
            <w:r>
              <w:t>10</w:t>
            </w:r>
          </w:p>
        </w:tc>
        <w:tc>
          <w:tcPr>
            <w:tcW w:w="2268" w:type="dxa"/>
            <w:vAlign w:val="center"/>
          </w:tcPr>
          <w:p>
            <w:pPr>
              <w:jc w:val="center"/>
            </w:pPr>
            <w:r>
              <w:t>20.8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2022" w:type="dxa"/>
            <w:vMerge w:val="continue"/>
            <w:vAlign w:val="center"/>
          </w:tcPr>
          <w:p>
            <w:pPr>
              <w:jc w:val="center"/>
            </w:pPr>
          </w:p>
        </w:tc>
        <w:tc>
          <w:tcPr>
            <w:tcW w:w="2133" w:type="dxa"/>
            <w:vAlign w:val="center"/>
          </w:tcPr>
          <w:p>
            <w:pPr>
              <w:jc w:val="center"/>
            </w:pPr>
            <w:r>
              <w:rPr>
                <w:rFonts w:hint="eastAsia"/>
              </w:rPr>
              <w:t>其它</w:t>
            </w:r>
          </w:p>
        </w:tc>
        <w:tc>
          <w:tcPr>
            <w:tcW w:w="1941" w:type="dxa"/>
            <w:vAlign w:val="center"/>
          </w:tcPr>
          <w:p>
            <w:pPr>
              <w:jc w:val="center"/>
            </w:pPr>
            <w:r>
              <w:t>4</w:t>
            </w:r>
          </w:p>
        </w:tc>
        <w:tc>
          <w:tcPr>
            <w:tcW w:w="2268" w:type="dxa"/>
            <w:vAlign w:val="center"/>
          </w:tcPr>
          <w:p>
            <w:pPr>
              <w:jc w:val="center"/>
            </w:pPr>
            <w:r>
              <w:t>8.40</w:t>
            </w:r>
          </w:p>
        </w:tc>
      </w:tr>
    </w:tbl>
    <w:p>
      <w:pPr>
        <w:rPr>
          <w:rFonts w:ascii="宋体"/>
          <w:b/>
        </w:rPr>
      </w:pPr>
    </w:p>
    <w:p>
      <w:pPr>
        <w:jc w:val="center"/>
        <w:rPr>
          <w:b/>
        </w:rPr>
      </w:pPr>
      <w:r>
        <w:rPr>
          <w:rFonts w:hint="eastAsia" w:ascii="宋体" w:hAnsi="宋体"/>
          <w:b/>
        </w:rPr>
        <w:t>表</w:t>
      </w:r>
      <w:r>
        <w:rPr>
          <w:rFonts w:ascii="宋体" w:hAnsi="宋体"/>
          <w:b/>
        </w:rPr>
        <w:t xml:space="preserve">11-2        </w:t>
      </w:r>
      <w:r>
        <w:rPr>
          <w:rFonts w:hint="eastAsia"/>
          <w:b/>
        </w:rPr>
        <w:t>公众意见调查统计表</w:t>
      </w:r>
    </w:p>
    <w:tbl>
      <w:tblPr>
        <w:tblStyle w:val="47"/>
        <w:tblW w:w="836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07"/>
        <w:gridCol w:w="1800"/>
        <w:gridCol w:w="1800"/>
        <w:gridCol w:w="1620"/>
        <w:gridCol w:w="183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0" w:hRule="atLeast"/>
          <w:jc w:val="center"/>
        </w:trPr>
        <w:tc>
          <w:tcPr>
            <w:tcW w:w="1307" w:type="dxa"/>
            <w:vMerge w:val="restart"/>
            <w:vAlign w:val="center"/>
          </w:tcPr>
          <w:p>
            <w:pPr>
              <w:jc w:val="center"/>
            </w:pPr>
            <w:r>
              <w:rPr>
                <w:rFonts w:hint="eastAsia"/>
              </w:rPr>
              <w:t>群</w:t>
            </w:r>
            <w:r>
              <w:t xml:space="preserve"> </w:t>
            </w:r>
            <w:r>
              <w:rPr>
                <w:rFonts w:hint="eastAsia"/>
              </w:rPr>
              <w:t>众</w:t>
            </w:r>
            <w:r>
              <w:t xml:space="preserve"> </w:t>
            </w:r>
            <w:r>
              <w:rPr>
                <w:rFonts w:hint="eastAsia"/>
              </w:rPr>
              <w:t>调</w:t>
            </w:r>
            <w:r>
              <w:t xml:space="preserve"> </w:t>
            </w:r>
            <w:r>
              <w:rPr>
                <w:rFonts w:hint="eastAsia"/>
              </w:rPr>
              <w:t>查</w:t>
            </w:r>
            <w:r>
              <w:t xml:space="preserve"> </w:t>
            </w:r>
            <w:r>
              <w:rPr>
                <w:rFonts w:hint="eastAsia"/>
              </w:rPr>
              <w:t>意</w:t>
            </w:r>
            <w:r>
              <w:t xml:space="preserve"> </w:t>
            </w:r>
            <w:r>
              <w:rPr>
                <w:rFonts w:hint="eastAsia"/>
              </w:rPr>
              <w:t>见</w:t>
            </w:r>
          </w:p>
          <w:p>
            <w:pPr>
              <w:jc w:val="center"/>
            </w:pPr>
          </w:p>
        </w:tc>
        <w:tc>
          <w:tcPr>
            <w:tcW w:w="1800" w:type="dxa"/>
            <w:vAlign w:val="center"/>
          </w:tcPr>
          <w:p>
            <w:pPr>
              <w:jc w:val="center"/>
            </w:pPr>
            <w:r>
              <w:rPr>
                <w:rFonts w:hint="eastAsia"/>
              </w:rPr>
              <w:t>调查内容</w:t>
            </w:r>
          </w:p>
        </w:tc>
        <w:tc>
          <w:tcPr>
            <w:tcW w:w="1800" w:type="dxa"/>
            <w:vAlign w:val="center"/>
          </w:tcPr>
          <w:p>
            <w:pPr>
              <w:jc w:val="center"/>
            </w:pPr>
            <w:r>
              <w:rPr>
                <w:rFonts w:hint="eastAsia"/>
              </w:rPr>
              <w:t>调查意见</w:t>
            </w:r>
          </w:p>
        </w:tc>
        <w:tc>
          <w:tcPr>
            <w:tcW w:w="1620" w:type="dxa"/>
            <w:vAlign w:val="center"/>
          </w:tcPr>
          <w:p>
            <w:pPr>
              <w:jc w:val="center"/>
            </w:pPr>
            <w:r>
              <w:rPr>
                <w:rFonts w:hint="eastAsia"/>
              </w:rPr>
              <w:t>人数（人）</w:t>
            </w:r>
          </w:p>
        </w:tc>
        <w:tc>
          <w:tcPr>
            <w:tcW w:w="1835" w:type="dxa"/>
            <w:vAlign w:val="center"/>
          </w:tcPr>
          <w:p>
            <w:pPr>
              <w:jc w:val="center"/>
            </w:pPr>
            <w:r>
              <w:rPr>
                <w:rFonts w:hint="eastAsia"/>
              </w:rPr>
              <w:t>占受调查人数的百分比（</w:t>
            </w:r>
            <w:r>
              <w:t>%</w:t>
            </w:r>
            <w:r>
              <w:rPr>
                <w:rFonts w:hint="eastAsi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restart"/>
            <w:vAlign w:val="center"/>
          </w:tcPr>
          <w:p>
            <w:pPr>
              <w:jc w:val="center"/>
            </w:pPr>
            <w:r>
              <w:rPr>
                <w:rFonts w:hint="eastAsia"/>
              </w:rPr>
              <w:t>环境质量现状满意程度</w:t>
            </w:r>
          </w:p>
        </w:tc>
        <w:tc>
          <w:tcPr>
            <w:tcW w:w="1800" w:type="dxa"/>
            <w:vAlign w:val="center"/>
          </w:tcPr>
          <w:p>
            <w:pPr>
              <w:jc w:val="center"/>
            </w:pPr>
            <w:r>
              <w:rPr>
                <w:rFonts w:hint="eastAsia"/>
              </w:rPr>
              <w:t>很满意</w:t>
            </w:r>
          </w:p>
        </w:tc>
        <w:tc>
          <w:tcPr>
            <w:tcW w:w="1620" w:type="dxa"/>
            <w:vAlign w:val="center"/>
          </w:tcPr>
          <w:p>
            <w:pPr>
              <w:jc w:val="center"/>
            </w:pPr>
            <w:r>
              <w:t>9</w:t>
            </w:r>
          </w:p>
        </w:tc>
        <w:tc>
          <w:tcPr>
            <w:tcW w:w="1835" w:type="dxa"/>
            <w:vAlign w:val="center"/>
          </w:tcPr>
          <w:p>
            <w:pPr>
              <w:jc w:val="center"/>
            </w:pPr>
            <w:r>
              <w:t>18.8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较满意</w:t>
            </w:r>
          </w:p>
        </w:tc>
        <w:tc>
          <w:tcPr>
            <w:tcW w:w="1620" w:type="dxa"/>
            <w:vAlign w:val="center"/>
          </w:tcPr>
          <w:p>
            <w:pPr>
              <w:jc w:val="center"/>
            </w:pPr>
            <w:r>
              <w:t>39</w:t>
            </w:r>
          </w:p>
        </w:tc>
        <w:tc>
          <w:tcPr>
            <w:tcW w:w="1835" w:type="dxa"/>
            <w:vAlign w:val="center"/>
          </w:tcPr>
          <w:p>
            <w:pPr>
              <w:jc w:val="center"/>
            </w:pPr>
            <w:r>
              <w:t>81.2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不满意</w:t>
            </w:r>
          </w:p>
        </w:tc>
        <w:tc>
          <w:tcPr>
            <w:tcW w:w="1620" w:type="dxa"/>
            <w:vAlign w:val="center"/>
          </w:tcPr>
          <w:p>
            <w:pPr>
              <w:jc w:val="center"/>
            </w:pPr>
            <w:r>
              <w:t>0</w:t>
            </w:r>
          </w:p>
        </w:tc>
        <w:tc>
          <w:tcPr>
            <w:tcW w:w="1835" w:type="dxa"/>
            <w:vAlign w:val="center"/>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restart"/>
            <w:vAlign w:val="center"/>
          </w:tcPr>
          <w:p>
            <w:pPr>
              <w:jc w:val="center"/>
            </w:pPr>
            <w:r>
              <w:rPr>
                <w:rFonts w:hint="eastAsia"/>
              </w:rPr>
              <w:t>项目建设期间环境满意程度</w:t>
            </w:r>
          </w:p>
        </w:tc>
        <w:tc>
          <w:tcPr>
            <w:tcW w:w="1800" w:type="dxa"/>
            <w:vAlign w:val="center"/>
          </w:tcPr>
          <w:p>
            <w:pPr>
              <w:jc w:val="center"/>
            </w:pPr>
            <w:r>
              <w:rPr>
                <w:rFonts w:hint="eastAsia"/>
              </w:rPr>
              <w:t>满意</w:t>
            </w:r>
          </w:p>
        </w:tc>
        <w:tc>
          <w:tcPr>
            <w:tcW w:w="1620" w:type="dxa"/>
            <w:vAlign w:val="center"/>
          </w:tcPr>
          <w:p>
            <w:pPr>
              <w:jc w:val="center"/>
            </w:pPr>
            <w:r>
              <w:t>34</w:t>
            </w:r>
          </w:p>
        </w:tc>
        <w:tc>
          <w:tcPr>
            <w:tcW w:w="1835" w:type="dxa"/>
            <w:vAlign w:val="center"/>
          </w:tcPr>
          <w:p>
            <w:pPr>
              <w:jc w:val="center"/>
            </w:pPr>
            <w:r>
              <w:t>70.8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一般</w:t>
            </w:r>
          </w:p>
        </w:tc>
        <w:tc>
          <w:tcPr>
            <w:tcW w:w="1620" w:type="dxa"/>
            <w:vAlign w:val="center"/>
          </w:tcPr>
          <w:p>
            <w:pPr>
              <w:jc w:val="center"/>
            </w:pPr>
            <w:r>
              <w:t>14</w:t>
            </w:r>
          </w:p>
        </w:tc>
        <w:tc>
          <w:tcPr>
            <w:tcW w:w="1835" w:type="dxa"/>
            <w:vAlign w:val="center"/>
          </w:tcPr>
          <w:p>
            <w:pPr>
              <w:jc w:val="center"/>
            </w:pPr>
            <w:r>
              <w:t>29.2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不满意</w:t>
            </w:r>
          </w:p>
        </w:tc>
        <w:tc>
          <w:tcPr>
            <w:tcW w:w="1620" w:type="dxa"/>
            <w:vAlign w:val="center"/>
          </w:tcPr>
          <w:p>
            <w:pPr>
              <w:jc w:val="center"/>
            </w:pPr>
            <w:r>
              <w:t>0</w:t>
            </w:r>
          </w:p>
        </w:tc>
        <w:tc>
          <w:tcPr>
            <w:tcW w:w="1835" w:type="dxa"/>
            <w:vAlign w:val="center"/>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restart"/>
            <w:vAlign w:val="center"/>
          </w:tcPr>
          <w:p>
            <w:pPr>
              <w:jc w:val="center"/>
            </w:pPr>
            <w:r>
              <w:rPr>
                <w:rFonts w:hint="eastAsia"/>
              </w:rPr>
              <w:t>项目在运行期间对环境的影响</w:t>
            </w:r>
          </w:p>
        </w:tc>
        <w:tc>
          <w:tcPr>
            <w:tcW w:w="1800" w:type="dxa"/>
            <w:vAlign w:val="center"/>
          </w:tcPr>
          <w:p>
            <w:pPr>
              <w:jc w:val="center"/>
            </w:pPr>
            <w:r>
              <w:rPr>
                <w:rFonts w:hint="eastAsia"/>
              </w:rPr>
              <w:t>满意</w:t>
            </w:r>
          </w:p>
        </w:tc>
        <w:tc>
          <w:tcPr>
            <w:tcW w:w="1620" w:type="dxa"/>
            <w:vAlign w:val="center"/>
          </w:tcPr>
          <w:p>
            <w:pPr>
              <w:jc w:val="center"/>
            </w:pPr>
            <w:r>
              <w:t>41</w:t>
            </w:r>
          </w:p>
        </w:tc>
        <w:tc>
          <w:tcPr>
            <w:tcW w:w="1835" w:type="dxa"/>
            <w:vAlign w:val="center"/>
          </w:tcPr>
          <w:p>
            <w:pPr>
              <w:jc w:val="center"/>
            </w:pPr>
            <w:r>
              <w:t>85.4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一般</w:t>
            </w:r>
          </w:p>
        </w:tc>
        <w:tc>
          <w:tcPr>
            <w:tcW w:w="1620" w:type="dxa"/>
            <w:vAlign w:val="center"/>
          </w:tcPr>
          <w:p>
            <w:pPr>
              <w:jc w:val="center"/>
            </w:pPr>
            <w:r>
              <w:t>7</w:t>
            </w:r>
          </w:p>
        </w:tc>
        <w:tc>
          <w:tcPr>
            <w:tcW w:w="1835" w:type="dxa"/>
            <w:vAlign w:val="center"/>
          </w:tcPr>
          <w:p>
            <w:pPr>
              <w:jc w:val="center"/>
            </w:pPr>
            <w:r>
              <w:t>14.6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不满意</w:t>
            </w:r>
          </w:p>
        </w:tc>
        <w:tc>
          <w:tcPr>
            <w:tcW w:w="1620" w:type="dxa"/>
            <w:vAlign w:val="center"/>
          </w:tcPr>
          <w:p>
            <w:pPr>
              <w:jc w:val="center"/>
            </w:pPr>
            <w:r>
              <w:t>0</w:t>
            </w:r>
          </w:p>
        </w:tc>
        <w:tc>
          <w:tcPr>
            <w:tcW w:w="1835" w:type="dxa"/>
            <w:vAlign w:val="center"/>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restart"/>
            <w:vAlign w:val="center"/>
          </w:tcPr>
          <w:p>
            <w:pPr>
              <w:jc w:val="center"/>
            </w:pPr>
            <w:r>
              <w:rPr>
                <w:rFonts w:hint="eastAsia"/>
              </w:rPr>
              <w:t>项目能否促进当地的经济发展</w:t>
            </w:r>
          </w:p>
        </w:tc>
        <w:tc>
          <w:tcPr>
            <w:tcW w:w="1800" w:type="dxa"/>
            <w:vAlign w:val="center"/>
          </w:tcPr>
          <w:p>
            <w:pPr>
              <w:jc w:val="center"/>
            </w:pPr>
            <w:r>
              <w:rPr>
                <w:rFonts w:hint="eastAsia"/>
              </w:rPr>
              <w:t>能够</w:t>
            </w:r>
          </w:p>
        </w:tc>
        <w:tc>
          <w:tcPr>
            <w:tcW w:w="1620" w:type="dxa"/>
            <w:vAlign w:val="center"/>
          </w:tcPr>
          <w:p>
            <w:pPr>
              <w:jc w:val="center"/>
            </w:pPr>
            <w:r>
              <w:t>41</w:t>
            </w:r>
          </w:p>
        </w:tc>
        <w:tc>
          <w:tcPr>
            <w:tcW w:w="1835" w:type="dxa"/>
            <w:vAlign w:val="center"/>
          </w:tcPr>
          <w:p>
            <w:pPr>
              <w:jc w:val="center"/>
            </w:pPr>
            <w:r>
              <w:t>85.4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不能够</w:t>
            </w:r>
          </w:p>
        </w:tc>
        <w:tc>
          <w:tcPr>
            <w:tcW w:w="1620" w:type="dxa"/>
            <w:vAlign w:val="center"/>
          </w:tcPr>
          <w:p>
            <w:pPr>
              <w:jc w:val="center"/>
            </w:pPr>
            <w:r>
              <w:t>0</w:t>
            </w:r>
          </w:p>
        </w:tc>
        <w:tc>
          <w:tcPr>
            <w:tcW w:w="1835" w:type="dxa"/>
            <w:vAlign w:val="center"/>
          </w:tcPr>
          <w:p>
            <w:pPr>
              <w:jc w:val="center"/>
            </w:pPr>
            <w: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不清楚</w:t>
            </w:r>
          </w:p>
        </w:tc>
        <w:tc>
          <w:tcPr>
            <w:tcW w:w="1620" w:type="dxa"/>
            <w:vAlign w:val="center"/>
          </w:tcPr>
          <w:p>
            <w:pPr>
              <w:jc w:val="center"/>
            </w:pPr>
            <w:r>
              <w:t>7</w:t>
            </w:r>
          </w:p>
        </w:tc>
        <w:tc>
          <w:tcPr>
            <w:tcW w:w="1835" w:type="dxa"/>
            <w:vAlign w:val="center"/>
          </w:tcPr>
          <w:p>
            <w:pPr>
              <w:jc w:val="center"/>
            </w:pPr>
            <w:r>
              <w:t>14.6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restart"/>
            <w:vAlign w:val="center"/>
          </w:tcPr>
          <w:p>
            <w:pPr>
              <w:jc w:val="center"/>
            </w:pPr>
            <w:r>
              <w:rPr>
                <w:rFonts w:hint="eastAsia"/>
              </w:rPr>
              <w:t>对该项目所持环保看法</w:t>
            </w:r>
          </w:p>
        </w:tc>
        <w:tc>
          <w:tcPr>
            <w:tcW w:w="1800" w:type="dxa"/>
            <w:vAlign w:val="center"/>
          </w:tcPr>
          <w:p>
            <w:pPr>
              <w:jc w:val="center"/>
            </w:pPr>
            <w:r>
              <w:rPr>
                <w:rFonts w:hint="eastAsia"/>
              </w:rPr>
              <w:t>支持</w:t>
            </w:r>
          </w:p>
        </w:tc>
        <w:tc>
          <w:tcPr>
            <w:tcW w:w="1620" w:type="dxa"/>
            <w:vAlign w:val="center"/>
          </w:tcPr>
          <w:p>
            <w:pPr>
              <w:jc w:val="center"/>
            </w:pPr>
            <w:r>
              <w:t>38</w:t>
            </w:r>
          </w:p>
        </w:tc>
        <w:tc>
          <w:tcPr>
            <w:tcW w:w="1835" w:type="dxa"/>
            <w:vAlign w:val="center"/>
          </w:tcPr>
          <w:p>
            <w:pPr>
              <w:jc w:val="center"/>
            </w:pPr>
            <w:r>
              <w:t>79.2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无所谓</w:t>
            </w:r>
          </w:p>
        </w:tc>
        <w:tc>
          <w:tcPr>
            <w:tcW w:w="1620" w:type="dxa"/>
            <w:vAlign w:val="center"/>
          </w:tcPr>
          <w:p>
            <w:pPr>
              <w:jc w:val="center"/>
            </w:pPr>
            <w:r>
              <w:t>10</w:t>
            </w:r>
          </w:p>
        </w:tc>
        <w:tc>
          <w:tcPr>
            <w:tcW w:w="1835" w:type="dxa"/>
            <w:vAlign w:val="center"/>
          </w:tcPr>
          <w:p>
            <w:pPr>
              <w:jc w:val="center"/>
            </w:pPr>
            <w:r>
              <w:t>20.8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40" w:hRule="atLeast"/>
          <w:jc w:val="center"/>
        </w:trPr>
        <w:tc>
          <w:tcPr>
            <w:tcW w:w="1307" w:type="dxa"/>
            <w:vMerge w:val="continue"/>
            <w:vAlign w:val="center"/>
          </w:tcPr>
          <w:p/>
        </w:tc>
        <w:tc>
          <w:tcPr>
            <w:tcW w:w="1800" w:type="dxa"/>
            <w:vMerge w:val="continue"/>
            <w:vAlign w:val="center"/>
          </w:tcPr>
          <w:p>
            <w:pPr>
              <w:jc w:val="center"/>
            </w:pPr>
          </w:p>
        </w:tc>
        <w:tc>
          <w:tcPr>
            <w:tcW w:w="1800" w:type="dxa"/>
            <w:vAlign w:val="center"/>
          </w:tcPr>
          <w:p>
            <w:pPr>
              <w:jc w:val="center"/>
            </w:pPr>
            <w:r>
              <w:rPr>
                <w:rFonts w:hint="eastAsia"/>
              </w:rPr>
              <w:t>不支持</w:t>
            </w:r>
          </w:p>
        </w:tc>
        <w:tc>
          <w:tcPr>
            <w:tcW w:w="1620" w:type="dxa"/>
            <w:vAlign w:val="center"/>
          </w:tcPr>
          <w:p>
            <w:pPr>
              <w:jc w:val="center"/>
            </w:pPr>
            <w:r>
              <w:t>0</w:t>
            </w:r>
          </w:p>
        </w:tc>
        <w:tc>
          <w:tcPr>
            <w:tcW w:w="1835" w:type="dxa"/>
            <w:vAlign w:val="center"/>
          </w:tcPr>
          <w:p>
            <w:pPr>
              <w:jc w:val="center"/>
            </w:pPr>
            <w:r>
              <w:t>0</w:t>
            </w:r>
          </w:p>
        </w:tc>
      </w:tr>
    </w:tbl>
    <w:p>
      <w:pPr>
        <w:adjustRightInd w:val="0"/>
        <w:snapToGrid w:val="0"/>
        <w:spacing w:line="360" w:lineRule="auto"/>
        <w:ind w:firstLine="480" w:firstLineChars="200"/>
        <w:rPr>
          <w:szCs w:val="28"/>
        </w:rPr>
      </w:pPr>
      <w:r>
        <w:rPr>
          <w:rFonts w:hint="eastAsia"/>
          <w:szCs w:val="28"/>
        </w:rPr>
        <w:t>本次问卷调查针对项目对周边公众影响比较敏感的问题进行了调查访问，内容包括地区的经济发展、施工期产生的影响、建成后产生的影响、环保工作效果等</w:t>
      </w:r>
      <w:r>
        <w:rPr>
          <w:szCs w:val="28"/>
        </w:rPr>
        <w:t>5</w:t>
      </w:r>
      <w:r>
        <w:rPr>
          <w:rFonts w:hint="eastAsia"/>
          <w:szCs w:val="28"/>
        </w:rPr>
        <w:t>个问题，被访者均对上述调查内容发表了看法。调查结果的统计见表</w:t>
      </w:r>
      <w:r>
        <w:rPr>
          <w:szCs w:val="28"/>
        </w:rPr>
        <w:t>11-2</w:t>
      </w:r>
      <w:r>
        <w:rPr>
          <w:rFonts w:hint="eastAsia"/>
          <w:szCs w:val="28"/>
        </w:rPr>
        <w:t>。</w:t>
      </w:r>
    </w:p>
    <w:p>
      <w:pPr>
        <w:adjustRightInd w:val="0"/>
        <w:snapToGrid w:val="0"/>
        <w:spacing w:line="360" w:lineRule="auto"/>
        <w:ind w:firstLine="480" w:firstLineChars="200"/>
        <w:rPr>
          <w:rFonts w:ascii="黑体" w:hAnsi="宋体" w:eastAsia="黑体"/>
          <w:b/>
          <w:szCs w:val="28"/>
        </w:rPr>
      </w:pPr>
      <w:r>
        <w:rPr>
          <w:rFonts w:hint="eastAsia"/>
          <w:szCs w:val="28"/>
        </w:rPr>
        <w:t>表</w:t>
      </w:r>
      <w:r>
        <w:rPr>
          <w:szCs w:val="28"/>
        </w:rPr>
        <w:t>11-2</w:t>
      </w:r>
      <w:r>
        <w:rPr>
          <w:rFonts w:hint="eastAsia"/>
          <w:szCs w:val="28"/>
        </w:rPr>
        <w:t>表明，</w:t>
      </w:r>
      <w:r>
        <w:rPr>
          <w:szCs w:val="28"/>
        </w:rPr>
        <w:t>18.8%</w:t>
      </w:r>
      <w:r>
        <w:rPr>
          <w:rFonts w:hint="eastAsia"/>
          <w:szCs w:val="28"/>
        </w:rPr>
        <w:t>的被访者对环境质量现状表示很满意，</w:t>
      </w:r>
      <w:r>
        <w:rPr>
          <w:szCs w:val="28"/>
        </w:rPr>
        <w:t>81.2%</w:t>
      </w:r>
      <w:r>
        <w:rPr>
          <w:rFonts w:hint="eastAsia"/>
          <w:szCs w:val="28"/>
        </w:rPr>
        <w:t>表示较满意；</w:t>
      </w:r>
      <w:r>
        <w:rPr>
          <w:szCs w:val="28"/>
        </w:rPr>
        <w:t>70.8%</w:t>
      </w:r>
      <w:r>
        <w:rPr>
          <w:rFonts w:hint="eastAsia"/>
          <w:szCs w:val="28"/>
        </w:rPr>
        <w:t>的被访者对项目建设期间周围环境质量表示很满意，</w:t>
      </w:r>
      <w:r>
        <w:rPr>
          <w:szCs w:val="28"/>
        </w:rPr>
        <w:t>29.2%</w:t>
      </w:r>
      <w:r>
        <w:rPr>
          <w:rFonts w:hint="eastAsia"/>
          <w:szCs w:val="28"/>
        </w:rPr>
        <w:t>的被访者表示一般；</w:t>
      </w:r>
      <w:r>
        <w:rPr>
          <w:szCs w:val="28"/>
        </w:rPr>
        <w:t>85.4%</w:t>
      </w:r>
      <w:r>
        <w:rPr>
          <w:rFonts w:hint="eastAsia"/>
          <w:szCs w:val="28"/>
        </w:rPr>
        <w:t>的被访者对项目运行期间的周围环境质量表示很满意，</w:t>
      </w:r>
      <w:r>
        <w:rPr>
          <w:szCs w:val="28"/>
        </w:rPr>
        <w:t>79.2%</w:t>
      </w:r>
      <w:r>
        <w:rPr>
          <w:rFonts w:hint="eastAsia"/>
          <w:szCs w:val="28"/>
        </w:rPr>
        <w:t>的被访问者</w:t>
      </w:r>
      <w:r>
        <w:rPr>
          <w:rFonts w:hint="eastAsia"/>
        </w:rPr>
        <w:t>对该项目所持环保看法</w:t>
      </w:r>
      <w:r>
        <w:rPr>
          <w:rFonts w:hint="eastAsia"/>
          <w:szCs w:val="28"/>
        </w:rPr>
        <w:t>表示基本满意。综上所述，被访问者对该项目的建设是支持的。</w:t>
      </w:r>
    </w:p>
    <w:p>
      <w:pPr>
        <w:pStyle w:val="4"/>
      </w:pPr>
      <w:bookmarkStart w:id="54" w:name="_Toc14018"/>
      <w:r>
        <w:t>12</w:t>
      </w:r>
      <w:r>
        <w:rPr>
          <w:rFonts w:hint="eastAsia"/>
        </w:rPr>
        <w:t>、结论和建议</w:t>
      </w:r>
      <w:bookmarkEnd w:id="54"/>
    </w:p>
    <w:p>
      <w:pPr>
        <w:pStyle w:val="4"/>
      </w:pPr>
      <w:bookmarkStart w:id="55" w:name="_Toc25896"/>
      <w:r>
        <w:t xml:space="preserve">12.1 </w:t>
      </w:r>
      <w:r>
        <w:rPr>
          <w:rFonts w:hint="eastAsia"/>
        </w:rPr>
        <w:t>结论</w:t>
      </w:r>
      <w:bookmarkEnd w:id="55"/>
    </w:p>
    <w:p>
      <w:pPr>
        <w:adjustRightInd w:val="0"/>
        <w:snapToGrid w:val="0"/>
        <w:spacing w:line="360" w:lineRule="auto"/>
        <w:rPr>
          <w:szCs w:val="28"/>
        </w:rPr>
      </w:pPr>
      <w:r>
        <w:rPr>
          <w:b/>
          <w:bCs/>
          <w:szCs w:val="28"/>
        </w:rPr>
        <w:t>12.1.1</w:t>
      </w:r>
      <w:r>
        <w:rPr>
          <w:rFonts w:hint="eastAsia"/>
          <w:b/>
          <w:bCs/>
          <w:szCs w:val="28"/>
        </w:rPr>
        <w:t>项目建设情</w:t>
      </w:r>
      <w:r>
        <w:rPr>
          <w:rFonts w:hint="eastAsia"/>
          <w:szCs w:val="28"/>
        </w:rPr>
        <w:t>况</w:t>
      </w:r>
      <w:r>
        <w:rPr>
          <w:szCs w:val="28"/>
        </w:rPr>
        <w:t xml:space="preserve">  </w:t>
      </w:r>
      <w:r>
        <w:rPr>
          <w:rFonts w:hint="eastAsia"/>
          <w:szCs w:val="28"/>
        </w:rPr>
        <w:t>本项目所处的位置、工程内容和规模、占地面积、总投资、主要生产工艺及环保设施建设情况与环评报告介绍的情况一致。</w:t>
      </w:r>
    </w:p>
    <w:p>
      <w:pPr>
        <w:pStyle w:val="13"/>
        <w:adjustRightInd w:val="0"/>
        <w:snapToGrid w:val="0"/>
        <w:spacing w:after="0" w:line="360" w:lineRule="auto"/>
        <w:rPr>
          <w:szCs w:val="28"/>
        </w:rPr>
      </w:pPr>
      <w:r>
        <w:rPr>
          <w:b/>
          <w:bCs/>
          <w:szCs w:val="28"/>
        </w:rPr>
        <w:t>12.1.2</w:t>
      </w:r>
      <w:r>
        <w:rPr>
          <w:rFonts w:hint="eastAsia"/>
          <w:b/>
          <w:bCs/>
          <w:szCs w:val="28"/>
        </w:rPr>
        <w:t>生产工况</w:t>
      </w:r>
      <w:r>
        <w:rPr>
          <w:b/>
          <w:bCs/>
          <w:szCs w:val="28"/>
        </w:rPr>
        <w:t xml:space="preserve"> </w:t>
      </w:r>
      <w:r>
        <w:rPr>
          <w:szCs w:val="28"/>
        </w:rPr>
        <w:t xml:space="preserve"> </w:t>
      </w:r>
      <w:r>
        <w:rPr>
          <w:rFonts w:hint="eastAsia"/>
          <w:szCs w:val="28"/>
        </w:rPr>
        <w:t>验收监测期间，翁源广业清怡食品科技有限公司生产正常、稳定，各项环保治理设施也正常运行，生产运行负荷达到</w:t>
      </w:r>
      <w:r>
        <w:rPr>
          <w:szCs w:val="28"/>
        </w:rPr>
        <w:t>75%</w:t>
      </w:r>
      <w:r>
        <w:rPr>
          <w:rFonts w:hint="eastAsia"/>
          <w:szCs w:val="28"/>
        </w:rPr>
        <w:t>以上，符合验收监测要求。</w:t>
      </w:r>
    </w:p>
    <w:p>
      <w:pPr>
        <w:adjustRightInd w:val="0"/>
        <w:snapToGrid w:val="0"/>
        <w:spacing w:line="360" w:lineRule="auto"/>
        <w:rPr>
          <w:szCs w:val="28"/>
        </w:rPr>
      </w:pPr>
      <w:r>
        <w:rPr>
          <w:b/>
          <w:bCs/>
          <w:szCs w:val="28"/>
        </w:rPr>
        <w:t>12.1.3</w:t>
      </w:r>
      <w:r>
        <w:rPr>
          <w:rFonts w:hint="eastAsia"/>
          <w:b/>
          <w:bCs/>
          <w:szCs w:val="28"/>
        </w:rPr>
        <w:t>废水</w:t>
      </w:r>
      <w:r>
        <w:rPr>
          <w:szCs w:val="28"/>
        </w:rPr>
        <w:t xml:space="preserve">  </w:t>
      </w:r>
      <w:r>
        <w:rPr>
          <w:rFonts w:hint="eastAsia"/>
          <w:szCs w:val="28"/>
        </w:rPr>
        <w:t>本项目生产废水（烷基化反应生成废水、水提纯废水、车间喷淋废水、凉水塔清洗废水、锅炉废水、树脂清洗废水）、生活污水（经三级化粪池预处理）和初期雨水（经事故应急池收集、暂存），送废水处理站，采用</w:t>
      </w:r>
      <w:r>
        <w:rPr>
          <w:szCs w:val="28"/>
        </w:rPr>
        <w:t>“</w:t>
      </w:r>
      <w:r>
        <w:rPr>
          <w:rFonts w:hint="eastAsia"/>
          <w:szCs w:val="28"/>
        </w:rPr>
        <w:t>预酸化池</w:t>
      </w:r>
      <w:r>
        <w:rPr>
          <w:szCs w:val="28"/>
        </w:rPr>
        <w:t>+IC</w:t>
      </w:r>
      <w:r>
        <w:rPr>
          <w:rFonts w:hint="eastAsia"/>
          <w:szCs w:val="28"/>
        </w:rPr>
        <w:t>厌氧池</w:t>
      </w:r>
      <w:r>
        <w:rPr>
          <w:szCs w:val="28"/>
        </w:rPr>
        <w:t>+</w:t>
      </w:r>
      <w:r>
        <w:rPr>
          <w:rFonts w:hint="eastAsia"/>
          <w:szCs w:val="28"/>
        </w:rPr>
        <w:t>生化</w:t>
      </w:r>
      <w:r>
        <w:rPr>
          <w:szCs w:val="28"/>
        </w:rPr>
        <w:t>+</w:t>
      </w:r>
      <w:r>
        <w:rPr>
          <w:rFonts w:hint="eastAsia"/>
          <w:szCs w:val="28"/>
        </w:rPr>
        <w:t>深度处理</w:t>
      </w:r>
      <w:r>
        <w:rPr>
          <w:szCs w:val="28"/>
        </w:rPr>
        <w:t>”</w:t>
      </w:r>
      <w:r>
        <w:rPr>
          <w:rFonts w:hint="eastAsia"/>
          <w:szCs w:val="28"/>
        </w:rPr>
        <w:t>工艺处理各污染物因子浓度未超过广东省地方标准《水污染物排放限值》（</w:t>
      </w:r>
      <w:r>
        <w:rPr>
          <w:szCs w:val="28"/>
        </w:rPr>
        <w:t>DB44/26-2001</w:t>
      </w:r>
      <w:r>
        <w:rPr>
          <w:rFonts w:hint="eastAsia"/>
          <w:szCs w:val="28"/>
        </w:rPr>
        <w:t>）第二时段一级标准。</w:t>
      </w:r>
    </w:p>
    <w:p>
      <w:pPr>
        <w:adjustRightInd w:val="0"/>
        <w:snapToGrid w:val="0"/>
        <w:spacing w:line="360" w:lineRule="auto"/>
        <w:rPr>
          <w:szCs w:val="28"/>
        </w:rPr>
      </w:pPr>
      <w:r>
        <w:rPr>
          <w:b/>
          <w:bCs/>
          <w:szCs w:val="28"/>
        </w:rPr>
        <w:t>12.1.4</w:t>
      </w:r>
      <w:r>
        <w:rPr>
          <w:rFonts w:hint="eastAsia"/>
          <w:b/>
          <w:bCs/>
          <w:szCs w:val="28"/>
        </w:rPr>
        <w:t>废气</w:t>
      </w:r>
      <w:r>
        <w:rPr>
          <w:szCs w:val="28"/>
        </w:rPr>
        <w:t xml:space="preserve">  </w:t>
      </w:r>
      <w:r>
        <w:rPr>
          <w:rFonts w:hint="eastAsia"/>
          <w:szCs w:val="28"/>
        </w:rPr>
        <w:t>本项目废气主要为车间废气、锅炉烟气和污水处理站废水。车间废气须采用</w:t>
      </w:r>
      <w:r>
        <w:rPr>
          <w:szCs w:val="28"/>
        </w:rPr>
        <w:t>“</w:t>
      </w:r>
      <w:r>
        <w:rPr>
          <w:rFonts w:hint="eastAsia"/>
          <w:szCs w:val="28"/>
        </w:rPr>
        <w:t>水喷淋</w:t>
      </w:r>
      <w:r>
        <w:rPr>
          <w:szCs w:val="28"/>
        </w:rPr>
        <w:t>+</w:t>
      </w:r>
      <w:r>
        <w:rPr>
          <w:rFonts w:hint="eastAsia"/>
          <w:szCs w:val="28"/>
        </w:rPr>
        <w:t>活性炭治理</w:t>
      </w:r>
      <w:r>
        <w:rPr>
          <w:szCs w:val="28"/>
        </w:rPr>
        <w:t>”</w:t>
      </w:r>
      <w:r>
        <w:rPr>
          <w:rFonts w:hint="eastAsia"/>
          <w:szCs w:val="28"/>
        </w:rPr>
        <w:t>措施处理后，污染物二甲苯浓度物未超过《大气污染物排放限值》（</w:t>
      </w:r>
      <w:r>
        <w:rPr>
          <w:szCs w:val="28"/>
        </w:rPr>
        <w:t>DB44/27-2001</w:t>
      </w:r>
      <w:r>
        <w:rPr>
          <w:rFonts w:hint="eastAsia"/>
          <w:szCs w:val="28"/>
        </w:rPr>
        <w:t>）第二时段二级标准、</w:t>
      </w:r>
      <w:r>
        <w:rPr>
          <w:szCs w:val="28"/>
        </w:rPr>
        <w:t>VOCs</w:t>
      </w:r>
      <w:r>
        <w:rPr>
          <w:rFonts w:hint="eastAsia"/>
          <w:szCs w:val="28"/>
        </w:rPr>
        <w:t>浓度未超过《家具制造行业挥发性有机化合物排放标准》（</w:t>
      </w:r>
      <w:r>
        <w:rPr>
          <w:szCs w:val="28"/>
        </w:rPr>
        <w:t>DB44/814-2010</w:t>
      </w:r>
      <w:r>
        <w:rPr>
          <w:rFonts w:hint="eastAsia"/>
          <w:szCs w:val="28"/>
        </w:rPr>
        <w:t>），废气通过</w:t>
      </w:r>
      <w:r>
        <w:rPr>
          <w:szCs w:val="28"/>
        </w:rPr>
        <w:t>15m</w:t>
      </w:r>
      <w:r>
        <w:rPr>
          <w:rFonts w:hint="eastAsia"/>
          <w:szCs w:val="28"/>
        </w:rPr>
        <w:t>高的排气筒外排；锅炉烟气采用</w:t>
      </w:r>
      <w:r>
        <w:rPr>
          <w:szCs w:val="28"/>
        </w:rPr>
        <w:t>“</w:t>
      </w:r>
      <w:r>
        <w:rPr>
          <w:rFonts w:hint="eastAsia"/>
          <w:szCs w:val="28"/>
        </w:rPr>
        <w:t>布袋除尘</w:t>
      </w:r>
      <w:r>
        <w:rPr>
          <w:szCs w:val="28"/>
        </w:rPr>
        <w:t>+</w:t>
      </w:r>
      <w:r>
        <w:rPr>
          <w:rFonts w:hint="eastAsia"/>
          <w:szCs w:val="28"/>
        </w:rPr>
        <w:t>麻石水膜（碱液喷淋）</w:t>
      </w:r>
      <w:r>
        <w:rPr>
          <w:szCs w:val="28"/>
        </w:rPr>
        <w:t>”</w:t>
      </w:r>
      <w:r>
        <w:rPr>
          <w:rFonts w:hint="eastAsia"/>
          <w:szCs w:val="28"/>
        </w:rPr>
        <w:t>工艺处理，锅炉废气各污染物因子浓度未超过《锅炉大气污染物排放标准》（</w:t>
      </w:r>
      <w:r>
        <w:rPr>
          <w:szCs w:val="28"/>
        </w:rPr>
        <w:t>GB13271-2014</w:t>
      </w:r>
      <w:r>
        <w:rPr>
          <w:rFonts w:hint="eastAsia"/>
          <w:szCs w:val="28"/>
        </w:rPr>
        <w:t>）中表</w:t>
      </w:r>
      <w:r>
        <w:rPr>
          <w:szCs w:val="28"/>
        </w:rPr>
        <w:t>1</w:t>
      </w:r>
      <w:r>
        <w:rPr>
          <w:rFonts w:hint="eastAsia"/>
          <w:szCs w:val="28"/>
        </w:rPr>
        <w:t>规定的大气污染物排放限值，废气通过</w:t>
      </w:r>
      <w:r>
        <w:rPr>
          <w:szCs w:val="28"/>
        </w:rPr>
        <w:t>45m</w:t>
      </w:r>
      <w:r>
        <w:rPr>
          <w:rFonts w:hint="eastAsia"/>
          <w:szCs w:val="28"/>
        </w:rPr>
        <w:t>高的排气筒外排。</w:t>
      </w:r>
    </w:p>
    <w:p>
      <w:pPr>
        <w:adjustRightInd w:val="0"/>
        <w:snapToGrid w:val="0"/>
        <w:spacing w:line="360" w:lineRule="auto"/>
        <w:ind w:firstLine="480" w:firstLineChars="200"/>
        <w:rPr>
          <w:kern w:val="0"/>
          <w:szCs w:val="28"/>
        </w:rPr>
      </w:pPr>
      <w:r>
        <w:rPr>
          <w:rFonts w:hint="eastAsia"/>
          <w:szCs w:val="28"/>
        </w:rPr>
        <w:t>无组织废气中的</w:t>
      </w:r>
      <w:r>
        <w:rPr>
          <w:szCs w:val="28"/>
        </w:rPr>
        <w:t>TSP</w:t>
      </w:r>
      <w:r>
        <w:rPr>
          <w:rFonts w:hint="eastAsia"/>
          <w:szCs w:val="28"/>
        </w:rPr>
        <w:t>、二甲苯浓度未超过《大气污染物排放限值》（</w:t>
      </w:r>
      <w:r>
        <w:rPr>
          <w:szCs w:val="28"/>
        </w:rPr>
        <w:t>DB44/27-2001</w:t>
      </w:r>
      <w:r>
        <w:rPr>
          <w:rFonts w:hint="eastAsia"/>
          <w:szCs w:val="28"/>
        </w:rPr>
        <w:t>）第二时段二级标准无组织排放限值，</w:t>
      </w:r>
      <w:r>
        <w:rPr>
          <w:szCs w:val="28"/>
        </w:rPr>
        <w:t>VOCs</w:t>
      </w:r>
      <w:r>
        <w:rPr>
          <w:rFonts w:hint="eastAsia"/>
          <w:szCs w:val="28"/>
        </w:rPr>
        <w:t>浓度未超过《家具制造行业挥发性有机化合物排放标准》（</w:t>
      </w:r>
      <w:r>
        <w:rPr>
          <w:szCs w:val="28"/>
        </w:rPr>
        <w:t>DB44/814-2010</w:t>
      </w:r>
      <w:r>
        <w:rPr>
          <w:rFonts w:hint="eastAsia"/>
          <w:szCs w:val="28"/>
        </w:rPr>
        <w:t>）中无组织排放限值。污水处理站废水中的</w:t>
      </w:r>
      <w:r>
        <w:rPr>
          <w:rFonts w:hint="eastAsia"/>
        </w:rPr>
        <w:t>臭气浓度、</w:t>
      </w:r>
      <w:r>
        <w:rPr>
          <w:rFonts w:hint="eastAsia"/>
          <w:bCs/>
        </w:rPr>
        <w:t>氨、硫化氢废气</w:t>
      </w:r>
      <w:r>
        <w:rPr>
          <w:rFonts w:hint="eastAsia"/>
          <w:color w:val="000000"/>
        </w:rPr>
        <w:t>排放执行《恶臭污染物排放标准》（</w:t>
      </w:r>
      <w:r>
        <w:rPr>
          <w:color w:val="000000"/>
        </w:rPr>
        <w:t>GB14554-1993</w:t>
      </w:r>
      <w:r>
        <w:rPr>
          <w:rFonts w:hint="eastAsia"/>
          <w:color w:val="000000"/>
        </w:rPr>
        <w:t>）中表</w:t>
      </w:r>
      <w:r>
        <w:rPr>
          <w:color w:val="000000"/>
        </w:rPr>
        <w:t>1</w:t>
      </w:r>
      <w:r>
        <w:rPr>
          <w:rFonts w:hint="eastAsia"/>
          <w:color w:val="000000"/>
        </w:rPr>
        <w:t>二级新扩改建标准限值。</w:t>
      </w:r>
    </w:p>
    <w:p>
      <w:pPr>
        <w:adjustRightInd w:val="0"/>
        <w:snapToGrid w:val="0"/>
        <w:spacing w:line="360" w:lineRule="auto"/>
        <w:rPr>
          <w:b/>
        </w:rPr>
      </w:pPr>
      <w:r>
        <w:rPr>
          <w:b/>
          <w:bCs/>
          <w:szCs w:val="28"/>
        </w:rPr>
        <w:t>12.1.5</w:t>
      </w:r>
      <w:r>
        <w:rPr>
          <w:rFonts w:hint="eastAsia"/>
          <w:b/>
          <w:bCs/>
          <w:szCs w:val="28"/>
        </w:rPr>
        <w:t>噪声</w:t>
      </w:r>
      <w:r>
        <w:rPr>
          <w:szCs w:val="28"/>
        </w:rPr>
        <w:t xml:space="preserve">  </w:t>
      </w:r>
      <w:r>
        <w:rPr>
          <w:rFonts w:hint="eastAsia"/>
          <w:szCs w:val="28"/>
        </w:rPr>
        <w:t>验收监测期间，本项目昼间和夜间厂界噪声均符合</w:t>
      </w:r>
      <w:r>
        <w:rPr>
          <w:rFonts w:hint="eastAsia"/>
        </w:rPr>
        <w:t>《工业企业厂界环境噪声排放标准》（</w:t>
      </w:r>
      <w:r>
        <w:t>GB 12348-2008</w:t>
      </w:r>
      <w:r>
        <w:rPr>
          <w:rFonts w:hint="eastAsia"/>
        </w:rPr>
        <w:t>）中的</w:t>
      </w:r>
      <w:r>
        <w:t>3</w:t>
      </w:r>
      <w:r>
        <w:rPr>
          <w:rFonts w:hint="eastAsia"/>
        </w:rPr>
        <w:t>类标准</w:t>
      </w:r>
      <w:r>
        <w:rPr>
          <w:rFonts w:hint="eastAsia"/>
          <w:szCs w:val="28"/>
        </w:rPr>
        <w:t>限值的要求。</w:t>
      </w:r>
    </w:p>
    <w:p>
      <w:pPr>
        <w:autoSpaceDE w:val="0"/>
        <w:autoSpaceDN w:val="0"/>
        <w:adjustRightInd w:val="0"/>
        <w:snapToGrid w:val="0"/>
        <w:spacing w:line="360" w:lineRule="auto"/>
        <w:jc w:val="left"/>
        <w:rPr>
          <w:kern w:val="0"/>
        </w:rPr>
      </w:pPr>
      <w:r>
        <w:rPr>
          <w:b/>
          <w:bCs/>
          <w:szCs w:val="28"/>
        </w:rPr>
        <w:t xml:space="preserve">12.1.6 </w:t>
      </w:r>
      <w:r>
        <w:rPr>
          <w:rFonts w:hint="eastAsia"/>
          <w:b/>
          <w:bCs/>
          <w:szCs w:val="28"/>
        </w:rPr>
        <w:t>固体废物</w:t>
      </w:r>
      <w:r>
        <w:rPr>
          <w:szCs w:val="28"/>
        </w:rPr>
        <w:t xml:space="preserve">  </w:t>
      </w:r>
      <w:r>
        <w:rPr>
          <w:rFonts w:hint="eastAsia"/>
        </w:rPr>
        <w:t>本项目建有危险废物暂存间，</w:t>
      </w:r>
      <w:r>
        <w:rPr>
          <w:rFonts w:hint="eastAsia"/>
          <w:color w:val="000000"/>
        </w:rPr>
        <w:t>废活性炭（废气吸附）作为危险废物储存在危废暂存间，交由有资质单位处理，</w:t>
      </w:r>
      <w:r>
        <w:rPr>
          <w:rFonts w:hint="eastAsia"/>
        </w:rPr>
        <w:t>副产品</w:t>
      </w:r>
      <w:r>
        <w:t>DT</w:t>
      </w:r>
      <w:r>
        <w:rPr>
          <w:rFonts w:hint="eastAsia"/>
        </w:rPr>
        <w:t>须经分类妥善收集贮存后、定期出售，磷酸二氢钙，须经分类妥善收集贮存后、定期出售或厂区污水处理站内消耗，废反渗透膜、废水处理站污泥和生活垃圾，须经分类妥善收集后定期委托环卫部门安全处理，煤渣须经收集后直接作为铺路材料外售。</w:t>
      </w:r>
    </w:p>
    <w:p>
      <w:pPr>
        <w:adjustRightInd w:val="0"/>
        <w:snapToGrid w:val="0"/>
        <w:spacing w:line="360" w:lineRule="auto"/>
        <w:rPr>
          <w:sz w:val="21"/>
          <w:szCs w:val="21"/>
        </w:rPr>
      </w:pPr>
      <w:r>
        <w:rPr>
          <w:b/>
          <w:bCs/>
          <w:szCs w:val="28"/>
        </w:rPr>
        <w:t>12.1.7</w:t>
      </w:r>
      <w:r>
        <w:rPr>
          <w:rFonts w:hint="eastAsia"/>
          <w:b/>
          <w:bCs/>
          <w:szCs w:val="28"/>
        </w:rPr>
        <w:t>总量控制</w:t>
      </w:r>
      <w:r>
        <w:rPr>
          <w:szCs w:val="28"/>
        </w:rPr>
        <w:t xml:space="preserve">  </w:t>
      </w:r>
      <w:r>
        <w:rPr>
          <w:rFonts w:hint="eastAsia"/>
        </w:rPr>
        <w:t>本项目污染物中的化学需氧量、氨氮、二氧化硫、二氧化氮、</w:t>
      </w:r>
      <w:r>
        <w:t>VOC</w:t>
      </w:r>
      <w:r>
        <w:rPr>
          <w:vertAlign w:val="subscript"/>
        </w:rPr>
        <w:t>S</w:t>
      </w:r>
      <w:r>
        <w:rPr>
          <w:rFonts w:hint="eastAsia"/>
        </w:rPr>
        <w:t>和烟尘的实际排放总量均符合韶环审</w:t>
      </w:r>
      <w:r>
        <w:t>[2015]348</w:t>
      </w:r>
      <w:r>
        <w:rPr>
          <w:rFonts w:hint="eastAsia"/>
        </w:rPr>
        <w:t>号《韶关市环境保护局关于翁源广业清怡食品科技有限公司年产</w:t>
      </w:r>
      <w:r>
        <w:t>600</w:t>
      </w:r>
      <w:r>
        <w:rPr>
          <w:rFonts w:hint="eastAsia"/>
        </w:rPr>
        <w:t>吨食品抗氧化剂</w:t>
      </w:r>
      <w:r>
        <w:t>TBHQ</w:t>
      </w:r>
      <w:r>
        <w:rPr>
          <w:rFonts w:hint="eastAsia"/>
        </w:rPr>
        <w:t>建设项目环境影响报告书审批意见的函》下达本验收项目各污染物总量控制指标要求</w:t>
      </w:r>
      <w:r>
        <w:rPr>
          <w:rFonts w:hint="eastAsia"/>
          <w:lang w:eastAsia="zh-CN"/>
        </w:rPr>
        <w:t>（</w:t>
      </w:r>
      <w:r>
        <w:rPr>
          <w:rFonts w:hint="eastAsia"/>
          <w:b/>
          <w:bCs/>
          <w:lang w:eastAsia="zh-CN"/>
        </w:rPr>
        <w:t>详见表</w:t>
      </w:r>
      <w:r>
        <w:rPr>
          <w:rFonts w:hint="eastAsia"/>
          <w:b/>
          <w:bCs/>
          <w:lang w:val="en-US" w:eastAsia="zh-CN"/>
        </w:rPr>
        <w:t>9-7</w:t>
      </w:r>
      <w:r>
        <w:rPr>
          <w:rFonts w:hint="eastAsia"/>
          <w:b/>
          <w:bCs/>
          <w:color w:val="000000"/>
          <w:lang w:val="en-US" w:eastAsia="zh-CN"/>
        </w:rPr>
        <w:t>，</w:t>
      </w:r>
      <w:r>
        <w:rPr>
          <w:rFonts w:hint="eastAsia"/>
          <w:b/>
          <w:color w:val="000000"/>
        </w:rPr>
        <w:t>污染物总量监测结果</w:t>
      </w:r>
      <w:r>
        <w:rPr>
          <w:rFonts w:hint="eastAsia"/>
          <w:color w:val="000000"/>
          <w:lang w:val="en-US" w:eastAsia="zh-CN"/>
        </w:rPr>
        <w:t>）</w:t>
      </w:r>
      <w:r>
        <w:rPr>
          <w:rFonts w:hint="eastAsia"/>
        </w:rPr>
        <w:t>。</w:t>
      </w:r>
    </w:p>
    <w:p>
      <w:pPr>
        <w:adjustRightInd w:val="0"/>
        <w:snapToGrid w:val="0"/>
        <w:spacing w:line="360" w:lineRule="auto"/>
        <w:rPr>
          <w:szCs w:val="28"/>
        </w:rPr>
      </w:pPr>
      <w:r>
        <w:rPr>
          <w:b/>
          <w:bCs/>
          <w:szCs w:val="28"/>
        </w:rPr>
        <w:t>12.1.8</w:t>
      </w:r>
      <w:r>
        <w:rPr>
          <w:rFonts w:hint="eastAsia"/>
          <w:b/>
          <w:bCs/>
          <w:szCs w:val="28"/>
        </w:rPr>
        <w:t>卫生防护距离</w:t>
      </w:r>
      <w:r>
        <w:rPr>
          <w:szCs w:val="28"/>
        </w:rPr>
        <w:t xml:space="preserve">  </w:t>
      </w:r>
      <w:r>
        <w:rPr>
          <w:rFonts w:hint="eastAsia"/>
          <w:szCs w:val="28"/>
        </w:rPr>
        <w:t>据调查，东北侧</w:t>
      </w:r>
      <w:r>
        <w:rPr>
          <w:szCs w:val="28"/>
        </w:rPr>
        <w:t>58</w:t>
      </w:r>
      <w:r>
        <w:rPr>
          <w:rFonts w:hint="eastAsia"/>
          <w:szCs w:val="28"/>
        </w:rPr>
        <w:t>米为金悦通电子（翁源）有限公司，北面隔</w:t>
      </w:r>
      <w:r>
        <w:rPr>
          <w:szCs w:val="28"/>
        </w:rPr>
        <w:t>250</w:t>
      </w:r>
      <w:r>
        <w:rPr>
          <w:rFonts w:hint="eastAsia"/>
          <w:szCs w:val="28"/>
        </w:rPr>
        <w:t>米荒地为京珠高速公路翁城进出口引道，西面距京珠高速公路最近</w:t>
      </w:r>
      <w:r>
        <w:rPr>
          <w:szCs w:val="28"/>
        </w:rPr>
        <w:t>130</w:t>
      </w:r>
      <w:r>
        <w:rPr>
          <w:rFonts w:hint="eastAsia"/>
          <w:szCs w:val="28"/>
        </w:rPr>
        <w:t>米，西南距下卢屋村最近距离为</w:t>
      </w:r>
      <w:r>
        <w:rPr>
          <w:szCs w:val="28"/>
        </w:rPr>
        <w:t>110</w:t>
      </w:r>
      <w:r>
        <w:rPr>
          <w:rFonts w:hint="eastAsia"/>
          <w:szCs w:val="28"/>
        </w:rPr>
        <w:t>米，东面隔</w:t>
      </w:r>
      <w:r>
        <w:rPr>
          <w:szCs w:val="28"/>
        </w:rPr>
        <w:t>435</w:t>
      </w:r>
      <w:r>
        <w:rPr>
          <w:rFonts w:hint="eastAsia"/>
          <w:szCs w:val="28"/>
        </w:rPr>
        <w:t>米荒地，南面为山地。满足环评批复要求的</w:t>
      </w:r>
      <w:r>
        <w:rPr>
          <w:szCs w:val="28"/>
        </w:rPr>
        <w:t>100</w:t>
      </w:r>
      <w:r>
        <w:rPr>
          <w:rFonts w:hint="eastAsia"/>
          <w:szCs w:val="28"/>
        </w:rPr>
        <w:t>米卫生防护距离内无居民点的要求。</w:t>
      </w:r>
    </w:p>
    <w:p>
      <w:pPr>
        <w:adjustRightInd w:val="0"/>
        <w:snapToGrid w:val="0"/>
        <w:spacing w:line="360" w:lineRule="auto"/>
        <w:rPr>
          <w:szCs w:val="28"/>
        </w:rPr>
      </w:pPr>
      <w:r>
        <w:rPr>
          <w:b/>
          <w:bCs/>
          <w:szCs w:val="28"/>
        </w:rPr>
        <w:t>12.1.9</w:t>
      </w:r>
      <w:r>
        <w:rPr>
          <w:rFonts w:hint="eastAsia"/>
          <w:b/>
          <w:bCs/>
          <w:szCs w:val="28"/>
        </w:rPr>
        <w:t>环境管理检查</w:t>
      </w:r>
      <w:r>
        <w:rPr>
          <w:szCs w:val="28"/>
        </w:rPr>
        <w:t xml:space="preserve">  </w:t>
      </w:r>
      <w:r>
        <w:rPr>
          <w:rFonts w:hint="eastAsia"/>
          <w:szCs w:val="28"/>
        </w:rPr>
        <w:t>项目执行了相关的环保制度；基本按实际需要配套建成了环境保护设施，目前环保设施均运行基本正常，污染物均达标排放；环评报告书及批复要求基本得到落实；建立了环境保护管理规章制度；制定了环境保护设施的管理制度；配备了环境管理专职及兼职人员；环境保护档案齐全；建造了事故应急池，经调查，建设期间和试生产阶段均未发生扰民和污染事故的记录。</w:t>
      </w:r>
    </w:p>
    <w:p>
      <w:pPr>
        <w:pStyle w:val="39"/>
        <w:adjustRightInd w:val="0"/>
        <w:snapToGrid w:val="0"/>
        <w:spacing w:before="0" w:beforeAutospacing="0" w:after="0" w:afterAutospacing="0" w:line="360" w:lineRule="auto"/>
        <w:rPr>
          <w:rFonts w:ascii="Times New Roman" w:hAnsi="Times New Roman"/>
          <w:b/>
          <w:bCs/>
        </w:rPr>
      </w:pPr>
      <w:r>
        <w:rPr>
          <w:rFonts w:ascii="Times New Roman" w:hAnsi="Times New Roman"/>
          <w:b/>
          <w:bCs/>
          <w:szCs w:val="28"/>
        </w:rPr>
        <w:t>12.1.10</w:t>
      </w:r>
      <w:r>
        <w:rPr>
          <w:rFonts w:hint="eastAsia" w:ascii="Times New Roman" w:hAnsi="Times New Roman"/>
          <w:b/>
          <w:bCs/>
          <w:szCs w:val="28"/>
        </w:rPr>
        <w:t>公众调查</w:t>
      </w:r>
      <w:r>
        <w:rPr>
          <w:rFonts w:ascii="Times New Roman" w:hAnsi="Times New Roman"/>
          <w:b/>
          <w:bCs/>
        </w:rPr>
        <w:t xml:space="preserve">  </w:t>
      </w:r>
      <w:r>
        <w:rPr>
          <w:rFonts w:hint="eastAsia" w:ascii="Times New Roman" w:hAnsi="Times New Roman"/>
        </w:rPr>
        <w:t>通过发放调查表方式，发放调查表格</w:t>
      </w:r>
      <w:r>
        <w:rPr>
          <w:rFonts w:ascii="Times New Roman" w:hAnsi="Times New Roman"/>
        </w:rPr>
        <w:t>50</w:t>
      </w:r>
      <w:r>
        <w:rPr>
          <w:rFonts w:hint="eastAsia" w:ascii="Times New Roman" w:hAnsi="Times New Roman"/>
        </w:rPr>
        <w:t>份，回收有效问卷</w:t>
      </w:r>
      <w:r>
        <w:rPr>
          <w:rFonts w:ascii="Times New Roman" w:hAnsi="Times New Roman"/>
        </w:rPr>
        <w:t>48</w:t>
      </w:r>
      <w:r>
        <w:rPr>
          <w:rFonts w:hint="eastAsia" w:ascii="Times New Roman" w:hAnsi="Times New Roman"/>
        </w:rPr>
        <w:t>份，问卷收回有效率为</w:t>
      </w:r>
      <w:r>
        <w:rPr>
          <w:rFonts w:ascii="Times New Roman" w:hAnsi="Times New Roman"/>
        </w:rPr>
        <w:t>96%</w:t>
      </w:r>
      <w:r>
        <w:rPr>
          <w:rFonts w:hint="eastAsia" w:ascii="Times New Roman" w:hAnsi="Times New Roman"/>
        </w:rPr>
        <w:t>。本次调查没有收到不满意意见，周围群众对该项目的支持较高，</w:t>
      </w:r>
      <w:r>
        <w:rPr>
          <w:rFonts w:ascii="Times New Roman" w:hAnsi="Times New Roman"/>
        </w:rPr>
        <w:t>100%</w:t>
      </w:r>
      <w:r>
        <w:rPr>
          <w:rFonts w:hint="eastAsia" w:ascii="Times New Roman" w:hAnsi="Times New Roman"/>
        </w:rPr>
        <w:t>被访问者对该建设项目的总体态度是满意和基本满意。该厂比较重视周边群众的意见，积极解决与群众利益密切相关的问题，厂群关系处理得较好。</w:t>
      </w:r>
    </w:p>
    <w:p>
      <w:pPr>
        <w:pStyle w:val="4"/>
      </w:pPr>
      <w:bookmarkStart w:id="56" w:name="_Toc12833"/>
      <w:r>
        <w:t>12.2</w:t>
      </w:r>
      <w:r>
        <w:rPr>
          <w:rFonts w:hint="eastAsia"/>
        </w:rPr>
        <w:t>建议</w:t>
      </w:r>
      <w:bookmarkEnd w:id="56"/>
    </w:p>
    <w:p>
      <w:pPr>
        <w:adjustRightInd w:val="0"/>
        <w:snapToGrid w:val="0"/>
        <w:spacing w:line="360" w:lineRule="auto"/>
        <w:rPr>
          <w:szCs w:val="28"/>
        </w:rPr>
      </w:pPr>
      <w:r>
        <w:rPr>
          <w:szCs w:val="28"/>
        </w:rPr>
        <w:t>11.2.1</w:t>
      </w:r>
      <w:r>
        <w:rPr>
          <w:rFonts w:hint="eastAsia"/>
          <w:szCs w:val="28"/>
          <w:lang w:eastAsia="zh-CN"/>
        </w:rPr>
        <w:t>完善污水处理站环境管理制度，定期进行维护和及时进行维修。确保污水处理站处于良好的运行状态，各项污染物长期稳定达标。</w:t>
      </w:r>
    </w:p>
    <w:p>
      <w:pPr>
        <w:adjustRightInd w:val="0"/>
        <w:snapToGrid w:val="0"/>
        <w:spacing w:line="360" w:lineRule="auto"/>
        <w:rPr>
          <w:szCs w:val="28"/>
        </w:rPr>
      </w:pPr>
      <w:r>
        <w:rPr>
          <w:szCs w:val="28"/>
        </w:rPr>
        <w:t>11.2.2</w:t>
      </w:r>
      <w:r>
        <w:rPr>
          <w:rFonts w:hint="eastAsia"/>
          <w:szCs w:val="28"/>
          <w:lang w:eastAsia="zh-CN"/>
        </w:rPr>
        <w:t>定期维护锅炉废气治理设施，预防因管道老化或腐蚀发生泄露事故。</w:t>
      </w:r>
    </w:p>
    <w:p>
      <w:pPr>
        <w:adjustRightInd w:val="0"/>
        <w:snapToGrid w:val="0"/>
        <w:spacing w:line="360" w:lineRule="auto"/>
        <w:rPr>
          <w:rFonts w:hint="eastAsia"/>
          <w:szCs w:val="28"/>
          <w:lang w:eastAsia="zh-CN"/>
        </w:rPr>
      </w:pPr>
      <w:r>
        <w:rPr>
          <w:szCs w:val="28"/>
        </w:rPr>
        <w:t>11.2.3</w:t>
      </w:r>
      <w:r>
        <w:rPr>
          <w:rFonts w:hint="eastAsia"/>
          <w:szCs w:val="28"/>
          <w:lang w:eastAsia="zh-CN"/>
        </w:rPr>
        <w:t>完善厂内固体废物、危险废物产出和转移台账。</w:t>
      </w:r>
    </w:p>
    <w:p>
      <w:pPr>
        <w:adjustRightInd w:val="0"/>
        <w:snapToGrid w:val="0"/>
        <w:spacing w:line="360" w:lineRule="auto"/>
        <w:rPr>
          <w:rFonts w:hint="eastAsia"/>
          <w:szCs w:val="28"/>
          <w:lang w:val="en-US" w:eastAsia="zh-CN"/>
        </w:rPr>
      </w:pPr>
      <w:r>
        <w:rPr>
          <w:rFonts w:hint="eastAsia"/>
          <w:szCs w:val="28"/>
          <w:lang w:val="en-US" w:eastAsia="zh-CN"/>
        </w:rPr>
        <w:t>11.2.4加强培训厂内员工风险防范意识，每年最少组织一次专项应急预案演练。</w:t>
      </w:r>
    </w:p>
    <w:p>
      <w:pPr>
        <w:pStyle w:val="4"/>
        <w:numPr>
          <w:ilvl w:val="0"/>
          <w:numId w:val="8"/>
        </w:numPr>
      </w:pPr>
      <w:bookmarkStart w:id="57" w:name="_Toc12643"/>
      <w:r>
        <w:rPr>
          <w:rFonts w:hint="eastAsia"/>
        </w:rPr>
        <w:t>建设项目环境保护“三同时”竣工验收登记表</w:t>
      </w:r>
      <w:bookmarkEnd w:id="57"/>
    </w:p>
    <w:p>
      <w:pPr>
        <w:sectPr>
          <w:footerReference r:id="rId7" w:type="default"/>
          <w:pgSz w:w="11906" w:h="16838"/>
          <w:pgMar w:top="1440" w:right="1080" w:bottom="1440" w:left="1080" w:header="709" w:footer="709" w:gutter="0"/>
          <w:pgNumType w:fmt="decimal"/>
          <w:cols w:space="708" w:num="1"/>
          <w:docGrid w:linePitch="360" w:charSpace="0"/>
        </w:sectPr>
      </w:pPr>
    </w:p>
    <w:p/>
    <w:p>
      <w:pPr>
        <w:adjustRightInd w:val="0"/>
        <w:snapToGrid w:val="0"/>
        <w:spacing w:line="360" w:lineRule="auto"/>
        <w:jc w:val="center"/>
        <w:rPr>
          <w:b/>
          <w:bCs/>
          <w:szCs w:val="28"/>
        </w:rPr>
      </w:pPr>
      <w:r>
        <w:rPr>
          <w:rFonts w:hint="eastAsia"/>
          <w:b/>
          <w:bCs/>
          <w:szCs w:val="28"/>
        </w:rPr>
        <w:t>建设项目工程竣工环境保护“三同时”验收登记表</w:t>
      </w:r>
    </w:p>
    <w:p>
      <w:pPr>
        <w:adjustRightInd w:val="0"/>
        <w:snapToGrid w:val="0"/>
        <w:spacing w:line="360" w:lineRule="auto"/>
        <w:rPr>
          <w:b/>
          <w:bCs/>
          <w:sz w:val="21"/>
          <w:szCs w:val="21"/>
        </w:rPr>
      </w:pPr>
      <w:r>
        <w:rPr>
          <w:rFonts w:hint="eastAsia"/>
          <w:b/>
          <w:bCs/>
          <w:sz w:val="21"/>
          <w:szCs w:val="21"/>
        </w:rPr>
        <w:t>填表单位（盖章）：翁源广业清怡食品科技有限公司</w:t>
      </w:r>
      <w:r>
        <w:rPr>
          <w:b/>
          <w:bCs/>
          <w:sz w:val="21"/>
          <w:szCs w:val="21"/>
        </w:rPr>
        <w:t xml:space="preserve">        </w:t>
      </w:r>
      <w:r>
        <w:rPr>
          <w:rFonts w:hint="eastAsia"/>
          <w:b/>
          <w:bCs/>
          <w:sz w:val="21"/>
          <w:szCs w:val="21"/>
        </w:rPr>
        <w:t>填表人（签字）：</w:t>
      </w:r>
      <w:r>
        <w:rPr>
          <w:b/>
          <w:bCs/>
          <w:sz w:val="21"/>
          <w:szCs w:val="21"/>
        </w:rPr>
        <w:t xml:space="preserve">                                 </w:t>
      </w:r>
      <w:r>
        <w:rPr>
          <w:rFonts w:hint="eastAsia"/>
          <w:b/>
          <w:bCs/>
          <w:sz w:val="21"/>
          <w:szCs w:val="21"/>
        </w:rPr>
        <w:t>项目经办人（签字）：</w:t>
      </w:r>
    </w:p>
    <w:tbl>
      <w:tblPr>
        <w:tblStyle w:val="47"/>
        <w:tblW w:w="15990" w:type="dxa"/>
        <w:jc w:val="center"/>
        <w:tblInd w:w="-100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3"/>
        <w:gridCol w:w="1560"/>
        <w:gridCol w:w="540"/>
        <w:gridCol w:w="465"/>
        <w:gridCol w:w="450"/>
        <w:gridCol w:w="1200"/>
        <w:gridCol w:w="75"/>
        <w:gridCol w:w="690"/>
        <w:gridCol w:w="480"/>
        <w:gridCol w:w="300"/>
        <w:gridCol w:w="636"/>
        <w:gridCol w:w="144"/>
        <w:gridCol w:w="945"/>
        <w:gridCol w:w="240"/>
        <w:gridCol w:w="450"/>
        <w:gridCol w:w="278"/>
        <w:gridCol w:w="187"/>
        <w:gridCol w:w="955"/>
        <w:gridCol w:w="65"/>
        <w:gridCol w:w="840"/>
        <w:gridCol w:w="237"/>
        <w:gridCol w:w="1142"/>
        <w:gridCol w:w="646"/>
        <w:gridCol w:w="496"/>
        <w:gridCol w:w="179"/>
        <w:gridCol w:w="963"/>
        <w:gridCol w:w="216"/>
        <w:gridCol w:w="9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restart"/>
            <w:vAlign w:val="center"/>
          </w:tcPr>
          <w:p>
            <w:pPr>
              <w:adjustRightInd w:val="0"/>
              <w:snapToGrid w:val="0"/>
              <w:jc w:val="center"/>
              <w:rPr>
                <w:b/>
                <w:bCs/>
                <w:sz w:val="18"/>
                <w:szCs w:val="18"/>
              </w:rPr>
            </w:pPr>
            <w:r>
              <w:rPr>
                <w:rFonts w:hint="eastAsia"/>
                <w:b/>
                <w:bCs/>
                <w:sz w:val="18"/>
                <w:szCs w:val="18"/>
              </w:rPr>
              <w:t>建设项目</w:t>
            </w:r>
          </w:p>
        </w:tc>
        <w:tc>
          <w:tcPr>
            <w:tcW w:w="2100" w:type="dxa"/>
            <w:gridSpan w:val="2"/>
            <w:vAlign w:val="center"/>
          </w:tcPr>
          <w:p>
            <w:pPr>
              <w:adjustRightInd w:val="0"/>
              <w:snapToGrid w:val="0"/>
              <w:jc w:val="center"/>
              <w:rPr>
                <w:b/>
                <w:bCs/>
                <w:sz w:val="18"/>
                <w:szCs w:val="18"/>
              </w:rPr>
            </w:pPr>
            <w:r>
              <w:rPr>
                <w:rFonts w:hint="eastAsia"/>
                <w:b/>
                <w:bCs/>
                <w:sz w:val="18"/>
                <w:szCs w:val="18"/>
              </w:rPr>
              <w:t>项目名称</w:t>
            </w:r>
          </w:p>
        </w:tc>
        <w:tc>
          <w:tcPr>
            <w:tcW w:w="4296" w:type="dxa"/>
            <w:gridSpan w:val="8"/>
            <w:vAlign w:val="center"/>
          </w:tcPr>
          <w:p>
            <w:pPr>
              <w:adjustRightInd w:val="0"/>
              <w:snapToGrid w:val="0"/>
              <w:jc w:val="center"/>
              <w:rPr>
                <w:b/>
                <w:bCs/>
                <w:sz w:val="18"/>
                <w:szCs w:val="18"/>
              </w:rPr>
            </w:pPr>
            <w:r>
              <w:rPr>
                <w:rFonts w:hint="eastAsia"/>
                <w:sz w:val="18"/>
                <w:szCs w:val="18"/>
              </w:rPr>
              <w:t>年产</w:t>
            </w:r>
            <w:r>
              <w:rPr>
                <w:sz w:val="18"/>
                <w:szCs w:val="18"/>
              </w:rPr>
              <w:t>600</w:t>
            </w:r>
            <w:r>
              <w:rPr>
                <w:rFonts w:hint="eastAsia"/>
                <w:sz w:val="18"/>
                <w:szCs w:val="18"/>
              </w:rPr>
              <w:t>吨食品抗氧化剂</w:t>
            </w:r>
            <w:r>
              <w:rPr>
                <w:sz w:val="18"/>
                <w:szCs w:val="18"/>
              </w:rPr>
              <w:t>TBHQ</w:t>
            </w:r>
            <w:r>
              <w:rPr>
                <w:rFonts w:hint="eastAsia"/>
                <w:sz w:val="18"/>
                <w:szCs w:val="18"/>
              </w:rPr>
              <w:t>建设项目</w:t>
            </w:r>
          </w:p>
        </w:tc>
        <w:tc>
          <w:tcPr>
            <w:tcW w:w="2244" w:type="dxa"/>
            <w:gridSpan w:val="6"/>
            <w:vAlign w:val="center"/>
          </w:tcPr>
          <w:p>
            <w:pPr>
              <w:adjustRightInd w:val="0"/>
              <w:snapToGrid w:val="0"/>
              <w:jc w:val="center"/>
              <w:rPr>
                <w:b/>
                <w:bCs/>
                <w:sz w:val="18"/>
                <w:szCs w:val="18"/>
              </w:rPr>
            </w:pPr>
            <w:r>
              <w:rPr>
                <w:rFonts w:hint="eastAsia"/>
                <w:b/>
                <w:bCs/>
                <w:sz w:val="18"/>
                <w:szCs w:val="18"/>
              </w:rPr>
              <w:t>项目代码</w:t>
            </w:r>
          </w:p>
        </w:tc>
        <w:tc>
          <w:tcPr>
            <w:tcW w:w="1860" w:type="dxa"/>
            <w:gridSpan w:val="3"/>
            <w:vAlign w:val="center"/>
          </w:tcPr>
          <w:p>
            <w:pPr>
              <w:adjustRightInd w:val="0"/>
              <w:snapToGrid w:val="0"/>
              <w:jc w:val="center"/>
              <w:rPr>
                <w:b/>
                <w:bCs/>
                <w:sz w:val="18"/>
                <w:szCs w:val="18"/>
              </w:rPr>
            </w:pPr>
            <w:r>
              <w:rPr>
                <w:b/>
                <w:bCs/>
                <w:sz w:val="18"/>
                <w:szCs w:val="18"/>
              </w:rPr>
              <w:t>/</w:t>
            </w:r>
          </w:p>
        </w:tc>
        <w:tc>
          <w:tcPr>
            <w:tcW w:w="2025" w:type="dxa"/>
            <w:gridSpan w:val="3"/>
            <w:vAlign w:val="center"/>
          </w:tcPr>
          <w:p>
            <w:pPr>
              <w:adjustRightInd w:val="0"/>
              <w:snapToGrid w:val="0"/>
              <w:jc w:val="center"/>
              <w:rPr>
                <w:b/>
                <w:bCs/>
                <w:sz w:val="18"/>
                <w:szCs w:val="18"/>
              </w:rPr>
            </w:pPr>
            <w:r>
              <w:rPr>
                <w:rFonts w:hint="eastAsia"/>
                <w:b/>
                <w:bCs/>
                <w:sz w:val="18"/>
                <w:szCs w:val="18"/>
              </w:rPr>
              <w:t>建设地点</w:t>
            </w:r>
          </w:p>
        </w:tc>
        <w:tc>
          <w:tcPr>
            <w:tcW w:w="2782" w:type="dxa"/>
            <w:gridSpan w:val="5"/>
            <w:vAlign w:val="center"/>
          </w:tcPr>
          <w:p>
            <w:pPr>
              <w:adjustRightInd w:val="0"/>
              <w:snapToGrid w:val="0"/>
              <w:jc w:val="center"/>
              <w:rPr>
                <w:b/>
                <w:bCs/>
                <w:sz w:val="18"/>
                <w:szCs w:val="18"/>
              </w:rPr>
            </w:pPr>
            <w:r>
              <w:rPr>
                <w:rFonts w:hint="eastAsia"/>
                <w:sz w:val="18"/>
                <w:szCs w:val="18"/>
              </w:rPr>
              <w:t>韶关市翁源县京珠高速翁城进出口引道南侧</w:t>
            </w:r>
            <w:r>
              <w:rPr>
                <w:sz w:val="18"/>
                <w:szCs w:val="18"/>
              </w:rPr>
              <w:t>250</w:t>
            </w:r>
            <w:r>
              <w:rPr>
                <w:rFonts w:hint="eastAsia"/>
                <w:sz w:val="18"/>
                <w:szCs w:val="18"/>
              </w:rPr>
              <w:t>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行业类别</w:t>
            </w:r>
          </w:p>
        </w:tc>
        <w:tc>
          <w:tcPr>
            <w:tcW w:w="4296" w:type="dxa"/>
            <w:gridSpan w:val="8"/>
            <w:vAlign w:val="center"/>
          </w:tcPr>
          <w:p>
            <w:pPr>
              <w:adjustRightInd w:val="0"/>
              <w:snapToGrid w:val="0"/>
              <w:jc w:val="center"/>
              <w:rPr>
                <w:b/>
                <w:bCs/>
                <w:sz w:val="18"/>
                <w:szCs w:val="18"/>
              </w:rPr>
            </w:pPr>
            <w:r>
              <w:rPr>
                <w:rFonts w:hAnsi="宋体"/>
                <w:color w:val="000000"/>
                <w:sz w:val="18"/>
                <w:szCs w:val="18"/>
              </w:rPr>
              <w:t>C1495</w:t>
            </w:r>
            <w:r>
              <w:rPr>
                <w:rFonts w:hint="eastAsia" w:hAnsi="宋体"/>
                <w:color w:val="000000"/>
                <w:sz w:val="18"/>
                <w:szCs w:val="18"/>
              </w:rPr>
              <w:t>食品及饲料添加剂制造</w:t>
            </w:r>
          </w:p>
        </w:tc>
        <w:tc>
          <w:tcPr>
            <w:tcW w:w="2244" w:type="dxa"/>
            <w:gridSpan w:val="6"/>
            <w:vAlign w:val="center"/>
          </w:tcPr>
          <w:p>
            <w:pPr>
              <w:adjustRightInd w:val="0"/>
              <w:snapToGrid w:val="0"/>
              <w:jc w:val="center"/>
              <w:rPr>
                <w:b/>
                <w:bCs/>
                <w:sz w:val="18"/>
                <w:szCs w:val="18"/>
              </w:rPr>
            </w:pPr>
            <w:r>
              <w:rPr>
                <w:rFonts w:hint="eastAsia"/>
                <w:b/>
                <w:bCs/>
                <w:sz w:val="18"/>
                <w:szCs w:val="18"/>
              </w:rPr>
              <w:t>建设性质</w:t>
            </w:r>
          </w:p>
        </w:tc>
        <w:tc>
          <w:tcPr>
            <w:tcW w:w="6667" w:type="dxa"/>
            <w:gridSpan w:val="11"/>
            <w:vAlign w:val="center"/>
          </w:tcPr>
          <w:p>
            <w:pPr>
              <w:adjustRightInd w:val="0"/>
              <w:snapToGrid w:val="0"/>
              <w:ind w:firstLine="240" w:firstLineChars="100"/>
              <w:rPr>
                <w:b/>
                <w:bCs/>
                <w:sz w:val="18"/>
                <w:szCs w:val="18"/>
              </w:rPr>
            </w:pPr>
            <w:r>
              <mc:AlternateContent>
                <mc:Choice Requires="wps">
                  <w:drawing>
                    <wp:anchor distT="0" distB="0" distL="114300" distR="114300" simplePos="0" relativeHeight="251670528" behindDoc="0" locked="0" layoutInCell="1" allowOverlap="1">
                      <wp:simplePos x="0" y="0"/>
                      <wp:positionH relativeFrom="column">
                        <wp:posOffset>127000</wp:posOffset>
                      </wp:positionH>
                      <wp:positionV relativeFrom="paragraph">
                        <wp:posOffset>46355</wp:posOffset>
                      </wp:positionV>
                      <wp:extent cx="104775" cy="76200"/>
                      <wp:effectExtent l="4445" t="4445" r="5080" b="14605"/>
                      <wp:wrapNone/>
                      <wp:docPr id="49" name="矩形 89"/>
                      <wp:cNvGraphicFramePr/>
                      <a:graphic xmlns:a="http://schemas.openxmlformats.org/drawingml/2006/main">
                        <a:graphicData uri="http://schemas.microsoft.com/office/word/2010/wordprocessingShape">
                          <wps:wsp>
                            <wps:cNvSpPr/>
                            <wps:spPr>
                              <a:xfrm>
                                <a:off x="0" y="0"/>
                                <a:ext cx="104775" cy="76200"/>
                              </a:xfrm>
                              <a:prstGeom prst="rect">
                                <a:avLst/>
                              </a:prstGeom>
                              <a:noFill/>
                              <a:ln w="9525" cap="flat" cmpd="sng">
                                <a:solidFill>
                                  <a:srgbClr val="000000"/>
                                </a:solidFill>
                                <a:prstDash val="solid"/>
                                <a:miter/>
                                <a:headEnd type="none" w="med" len="med"/>
                                <a:tailEnd type="none" w="med" len="med"/>
                              </a:ln>
                            </wps:spPr>
                            <wps:bodyPr upright="1"/>
                          </wps:wsp>
                        </a:graphicData>
                      </a:graphic>
                    </wp:anchor>
                  </w:drawing>
                </mc:Choice>
                <mc:Fallback>
                  <w:pict>
                    <v:rect id="矩形 89" o:spid="_x0000_s1026" o:spt="1" style="position:absolute;left:0pt;margin-left:10pt;margin-top:3.65pt;height:6pt;width:8.25pt;z-index:251670528;mso-width-relative:page;mso-height-relative:page;" filled="f" stroked="t" coordsize="21600,21600" o:gfxdata="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7Tt5ytMAAAAGAQAADwAAAAAAAAAB&#10;ACAAAAAiAAAAZHJzL2Rvd25yZXYueG1sUEsBAhQAFAAAAAgAh07iQCJg1LTcAQAApwMAAA4AAAAA&#10;AAAAAQAgAAAAIgEAAGRycy9lMm9Eb2MueG1sUEsFBgAAAAAGAAYAWQEAAHAFAAAAAA==&#10;">
                      <v:fill on="f" focussize="0,0"/>
                      <v:stroke color="#000000" joinstyle="miter"/>
                      <v:imagedata o:title=""/>
                      <o:lock v:ext="edit" aspectratio="f"/>
                    </v:rect>
                  </w:pict>
                </mc:Fallback>
              </mc:AlternateContent>
            </w:r>
            <w:r>
              <mc:AlternateContent>
                <mc:Choice Requires="wps">
                  <w:drawing>
                    <wp:anchor distT="0" distB="0" distL="114300" distR="114300" simplePos="0" relativeHeight="251671552" behindDoc="0" locked="0" layoutInCell="1" allowOverlap="1">
                      <wp:simplePos x="0" y="0"/>
                      <wp:positionH relativeFrom="column">
                        <wp:posOffset>1566545</wp:posOffset>
                      </wp:positionH>
                      <wp:positionV relativeFrom="paragraph">
                        <wp:posOffset>36830</wp:posOffset>
                      </wp:positionV>
                      <wp:extent cx="104775" cy="76200"/>
                      <wp:effectExtent l="4445" t="4445" r="5080" b="14605"/>
                      <wp:wrapNone/>
                      <wp:docPr id="50" name="矩形 88"/>
                      <wp:cNvGraphicFramePr/>
                      <a:graphic xmlns:a="http://schemas.openxmlformats.org/drawingml/2006/main">
                        <a:graphicData uri="http://schemas.microsoft.com/office/word/2010/wordprocessingShape">
                          <wps:wsp>
                            <wps:cNvSpPr/>
                            <wps:spPr>
                              <a:xfrm>
                                <a:off x="0" y="0"/>
                                <a:ext cx="104775" cy="76200"/>
                              </a:xfrm>
                              <a:prstGeom prst="rect">
                                <a:avLst/>
                              </a:prstGeom>
                              <a:solidFill>
                                <a:srgbClr val="FFFFFF"/>
                              </a:solidFill>
                              <a:ln w="9525" cap="flat" cmpd="sng">
                                <a:solidFill>
                                  <a:srgbClr val="000000"/>
                                </a:solidFill>
                                <a:prstDash val="solid"/>
                                <a:miter/>
                                <a:headEnd type="none" w="med" len="med"/>
                                <a:tailEnd type="none" w="med" len="med"/>
                              </a:ln>
                            </wps:spPr>
                            <wps:bodyPr upright="1"/>
                          </wps:wsp>
                        </a:graphicData>
                      </a:graphic>
                    </wp:anchor>
                  </w:drawing>
                </mc:Choice>
                <mc:Fallback>
                  <w:pict>
                    <v:rect id="矩形 88" o:spid="_x0000_s1026" o:spt="1" style="position:absolute;left:0pt;margin-left:123.35pt;margin-top:2.9pt;height:6pt;width:8.25pt;z-index:251671552;mso-width-relative:page;mso-height-relative:page;" fillcolor="#FFFFFF" filled="t" stroked="t" coordsize="21600,21600" o:gfxdata="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G3ySITXAAAACAEAAA8A&#10;AAAAAAAAAQAgAAAAIgAAAGRycy9kb3ducmV2LnhtbFBLAQIUABQAAAAIAIdO4kCoZ/7D3wEAANAD&#10;AAAOAAAAAAAAAAEAIAAAACYBAABkcnMvZTJvRG9jLnhtbFBLBQYAAAAABgAGAFkBAAB3BQAAAAA=&#10;">
                      <v:fill on="t" focussize="0,0"/>
                      <v:stroke color="#000000" joinstyle="miter"/>
                      <v:imagedata o:title=""/>
                      <o:lock v:ext="edit" aspectratio="f"/>
                    </v:rect>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826770</wp:posOffset>
                      </wp:positionH>
                      <wp:positionV relativeFrom="paragraph">
                        <wp:posOffset>35560</wp:posOffset>
                      </wp:positionV>
                      <wp:extent cx="104775" cy="76200"/>
                      <wp:effectExtent l="4445" t="4445" r="5080" b="14605"/>
                      <wp:wrapNone/>
                      <wp:docPr id="51" name="矩形 87"/>
                      <wp:cNvGraphicFramePr/>
                      <a:graphic xmlns:a="http://schemas.openxmlformats.org/drawingml/2006/main">
                        <a:graphicData uri="http://schemas.microsoft.com/office/word/2010/wordprocessingShape">
                          <wps:wsp>
                            <wps:cNvSpPr/>
                            <wps:spPr>
                              <a:xfrm>
                                <a:off x="0" y="0"/>
                                <a:ext cx="104775" cy="76200"/>
                              </a:xfrm>
                              <a:prstGeom prst="rect">
                                <a:avLst/>
                              </a:prstGeom>
                              <a:noFill/>
                              <a:ln w="9525" cap="flat" cmpd="sng">
                                <a:solidFill>
                                  <a:srgbClr val="000000"/>
                                </a:solidFill>
                                <a:prstDash val="solid"/>
                                <a:miter/>
                                <a:headEnd type="none" w="med" len="med"/>
                                <a:tailEnd type="none" w="med" len="med"/>
                              </a:ln>
                            </wps:spPr>
                            <wps:bodyPr upright="1"/>
                          </wps:wsp>
                        </a:graphicData>
                      </a:graphic>
                    </wp:anchor>
                  </w:drawing>
                </mc:Choice>
                <mc:Fallback>
                  <w:pict>
                    <v:rect id="矩形 87" o:spid="_x0000_s1026" o:spt="1" style="position:absolute;left:0pt;margin-left:65.1pt;margin-top:2.8pt;height:6pt;width:8.25pt;z-index:251672576;mso-width-relative:page;mso-height-relative:page;" filled="f" stroked="t" coordsize="21600,21600" o:gfxdata="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T0S6M1gAAAAgBAAAPAAAAAAAA&#10;AAEAIAAAACIAAABkcnMvZG93bnJldi54bWxQSwECFAAUAAAACACHTuJAntlGitsBAACnAwAADgAA&#10;AAAAAAABACAAAAAlAQAAZHJzL2Uyb0RvYy54bWxQSwUGAAAAAAYABgBZAQAAcgUAAAAA&#10;">
                      <v:fill on="f" focussize="0,0"/>
                      <v:stroke color="#000000" joinstyle="miter"/>
                      <v:imagedata o:title=""/>
                      <o:lock v:ext="edit" aspectratio="f"/>
                    </v:rect>
                  </w:pict>
                </mc:Fallback>
              </mc:AlternateContent>
            </w:r>
            <w:r>
              <w:rPr>
                <w:rFonts w:ascii="Arial" w:hAnsi="Arial" w:cs="Arial"/>
                <w:b/>
                <w:bCs/>
                <w:sz w:val="18"/>
                <w:szCs w:val="18"/>
              </w:rPr>
              <w:t>√</w:t>
            </w:r>
            <w:r>
              <w:rPr>
                <w:rFonts w:hint="eastAsia" w:ascii="Arial" w:hAnsi="Arial" w:cs="Arial"/>
                <w:b/>
                <w:bCs/>
                <w:sz w:val="18"/>
                <w:szCs w:val="18"/>
                <w:lang w:val="en-US" w:eastAsia="zh-CN"/>
              </w:rPr>
              <w:t xml:space="preserve"> </w:t>
            </w:r>
            <w:r>
              <w:rPr>
                <w:rFonts w:hint="eastAsia"/>
                <w:b/>
                <w:bCs/>
                <w:sz w:val="18"/>
                <w:szCs w:val="18"/>
              </w:rPr>
              <w:t>新建</w:t>
            </w:r>
            <w:r>
              <w:rPr>
                <w:b/>
                <w:bCs/>
                <w:sz w:val="18"/>
                <w:szCs w:val="18"/>
              </w:rPr>
              <w:t xml:space="preserve">        </w:t>
            </w:r>
            <w:r>
              <w:rPr>
                <w:rFonts w:hint="eastAsia"/>
                <w:b/>
                <w:bCs/>
                <w:sz w:val="18"/>
                <w:szCs w:val="18"/>
              </w:rPr>
              <w:t>改扩建</w:t>
            </w:r>
            <w:r>
              <w:rPr>
                <w:b/>
                <w:bCs/>
                <w:sz w:val="18"/>
                <w:szCs w:val="18"/>
              </w:rPr>
              <w:t xml:space="preserve">       </w:t>
            </w:r>
            <w:r>
              <w:rPr>
                <w:rFonts w:hint="eastAsia"/>
                <w:b/>
                <w:bCs/>
                <w:sz w:val="18"/>
                <w:szCs w:val="18"/>
              </w:rPr>
              <w:t>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设计生产能力</w:t>
            </w:r>
          </w:p>
        </w:tc>
        <w:tc>
          <w:tcPr>
            <w:tcW w:w="4296" w:type="dxa"/>
            <w:gridSpan w:val="8"/>
            <w:vAlign w:val="center"/>
          </w:tcPr>
          <w:p>
            <w:pPr>
              <w:adjustRightInd w:val="0"/>
              <w:snapToGrid w:val="0"/>
              <w:jc w:val="center"/>
              <w:rPr>
                <w:b/>
                <w:bCs/>
                <w:sz w:val="18"/>
                <w:szCs w:val="18"/>
              </w:rPr>
            </w:pPr>
            <w:r>
              <w:rPr>
                <w:rFonts w:hint="eastAsia"/>
                <w:sz w:val="18"/>
                <w:szCs w:val="18"/>
              </w:rPr>
              <w:t>年产</w:t>
            </w:r>
            <w:r>
              <w:rPr>
                <w:sz w:val="18"/>
                <w:szCs w:val="18"/>
              </w:rPr>
              <w:t>600</w:t>
            </w:r>
            <w:r>
              <w:rPr>
                <w:rFonts w:hint="eastAsia"/>
                <w:sz w:val="18"/>
                <w:szCs w:val="18"/>
              </w:rPr>
              <w:t>吨食品抗氧化剂</w:t>
            </w:r>
          </w:p>
        </w:tc>
        <w:tc>
          <w:tcPr>
            <w:tcW w:w="2244" w:type="dxa"/>
            <w:gridSpan w:val="6"/>
            <w:vAlign w:val="center"/>
          </w:tcPr>
          <w:p>
            <w:pPr>
              <w:adjustRightInd w:val="0"/>
              <w:snapToGrid w:val="0"/>
              <w:jc w:val="center"/>
              <w:rPr>
                <w:b/>
                <w:bCs/>
                <w:sz w:val="18"/>
                <w:szCs w:val="18"/>
              </w:rPr>
            </w:pPr>
            <w:r>
              <w:rPr>
                <w:rFonts w:hint="eastAsia"/>
                <w:b/>
                <w:bCs/>
                <w:sz w:val="18"/>
                <w:szCs w:val="18"/>
              </w:rPr>
              <w:t>实际生产能力</w:t>
            </w:r>
          </w:p>
        </w:tc>
        <w:tc>
          <w:tcPr>
            <w:tcW w:w="1860" w:type="dxa"/>
            <w:gridSpan w:val="3"/>
            <w:vAlign w:val="center"/>
          </w:tcPr>
          <w:p>
            <w:pPr>
              <w:adjustRightInd w:val="0"/>
              <w:snapToGrid w:val="0"/>
              <w:jc w:val="center"/>
              <w:rPr>
                <w:b/>
                <w:bCs/>
                <w:sz w:val="18"/>
                <w:szCs w:val="18"/>
              </w:rPr>
            </w:pPr>
            <w:r>
              <w:rPr>
                <w:rFonts w:hint="eastAsia"/>
                <w:sz w:val="18"/>
                <w:szCs w:val="18"/>
              </w:rPr>
              <w:t>年产</w:t>
            </w:r>
            <w:r>
              <w:rPr>
                <w:sz w:val="18"/>
                <w:szCs w:val="18"/>
              </w:rPr>
              <w:t>600</w:t>
            </w:r>
            <w:r>
              <w:rPr>
                <w:rFonts w:hint="eastAsia"/>
                <w:sz w:val="18"/>
                <w:szCs w:val="18"/>
              </w:rPr>
              <w:t>吨食品抗氧化剂</w:t>
            </w:r>
          </w:p>
        </w:tc>
        <w:tc>
          <w:tcPr>
            <w:tcW w:w="2025" w:type="dxa"/>
            <w:gridSpan w:val="3"/>
            <w:vAlign w:val="center"/>
          </w:tcPr>
          <w:p>
            <w:pPr>
              <w:adjustRightInd w:val="0"/>
              <w:snapToGrid w:val="0"/>
              <w:jc w:val="center"/>
              <w:rPr>
                <w:b/>
                <w:bCs/>
                <w:sz w:val="18"/>
                <w:szCs w:val="18"/>
              </w:rPr>
            </w:pPr>
            <w:r>
              <w:rPr>
                <w:rFonts w:hint="eastAsia"/>
                <w:b/>
                <w:bCs/>
                <w:sz w:val="18"/>
                <w:szCs w:val="18"/>
              </w:rPr>
              <w:t>环评单位</w:t>
            </w:r>
          </w:p>
        </w:tc>
        <w:tc>
          <w:tcPr>
            <w:tcW w:w="2782" w:type="dxa"/>
            <w:gridSpan w:val="5"/>
            <w:vAlign w:val="center"/>
          </w:tcPr>
          <w:p>
            <w:pPr>
              <w:adjustRightInd w:val="0"/>
              <w:snapToGrid w:val="0"/>
              <w:jc w:val="center"/>
              <w:rPr>
                <w:bCs/>
                <w:sz w:val="18"/>
                <w:szCs w:val="18"/>
              </w:rPr>
            </w:pPr>
            <w:r>
              <w:rPr>
                <w:rFonts w:hint="eastAsia" w:ascii="宋体" w:hAnsi="宋体"/>
                <w:bCs/>
                <w:sz w:val="18"/>
                <w:szCs w:val="18"/>
              </w:rPr>
              <w:t>韶关市环境保护科学技术研究所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环评文件审批机关</w:t>
            </w:r>
          </w:p>
        </w:tc>
        <w:tc>
          <w:tcPr>
            <w:tcW w:w="4296" w:type="dxa"/>
            <w:gridSpan w:val="8"/>
            <w:vAlign w:val="center"/>
          </w:tcPr>
          <w:p>
            <w:pPr>
              <w:adjustRightInd w:val="0"/>
              <w:snapToGrid w:val="0"/>
              <w:jc w:val="center"/>
              <w:rPr>
                <w:b/>
                <w:bCs/>
                <w:sz w:val="18"/>
                <w:szCs w:val="18"/>
              </w:rPr>
            </w:pPr>
            <w:r>
              <w:rPr>
                <w:rFonts w:hint="eastAsia"/>
                <w:sz w:val="18"/>
                <w:szCs w:val="18"/>
              </w:rPr>
              <w:t>韶关市环境保护局</w:t>
            </w:r>
          </w:p>
        </w:tc>
        <w:tc>
          <w:tcPr>
            <w:tcW w:w="2244" w:type="dxa"/>
            <w:gridSpan w:val="6"/>
            <w:vAlign w:val="center"/>
          </w:tcPr>
          <w:p>
            <w:pPr>
              <w:adjustRightInd w:val="0"/>
              <w:snapToGrid w:val="0"/>
              <w:jc w:val="center"/>
              <w:rPr>
                <w:b/>
                <w:bCs/>
                <w:sz w:val="18"/>
                <w:szCs w:val="18"/>
              </w:rPr>
            </w:pPr>
            <w:r>
              <w:rPr>
                <w:rFonts w:hint="eastAsia"/>
                <w:b/>
                <w:bCs/>
                <w:sz w:val="18"/>
                <w:szCs w:val="18"/>
              </w:rPr>
              <w:t>审批文号</w:t>
            </w:r>
          </w:p>
        </w:tc>
        <w:tc>
          <w:tcPr>
            <w:tcW w:w="1860" w:type="dxa"/>
            <w:gridSpan w:val="3"/>
            <w:vAlign w:val="center"/>
          </w:tcPr>
          <w:p>
            <w:pPr>
              <w:adjustRightInd w:val="0"/>
              <w:snapToGrid w:val="0"/>
              <w:jc w:val="center"/>
              <w:rPr>
                <w:b/>
                <w:bCs/>
                <w:sz w:val="18"/>
                <w:szCs w:val="18"/>
              </w:rPr>
            </w:pPr>
            <w:r>
              <w:rPr>
                <w:rFonts w:hint="eastAsia"/>
                <w:sz w:val="18"/>
                <w:szCs w:val="18"/>
              </w:rPr>
              <w:t>韶环审【</w:t>
            </w:r>
            <w:r>
              <w:rPr>
                <w:sz w:val="18"/>
                <w:szCs w:val="18"/>
              </w:rPr>
              <w:t>2015</w:t>
            </w:r>
            <w:r>
              <w:rPr>
                <w:rFonts w:hint="eastAsia"/>
                <w:sz w:val="18"/>
                <w:szCs w:val="18"/>
              </w:rPr>
              <w:t>】</w:t>
            </w:r>
            <w:r>
              <w:rPr>
                <w:sz w:val="18"/>
                <w:szCs w:val="18"/>
              </w:rPr>
              <w:t>348</w:t>
            </w:r>
            <w:r>
              <w:rPr>
                <w:rFonts w:hint="eastAsia"/>
                <w:sz w:val="18"/>
                <w:szCs w:val="18"/>
              </w:rPr>
              <w:t>号</w:t>
            </w:r>
          </w:p>
        </w:tc>
        <w:tc>
          <w:tcPr>
            <w:tcW w:w="2025" w:type="dxa"/>
            <w:gridSpan w:val="3"/>
            <w:vAlign w:val="center"/>
          </w:tcPr>
          <w:p>
            <w:pPr>
              <w:adjustRightInd w:val="0"/>
              <w:snapToGrid w:val="0"/>
              <w:jc w:val="center"/>
              <w:rPr>
                <w:b/>
                <w:bCs/>
                <w:sz w:val="18"/>
                <w:szCs w:val="18"/>
              </w:rPr>
            </w:pPr>
            <w:r>
              <w:rPr>
                <w:rFonts w:hint="eastAsia"/>
                <w:b/>
                <w:bCs/>
                <w:sz w:val="18"/>
                <w:szCs w:val="18"/>
              </w:rPr>
              <w:t>环评文件类型</w:t>
            </w:r>
          </w:p>
        </w:tc>
        <w:tc>
          <w:tcPr>
            <w:tcW w:w="2782" w:type="dxa"/>
            <w:gridSpan w:val="5"/>
            <w:vAlign w:val="center"/>
          </w:tcPr>
          <w:p>
            <w:pPr>
              <w:adjustRightInd w:val="0"/>
              <w:snapToGrid w:val="0"/>
              <w:jc w:val="center"/>
              <w:rPr>
                <w:bCs/>
                <w:sz w:val="18"/>
                <w:szCs w:val="18"/>
              </w:rPr>
            </w:pPr>
            <w:r>
              <w:rPr>
                <w:rFonts w:hint="eastAsia"/>
                <w:bCs/>
                <w:sz w:val="18"/>
                <w:szCs w:val="18"/>
              </w:rPr>
              <w:t>环评报告书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开工日期</w:t>
            </w:r>
          </w:p>
        </w:tc>
        <w:tc>
          <w:tcPr>
            <w:tcW w:w="4296" w:type="dxa"/>
            <w:gridSpan w:val="8"/>
            <w:vAlign w:val="center"/>
          </w:tcPr>
          <w:p>
            <w:pPr>
              <w:adjustRightInd w:val="0"/>
              <w:snapToGrid w:val="0"/>
              <w:jc w:val="center"/>
              <w:rPr>
                <w:rFonts w:hint="eastAsia" w:eastAsia="宋体"/>
                <w:b/>
                <w:bCs/>
                <w:sz w:val="18"/>
                <w:szCs w:val="18"/>
                <w:lang w:eastAsia="zh-CN"/>
              </w:rPr>
            </w:pPr>
            <w:r>
              <w:rPr>
                <w:rFonts w:hint="eastAsia"/>
                <w:b w:val="0"/>
                <w:bCs w:val="0"/>
                <w:sz w:val="18"/>
                <w:szCs w:val="18"/>
                <w:lang w:val="en-US" w:eastAsia="zh-CN"/>
              </w:rPr>
              <w:t>2015年6月</w:t>
            </w:r>
          </w:p>
        </w:tc>
        <w:tc>
          <w:tcPr>
            <w:tcW w:w="2244" w:type="dxa"/>
            <w:gridSpan w:val="6"/>
            <w:vAlign w:val="center"/>
          </w:tcPr>
          <w:p>
            <w:pPr>
              <w:adjustRightInd w:val="0"/>
              <w:snapToGrid w:val="0"/>
              <w:jc w:val="center"/>
              <w:rPr>
                <w:b/>
                <w:bCs/>
                <w:sz w:val="18"/>
                <w:szCs w:val="18"/>
              </w:rPr>
            </w:pPr>
            <w:r>
              <w:rPr>
                <w:rFonts w:hint="eastAsia"/>
                <w:b/>
                <w:bCs/>
                <w:sz w:val="18"/>
                <w:szCs w:val="18"/>
              </w:rPr>
              <w:t>竣工日期</w:t>
            </w:r>
          </w:p>
        </w:tc>
        <w:tc>
          <w:tcPr>
            <w:tcW w:w="1860" w:type="dxa"/>
            <w:gridSpan w:val="3"/>
            <w:vAlign w:val="center"/>
          </w:tcPr>
          <w:p>
            <w:pPr>
              <w:adjustRightInd w:val="0"/>
              <w:snapToGrid w:val="0"/>
              <w:jc w:val="center"/>
              <w:rPr>
                <w:b/>
                <w:bCs/>
                <w:sz w:val="18"/>
                <w:szCs w:val="18"/>
              </w:rPr>
            </w:pPr>
            <w:r>
              <w:rPr>
                <w:rFonts w:hint="eastAsia"/>
                <w:b w:val="0"/>
                <w:bCs w:val="0"/>
                <w:sz w:val="18"/>
                <w:szCs w:val="18"/>
                <w:lang w:val="en-US" w:eastAsia="zh-CN"/>
              </w:rPr>
              <w:t>2017年7月</w:t>
            </w:r>
          </w:p>
        </w:tc>
        <w:tc>
          <w:tcPr>
            <w:tcW w:w="2025" w:type="dxa"/>
            <w:gridSpan w:val="3"/>
            <w:vAlign w:val="center"/>
          </w:tcPr>
          <w:p>
            <w:pPr>
              <w:adjustRightInd w:val="0"/>
              <w:snapToGrid w:val="0"/>
              <w:jc w:val="center"/>
              <w:rPr>
                <w:b/>
                <w:bCs/>
                <w:sz w:val="18"/>
                <w:szCs w:val="18"/>
              </w:rPr>
            </w:pPr>
            <w:r>
              <w:rPr>
                <w:rFonts w:hint="eastAsia"/>
                <w:b/>
                <w:bCs/>
                <w:sz w:val="18"/>
                <w:szCs w:val="18"/>
              </w:rPr>
              <w:t>排污许可证申领时间</w:t>
            </w:r>
          </w:p>
        </w:tc>
        <w:tc>
          <w:tcPr>
            <w:tcW w:w="2782" w:type="dxa"/>
            <w:gridSpan w:val="5"/>
            <w:vAlign w:val="center"/>
          </w:tcPr>
          <w:p>
            <w:pPr>
              <w:adjustRightInd w:val="0"/>
              <w:snapToGrid w:val="0"/>
              <w:jc w:val="center"/>
              <w:rPr>
                <w:bCs/>
                <w:sz w:val="18"/>
                <w:szCs w:val="18"/>
              </w:rPr>
            </w:pPr>
            <w:r>
              <w:rPr>
                <w:bCs/>
                <w:sz w:val="18"/>
                <w:szCs w:val="18"/>
              </w:rPr>
              <w:t>2016</w:t>
            </w:r>
            <w:r>
              <w:rPr>
                <w:rFonts w:hint="eastAsia"/>
                <w:bCs/>
                <w:sz w:val="18"/>
                <w:szCs w:val="18"/>
              </w:rPr>
              <w:t>年</w:t>
            </w:r>
            <w:r>
              <w:rPr>
                <w:bCs/>
                <w:sz w:val="18"/>
                <w:szCs w:val="18"/>
              </w:rPr>
              <w:t>09</w:t>
            </w:r>
            <w:r>
              <w:rPr>
                <w:rFonts w:hint="eastAsia"/>
                <w:bCs/>
                <w:sz w:val="18"/>
                <w:szCs w:val="18"/>
              </w:rPr>
              <w:t>月</w:t>
            </w:r>
            <w:r>
              <w:rPr>
                <w:bCs/>
                <w:sz w:val="18"/>
                <w:szCs w:val="18"/>
              </w:rPr>
              <w:t>01</w:t>
            </w:r>
            <w:r>
              <w:rPr>
                <w:rFonts w:hint="eastAsia"/>
                <w:bCs/>
                <w:sz w:val="18"/>
                <w:szCs w:val="1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环保设施设计单位</w:t>
            </w:r>
          </w:p>
        </w:tc>
        <w:tc>
          <w:tcPr>
            <w:tcW w:w="4296" w:type="dxa"/>
            <w:gridSpan w:val="8"/>
            <w:vAlign w:val="center"/>
          </w:tcPr>
          <w:p>
            <w:pPr>
              <w:adjustRightInd w:val="0"/>
              <w:snapToGrid w:val="0"/>
              <w:jc w:val="center"/>
              <w:rPr>
                <w:b/>
                <w:bCs/>
                <w:sz w:val="18"/>
                <w:szCs w:val="18"/>
              </w:rPr>
            </w:pPr>
            <w:r>
              <w:rPr>
                <w:rFonts w:hint="eastAsia"/>
                <w:bCs/>
                <w:sz w:val="18"/>
                <w:szCs w:val="18"/>
              </w:rPr>
              <w:t>中国轻工业广州工程有限公司</w:t>
            </w:r>
          </w:p>
        </w:tc>
        <w:tc>
          <w:tcPr>
            <w:tcW w:w="2244" w:type="dxa"/>
            <w:gridSpan w:val="6"/>
            <w:vAlign w:val="center"/>
          </w:tcPr>
          <w:p>
            <w:pPr>
              <w:adjustRightInd w:val="0"/>
              <w:snapToGrid w:val="0"/>
              <w:jc w:val="center"/>
              <w:rPr>
                <w:b/>
                <w:bCs/>
                <w:sz w:val="18"/>
                <w:szCs w:val="18"/>
              </w:rPr>
            </w:pPr>
            <w:r>
              <w:rPr>
                <w:rFonts w:hint="eastAsia"/>
                <w:b/>
                <w:bCs/>
                <w:sz w:val="18"/>
                <w:szCs w:val="18"/>
              </w:rPr>
              <w:t>环保设施施工单位</w:t>
            </w:r>
          </w:p>
        </w:tc>
        <w:tc>
          <w:tcPr>
            <w:tcW w:w="1860" w:type="dxa"/>
            <w:gridSpan w:val="3"/>
            <w:vAlign w:val="center"/>
          </w:tcPr>
          <w:p>
            <w:pPr>
              <w:adjustRightInd w:val="0"/>
              <w:snapToGrid w:val="0"/>
              <w:jc w:val="center"/>
              <w:rPr>
                <w:b/>
                <w:bCs/>
                <w:sz w:val="18"/>
                <w:szCs w:val="18"/>
              </w:rPr>
            </w:pPr>
            <w:r>
              <w:rPr>
                <w:rFonts w:hint="eastAsia"/>
                <w:bCs/>
                <w:sz w:val="18"/>
                <w:szCs w:val="18"/>
              </w:rPr>
              <w:t>韶关市翁源县第三建筑工程有限公司</w:t>
            </w:r>
          </w:p>
        </w:tc>
        <w:tc>
          <w:tcPr>
            <w:tcW w:w="2025" w:type="dxa"/>
            <w:gridSpan w:val="3"/>
            <w:vAlign w:val="center"/>
          </w:tcPr>
          <w:p>
            <w:pPr>
              <w:adjustRightInd w:val="0"/>
              <w:snapToGrid w:val="0"/>
              <w:jc w:val="center"/>
              <w:rPr>
                <w:b/>
                <w:bCs/>
                <w:sz w:val="18"/>
                <w:szCs w:val="18"/>
              </w:rPr>
            </w:pPr>
            <w:r>
              <w:rPr>
                <w:rFonts w:hint="eastAsia"/>
                <w:b/>
                <w:bCs/>
                <w:sz w:val="18"/>
                <w:szCs w:val="18"/>
              </w:rPr>
              <w:t>本工程排污许可证编号</w:t>
            </w:r>
          </w:p>
        </w:tc>
        <w:tc>
          <w:tcPr>
            <w:tcW w:w="2782" w:type="dxa"/>
            <w:gridSpan w:val="5"/>
            <w:vAlign w:val="center"/>
          </w:tcPr>
          <w:p>
            <w:pPr>
              <w:adjustRightInd w:val="0"/>
              <w:snapToGrid w:val="0"/>
              <w:jc w:val="center"/>
              <w:rPr>
                <w:bCs/>
                <w:sz w:val="18"/>
                <w:szCs w:val="18"/>
              </w:rPr>
            </w:pPr>
            <w:r>
              <w:rPr>
                <w:bCs/>
                <w:sz w:val="18"/>
                <w:szCs w:val="18"/>
              </w:rPr>
              <w:t>4402292017000033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验收单位</w:t>
            </w:r>
          </w:p>
        </w:tc>
        <w:tc>
          <w:tcPr>
            <w:tcW w:w="4296" w:type="dxa"/>
            <w:gridSpan w:val="8"/>
            <w:vAlign w:val="center"/>
          </w:tcPr>
          <w:p>
            <w:pPr>
              <w:adjustRightInd w:val="0"/>
              <w:snapToGrid w:val="0"/>
              <w:jc w:val="center"/>
              <w:rPr>
                <w:b/>
                <w:bCs/>
                <w:sz w:val="18"/>
                <w:szCs w:val="18"/>
              </w:rPr>
            </w:pPr>
            <w:r>
              <w:rPr>
                <w:rFonts w:hint="eastAsia"/>
                <w:sz w:val="18"/>
                <w:szCs w:val="18"/>
              </w:rPr>
              <w:t>翁源广业清怡食品科技有限公司</w:t>
            </w:r>
          </w:p>
        </w:tc>
        <w:tc>
          <w:tcPr>
            <w:tcW w:w="2244" w:type="dxa"/>
            <w:gridSpan w:val="6"/>
            <w:vAlign w:val="center"/>
          </w:tcPr>
          <w:p>
            <w:pPr>
              <w:adjustRightInd w:val="0"/>
              <w:snapToGrid w:val="0"/>
              <w:jc w:val="center"/>
              <w:rPr>
                <w:b/>
                <w:bCs/>
                <w:sz w:val="18"/>
                <w:szCs w:val="18"/>
              </w:rPr>
            </w:pPr>
            <w:r>
              <w:rPr>
                <w:rFonts w:hint="eastAsia"/>
                <w:b/>
                <w:bCs/>
                <w:sz w:val="18"/>
                <w:szCs w:val="18"/>
              </w:rPr>
              <w:t>环保设施监测单位</w:t>
            </w:r>
          </w:p>
        </w:tc>
        <w:tc>
          <w:tcPr>
            <w:tcW w:w="1860" w:type="dxa"/>
            <w:gridSpan w:val="3"/>
            <w:vAlign w:val="center"/>
          </w:tcPr>
          <w:p>
            <w:pPr>
              <w:adjustRightInd w:val="0"/>
              <w:snapToGrid w:val="0"/>
              <w:jc w:val="center"/>
              <w:rPr>
                <w:b/>
                <w:bCs/>
                <w:sz w:val="18"/>
                <w:szCs w:val="18"/>
              </w:rPr>
            </w:pPr>
            <w:r>
              <w:rPr>
                <w:rFonts w:hint="eastAsia" w:ascii="宋体" w:hAnsi="宋体" w:cs="宋体"/>
                <w:bCs/>
                <w:sz w:val="18"/>
                <w:szCs w:val="18"/>
              </w:rPr>
              <w:t>广东中誉科诚检测技术有限公司</w:t>
            </w:r>
          </w:p>
        </w:tc>
        <w:tc>
          <w:tcPr>
            <w:tcW w:w="2025" w:type="dxa"/>
            <w:gridSpan w:val="3"/>
            <w:vAlign w:val="center"/>
          </w:tcPr>
          <w:p>
            <w:pPr>
              <w:adjustRightInd w:val="0"/>
              <w:snapToGrid w:val="0"/>
              <w:jc w:val="center"/>
              <w:rPr>
                <w:b/>
                <w:bCs/>
                <w:sz w:val="18"/>
                <w:szCs w:val="18"/>
              </w:rPr>
            </w:pPr>
            <w:r>
              <w:rPr>
                <w:rFonts w:hint="eastAsia"/>
                <w:b/>
                <w:bCs/>
                <w:sz w:val="18"/>
                <w:szCs w:val="18"/>
              </w:rPr>
              <w:t>验收监测时工况</w:t>
            </w:r>
          </w:p>
        </w:tc>
        <w:tc>
          <w:tcPr>
            <w:tcW w:w="2782" w:type="dxa"/>
            <w:gridSpan w:val="5"/>
            <w:vAlign w:val="center"/>
          </w:tcPr>
          <w:p>
            <w:pPr>
              <w:adjustRightInd w:val="0"/>
              <w:snapToGrid w:val="0"/>
              <w:jc w:val="center"/>
              <w:rPr>
                <w:bCs/>
                <w:sz w:val="18"/>
                <w:szCs w:val="18"/>
              </w:rPr>
            </w:pPr>
            <w:r>
              <w:rPr>
                <w:bCs/>
                <w:sz w:val="18"/>
                <w:szCs w:val="18"/>
              </w:rPr>
              <w:t>76.8%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投资总概算（万元）</w:t>
            </w:r>
          </w:p>
        </w:tc>
        <w:tc>
          <w:tcPr>
            <w:tcW w:w="4296" w:type="dxa"/>
            <w:gridSpan w:val="8"/>
            <w:vAlign w:val="center"/>
          </w:tcPr>
          <w:p>
            <w:pPr>
              <w:adjustRightInd w:val="0"/>
              <w:snapToGrid w:val="0"/>
              <w:jc w:val="center"/>
              <w:rPr>
                <w:sz w:val="18"/>
                <w:szCs w:val="18"/>
              </w:rPr>
            </w:pPr>
            <w:r>
              <w:rPr>
                <w:sz w:val="18"/>
                <w:szCs w:val="18"/>
              </w:rPr>
              <w:t>3000</w:t>
            </w:r>
          </w:p>
        </w:tc>
        <w:tc>
          <w:tcPr>
            <w:tcW w:w="2244" w:type="dxa"/>
            <w:gridSpan w:val="6"/>
            <w:vAlign w:val="center"/>
          </w:tcPr>
          <w:p>
            <w:pPr>
              <w:adjustRightInd w:val="0"/>
              <w:snapToGrid w:val="0"/>
              <w:jc w:val="center"/>
              <w:rPr>
                <w:b/>
                <w:bCs/>
                <w:sz w:val="18"/>
                <w:szCs w:val="18"/>
              </w:rPr>
            </w:pPr>
            <w:r>
              <w:rPr>
                <w:rFonts w:hint="eastAsia"/>
                <w:b/>
                <w:bCs/>
                <w:sz w:val="18"/>
                <w:szCs w:val="18"/>
              </w:rPr>
              <w:t>环保投资总概算（万元）</w:t>
            </w:r>
          </w:p>
        </w:tc>
        <w:tc>
          <w:tcPr>
            <w:tcW w:w="1860" w:type="dxa"/>
            <w:gridSpan w:val="3"/>
            <w:vAlign w:val="center"/>
          </w:tcPr>
          <w:p>
            <w:pPr>
              <w:adjustRightInd w:val="0"/>
              <w:snapToGrid w:val="0"/>
              <w:jc w:val="center"/>
              <w:rPr>
                <w:sz w:val="18"/>
                <w:szCs w:val="18"/>
              </w:rPr>
            </w:pPr>
            <w:r>
              <w:rPr>
                <w:sz w:val="18"/>
                <w:szCs w:val="18"/>
              </w:rPr>
              <w:t>200</w:t>
            </w:r>
          </w:p>
        </w:tc>
        <w:tc>
          <w:tcPr>
            <w:tcW w:w="2025" w:type="dxa"/>
            <w:gridSpan w:val="3"/>
            <w:vAlign w:val="center"/>
          </w:tcPr>
          <w:p>
            <w:pPr>
              <w:adjustRightInd w:val="0"/>
              <w:snapToGrid w:val="0"/>
              <w:jc w:val="center"/>
              <w:rPr>
                <w:b/>
                <w:bCs/>
                <w:sz w:val="18"/>
                <w:szCs w:val="18"/>
              </w:rPr>
            </w:pPr>
            <w:r>
              <w:rPr>
                <w:rFonts w:hint="eastAsia"/>
                <w:b/>
                <w:bCs/>
                <w:sz w:val="18"/>
                <w:szCs w:val="18"/>
              </w:rPr>
              <w:t>所占比例（</w:t>
            </w:r>
            <w:r>
              <w:rPr>
                <w:b/>
                <w:bCs/>
                <w:sz w:val="18"/>
                <w:szCs w:val="18"/>
              </w:rPr>
              <w:t>%</w:t>
            </w:r>
            <w:r>
              <w:rPr>
                <w:rFonts w:hint="eastAsia"/>
                <w:b/>
                <w:bCs/>
                <w:sz w:val="18"/>
                <w:szCs w:val="18"/>
              </w:rPr>
              <w:t>）</w:t>
            </w:r>
          </w:p>
        </w:tc>
        <w:tc>
          <w:tcPr>
            <w:tcW w:w="2782" w:type="dxa"/>
            <w:gridSpan w:val="5"/>
            <w:vAlign w:val="center"/>
          </w:tcPr>
          <w:p>
            <w:pPr>
              <w:adjustRightInd w:val="0"/>
              <w:snapToGrid w:val="0"/>
              <w:jc w:val="center"/>
              <w:rPr>
                <w:bCs/>
                <w:sz w:val="18"/>
                <w:szCs w:val="18"/>
              </w:rPr>
            </w:pPr>
            <w:r>
              <w:rPr>
                <w:bCs/>
                <w:sz w:val="18"/>
                <w:szCs w:val="18"/>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实际总投资（万元）</w:t>
            </w:r>
          </w:p>
        </w:tc>
        <w:tc>
          <w:tcPr>
            <w:tcW w:w="4296" w:type="dxa"/>
            <w:gridSpan w:val="8"/>
            <w:vAlign w:val="center"/>
          </w:tcPr>
          <w:p>
            <w:pPr>
              <w:adjustRightInd w:val="0"/>
              <w:snapToGrid w:val="0"/>
              <w:jc w:val="center"/>
              <w:rPr>
                <w:sz w:val="18"/>
                <w:szCs w:val="18"/>
              </w:rPr>
            </w:pPr>
            <w:r>
              <w:rPr>
                <w:sz w:val="18"/>
                <w:szCs w:val="18"/>
              </w:rPr>
              <w:t>3000</w:t>
            </w:r>
          </w:p>
        </w:tc>
        <w:tc>
          <w:tcPr>
            <w:tcW w:w="2244" w:type="dxa"/>
            <w:gridSpan w:val="6"/>
            <w:vAlign w:val="center"/>
          </w:tcPr>
          <w:p>
            <w:pPr>
              <w:adjustRightInd w:val="0"/>
              <w:snapToGrid w:val="0"/>
              <w:jc w:val="center"/>
              <w:rPr>
                <w:b/>
                <w:bCs/>
                <w:sz w:val="18"/>
                <w:szCs w:val="18"/>
              </w:rPr>
            </w:pPr>
            <w:r>
              <w:rPr>
                <w:rFonts w:hint="eastAsia"/>
                <w:b/>
                <w:bCs/>
                <w:sz w:val="18"/>
                <w:szCs w:val="18"/>
              </w:rPr>
              <w:t>实际环保投资（万元）</w:t>
            </w:r>
          </w:p>
        </w:tc>
        <w:tc>
          <w:tcPr>
            <w:tcW w:w="1860" w:type="dxa"/>
            <w:gridSpan w:val="3"/>
            <w:vAlign w:val="center"/>
          </w:tcPr>
          <w:p>
            <w:pPr>
              <w:adjustRightInd w:val="0"/>
              <w:snapToGrid w:val="0"/>
              <w:jc w:val="center"/>
              <w:rPr>
                <w:sz w:val="18"/>
                <w:szCs w:val="18"/>
              </w:rPr>
            </w:pPr>
            <w:r>
              <w:rPr>
                <w:sz w:val="18"/>
                <w:szCs w:val="18"/>
              </w:rPr>
              <w:t>200</w:t>
            </w:r>
          </w:p>
        </w:tc>
        <w:tc>
          <w:tcPr>
            <w:tcW w:w="2025" w:type="dxa"/>
            <w:gridSpan w:val="3"/>
            <w:vAlign w:val="center"/>
          </w:tcPr>
          <w:p>
            <w:pPr>
              <w:adjustRightInd w:val="0"/>
              <w:snapToGrid w:val="0"/>
              <w:jc w:val="center"/>
              <w:rPr>
                <w:b/>
                <w:bCs/>
                <w:sz w:val="18"/>
                <w:szCs w:val="18"/>
              </w:rPr>
            </w:pPr>
            <w:r>
              <w:rPr>
                <w:rFonts w:hint="eastAsia"/>
                <w:b/>
                <w:bCs/>
                <w:sz w:val="18"/>
                <w:szCs w:val="18"/>
              </w:rPr>
              <w:t>所占比例（</w:t>
            </w:r>
            <w:r>
              <w:rPr>
                <w:b/>
                <w:bCs/>
                <w:sz w:val="18"/>
                <w:szCs w:val="18"/>
              </w:rPr>
              <w:t>%</w:t>
            </w:r>
            <w:r>
              <w:rPr>
                <w:rFonts w:hint="eastAsia"/>
                <w:b/>
                <w:bCs/>
                <w:sz w:val="18"/>
                <w:szCs w:val="18"/>
              </w:rPr>
              <w:t>）</w:t>
            </w:r>
          </w:p>
        </w:tc>
        <w:tc>
          <w:tcPr>
            <w:tcW w:w="2782" w:type="dxa"/>
            <w:gridSpan w:val="5"/>
            <w:vAlign w:val="center"/>
          </w:tcPr>
          <w:p>
            <w:pPr>
              <w:adjustRightInd w:val="0"/>
              <w:snapToGrid w:val="0"/>
              <w:jc w:val="center"/>
              <w:rPr>
                <w:sz w:val="18"/>
                <w:szCs w:val="18"/>
              </w:rPr>
            </w:pPr>
            <w:r>
              <w:rPr>
                <w:sz w:val="18"/>
                <w:szCs w:val="18"/>
              </w:rPr>
              <w:t>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1560" w:type="dxa"/>
            <w:vAlign w:val="center"/>
          </w:tcPr>
          <w:p>
            <w:pPr>
              <w:adjustRightInd w:val="0"/>
              <w:snapToGrid w:val="0"/>
              <w:jc w:val="center"/>
              <w:rPr>
                <w:b/>
                <w:bCs/>
                <w:sz w:val="18"/>
                <w:szCs w:val="18"/>
              </w:rPr>
            </w:pPr>
            <w:r>
              <w:rPr>
                <w:rFonts w:hint="eastAsia"/>
                <w:b/>
                <w:bCs/>
                <w:sz w:val="18"/>
                <w:szCs w:val="18"/>
              </w:rPr>
              <w:t>废水治理（万元）</w:t>
            </w:r>
          </w:p>
        </w:tc>
        <w:tc>
          <w:tcPr>
            <w:tcW w:w="1005" w:type="dxa"/>
            <w:gridSpan w:val="2"/>
            <w:vAlign w:val="center"/>
          </w:tcPr>
          <w:p>
            <w:pPr>
              <w:adjustRightInd w:val="0"/>
              <w:snapToGrid w:val="0"/>
              <w:jc w:val="center"/>
              <w:rPr>
                <w:b/>
                <w:bCs/>
                <w:sz w:val="18"/>
                <w:szCs w:val="18"/>
              </w:rPr>
            </w:pPr>
            <w:r>
              <w:rPr>
                <w:sz w:val="18"/>
                <w:szCs w:val="18"/>
              </w:rPr>
              <w:t>150</w:t>
            </w:r>
          </w:p>
        </w:tc>
        <w:tc>
          <w:tcPr>
            <w:tcW w:w="1650" w:type="dxa"/>
            <w:gridSpan w:val="2"/>
            <w:vAlign w:val="center"/>
          </w:tcPr>
          <w:p>
            <w:pPr>
              <w:adjustRightInd w:val="0"/>
              <w:snapToGrid w:val="0"/>
              <w:jc w:val="center"/>
              <w:rPr>
                <w:b/>
                <w:bCs/>
                <w:sz w:val="18"/>
                <w:szCs w:val="18"/>
              </w:rPr>
            </w:pPr>
            <w:r>
              <w:rPr>
                <w:rFonts w:hint="eastAsia"/>
                <w:b/>
                <w:bCs/>
                <w:sz w:val="18"/>
                <w:szCs w:val="18"/>
              </w:rPr>
              <w:t>废气治理（万元）</w:t>
            </w:r>
          </w:p>
        </w:tc>
        <w:tc>
          <w:tcPr>
            <w:tcW w:w="765" w:type="dxa"/>
            <w:gridSpan w:val="2"/>
            <w:vAlign w:val="center"/>
          </w:tcPr>
          <w:p>
            <w:pPr>
              <w:adjustRightInd w:val="0"/>
              <w:snapToGrid w:val="0"/>
              <w:jc w:val="center"/>
              <w:rPr>
                <w:b/>
                <w:bCs/>
                <w:sz w:val="18"/>
                <w:szCs w:val="18"/>
              </w:rPr>
            </w:pPr>
            <w:r>
              <w:rPr>
                <w:sz w:val="18"/>
                <w:szCs w:val="18"/>
              </w:rPr>
              <w:t>5</w:t>
            </w:r>
          </w:p>
        </w:tc>
        <w:tc>
          <w:tcPr>
            <w:tcW w:w="1560" w:type="dxa"/>
            <w:gridSpan w:val="4"/>
            <w:vAlign w:val="center"/>
          </w:tcPr>
          <w:p>
            <w:pPr>
              <w:adjustRightInd w:val="0"/>
              <w:snapToGrid w:val="0"/>
              <w:jc w:val="center"/>
              <w:rPr>
                <w:b/>
                <w:bCs/>
                <w:sz w:val="18"/>
                <w:szCs w:val="18"/>
              </w:rPr>
            </w:pPr>
            <w:r>
              <w:rPr>
                <w:rFonts w:hint="eastAsia"/>
                <w:b/>
                <w:bCs/>
                <w:sz w:val="18"/>
                <w:szCs w:val="18"/>
              </w:rPr>
              <w:t>噪声治理（万元）</w:t>
            </w:r>
          </w:p>
        </w:tc>
        <w:tc>
          <w:tcPr>
            <w:tcW w:w="1185" w:type="dxa"/>
            <w:gridSpan w:val="2"/>
            <w:vAlign w:val="center"/>
          </w:tcPr>
          <w:p>
            <w:pPr>
              <w:adjustRightInd w:val="0"/>
              <w:snapToGrid w:val="0"/>
              <w:jc w:val="center"/>
              <w:rPr>
                <w:b/>
                <w:bCs/>
                <w:sz w:val="18"/>
                <w:szCs w:val="18"/>
              </w:rPr>
            </w:pPr>
            <w:r>
              <w:rPr>
                <w:sz w:val="18"/>
                <w:szCs w:val="18"/>
              </w:rPr>
              <w:t>5</w:t>
            </w:r>
          </w:p>
        </w:tc>
        <w:tc>
          <w:tcPr>
            <w:tcW w:w="1935" w:type="dxa"/>
            <w:gridSpan w:val="5"/>
            <w:vAlign w:val="center"/>
          </w:tcPr>
          <w:p>
            <w:pPr>
              <w:adjustRightInd w:val="0"/>
              <w:snapToGrid w:val="0"/>
              <w:jc w:val="center"/>
              <w:rPr>
                <w:b/>
                <w:bCs/>
                <w:sz w:val="18"/>
                <w:szCs w:val="18"/>
              </w:rPr>
            </w:pPr>
            <w:r>
              <w:rPr>
                <w:rFonts w:hint="eastAsia"/>
                <w:b/>
                <w:bCs/>
                <w:sz w:val="18"/>
                <w:szCs w:val="18"/>
              </w:rPr>
              <w:t>固体废物治理（万元）</w:t>
            </w:r>
          </w:p>
        </w:tc>
        <w:tc>
          <w:tcPr>
            <w:tcW w:w="840" w:type="dxa"/>
            <w:vAlign w:val="center"/>
          </w:tcPr>
          <w:p>
            <w:pPr>
              <w:adjustRightInd w:val="0"/>
              <w:snapToGrid w:val="0"/>
              <w:jc w:val="center"/>
              <w:rPr>
                <w:b/>
                <w:bCs/>
                <w:sz w:val="18"/>
                <w:szCs w:val="18"/>
              </w:rPr>
            </w:pPr>
            <w:r>
              <w:rPr>
                <w:sz w:val="18"/>
                <w:szCs w:val="18"/>
              </w:rPr>
              <w:t>0</w:t>
            </w:r>
          </w:p>
        </w:tc>
        <w:tc>
          <w:tcPr>
            <w:tcW w:w="2025" w:type="dxa"/>
            <w:gridSpan w:val="3"/>
            <w:vAlign w:val="center"/>
          </w:tcPr>
          <w:p>
            <w:pPr>
              <w:adjustRightInd w:val="0"/>
              <w:snapToGrid w:val="0"/>
              <w:jc w:val="center"/>
              <w:rPr>
                <w:b/>
                <w:bCs/>
                <w:sz w:val="18"/>
                <w:szCs w:val="18"/>
              </w:rPr>
            </w:pPr>
            <w:r>
              <w:rPr>
                <w:rFonts w:hint="eastAsia"/>
                <w:b/>
                <w:bCs/>
                <w:sz w:val="18"/>
                <w:szCs w:val="18"/>
              </w:rPr>
              <w:t>绿化及生态（万元）</w:t>
            </w:r>
          </w:p>
        </w:tc>
        <w:tc>
          <w:tcPr>
            <w:tcW w:w="675" w:type="dxa"/>
            <w:gridSpan w:val="2"/>
            <w:vAlign w:val="center"/>
          </w:tcPr>
          <w:p>
            <w:pPr>
              <w:adjustRightInd w:val="0"/>
              <w:snapToGrid w:val="0"/>
              <w:jc w:val="center"/>
              <w:rPr>
                <w:b/>
                <w:bCs/>
                <w:sz w:val="18"/>
                <w:szCs w:val="18"/>
              </w:rPr>
            </w:pPr>
            <w:r>
              <w:rPr>
                <w:sz w:val="18"/>
                <w:szCs w:val="18"/>
              </w:rPr>
              <w:t>20</w:t>
            </w:r>
          </w:p>
        </w:tc>
        <w:tc>
          <w:tcPr>
            <w:tcW w:w="1179" w:type="dxa"/>
            <w:gridSpan w:val="2"/>
            <w:vAlign w:val="center"/>
          </w:tcPr>
          <w:p>
            <w:pPr>
              <w:adjustRightInd w:val="0"/>
              <w:snapToGrid w:val="0"/>
              <w:jc w:val="center"/>
              <w:rPr>
                <w:b/>
                <w:bCs/>
                <w:sz w:val="18"/>
                <w:szCs w:val="18"/>
              </w:rPr>
            </w:pPr>
            <w:r>
              <w:rPr>
                <w:rFonts w:hint="eastAsia"/>
                <w:b/>
                <w:bCs/>
                <w:sz w:val="18"/>
                <w:szCs w:val="18"/>
              </w:rPr>
              <w:t>其他（万元）</w:t>
            </w:r>
          </w:p>
        </w:tc>
        <w:tc>
          <w:tcPr>
            <w:tcW w:w="928" w:type="dxa"/>
            <w:vAlign w:val="center"/>
          </w:tcPr>
          <w:p>
            <w:pPr>
              <w:adjustRightInd w:val="0"/>
              <w:snapToGrid w:val="0"/>
              <w:jc w:val="center"/>
              <w:rPr>
                <w:b/>
                <w:bCs/>
                <w:sz w:val="18"/>
                <w:szCs w:val="18"/>
              </w:rPr>
            </w:pPr>
            <w:r>
              <w:rPr>
                <w:sz w:val="18"/>
                <w:szCs w:val="18"/>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新增废水处理设施能力</w:t>
            </w:r>
          </w:p>
        </w:tc>
        <w:tc>
          <w:tcPr>
            <w:tcW w:w="4296" w:type="dxa"/>
            <w:gridSpan w:val="8"/>
            <w:vAlign w:val="center"/>
          </w:tcPr>
          <w:p>
            <w:pPr>
              <w:adjustRightInd w:val="0"/>
              <w:snapToGrid w:val="0"/>
              <w:jc w:val="center"/>
              <w:rPr>
                <w:b/>
                <w:bCs/>
                <w:sz w:val="18"/>
                <w:szCs w:val="18"/>
              </w:rPr>
            </w:pPr>
            <w:r>
              <w:rPr>
                <w:sz w:val="18"/>
                <w:szCs w:val="18"/>
              </w:rPr>
              <w:t>2000m</w:t>
            </w:r>
            <w:r>
              <w:rPr>
                <w:sz w:val="18"/>
                <w:szCs w:val="18"/>
                <w:vertAlign w:val="superscript"/>
              </w:rPr>
              <w:t>3</w:t>
            </w:r>
            <w:r>
              <w:rPr>
                <w:sz w:val="18"/>
                <w:szCs w:val="18"/>
              </w:rPr>
              <w:t>/d</w:t>
            </w:r>
          </w:p>
        </w:tc>
        <w:tc>
          <w:tcPr>
            <w:tcW w:w="2244" w:type="dxa"/>
            <w:gridSpan w:val="6"/>
            <w:vAlign w:val="center"/>
          </w:tcPr>
          <w:p>
            <w:pPr>
              <w:adjustRightInd w:val="0"/>
              <w:snapToGrid w:val="0"/>
              <w:jc w:val="center"/>
              <w:rPr>
                <w:b/>
                <w:bCs/>
                <w:sz w:val="18"/>
                <w:szCs w:val="18"/>
              </w:rPr>
            </w:pPr>
            <w:r>
              <w:rPr>
                <w:rFonts w:hint="eastAsia"/>
                <w:b/>
                <w:bCs/>
                <w:sz w:val="18"/>
                <w:szCs w:val="18"/>
              </w:rPr>
              <w:t>新增废气处理设施能力</w:t>
            </w:r>
          </w:p>
        </w:tc>
        <w:tc>
          <w:tcPr>
            <w:tcW w:w="1860" w:type="dxa"/>
            <w:gridSpan w:val="3"/>
            <w:vAlign w:val="center"/>
          </w:tcPr>
          <w:p>
            <w:pPr>
              <w:adjustRightInd w:val="0"/>
              <w:snapToGrid w:val="0"/>
              <w:jc w:val="center"/>
              <w:rPr>
                <w:b/>
                <w:bCs/>
                <w:sz w:val="18"/>
                <w:szCs w:val="18"/>
              </w:rPr>
            </w:pPr>
            <w:r>
              <w:rPr>
                <w:b/>
                <w:bCs/>
                <w:sz w:val="18"/>
                <w:szCs w:val="18"/>
              </w:rPr>
              <w:t>/</w:t>
            </w:r>
          </w:p>
        </w:tc>
        <w:tc>
          <w:tcPr>
            <w:tcW w:w="2025" w:type="dxa"/>
            <w:gridSpan w:val="3"/>
            <w:vAlign w:val="center"/>
          </w:tcPr>
          <w:p>
            <w:pPr>
              <w:adjustRightInd w:val="0"/>
              <w:snapToGrid w:val="0"/>
              <w:jc w:val="center"/>
              <w:rPr>
                <w:b/>
                <w:bCs/>
                <w:sz w:val="18"/>
                <w:szCs w:val="18"/>
              </w:rPr>
            </w:pPr>
            <w:r>
              <w:rPr>
                <w:rFonts w:hint="eastAsia"/>
                <w:b/>
                <w:bCs/>
                <w:sz w:val="18"/>
                <w:szCs w:val="18"/>
              </w:rPr>
              <w:t>年平均工作时</w:t>
            </w:r>
          </w:p>
        </w:tc>
        <w:tc>
          <w:tcPr>
            <w:tcW w:w="2782" w:type="dxa"/>
            <w:gridSpan w:val="5"/>
            <w:vAlign w:val="center"/>
          </w:tcPr>
          <w:p>
            <w:pPr>
              <w:adjustRightInd w:val="0"/>
              <w:snapToGrid w:val="0"/>
              <w:jc w:val="center"/>
              <w:rPr>
                <w:b/>
                <w:bCs/>
                <w:sz w:val="18"/>
                <w:szCs w:val="18"/>
              </w:rPr>
            </w:pPr>
            <w:r>
              <w:rPr>
                <w:sz w:val="18"/>
                <w:szCs w:val="18"/>
              </w:rPr>
              <w:t>7200h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783" w:type="dxa"/>
            <w:gridSpan w:val="3"/>
            <w:vAlign w:val="center"/>
          </w:tcPr>
          <w:p>
            <w:pPr>
              <w:adjustRightInd w:val="0"/>
              <w:snapToGrid w:val="0"/>
              <w:jc w:val="center"/>
              <w:rPr>
                <w:b/>
                <w:bCs/>
                <w:sz w:val="18"/>
                <w:szCs w:val="18"/>
              </w:rPr>
            </w:pPr>
            <w:r>
              <w:rPr>
                <w:rFonts w:hint="eastAsia"/>
                <w:b/>
                <w:bCs/>
                <w:sz w:val="18"/>
                <w:szCs w:val="18"/>
              </w:rPr>
              <w:t>运营单位</w:t>
            </w:r>
          </w:p>
        </w:tc>
        <w:tc>
          <w:tcPr>
            <w:tcW w:w="3660" w:type="dxa"/>
            <w:gridSpan w:val="7"/>
            <w:vAlign w:val="center"/>
          </w:tcPr>
          <w:p>
            <w:pPr>
              <w:adjustRightInd w:val="0"/>
              <w:snapToGrid w:val="0"/>
              <w:jc w:val="center"/>
              <w:rPr>
                <w:b/>
                <w:bCs/>
                <w:sz w:val="18"/>
                <w:szCs w:val="18"/>
              </w:rPr>
            </w:pPr>
            <w:r>
              <w:rPr>
                <w:rFonts w:hint="eastAsia"/>
                <w:sz w:val="18"/>
                <w:szCs w:val="18"/>
              </w:rPr>
              <w:t>翁源广业清怡食品科技有限公司</w:t>
            </w:r>
          </w:p>
        </w:tc>
        <w:tc>
          <w:tcPr>
            <w:tcW w:w="2415" w:type="dxa"/>
            <w:gridSpan w:val="5"/>
            <w:vAlign w:val="center"/>
          </w:tcPr>
          <w:p>
            <w:pPr>
              <w:adjustRightInd w:val="0"/>
              <w:snapToGrid w:val="0"/>
              <w:jc w:val="center"/>
              <w:rPr>
                <w:b/>
                <w:bCs/>
                <w:sz w:val="18"/>
                <w:szCs w:val="18"/>
              </w:rPr>
            </w:pPr>
            <w:r>
              <w:rPr>
                <w:rFonts w:hint="eastAsia"/>
                <w:b/>
                <w:bCs/>
                <w:sz w:val="18"/>
                <w:szCs w:val="18"/>
              </w:rPr>
              <w:t>运营单位社会统一信用代码</w:t>
            </w:r>
          </w:p>
        </w:tc>
        <w:tc>
          <w:tcPr>
            <w:tcW w:w="2325" w:type="dxa"/>
            <w:gridSpan w:val="5"/>
            <w:vAlign w:val="center"/>
          </w:tcPr>
          <w:p>
            <w:pPr>
              <w:adjustRightInd w:val="0"/>
              <w:snapToGrid w:val="0"/>
              <w:jc w:val="center"/>
              <w:rPr>
                <w:b/>
                <w:bCs/>
                <w:sz w:val="18"/>
                <w:szCs w:val="18"/>
              </w:rPr>
            </w:pPr>
            <w:r>
              <w:rPr>
                <w:b/>
                <w:bCs/>
                <w:sz w:val="18"/>
                <w:szCs w:val="18"/>
              </w:rPr>
              <w:t>91440229586377613M</w:t>
            </w:r>
          </w:p>
        </w:tc>
        <w:tc>
          <w:tcPr>
            <w:tcW w:w="2025" w:type="dxa"/>
            <w:gridSpan w:val="3"/>
            <w:vAlign w:val="center"/>
          </w:tcPr>
          <w:p>
            <w:pPr>
              <w:adjustRightInd w:val="0"/>
              <w:snapToGrid w:val="0"/>
              <w:jc w:val="center"/>
              <w:rPr>
                <w:b/>
                <w:bCs/>
                <w:sz w:val="18"/>
                <w:szCs w:val="18"/>
              </w:rPr>
            </w:pPr>
            <w:r>
              <w:rPr>
                <w:rFonts w:hint="eastAsia"/>
                <w:b/>
                <w:bCs/>
                <w:sz w:val="18"/>
                <w:szCs w:val="18"/>
              </w:rPr>
              <w:t>验收时间</w:t>
            </w:r>
          </w:p>
        </w:tc>
        <w:tc>
          <w:tcPr>
            <w:tcW w:w="2782" w:type="dxa"/>
            <w:gridSpan w:val="5"/>
            <w:vAlign w:val="center"/>
          </w:tcPr>
          <w:p>
            <w:pPr>
              <w:adjustRightInd w:val="0"/>
              <w:snapToGrid w:val="0"/>
              <w:jc w:val="center"/>
              <w:rPr>
                <w:b/>
                <w:bCs/>
                <w:sz w:val="18"/>
                <w:szCs w:val="18"/>
              </w:rPr>
            </w:pPr>
            <w:r>
              <w:rPr>
                <w:sz w:val="18"/>
                <w:szCs w:val="18"/>
              </w:rPr>
              <w:t>2017</w:t>
            </w:r>
            <w:r>
              <w:rPr>
                <w:rFonts w:hint="eastAsia"/>
                <w:sz w:val="18"/>
                <w:szCs w:val="18"/>
              </w:rPr>
              <w:t>年</w:t>
            </w:r>
            <w:r>
              <w:rPr>
                <w:sz w:val="18"/>
                <w:szCs w:val="18"/>
              </w:rPr>
              <w:t>9</w:t>
            </w:r>
            <w:r>
              <w:rPr>
                <w:rFonts w:hint="eastAsia"/>
                <w:sz w:val="18"/>
                <w:szCs w:val="18"/>
              </w:rPr>
              <w:t>月</w:t>
            </w:r>
            <w:r>
              <w:rPr>
                <w:sz w:val="18"/>
                <w:szCs w:val="18"/>
              </w:rPr>
              <w:t>5</w:t>
            </w:r>
            <w:r>
              <w:rPr>
                <w:rFonts w:hint="eastAsia"/>
                <w:sz w:val="18"/>
                <w:szCs w:val="18"/>
              </w:rPr>
              <w:t>日</w:t>
            </w:r>
            <w:r>
              <w:rPr>
                <w:sz w:val="18"/>
                <w:szCs w:val="18"/>
              </w:rPr>
              <w:t>—6</w:t>
            </w:r>
            <w:r>
              <w:rPr>
                <w:rFonts w:hint="eastAsia"/>
                <w:sz w:val="18"/>
                <w:szCs w:val="18"/>
              </w:rPr>
              <w:t>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restart"/>
            <w:vAlign w:val="center"/>
          </w:tcPr>
          <w:p>
            <w:pPr>
              <w:adjustRightInd w:val="0"/>
              <w:snapToGrid w:val="0"/>
              <w:jc w:val="center"/>
              <w:rPr>
                <w:b/>
                <w:bCs/>
                <w:sz w:val="18"/>
                <w:szCs w:val="18"/>
              </w:rPr>
            </w:pPr>
            <w:r>
              <w:rPr>
                <w:rFonts w:hint="eastAsia"/>
                <w:b/>
                <w:bCs/>
                <w:sz w:val="18"/>
                <w:szCs w:val="18"/>
              </w:rPr>
              <w:t>污染物排放达标与总量控制</w:t>
            </w:r>
          </w:p>
        </w:tc>
        <w:tc>
          <w:tcPr>
            <w:tcW w:w="2100" w:type="dxa"/>
            <w:gridSpan w:val="2"/>
            <w:vAlign w:val="center"/>
          </w:tcPr>
          <w:p>
            <w:pPr>
              <w:adjustRightInd w:val="0"/>
              <w:snapToGrid w:val="0"/>
              <w:jc w:val="center"/>
              <w:rPr>
                <w:b/>
                <w:bCs/>
                <w:sz w:val="18"/>
                <w:szCs w:val="18"/>
              </w:rPr>
            </w:pPr>
            <w:r>
              <w:rPr>
                <w:rFonts w:hint="eastAsia"/>
                <w:b/>
                <w:bCs/>
                <w:sz w:val="18"/>
                <w:szCs w:val="18"/>
              </w:rPr>
              <w:t>污染物</w:t>
            </w:r>
          </w:p>
        </w:tc>
        <w:tc>
          <w:tcPr>
            <w:tcW w:w="915" w:type="dxa"/>
            <w:gridSpan w:val="2"/>
            <w:vAlign w:val="center"/>
          </w:tcPr>
          <w:p>
            <w:pPr>
              <w:adjustRightInd w:val="0"/>
              <w:snapToGrid w:val="0"/>
              <w:jc w:val="center"/>
              <w:rPr>
                <w:b/>
                <w:bCs/>
                <w:sz w:val="18"/>
                <w:szCs w:val="18"/>
              </w:rPr>
            </w:pPr>
            <w:r>
              <w:rPr>
                <w:rFonts w:hint="eastAsia"/>
                <w:b/>
                <w:bCs/>
                <w:sz w:val="18"/>
                <w:szCs w:val="18"/>
              </w:rPr>
              <w:t>原有排放量</w:t>
            </w:r>
          </w:p>
          <w:p>
            <w:pPr>
              <w:adjustRightInd w:val="0"/>
              <w:snapToGrid w:val="0"/>
              <w:jc w:val="center"/>
              <w:rPr>
                <w:b/>
                <w:bCs/>
                <w:sz w:val="18"/>
                <w:szCs w:val="18"/>
              </w:rPr>
            </w:pPr>
            <w:r>
              <w:rPr>
                <w:rFonts w:hint="eastAsia"/>
                <w:b/>
                <w:bCs/>
                <w:sz w:val="18"/>
                <w:szCs w:val="18"/>
              </w:rPr>
              <w:t>（</w:t>
            </w:r>
            <w:r>
              <w:rPr>
                <w:b/>
                <w:bCs/>
                <w:sz w:val="18"/>
                <w:szCs w:val="18"/>
              </w:rPr>
              <w:t>1</w:t>
            </w:r>
            <w:r>
              <w:rPr>
                <w:rFonts w:hint="eastAsia"/>
                <w:b/>
                <w:bCs/>
                <w:sz w:val="18"/>
                <w:szCs w:val="18"/>
              </w:rPr>
              <w:t>）</w:t>
            </w:r>
          </w:p>
        </w:tc>
        <w:tc>
          <w:tcPr>
            <w:tcW w:w="1275" w:type="dxa"/>
            <w:gridSpan w:val="2"/>
            <w:vAlign w:val="center"/>
          </w:tcPr>
          <w:p>
            <w:pPr>
              <w:adjustRightInd w:val="0"/>
              <w:snapToGrid w:val="0"/>
              <w:jc w:val="center"/>
              <w:rPr>
                <w:b/>
                <w:bCs/>
                <w:sz w:val="18"/>
                <w:szCs w:val="18"/>
              </w:rPr>
            </w:pPr>
            <w:r>
              <w:rPr>
                <w:rFonts w:hint="eastAsia"/>
                <w:b/>
                <w:bCs/>
                <w:sz w:val="18"/>
                <w:szCs w:val="18"/>
              </w:rPr>
              <w:t>本期工程实际排放浓度</w:t>
            </w:r>
          </w:p>
          <w:p>
            <w:pPr>
              <w:adjustRightInd w:val="0"/>
              <w:snapToGrid w:val="0"/>
              <w:jc w:val="center"/>
              <w:rPr>
                <w:b/>
                <w:bCs/>
                <w:sz w:val="18"/>
                <w:szCs w:val="18"/>
              </w:rPr>
            </w:pPr>
            <w:r>
              <w:rPr>
                <w:rFonts w:hint="eastAsia"/>
                <w:b/>
                <w:bCs/>
                <w:sz w:val="18"/>
                <w:szCs w:val="18"/>
              </w:rPr>
              <w:t>（</w:t>
            </w:r>
            <w:r>
              <w:rPr>
                <w:b/>
                <w:bCs/>
                <w:sz w:val="18"/>
                <w:szCs w:val="18"/>
              </w:rPr>
              <w:t>2</w:t>
            </w:r>
            <w:r>
              <w:rPr>
                <w:rFonts w:hint="eastAsia"/>
                <w:b/>
                <w:bCs/>
                <w:sz w:val="18"/>
                <w:szCs w:val="18"/>
              </w:rPr>
              <w:t>）</w:t>
            </w:r>
          </w:p>
        </w:tc>
        <w:tc>
          <w:tcPr>
            <w:tcW w:w="1170" w:type="dxa"/>
            <w:gridSpan w:val="2"/>
            <w:vAlign w:val="center"/>
          </w:tcPr>
          <w:p>
            <w:pPr>
              <w:adjustRightInd w:val="0"/>
              <w:snapToGrid w:val="0"/>
              <w:jc w:val="center"/>
              <w:rPr>
                <w:b/>
                <w:bCs/>
                <w:sz w:val="18"/>
                <w:szCs w:val="18"/>
              </w:rPr>
            </w:pPr>
            <w:r>
              <w:rPr>
                <w:rFonts w:hint="eastAsia"/>
                <w:b/>
                <w:bCs/>
                <w:sz w:val="18"/>
                <w:szCs w:val="18"/>
              </w:rPr>
              <w:t>本期工程允许排放浓度</w:t>
            </w:r>
          </w:p>
          <w:p>
            <w:pPr>
              <w:adjustRightInd w:val="0"/>
              <w:snapToGrid w:val="0"/>
              <w:jc w:val="center"/>
              <w:rPr>
                <w:b/>
                <w:bCs/>
                <w:sz w:val="18"/>
                <w:szCs w:val="18"/>
              </w:rPr>
            </w:pPr>
            <w:r>
              <w:rPr>
                <w:rFonts w:hint="eastAsia"/>
                <w:b/>
                <w:bCs/>
                <w:sz w:val="18"/>
                <w:szCs w:val="18"/>
              </w:rPr>
              <w:t>（</w:t>
            </w:r>
            <w:r>
              <w:rPr>
                <w:b/>
                <w:bCs/>
                <w:sz w:val="18"/>
                <w:szCs w:val="18"/>
              </w:rPr>
              <w:t>3</w:t>
            </w:r>
            <w:r>
              <w:rPr>
                <w:rFonts w:hint="eastAsia"/>
                <w:b/>
                <w:bCs/>
                <w:sz w:val="18"/>
                <w:szCs w:val="18"/>
              </w:rPr>
              <w:t>）</w:t>
            </w:r>
          </w:p>
        </w:tc>
        <w:tc>
          <w:tcPr>
            <w:tcW w:w="1080" w:type="dxa"/>
            <w:gridSpan w:val="3"/>
            <w:vAlign w:val="center"/>
          </w:tcPr>
          <w:p>
            <w:pPr>
              <w:adjustRightInd w:val="0"/>
              <w:snapToGrid w:val="0"/>
              <w:jc w:val="center"/>
              <w:rPr>
                <w:b/>
                <w:bCs/>
                <w:sz w:val="18"/>
                <w:szCs w:val="18"/>
              </w:rPr>
            </w:pPr>
            <w:r>
              <w:rPr>
                <w:rFonts w:hint="eastAsia"/>
                <w:b/>
                <w:bCs/>
                <w:sz w:val="18"/>
                <w:szCs w:val="18"/>
              </w:rPr>
              <w:t>本期工程产生量</w:t>
            </w:r>
          </w:p>
          <w:p>
            <w:pPr>
              <w:adjustRightInd w:val="0"/>
              <w:snapToGrid w:val="0"/>
              <w:jc w:val="center"/>
              <w:rPr>
                <w:b/>
                <w:bCs/>
                <w:sz w:val="18"/>
                <w:szCs w:val="18"/>
              </w:rPr>
            </w:pPr>
            <w:r>
              <w:rPr>
                <w:rFonts w:hint="eastAsia"/>
                <w:b/>
                <w:bCs/>
                <w:sz w:val="18"/>
                <w:szCs w:val="18"/>
              </w:rPr>
              <w:t>（</w:t>
            </w:r>
            <w:r>
              <w:rPr>
                <w:b/>
                <w:bCs/>
                <w:sz w:val="18"/>
                <w:szCs w:val="18"/>
              </w:rPr>
              <w:t>4</w:t>
            </w:r>
            <w:r>
              <w:rPr>
                <w:rFonts w:hint="eastAsia"/>
                <w:b/>
                <w:bCs/>
                <w:sz w:val="18"/>
                <w:szCs w:val="18"/>
              </w:rPr>
              <w:t>）</w:t>
            </w:r>
          </w:p>
        </w:tc>
        <w:tc>
          <w:tcPr>
            <w:tcW w:w="945" w:type="dxa"/>
            <w:vAlign w:val="center"/>
          </w:tcPr>
          <w:p>
            <w:pPr>
              <w:adjustRightInd w:val="0"/>
              <w:snapToGrid w:val="0"/>
              <w:jc w:val="center"/>
              <w:rPr>
                <w:b/>
                <w:bCs/>
                <w:sz w:val="18"/>
                <w:szCs w:val="18"/>
              </w:rPr>
            </w:pPr>
            <w:r>
              <w:rPr>
                <w:rFonts w:hint="eastAsia"/>
                <w:b/>
                <w:bCs/>
                <w:sz w:val="18"/>
                <w:szCs w:val="18"/>
              </w:rPr>
              <w:t>自身削减量</w:t>
            </w:r>
          </w:p>
          <w:p>
            <w:pPr>
              <w:adjustRightInd w:val="0"/>
              <w:snapToGrid w:val="0"/>
              <w:jc w:val="center"/>
              <w:rPr>
                <w:b/>
                <w:bCs/>
                <w:sz w:val="18"/>
                <w:szCs w:val="18"/>
              </w:rPr>
            </w:pPr>
            <w:r>
              <w:rPr>
                <w:b/>
                <w:bCs/>
                <w:sz w:val="18"/>
                <w:szCs w:val="18"/>
              </w:rPr>
              <w:t>(5)</w:t>
            </w:r>
          </w:p>
        </w:tc>
        <w:tc>
          <w:tcPr>
            <w:tcW w:w="968" w:type="dxa"/>
            <w:gridSpan w:val="3"/>
            <w:vAlign w:val="center"/>
          </w:tcPr>
          <w:p>
            <w:pPr>
              <w:adjustRightInd w:val="0"/>
              <w:snapToGrid w:val="0"/>
              <w:jc w:val="center"/>
              <w:rPr>
                <w:b/>
                <w:bCs/>
                <w:sz w:val="18"/>
                <w:szCs w:val="18"/>
              </w:rPr>
            </w:pPr>
            <w:r>
              <w:rPr>
                <w:rFonts w:hint="eastAsia"/>
                <w:b/>
                <w:bCs/>
                <w:sz w:val="18"/>
                <w:szCs w:val="18"/>
              </w:rPr>
              <w:t>实际排放量</w:t>
            </w:r>
          </w:p>
          <w:p>
            <w:pPr>
              <w:adjustRightInd w:val="0"/>
              <w:snapToGrid w:val="0"/>
              <w:jc w:val="center"/>
              <w:rPr>
                <w:b/>
                <w:bCs/>
                <w:sz w:val="18"/>
                <w:szCs w:val="18"/>
              </w:rPr>
            </w:pPr>
            <w:r>
              <w:rPr>
                <w:b/>
                <w:bCs/>
                <w:sz w:val="18"/>
                <w:szCs w:val="18"/>
              </w:rPr>
              <w:t>(6)</w:t>
            </w:r>
          </w:p>
        </w:tc>
        <w:tc>
          <w:tcPr>
            <w:tcW w:w="1142" w:type="dxa"/>
            <w:gridSpan w:val="2"/>
            <w:vAlign w:val="center"/>
          </w:tcPr>
          <w:p>
            <w:pPr>
              <w:adjustRightInd w:val="0"/>
              <w:snapToGrid w:val="0"/>
              <w:jc w:val="center"/>
              <w:rPr>
                <w:b/>
                <w:bCs/>
                <w:sz w:val="18"/>
                <w:szCs w:val="18"/>
              </w:rPr>
            </w:pPr>
            <w:r>
              <w:rPr>
                <w:rFonts w:hint="eastAsia"/>
                <w:b/>
                <w:bCs/>
                <w:sz w:val="18"/>
                <w:szCs w:val="18"/>
              </w:rPr>
              <w:t>核定排放总量</w:t>
            </w:r>
          </w:p>
          <w:p>
            <w:pPr>
              <w:adjustRightInd w:val="0"/>
              <w:snapToGrid w:val="0"/>
              <w:jc w:val="center"/>
              <w:rPr>
                <w:b/>
                <w:bCs/>
                <w:sz w:val="18"/>
                <w:szCs w:val="18"/>
              </w:rPr>
            </w:pPr>
            <w:r>
              <w:rPr>
                <w:b/>
                <w:bCs/>
                <w:sz w:val="18"/>
                <w:szCs w:val="18"/>
              </w:rPr>
              <w:t>(7)</w:t>
            </w:r>
          </w:p>
        </w:tc>
        <w:tc>
          <w:tcPr>
            <w:tcW w:w="1142" w:type="dxa"/>
            <w:gridSpan w:val="3"/>
            <w:vAlign w:val="center"/>
          </w:tcPr>
          <w:p>
            <w:pPr>
              <w:adjustRightInd w:val="0"/>
              <w:snapToGrid w:val="0"/>
              <w:jc w:val="center"/>
              <w:rPr>
                <w:b/>
                <w:bCs/>
                <w:sz w:val="18"/>
                <w:szCs w:val="18"/>
              </w:rPr>
            </w:pPr>
            <w:r>
              <w:rPr>
                <w:rFonts w:hint="eastAsia"/>
                <w:b/>
                <w:bCs/>
                <w:sz w:val="18"/>
                <w:szCs w:val="18"/>
              </w:rPr>
              <w:t>“以新带老”削减量</w:t>
            </w:r>
          </w:p>
          <w:p>
            <w:pPr>
              <w:adjustRightInd w:val="0"/>
              <w:snapToGrid w:val="0"/>
              <w:jc w:val="center"/>
              <w:rPr>
                <w:b/>
                <w:bCs/>
                <w:sz w:val="18"/>
                <w:szCs w:val="18"/>
              </w:rPr>
            </w:pPr>
            <w:r>
              <w:rPr>
                <w:b/>
                <w:bCs/>
                <w:sz w:val="18"/>
                <w:szCs w:val="18"/>
              </w:rPr>
              <w:t>(8)</w:t>
            </w:r>
          </w:p>
        </w:tc>
        <w:tc>
          <w:tcPr>
            <w:tcW w:w="1142" w:type="dxa"/>
            <w:vAlign w:val="center"/>
          </w:tcPr>
          <w:p>
            <w:pPr>
              <w:adjustRightInd w:val="0"/>
              <w:snapToGrid w:val="0"/>
              <w:jc w:val="center"/>
              <w:rPr>
                <w:b/>
                <w:bCs/>
                <w:sz w:val="18"/>
                <w:szCs w:val="18"/>
              </w:rPr>
            </w:pPr>
            <w:r>
              <w:rPr>
                <w:rFonts w:hint="eastAsia"/>
                <w:b/>
                <w:bCs/>
                <w:sz w:val="18"/>
                <w:szCs w:val="18"/>
              </w:rPr>
              <w:t>全厂实际排放总量</w:t>
            </w:r>
          </w:p>
          <w:p>
            <w:pPr>
              <w:adjustRightInd w:val="0"/>
              <w:snapToGrid w:val="0"/>
              <w:jc w:val="center"/>
              <w:rPr>
                <w:b/>
                <w:bCs/>
                <w:sz w:val="18"/>
                <w:szCs w:val="18"/>
              </w:rPr>
            </w:pPr>
            <w:r>
              <w:rPr>
                <w:b/>
                <w:bCs/>
                <w:sz w:val="18"/>
                <w:szCs w:val="18"/>
              </w:rPr>
              <w:t>(9)</w:t>
            </w:r>
          </w:p>
        </w:tc>
        <w:tc>
          <w:tcPr>
            <w:tcW w:w="1142" w:type="dxa"/>
            <w:gridSpan w:val="2"/>
            <w:vAlign w:val="center"/>
          </w:tcPr>
          <w:p>
            <w:pPr>
              <w:adjustRightInd w:val="0"/>
              <w:snapToGrid w:val="0"/>
              <w:jc w:val="center"/>
              <w:rPr>
                <w:b/>
                <w:bCs/>
                <w:sz w:val="18"/>
                <w:szCs w:val="18"/>
              </w:rPr>
            </w:pPr>
            <w:r>
              <w:rPr>
                <w:rFonts w:hint="eastAsia"/>
                <w:b/>
                <w:bCs/>
                <w:sz w:val="18"/>
                <w:szCs w:val="18"/>
              </w:rPr>
              <w:t>全厂核定排放总量</w:t>
            </w:r>
          </w:p>
          <w:p>
            <w:pPr>
              <w:adjustRightInd w:val="0"/>
              <w:snapToGrid w:val="0"/>
              <w:jc w:val="center"/>
              <w:rPr>
                <w:b/>
                <w:bCs/>
                <w:sz w:val="18"/>
                <w:szCs w:val="18"/>
              </w:rPr>
            </w:pPr>
            <w:r>
              <w:rPr>
                <w:b/>
                <w:bCs/>
                <w:sz w:val="18"/>
                <w:szCs w:val="18"/>
              </w:rPr>
              <w:t>(10)</w:t>
            </w:r>
          </w:p>
        </w:tc>
        <w:tc>
          <w:tcPr>
            <w:tcW w:w="1142" w:type="dxa"/>
            <w:gridSpan w:val="2"/>
            <w:vAlign w:val="center"/>
          </w:tcPr>
          <w:p>
            <w:pPr>
              <w:adjustRightInd w:val="0"/>
              <w:snapToGrid w:val="0"/>
              <w:jc w:val="center"/>
              <w:rPr>
                <w:b/>
                <w:bCs/>
                <w:sz w:val="18"/>
                <w:szCs w:val="18"/>
              </w:rPr>
            </w:pPr>
            <w:r>
              <w:rPr>
                <w:rFonts w:hint="eastAsia"/>
                <w:b/>
                <w:bCs/>
                <w:sz w:val="18"/>
                <w:szCs w:val="18"/>
              </w:rPr>
              <w:t>区域平衡替代削减量</w:t>
            </w:r>
          </w:p>
          <w:p>
            <w:pPr>
              <w:adjustRightInd w:val="0"/>
              <w:snapToGrid w:val="0"/>
              <w:jc w:val="center"/>
              <w:rPr>
                <w:b/>
                <w:bCs/>
                <w:sz w:val="18"/>
                <w:szCs w:val="18"/>
              </w:rPr>
            </w:pPr>
            <w:r>
              <w:rPr>
                <w:rFonts w:hint="eastAsia"/>
                <w:b/>
                <w:bCs/>
                <w:sz w:val="18"/>
                <w:szCs w:val="18"/>
              </w:rPr>
              <w:t>（</w:t>
            </w:r>
            <w:r>
              <w:rPr>
                <w:b/>
                <w:bCs/>
                <w:sz w:val="18"/>
                <w:szCs w:val="18"/>
              </w:rPr>
              <w:t>11</w:t>
            </w:r>
            <w:r>
              <w:rPr>
                <w:rFonts w:hint="eastAsia"/>
                <w:b/>
                <w:bCs/>
                <w:sz w:val="18"/>
                <w:szCs w:val="18"/>
              </w:rPr>
              <w:t>）</w:t>
            </w:r>
          </w:p>
        </w:tc>
        <w:tc>
          <w:tcPr>
            <w:tcW w:w="1144" w:type="dxa"/>
            <w:gridSpan w:val="2"/>
            <w:vAlign w:val="center"/>
          </w:tcPr>
          <w:p>
            <w:pPr>
              <w:adjustRightInd w:val="0"/>
              <w:snapToGrid w:val="0"/>
              <w:jc w:val="center"/>
              <w:rPr>
                <w:b/>
                <w:bCs/>
                <w:sz w:val="18"/>
                <w:szCs w:val="18"/>
              </w:rPr>
            </w:pPr>
            <w:r>
              <w:rPr>
                <w:rFonts w:hint="eastAsia"/>
                <w:b/>
                <w:bCs/>
                <w:sz w:val="18"/>
                <w:szCs w:val="18"/>
              </w:rPr>
              <w:t>排放增减量</w:t>
            </w:r>
          </w:p>
          <w:p>
            <w:pPr>
              <w:adjustRightInd w:val="0"/>
              <w:snapToGrid w:val="0"/>
              <w:jc w:val="center"/>
              <w:rPr>
                <w:b/>
                <w:bCs/>
                <w:sz w:val="18"/>
                <w:szCs w:val="18"/>
              </w:rPr>
            </w:pPr>
            <w:r>
              <w:rPr>
                <w:rFonts w:hint="eastAsia"/>
                <w:b/>
                <w:bCs/>
                <w:sz w:val="18"/>
                <w:szCs w:val="18"/>
              </w:rPr>
              <w:t>（</w:t>
            </w:r>
            <w:r>
              <w:rPr>
                <w:b/>
                <w:bCs/>
                <w:sz w:val="18"/>
                <w:szCs w:val="18"/>
              </w:rPr>
              <w:t>12</w:t>
            </w:r>
            <w:r>
              <w:rPr>
                <w:rFonts w:hint="eastAsia"/>
                <w:b/>
                <w:bCs/>
                <w:sz w:val="18"/>
                <w:szCs w:val="18"/>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废水</w:t>
            </w:r>
          </w:p>
        </w:tc>
        <w:tc>
          <w:tcPr>
            <w:tcW w:w="915" w:type="dxa"/>
            <w:gridSpan w:val="2"/>
            <w:vAlign w:val="center"/>
          </w:tcPr>
          <w:p>
            <w:pPr>
              <w:adjustRightInd w:val="0"/>
              <w:snapToGrid w:val="0"/>
              <w:jc w:val="center"/>
              <w:rPr>
                <w:b/>
                <w:bCs/>
                <w:sz w:val="18"/>
                <w:szCs w:val="18"/>
              </w:rPr>
            </w:pPr>
            <w:r>
              <w:rPr>
                <w:b/>
                <w:bCs/>
                <w:sz w:val="18"/>
                <w:szCs w:val="18"/>
              </w:rPr>
              <w:t>43.20</w:t>
            </w:r>
          </w:p>
        </w:tc>
        <w:tc>
          <w:tcPr>
            <w:tcW w:w="1275" w:type="dxa"/>
            <w:gridSpan w:val="2"/>
            <w:vAlign w:val="center"/>
          </w:tcPr>
          <w:p>
            <w:pPr>
              <w:adjustRightInd w:val="0"/>
              <w:snapToGrid w:val="0"/>
              <w:jc w:val="center"/>
              <w:rPr>
                <w:b/>
                <w:bCs/>
                <w:sz w:val="18"/>
                <w:szCs w:val="18"/>
              </w:rPr>
            </w:pPr>
          </w:p>
        </w:tc>
        <w:tc>
          <w:tcPr>
            <w:tcW w:w="1170" w:type="dxa"/>
            <w:gridSpan w:val="2"/>
            <w:vAlign w:val="center"/>
          </w:tcPr>
          <w:p>
            <w:pPr>
              <w:adjustRightInd w:val="0"/>
              <w:snapToGrid w:val="0"/>
              <w:jc w:val="center"/>
              <w:rPr>
                <w:b/>
                <w:bCs/>
                <w:sz w:val="18"/>
                <w:szCs w:val="18"/>
              </w:rPr>
            </w:pPr>
          </w:p>
        </w:tc>
        <w:tc>
          <w:tcPr>
            <w:tcW w:w="1080" w:type="dxa"/>
            <w:gridSpan w:val="3"/>
            <w:vAlign w:val="center"/>
          </w:tcPr>
          <w:p>
            <w:pPr>
              <w:adjustRightInd w:val="0"/>
              <w:snapToGrid w:val="0"/>
              <w:jc w:val="center"/>
              <w:rPr>
                <w:b/>
                <w:bCs/>
                <w:sz w:val="18"/>
                <w:szCs w:val="18"/>
              </w:rPr>
            </w:pPr>
            <w:r>
              <w:rPr>
                <w:b/>
                <w:bCs/>
                <w:sz w:val="18"/>
                <w:szCs w:val="18"/>
              </w:rPr>
              <w:t>2.998</w:t>
            </w:r>
          </w:p>
        </w:tc>
        <w:tc>
          <w:tcPr>
            <w:tcW w:w="945" w:type="dxa"/>
            <w:vAlign w:val="center"/>
          </w:tcPr>
          <w:p>
            <w:pPr>
              <w:adjustRightInd w:val="0"/>
              <w:snapToGrid w:val="0"/>
              <w:jc w:val="center"/>
              <w:rPr>
                <w:b/>
                <w:bCs/>
                <w:sz w:val="18"/>
                <w:szCs w:val="18"/>
              </w:rPr>
            </w:pPr>
          </w:p>
        </w:tc>
        <w:tc>
          <w:tcPr>
            <w:tcW w:w="968" w:type="dxa"/>
            <w:gridSpan w:val="3"/>
            <w:vAlign w:val="center"/>
          </w:tcPr>
          <w:p>
            <w:pPr>
              <w:adjustRightInd w:val="0"/>
              <w:snapToGrid w:val="0"/>
              <w:jc w:val="center"/>
              <w:rPr>
                <w:b/>
                <w:bCs/>
                <w:sz w:val="18"/>
                <w:szCs w:val="18"/>
              </w:rPr>
            </w:pPr>
            <w:r>
              <w:rPr>
                <w:b/>
                <w:bCs/>
                <w:sz w:val="18"/>
                <w:szCs w:val="18"/>
              </w:rPr>
              <w:t>2.998</w:t>
            </w:r>
          </w:p>
        </w:tc>
        <w:tc>
          <w:tcPr>
            <w:tcW w:w="1142" w:type="dxa"/>
            <w:gridSpan w:val="2"/>
            <w:vAlign w:val="center"/>
          </w:tcPr>
          <w:p>
            <w:pPr>
              <w:adjustRightInd w:val="0"/>
              <w:snapToGrid w:val="0"/>
              <w:jc w:val="center"/>
              <w:rPr>
                <w:b/>
                <w:bCs/>
                <w:sz w:val="18"/>
                <w:szCs w:val="18"/>
              </w:rPr>
            </w:pPr>
            <w:r>
              <w:rPr>
                <w:b/>
                <w:bCs/>
                <w:sz w:val="18"/>
                <w:szCs w:val="18"/>
              </w:rPr>
              <w:t>2.998</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46.20</w:t>
            </w:r>
          </w:p>
        </w:tc>
        <w:tc>
          <w:tcPr>
            <w:tcW w:w="1142" w:type="dxa"/>
            <w:gridSpan w:val="2"/>
            <w:vAlign w:val="center"/>
          </w:tcPr>
          <w:p>
            <w:pPr>
              <w:adjustRightInd w:val="0"/>
              <w:snapToGrid w:val="0"/>
              <w:jc w:val="center"/>
              <w:rPr>
                <w:b/>
                <w:bCs/>
                <w:sz w:val="18"/>
                <w:szCs w:val="18"/>
              </w:rPr>
            </w:pPr>
            <w:r>
              <w:rPr>
                <w:b/>
                <w:bCs/>
                <w:sz w:val="18"/>
                <w:szCs w:val="18"/>
              </w:rPr>
              <w:t>46.20</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化学需氧量</w:t>
            </w:r>
          </w:p>
        </w:tc>
        <w:tc>
          <w:tcPr>
            <w:tcW w:w="915" w:type="dxa"/>
            <w:gridSpan w:val="2"/>
            <w:vAlign w:val="center"/>
          </w:tcPr>
          <w:p>
            <w:pPr>
              <w:adjustRightInd w:val="0"/>
              <w:snapToGrid w:val="0"/>
              <w:jc w:val="center"/>
              <w:rPr>
                <w:b/>
                <w:bCs/>
                <w:sz w:val="18"/>
                <w:szCs w:val="18"/>
              </w:rPr>
            </w:pPr>
            <w:r>
              <w:rPr>
                <w:b/>
                <w:bCs/>
                <w:sz w:val="18"/>
                <w:szCs w:val="18"/>
              </w:rPr>
              <w:t>39.26</w:t>
            </w:r>
          </w:p>
        </w:tc>
        <w:tc>
          <w:tcPr>
            <w:tcW w:w="1275" w:type="dxa"/>
            <w:gridSpan w:val="2"/>
            <w:vAlign w:val="center"/>
          </w:tcPr>
          <w:p>
            <w:pPr>
              <w:adjustRightInd w:val="0"/>
              <w:snapToGrid w:val="0"/>
              <w:jc w:val="center"/>
              <w:rPr>
                <w:b/>
                <w:bCs/>
                <w:sz w:val="18"/>
                <w:szCs w:val="18"/>
              </w:rPr>
            </w:pPr>
            <w:r>
              <w:rPr>
                <w:b/>
                <w:bCs/>
                <w:sz w:val="18"/>
                <w:szCs w:val="18"/>
              </w:rPr>
              <w:t>90</w:t>
            </w:r>
          </w:p>
        </w:tc>
        <w:tc>
          <w:tcPr>
            <w:tcW w:w="1170" w:type="dxa"/>
            <w:gridSpan w:val="2"/>
            <w:vAlign w:val="center"/>
          </w:tcPr>
          <w:p>
            <w:pPr>
              <w:adjustRightInd w:val="0"/>
              <w:snapToGrid w:val="0"/>
              <w:jc w:val="center"/>
              <w:rPr>
                <w:b/>
                <w:bCs/>
                <w:sz w:val="18"/>
                <w:szCs w:val="18"/>
              </w:rPr>
            </w:pPr>
            <w:r>
              <w:rPr>
                <w:b/>
                <w:bCs/>
                <w:sz w:val="18"/>
                <w:szCs w:val="18"/>
              </w:rPr>
              <w:t>90</w:t>
            </w:r>
          </w:p>
        </w:tc>
        <w:tc>
          <w:tcPr>
            <w:tcW w:w="1080" w:type="dxa"/>
            <w:gridSpan w:val="3"/>
            <w:vAlign w:val="center"/>
          </w:tcPr>
          <w:p>
            <w:pPr>
              <w:adjustRightInd w:val="0"/>
              <w:snapToGrid w:val="0"/>
              <w:jc w:val="center"/>
              <w:rPr>
                <w:b/>
                <w:bCs/>
                <w:sz w:val="18"/>
                <w:szCs w:val="18"/>
              </w:rPr>
            </w:pPr>
            <w:r>
              <w:rPr>
                <w:b/>
                <w:bCs/>
                <w:sz w:val="18"/>
                <w:szCs w:val="18"/>
              </w:rPr>
              <w:t>103.08</w:t>
            </w:r>
          </w:p>
        </w:tc>
        <w:tc>
          <w:tcPr>
            <w:tcW w:w="945" w:type="dxa"/>
            <w:vAlign w:val="center"/>
          </w:tcPr>
          <w:p>
            <w:pPr>
              <w:adjustRightInd w:val="0"/>
              <w:snapToGrid w:val="0"/>
              <w:jc w:val="center"/>
              <w:rPr>
                <w:b/>
                <w:bCs/>
                <w:sz w:val="18"/>
                <w:szCs w:val="18"/>
              </w:rPr>
            </w:pPr>
            <w:r>
              <w:rPr>
                <w:b/>
                <w:bCs/>
                <w:sz w:val="18"/>
                <w:szCs w:val="18"/>
              </w:rPr>
              <w:t>100.38</w:t>
            </w:r>
          </w:p>
        </w:tc>
        <w:tc>
          <w:tcPr>
            <w:tcW w:w="968" w:type="dxa"/>
            <w:gridSpan w:val="3"/>
            <w:vAlign w:val="center"/>
          </w:tcPr>
          <w:p>
            <w:pPr>
              <w:adjustRightInd w:val="0"/>
              <w:snapToGrid w:val="0"/>
              <w:jc w:val="center"/>
              <w:rPr>
                <w:b/>
                <w:bCs/>
                <w:sz w:val="18"/>
                <w:szCs w:val="18"/>
              </w:rPr>
            </w:pPr>
            <w:r>
              <w:rPr>
                <w:b/>
                <w:bCs/>
                <w:sz w:val="18"/>
                <w:szCs w:val="18"/>
              </w:rPr>
              <w:t>2.70</w:t>
            </w:r>
          </w:p>
        </w:tc>
        <w:tc>
          <w:tcPr>
            <w:tcW w:w="1142" w:type="dxa"/>
            <w:gridSpan w:val="2"/>
            <w:vAlign w:val="center"/>
          </w:tcPr>
          <w:p>
            <w:pPr>
              <w:adjustRightInd w:val="0"/>
              <w:snapToGrid w:val="0"/>
              <w:jc w:val="center"/>
              <w:rPr>
                <w:b/>
                <w:bCs/>
                <w:sz w:val="18"/>
                <w:szCs w:val="18"/>
              </w:rPr>
            </w:pPr>
            <w:r>
              <w:rPr>
                <w:b/>
                <w:bCs/>
                <w:sz w:val="18"/>
                <w:szCs w:val="18"/>
              </w:rPr>
              <w:t>2.70</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41.96</w:t>
            </w:r>
          </w:p>
        </w:tc>
        <w:tc>
          <w:tcPr>
            <w:tcW w:w="1142" w:type="dxa"/>
            <w:gridSpan w:val="2"/>
            <w:vAlign w:val="center"/>
          </w:tcPr>
          <w:p>
            <w:pPr>
              <w:adjustRightInd w:val="0"/>
              <w:snapToGrid w:val="0"/>
              <w:jc w:val="center"/>
              <w:rPr>
                <w:b/>
                <w:bCs/>
                <w:sz w:val="18"/>
                <w:szCs w:val="18"/>
              </w:rPr>
            </w:pPr>
            <w:r>
              <w:rPr>
                <w:b/>
                <w:bCs/>
                <w:sz w:val="18"/>
                <w:szCs w:val="18"/>
              </w:rPr>
              <w:t>41.96</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氨氮</w:t>
            </w:r>
          </w:p>
        </w:tc>
        <w:tc>
          <w:tcPr>
            <w:tcW w:w="915" w:type="dxa"/>
            <w:gridSpan w:val="2"/>
            <w:vAlign w:val="center"/>
          </w:tcPr>
          <w:p>
            <w:pPr>
              <w:adjustRightInd w:val="0"/>
              <w:snapToGrid w:val="0"/>
              <w:jc w:val="center"/>
              <w:rPr>
                <w:b/>
                <w:bCs/>
                <w:sz w:val="18"/>
                <w:szCs w:val="18"/>
              </w:rPr>
            </w:pPr>
            <w:r>
              <w:rPr>
                <w:b/>
                <w:bCs/>
                <w:sz w:val="18"/>
                <w:szCs w:val="18"/>
              </w:rPr>
              <w:t>4.36</w:t>
            </w:r>
          </w:p>
        </w:tc>
        <w:tc>
          <w:tcPr>
            <w:tcW w:w="1275" w:type="dxa"/>
            <w:gridSpan w:val="2"/>
            <w:vAlign w:val="center"/>
          </w:tcPr>
          <w:p>
            <w:pPr>
              <w:adjustRightInd w:val="0"/>
              <w:snapToGrid w:val="0"/>
              <w:jc w:val="center"/>
              <w:rPr>
                <w:b/>
                <w:bCs/>
                <w:sz w:val="18"/>
                <w:szCs w:val="18"/>
              </w:rPr>
            </w:pPr>
            <w:r>
              <w:rPr>
                <w:b/>
                <w:bCs/>
                <w:sz w:val="18"/>
                <w:szCs w:val="18"/>
              </w:rPr>
              <w:t>10</w:t>
            </w:r>
          </w:p>
        </w:tc>
        <w:tc>
          <w:tcPr>
            <w:tcW w:w="1170" w:type="dxa"/>
            <w:gridSpan w:val="2"/>
            <w:vAlign w:val="center"/>
          </w:tcPr>
          <w:p>
            <w:pPr>
              <w:adjustRightInd w:val="0"/>
              <w:snapToGrid w:val="0"/>
              <w:jc w:val="center"/>
              <w:rPr>
                <w:b/>
                <w:bCs/>
                <w:sz w:val="18"/>
                <w:szCs w:val="18"/>
              </w:rPr>
            </w:pPr>
            <w:r>
              <w:rPr>
                <w:b/>
                <w:bCs/>
                <w:sz w:val="18"/>
                <w:szCs w:val="18"/>
              </w:rPr>
              <w:t>10</w:t>
            </w:r>
          </w:p>
        </w:tc>
        <w:tc>
          <w:tcPr>
            <w:tcW w:w="1080" w:type="dxa"/>
            <w:gridSpan w:val="3"/>
            <w:vAlign w:val="center"/>
          </w:tcPr>
          <w:p>
            <w:pPr>
              <w:adjustRightInd w:val="0"/>
              <w:snapToGrid w:val="0"/>
              <w:jc w:val="center"/>
              <w:rPr>
                <w:b/>
                <w:bCs/>
                <w:sz w:val="18"/>
                <w:szCs w:val="18"/>
              </w:rPr>
            </w:pPr>
            <w:r>
              <w:rPr>
                <w:b/>
                <w:bCs/>
                <w:sz w:val="18"/>
                <w:szCs w:val="18"/>
              </w:rPr>
              <w:t>13.62</w:t>
            </w:r>
          </w:p>
        </w:tc>
        <w:tc>
          <w:tcPr>
            <w:tcW w:w="945" w:type="dxa"/>
            <w:vAlign w:val="center"/>
          </w:tcPr>
          <w:p>
            <w:pPr>
              <w:adjustRightInd w:val="0"/>
              <w:snapToGrid w:val="0"/>
              <w:jc w:val="center"/>
              <w:rPr>
                <w:b/>
                <w:bCs/>
                <w:sz w:val="18"/>
                <w:szCs w:val="18"/>
              </w:rPr>
            </w:pPr>
            <w:r>
              <w:rPr>
                <w:b/>
                <w:bCs/>
                <w:sz w:val="18"/>
                <w:szCs w:val="18"/>
              </w:rPr>
              <w:t>13.32</w:t>
            </w:r>
          </w:p>
        </w:tc>
        <w:tc>
          <w:tcPr>
            <w:tcW w:w="968" w:type="dxa"/>
            <w:gridSpan w:val="3"/>
            <w:vAlign w:val="center"/>
          </w:tcPr>
          <w:p>
            <w:pPr>
              <w:adjustRightInd w:val="0"/>
              <w:snapToGrid w:val="0"/>
              <w:jc w:val="center"/>
              <w:rPr>
                <w:b/>
                <w:bCs/>
                <w:sz w:val="18"/>
                <w:szCs w:val="18"/>
              </w:rPr>
            </w:pPr>
            <w:r>
              <w:rPr>
                <w:b/>
                <w:bCs/>
                <w:sz w:val="18"/>
                <w:szCs w:val="18"/>
              </w:rPr>
              <w:t>0.30</w:t>
            </w:r>
          </w:p>
        </w:tc>
        <w:tc>
          <w:tcPr>
            <w:tcW w:w="1142" w:type="dxa"/>
            <w:gridSpan w:val="2"/>
            <w:vAlign w:val="center"/>
          </w:tcPr>
          <w:p>
            <w:pPr>
              <w:adjustRightInd w:val="0"/>
              <w:snapToGrid w:val="0"/>
              <w:jc w:val="center"/>
              <w:rPr>
                <w:b/>
                <w:bCs/>
                <w:sz w:val="18"/>
                <w:szCs w:val="18"/>
              </w:rPr>
            </w:pPr>
            <w:r>
              <w:rPr>
                <w:b/>
                <w:bCs/>
                <w:sz w:val="18"/>
                <w:szCs w:val="18"/>
              </w:rPr>
              <w:t>0.30</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4.66</w:t>
            </w:r>
          </w:p>
        </w:tc>
        <w:tc>
          <w:tcPr>
            <w:tcW w:w="1142" w:type="dxa"/>
            <w:gridSpan w:val="2"/>
            <w:vAlign w:val="center"/>
          </w:tcPr>
          <w:p>
            <w:pPr>
              <w:adjustRightInd w:val="0"/>
              <w:snapToGrid w:val="0"/>
              <w:jc w:val="center"/>
              <w:rPr>
                <w:b/>
                <w:bCs/>
                <w:sz w:val="18"/>
                <w:szCs w:val="18"/>
              </w:rPr>
            </w:pPr>
            <w:r>
              <w:rPr>
                <w:b/>
                <w:bCs/>
                <w:sz w:val="18"/>
                <w:szCs w:val="18"/>
              </w:rPr>
              <w:t>4.66</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石油类</w:t>
            </w:r>
          </w:p>
        </w:tc>
        <w:tc>
          <w:tcPr>
            <w:tcW w:w="915" w:type="dxa"/>
            <w:gridSpan w:val="2"/>
            <w:vAlign w:val="center"/>
          </w:tcPr>
          <w:p>
            <w:pPr>
              <w:adjustRightInd w:val="0"/>
              <w:snapToGrid w:val="0"/>
              <w:jc w:val="center"/>
              <w:rPr>
                <w:b/>
                <w:bCs/>
                <w:sz w:val="18"/>
                <w:szCs w:val="18"/>
              </w:rPr>
            </w:pPr>
          </w:p>
        </w:tc>
        <w:tc>
          <w:tcPr>
            <w:tcW w:w="1275" w:type="dxa"/>
            <w:gridSpan w:val="2"/>
            <w:vAlign w:val="center"/>
          </w:tcPr>
          <w:p>
            <w:pPr>
              <w:adjustRightInd w:val="0"/>
              <w:snapToGrid w:val="0"/>
              <w:jc w:val="center"/>
              <w:rPr>
                <w:b/>
                <w:bCs/>
                <w:sz w:val="18"/>
                <w:szCs w:val="18"/>
              </w:rPr>
            </w:pPr>
          </w:p>
        </w:tc>
        <w:tc>
          <w:tcPr>
            <w:tcW w:w="1170" w:type="dxa"/>
            <w:gridSpan w:val="2"/>
            <w:vAlign w:val="center"/>
          </w:tcPr>
          <w:p>
            <w:pPr>
              <w:adjustRightInd w:val="0"/>
              <w:snapToGrid w:val="0"/>
              <w:jc w:val="center"/>
              <w:rPr>
                <w:b/>
                <w:bCs/>
                <w:sz w:val="18"/>
                <w:szCs w:val="18"/>
              </w:rPr>
            </w:pPr>
          </w:p>
        </w:tc>
        <w:tc>
          <w:tcPr>
            <w:tcW w:w="1080" w:type="dxa"/>
            <w:gridSpan w:val="3"/>
            <w:vAlign w:val="center"/>
          </w:tcPr>
          <w:p>
            <w:pPr>
              <w:adjustRightInd w:val="0"/>
              <w:snapToGrid w:val="0"/>
              <w:jc w:val="center"/>
              <w:rPr>
                <w:b/>
                <w:bCs/>
                <w:sz w:val="18"/>
                <w:szCs w:val="18"/>
              </w:rPr>
            </w:pPr>
          </w:p>
        </w:tc>
        <w:tc>
          <w:tcPr>
            <w:tcW w:w="945" w:type="dxa"/>
            <w:vAlign w:val="center"/>
          </w:tcPr>
          <w:p>
            <w:pPr>
              <w:adjustRightInd w:val="0"/>
              <w:snapToGrid w:val="0"/>
              <w:jc w:val="center"/>
              <w:rPr>
                <w:b/>
                <w:bCs/>
                <w:sz w:val="18"/>
                <w:szCs w:val="18"/>
              </w:rPr>
            </w:pPr>
          </w:p>
        </w:tc>
        <w:tc>
          <w:tcPr>
            <w:tcW w:w="968" w:type="dxa"/>
            <w:gridSpan w:val="3"/>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废气</w:t>
            </w:r>
          </w:p>
        </w:tc>
        <w:tc>
          <w:tcPr>
            <w:tcW w:w="915" w:type="dxa"/>
            <w:gridSpan w:val="2"/>
            <w:vAlign w:val="center"/>
          </w:tcPr>
          <w:p>
            <w:pPr>
              <w:adjustRightInd w:val="0"/>
              <w:snapToGrid w:val="0"/>
              <w:jc w:val="center"/>
              <w:rPr>
                <w:b/>
                <w:bCs/>
                <w:sz w:val="18"/>
                <w:szCs w:val="18"/>
              </w:rPr>
            </w:pPr>
          </w:p>
        </w:tc>
        <w:tc>
          <w:tcPr>
            <w:tcW w:w="1275" w:type="dxa"/>
            <w:gridSpan w:val="2"/>
            <w:vAlign w:val="center"/>
          </w:tcPr>
          <w:p>
            <w:pPr>
              <w:adjustRightInd w:val="0"/>
              <w:snapToGrid w:val="0"/>
              <w:jc w:val="center"/>
              <w:rPr>
                <w:b/>
                <w:bCs/>
                <w:sz w:val="18"/>
                <w:szCs w:val="18"/>
              </w:rPr>
            </w:pPr>
          </w:p>
        </w:tc>
        <w:tc>
          <w:tcPr>
            <w:tcW w:w="1170" w:type="dxa"/>
            <w:gridSpan w:val="2"/>
            <w:vAlign w:val="center"/>
          </w:tcPr>
          <w:p>
            <w:pPr>
              <w:adjustRightInd w:val="0"/>
              <w:snapToGrid w:val="0"/>
              <w:jc w:val="center"/>
              <w:rPr>
                <w:b/>
                <w:bCs/>
                <w:sz w:val="18"/>
                <w:szCs w:val="18"/>
              </w:rPr>
            </w:pPr>
          </w:p>
        </w:tc>
        <w:tc>
          <w:tcPr>
            <w:tcW w:w="1080" w:type="dxa"/>
            <w:gridSpan w:val="3"/>
            <w:vAlign w:val="center"/>
          </w:tcPr>
          <w:p>
            <w:pPr>
              <w:adjustRightInd w:val="0"/>
              <w:snapToGrid w:val="0"/>
              <w:jc w:val="center"/>
              <w:rPr>
                <w:b/>
                <w:bCs/>
                <w:sz w:val="18"/>
                <w:szCs w:val="18"/>
              </w:rPr>
            </w:pPr>
          </w:p>
        </w:tc>
        <w:tc>
          <w:tcPr>
            <w:tcW w:w="945" w:type="dxa"/>
            <w:vAlign w:val="center"/>
          </w:tcPr>
          <w:p>
            <w:pPr>
              <w:adjustRightInd w:val="0"/>
              <w:snapToGrid w:val="0"/>
              <w:jc w:val="center"/>
              <w:rPr>
                <w:b/>
                <w:bCs/>
                <w:sz w:val="18"/>
                <w:szCs w:val="18"/>
              </w:rPr>
            </w:pPr>
          </w:p>
        </w:tc>
        <w:tc>
          <w:tcPr>
            <w:tcW w:w="968" w:type="dxa"/>
            <w:gridSpan w:val="3"/>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二氧化硫</w:t>
            </w:r>
          </w:p>
        </w:tc>
        <w:tc>
          <w:tcPr>
            <w:tcW w:w="915" w:type="dxa"/>
            <w:gridSpan w:val="2"/>
            <w:vAlign w:val="center"/>
          </w:tcPr>
          <w:p>
            <w:pPr>
              <w:adjustRightInd w:val="0"/>
              <w:snapToGrid w:val="0"/>
              <w:jc w:val="center"/>
              <w:rPr>
                <w:b/>
                <w:bCs/>
                <w:sz w:val="18"/>
                <w:szCs w:val="18"/>
              </w:rPr>
            </w:pPr>
            <w:r>
              <w:rPr>
                <w:b/>
                <w:bCs/>
                <w:sz w:val="18"/>
                <w:szCs w:val="18"/>
              </w:rPr>
              <w:t>62.2</w:t>
            </w:r>
          </w:p>
        </w:tc>
        <w:tc>
          <w:tcPr>
            <w:tcW w:w="1275" w:type="dxa"/>
            <w:gridSpan w:val="2"/>
            <w:vAlign w:val="center"/>
          </w:tcPr>
          <w:p>
            <w:pPr>
              <w:adjustRightInd w:val="0"/>
              <w:snapToGrid w:val="0"/>
              <w:jc w:val="center"/>
              <w:rPr>
                <w:b/>
                <w:bCs/>
                <w:sz w:val="18"/>
                <w:szCs w:val="18"/>
              </w:rPr>
            </w:pPr>
            <w:r>
              <w:rPr>
                <w:b/>
                <w:bCs/>
                <w:sz w:val="18"/>
                <w:szCs w:val="18"/>
              </w:rPr>
              <w:t>400</w:t>
            </w:r>
          </w:p>
        </w:tc>
        <w:tc>
          <w:tcPr>
            <w:tcW w:w="1170" w:type="dxa"/>
            <w:gridSpan w:val="2"/>
            <w:vAlign w:val="center"/>
          </w:tcPr>
          <w:p>
            <w:pPr>
              <w:adjustRightInd w:val="0"/>
              <w:snapToGrid w:val="0"/>
              <w:jc w:val="center"/>
              <w:rPr>
                <w:b/>
                <w:bCs/>
                <w:sz w:val="18"/>
                <w:szCs w:val="18"/>
              </w:rPr>
            </w:pPr>
            <w:r>
              <w:rPr>
                <w:b/>
                <w:bCs/>
                <w:sz w:val="18"/>
                <w:szCs w:val="18"/>
              </w:rPr>
              <w:t>400</w:t>
            </w:r>
          </w:p>
        </w:tc>
        <w:tc>
          <w:tcPr>
            <w:tcW w:w="1080" w:type="dxa"/>
            <w:gridSpan w:val="3"/>
            <w:vAlign w:val="center"/>
          </w:tcPr>
          <w:p>
            <w:pPr>
              <w:adjustRightInd w:val="0"/>
              <w:snapToGrid w:val="0"/>
              <w:jc w:val="center"/>
              <w:rPr>
                <w:b/>
                <w:bCs/>
                <w:sz w:val="18"/>
                <w:szCs w:val="18"/>
              </w:rPr>
            </w:pPr>
            <w:r>
              <w:rPr>
                <w:b/>
                <w:bCs/>
                <w:sz w:val="18"/>
                <w:szCs w:val="18"/>
              </w:rPr>
              <w:t>26.73</w:t>
            </w:r>
          </w:p>
        </w:tc>
        <w:tc>
          <w:tcPr>
            <w:tcW w:w="945" w:type="dxa"/>
            <w:vAlign w:val="center"/>
          </w:tcPr>
          <w:p>
            <w:pPr>
              <w:adjustRightInd w:val="0"/>
              <w:snapToGrid w:val="0"/>
              <w:jc w:val="center"/>
              <w:rPr>
                <w:b/>
                <w:bCs/>
                <w:sz w:val="18"/>
                <w:szCs w:val="18"/>
              </w:rPr>
            </w:pPr>
            <w:r>
              <w:rPr>
                <w:b/>
                <w:bCs/>
                <w:sz w:val="18"/>
                <w:szCs w:val="18"/>
              </w:rPr>
              <w:t>21.38</w:t>
            </w:r>
          </w:p>
        </w:tc>
        <w:tc>
          <w:tcPr>
            <w:tcW w:w="968" w:type="dxa"/>
            <w:gridSpan w:val="3"/>
            <w:vAlign w:val="center"/>
          </w:tcPr>
          <w:p>
            <w:pPr>
              <w:adjustRightInd w:val="0"/>
              <w:snapToGrid w:val="0"/>
              <w:jc w:val="center"/>
              <w:rPr>
                <w:b/>
                <w:bCs/>
                <w:sz w:val="18"/>
                <w:szCs w:val="18"/>
              </w:rPr>
            </w:pPr>
            <w:r>
              <w:rPr>
                <w:b/>
                <w:bCs/>
                <w:sz w:val="18"/>
                <w:szCs w:val="18"/>
              </w:rPr>
              <w:t>5.35</w:t>
            </w:r>
          </w:p>
        </w:tc>
        <w:tc>
          <w:tcPr>
            <w:tcW w:w="1142" w:type="dxa"/>
            <w:gridSpan w:val="2"/>
            <w:vAlign w:val="center"/>
          </w:tcPr>
          <w:p>
            <w:pPr>
              <w:adjustRightInd w:val="0"/>
              <w:snapToGrid w:val="0"/>
              <w:jc w:val="center"/>
              <w:rPr>
                <w:b/>
                <w:bCs/>
                <w:sz w:val="18"/>
                <w:szCs w:val="18"/>
              </w:rPr>
            </w:pPr>
            <w:r>
              <w:rPr>
                <w:b/>
                <w:bCs/>
                <w:sz w:val="18"/>
                <w:szCs w:val="18"/>
              </w:rPr>
              <w:t>5.35</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71.006</w:t>
            </w:r>
          </w:p>
        </w:tc>
        <w:tc>
          <w:tcPr>
            <w:tcW w:w="1142" w:type="dxa"/>
            <w:gridSpan w:val="2"/>
            <w:vAlign w:val="center"/>
          </w:tcPr>
          <w:p>
            <w:pPr>
              <w:adjustRightInd w:val="0"/>
              <w:snapToGrid w:val="0"/>
              <w:jc w:val="center"/>
              <w:rPr>
                <w:b/>
                <w:bCs/>
                <w:sz w:val="18"/>
                <w:szCs w:val="18"/>
              </w:rPr>
            </w:pPr>
            <w:r>
              <w:rPr>
                <w:b/>
                <w:bCs/>
                <w:sz w:val="18"/>
                <w:szCs w:val="18"/>
              </w:rPr>
              <w:t>71.006</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烟尘</w:t>
            </w:r>
          </w:p>
        </w:tc>
        <w:tc>
          <w:tcPr>
            <w:tcW w:w="915" w:type="dxa"/>
            <w:gridSpan w:val="2"/>
            <w:vAlign w:val="center"/>
          </w:tcPr>
          <w:p>
            <w:pPr>
              <w:adjustRightInd w:val="0"/>
              <w:snapToGrid w:val="0"/>
              <w:jc w:val="center"/>
              <w:rPr>
                <w:b/>
                <w:bCs/>
                <w:sz w:val="18"/>
                <w:szCs w:val="18"/>
              </w:rPr>
            </w:pPr>
            <w:r>
              <w:rPr>
                <w:b/>
                <w:bCs/>
                <w:sz w:val="18"/>
                <w:szCs w:val="18"/>
              </w:rPr>
              <w:t>10.72</w:t>
            </w:r>
          </w:p>
        </w:tc>
        <w:tc>
          <w:tcPr>
            <w:tcW w:w="1275" w:type="dxa"/>
            <w:gridSpan w:val="2"/>
            <w:vAlign w:val="center"/>
          </w:tcPr>
          <w:p>
            <w:pPr>
              <w:adjustRightInd w:val="0"/>
              <w:snapToGrid w:val="0"/>
              <w:jc w:val="center"/>
              <w:rPr>
                <w:b/>
                <w:bCs/>
                <w:sz w:val="18"/>
                <w:szCs w:val="18"/>
              </w:rPr>
            </w:pPr>
            <w:r>
              <w:rPr>
                <w:b/>
                <w:bCs/>
                <w:sz w:val="18"/>
                <w:szCs w:val="18"/>
              </w:rPr>
              <w:t>80</w:t>
            </w:r>
          </w:p>
        </w:tc>
        <w:tc>
          <w:tcPr>
            <w:tcW w:w="1170" w:type="dxa"/>
            <w:gridSpan w:val="2"/>
            <w:vAlign w:val="center"/>
          </w:tcPr>
          <w:p>
            <w:pPr>
              <w:adjustRightInd w:val="0"/>
              <w:snapToGrid w:val="0"/>
              <w:jc w:val="center"/>
              <w:rPr>
                <w:b/>
                <w:bCs/>
                <w:sz w:val="18"/>
                <w:szCs w:val="18"/>
              </w:rPr>
            </w:pPr>
            <w:r>
              <w:rPr>
                <w:b/>
                <w:bCs/>
                <w:sz w:val="18"/>
                <w:szCs w:val="18"/>
              </w:rPr>
              <w:t>80</w:t>
            </w:r>
          </w:p>
        </w:tc>
        <w:tc>
          <w:tcPr>
            <w:tcW w:w="1080" w:type="dxa"/>
            <w:gridSpan w:val="3"/>
            <w:vAlign w:val="center"/>
          </w:tcPr>
          <w:p>
            <w:pPr>
              <w:adjustRightInd w:val="0"/>
              <w:snapToGrid w:val="0"/>
              <w:jc w:val="center"/>
              <w:rPr>
                <w:b/>
                <w:bCs/>
                <w:sz w:val="18"/>
                <w:szCs w:val="18"/>
              </w:rPr>
            </w:pPr>
            <w:r>
              <w:rPr>
                <w:b/>
                <w:bCs/>
                <w:sz w:val="18"/>
                <w:szCs w:val="18"/>
              </w:rPr>
              <w:t>67.39</w:t>
            </w:r>
          </w:p>
        </w:tc>
        <w:tc>
          <w:tcPr>
            <w:tcW w:w="945" w:type="dxa"/>
            <w:vAlign w:val="center"/>
          </w:tcPr>
          <w:p>
            <w:pPr>
              <w:adjustRightInd w:val="0"/>
              <w:snapToGrid w:val="0"/>
              <w:jc w:val="center"/>
              <w:rPr>
                <w:b/>
                <w:bCs/>
                <w:sz w:val="18"/>
                <w:szCs w:val="18"/>
              </w:rPr>
            </w:pPr>
            <w:r>
              <w:rPr>
                <w:b/>
                <w:bCs/>
                <w:sz w:val="18"/>
                <w:szCs w:val="18"/>
              </w:rPr>
              <w:t>66.72</w:t>
            </w:r>
          </w:p>
        </w:tc>
        <w:tc>
          <w:tcPr>
            <w:tcW w:w="968" w:type="dxa"/>
            <w:gridSpan w:val="3"/>
            <w:vAlign w:val="center"/>
          </w:tcPr>
          <w:p>
            <w:pPr>
              <w:adjustRightInd w:val="0"/>
              <w:snapToGrid w:val="0"/>
              <w:jc w:val="center"/>
              <w:rPr>
                <w:b/>
                <w:bCs/>
                <w:sz w:val="18"/>
                <w:szCs w:val="18"/>
              </w:rPr>
            </w:pPr>
            <w:r>
              <w:rPr>
                <w:b/>
                <w:bCs/>
                <w:sz w:val="18"/>
                <w:szCs w:val="18"/>
              </w:rPr>
              <w:t>0.67</w:t>
            </w:r>
          </w:p>
        </w:tc>
        <w:tc>
          <w:tcPr>
            <w:tcW w:w="1142" w:type="dxa"/>
            <w:gridSpan w:val="2"/>
            <w:vAlign w:val="center"/>
          </w:tcPr>
          <w:p>
            <w:pPr>
              <w:adjustRightInd w:val="0"/>
              <w:snapToGrid w:val="0"/>
              <w:jc w:val="center"/>
              <w:rPr>
                <w:b/>
                <w:bCs/>
                <w:sz w:val="18"/>
                <w:szCs w:val="18"/>
              </w:rPr>
            </w:pPr>
            <w:r>
              <w:rPr>
                <w:b/>
                <w:bCs/>
                <w:sz w:val="18"/>
                <w:szCs w:val="18"/>
              </w:rPr>
              <w:t>0.67</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11.39</w:t>
            </w:r>
          </w:p>
        </w:tc>
        <w:tc>
          <w:tcPr>
            <w:tcW w:w="1142" w:type="dxa"/>
            <w:gridSpan w:val="2"/>
            <w:vAlign w:val="center"/>
          </w:tcPr>
          <w:p>
            <w:pPr>
              <w:adjustRightInd w:val="0"/>
              <w:snapToGrid w:val="0"/>
              <w:jc w:val="center"/>
              <w:rPr>
                <w:b/>
                <w:bCs/>
                <w:sz w:val="18"/>
                <w:szCs w:val="18"/>
              </w:rPr>
            </w:pPr>
            <w:r>
              <w:rPr>
                <w:b/>
                <w:bCs/>
                <w:sz w:val="18"/>
                <w:szCs w:val="18"/>
              </w:rPr>
              <w:t>11.39</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工业粉尘</w:t>
            </w:r>
          </w:p>
        </w:tc>
        <w:tc>
          <w:tcPr>
            <w:tcW w:w="915" w:type="dxa"/>
            <w:gridSpan w:val="2"/>
            <w:vAlign w:val="center"/>
          </w:tcPr>
          <w:p>
            <w:pPr>
              <w:adjustRightInd w:val="0"/>
              <w:snapToGrid w:val="0"/>
              <w:jc w:val="center"/>
              <w:rPr>
                <w:b/>
                <w:bCs/>
                <w:sz w:val="18"/>
                <w:szCs w:val="18"/>
              </w:rPr>
            </w:pPr>
            <w:r>
              <w:rPr>
                <w:b/>
                <w:bCs/>
                <w:sz w:val="18"/>
                <w:szCs w:val="18"/>
              </w:rPr>
              <w:t>0.0288</w:t>
            </w:r>
          </w:p>
        </w:tc>
        <w:tc>
          <w:tcPr>
            <w:tcW w:w="1275" w:type="dxa"/>
            <w:gridSpan w:val="2"/>
            <w:vAlign w:val="center"/>
          </w:tcPr>
          <w:p>
            <w:pPr>
              <w:adjustRightInd w:val="0"/>
              <w:snapToGrid w:val="0"/>
              <w:jc w:val="center"/>
              <w:rPr>
                <w:b/>
                <w:bCs/>
                <w:sz w:val="18"/>
                <w:szCs w:val="18"/>
              </w:rPr>
            </w:pPr>
          </w:p>
        </w:tc>
        <w:tc>
          <w:tcPr>
            <w:tcW w:w="1170" w:type="dxa"/>
            <w:gridSpan w:val="2"/>
            <w:vAlign w:val="center"/>
          </w:tcPr>
          <w:p>
            <w:pPr>
              <w:adjustRightInd w:val="0"/>
              <w:snapToGrid w:val="0"/>
              <w:jc w:val="center"/>
              <w:rPr>
                <w:b/>
                <w:bCs/>
                <w:sz w:val="18"/>
                <w:szCs w:val="18"/>
              </w:rPr>
            </w:pPr>
          </w:p>
        </w:tc>
        <w:tc>
          <w:tcPr>
            <w:tcW w:w="1080" w:type="dxa"/>
            <w:gridSpan w:val="3"/>
            <w:vAlign w:val="center"/>
          </w:tcPr>
          <w:p>
            <w:pPr>
              <w:adjustRightInd w:val="0"/>
              <w:snapToGrid w:val="0"/>
              <w:jc w:val="center"/>
              <w:rPr>
                <w:b/>
                <w:bCs/>
                <w:sz w:val="18"/>
                <w:szCs w:val="18"/>
              </w:rPr>
            </w:pPr>
          </w:p>
        </w:tc>
        <w:tc>
          <w:tcPr>
            <w:tcW w:w="945" w:type="dxa"/>
            <w:vAlign w:val="center"/>
          </w:tcPr>
          <w:p>
            <w:pPr>
              <w:adjustRightInd w:val="0"/>
              <w:snapToGrid w:val="0"/>
              <w:jc w:val="center"/>
              <w:rPr>
                <w:b/>
                <w:bCs/>
                <w:sz w:val="18"/>
                <w:szCs w:val="18"/>
              </w:rPr>
            </w:pPr>
          </w:p>
        </w:tc>
        <w:tc>
          <w:tcPr>
            <w:tcW w:w="968" w:type="dxa"/>
            <w:gridSpan w:val="3"/>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氮氧化物</w:t>
            </w:r>
          </w:p>
        </w:tc>
        <w:tc>
          <w:tcPr>
            <w:tcW w:w="915" w:type="dxa"/>
            <w:gridSpan w:val="2"/>
            <w:vAlign w:val="center"/>
          </w:tcPr>
          <w:p>
            <w:pPr>
              <w:adjustRightInd w:val="0"/>
              <w:snapToGrid w:val="0"/>
              <w:jc w:val="center"/>
              <w:rPr>
                <w:b/>
                <w:bCs/>
                <w:sz w:val="18"/>
                <w:szCs w:val="18"/>
              </w:rPr>
            </w:pPr>
            <w:r>
              <w:rPr>
                <w:b/>
                <w:bCs/>
                <w:sz w:val="18"/>
                <w:szCs w:val="18"/>
              </w:rPr>
              <w:t>91.21</w:t>
            </w:r>
          </w:p>
        </w:tc>
        <w:tc>
          <w:tcPr>
            <w:tcW w:w="1275" w:type="dxa"/>
            <w:gridSpan w:val="2"/>
            <w:vAlign w:val="center"/>
          </w:tcPr>
          <w:p>
            <w:pPr>
              <w:adjustRightInd w:val="0"/>
              <w:snapToGrid w:val="0"/>
              <w:jc w:val="center"/>
              <w:rPr>
                <w:b/>
                <w:bCs/>
                <w:sz w:val="18"/>
                <w:szCs w:val="18"/>
              </w:rPr>
            </w:pPr>
            <w:r>
              <w:rPr>
                <w:b/>
                <w:bCs/>
                <w:sz w:val="18"/>
                <w:szCs w:val="18"/>
              </w:rPr>
              <w:t>400</w:t>
            </w:r>
          </w:p>
        </w:tc>
        <w:tc>
          <w:tcPr>
            <w:tcW w:w="1170" w:type="dxa"/>
            <w:gridSpan w:val="2"/>
            <w:vAlign w:val="center"/>
          </w:tcPr>
          <w:p>
            <w:pPr>
              <w:adjustRightInd w:val="0"/>
              <w:snapToGrid w:val="0"/>
              <w:jc w:val="center"/>
              <w:rPr>
                <w:b/>
                <w:bCs/>
                <w:sz w:val="18"/>
                <w:szCs w:val="18"/>
              </w:rPr>
            </w:pPr>
            <w:r>
              <w:rPr>
                <w:b/>
                <w:bCs/>
                <w:sz w:val="18"/>
                <w:szCs w:val="18"/>
              </w:rPr>
              <w:t>400</w:t>
            </w:r>
          </w:p>
        </w:tc>
        <w:tc>
          <w:tcPr>
            <w:tcW w:w="1080" w:type="dxa"/>
            <w:gridSpan w:val="3"/>
            <w:vAlign w:val="center"/>
          </w:tcPr>
          <w:p>
            <w:pPr>
              <w:adjustRightInd w:val="0"/>
              <w:snapToGrid w:val="0"/>
              <w:jc w:val="center"/>
              <w:rPr>
                <w:b/>
                <w:bCs/>
                <w:sz w:val="18"/>
                <w:szCs w:val="18"/>
              </w:rPr>
            </w:pPr>
            <w:r>
              <w:rPr>
                <w:b/>
                <w:bCs/>
                <w:sz w:val="18"/>
                <w:szCs w:val="18"/>
              </w:rPr>
              <w:t>8.25</w:t>
            </w:r>
          </w:p>
        </w:tc>
        <w:tc>
          <w:tcPr>
            <w:tcW w:w="945" w:type="dxa"/>
            <w:vAlign w:val="center"/>
          </w:tcPr>
          <w:p>
            <w:pPr>
              <w:adjustRightInd w:val="0"/>
              <w:snapToGrid w:val="0"/>
              <w:jc w:val="center"/>
              <w:rPr>
                <w:b/>
                <w:bCs/>
                <w:sz w:val="18"/>
                <w:szCs w:val="18"/>
              </w:rPr>
            </w:pPr>
            <w:r>
              <w:rPr>
                <w:b/>
                <w:bCs/>
                <w:sz w:val="18"/>
                <w:szCs w:val="18"/>
              </w:rPr>
              <w:t>0</w:t>
            </w:r>
          </w:p>
        </w:tc>
        <w:tc>
          <w:tcPr>
            <w:tcW w:w="968" w:type="dxa"/>
            <w:gridSpan w:val="3"/>
            <w:vAlign w:val="center"/>
          </w:tcPr>
          <w:p>
            <w:pPr>
              <w:adjustRightInd w:val="0"/>
              <w:snapToGrid w:val="0"/>
              <w:jc w:val="center"/>
              <w:rPr>
                <w:b/>
                <w:bCs/>
                <w:sz w:val="18"/>
                <w:szCs w:val="18"/>
              </w:rPr>
            </w:pPr>
            <w:r>
              <w:rPr>
                <w:b/>
                <w:bCs/>
                <w:sz w:val="18"/>
                <w:szCs w:val="18"/>
              </w:rPr>
              <w:t>8.25</w:t>
            </w:r>
          </w:p>
        </w:tc>
        <w:tc>
          <w:tcPr>
            <w:tcW w:w="1142" w:type="dxa"/>
            <w:gridSpan w:val="2"/>
            <w:vAlign w:val="center"/>
          </w:tcPr>
          <w:p>
            <w:pPr>
              <w:adjustRightInd w:val="0"/>
              <w:snapToGrid w:val="0"/>
              <w:jc w:val="center"/>
              <w:rPr>
                <w:b/>
                <w:bCs/>
                <w:sz w:val="18"/>
                <w:szCs w:val="18"/>
              </w:rPr>
            </w:pPr>
            <w:r>
              <w:rPr>
                <w:b/>
                <w:bCs/>
                <w:sz w:val="18"/>
                <w:szCs w:val="18"/>
              </w:rPr>
              <w:t>8.25</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99.46</w:t>
            </w:r>
          </w:p>
        </w:tc>
        <w:tc>
          <w:tcPr>
            <w:tcW w:w="1142" w:type="dxa"/>
            <w:gridSpan w:val="2"/>
            <w:vAlign w:val="center"/>
          </w:tcPr>
          <w:p>
            <w:pPr>
              <w:adjustRightInd w:val="0"/>
              <w:snapToGrid w:val="0"/>
              <w:jc w:val="center"/>
              <w:rPr>
                <w:b/>
                <w:bCs/>
                <w:sz w:val="18"/>
                <w:szCs w:val="18"/>
              </w:rPr>
            </w:pPr>
            <w:r>
              <w:rPr>
                <w:b/>
                <w:bCs/>
                <w:sz w:val="18"/>
                <w:szCs w:val="18"/>
              </w:rPr>
              <w:t>99.46</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工业固体废物</w:t>
            </w:r>
          </w:p>
        </w:tc>
        <w:tc>
          <w:tcPr>
            <w:tcW w:w="915" w:type="dxa"/>
            <w:gridSpan w:val="2"/>
            <w:vAlign w:val="center"/>
          </w:tcPr>
          <w:p>
            <w:pPr>
              <w:adjustRightInd w:val="0"/>
              <w:snapToGrid w:val="0"/>
              <w:jc w:val="center"/>
              <w:rPr>
                <w:b/>
                <w:bCs/>
                <w:sz w:val="18"/>
                <w:szCs w:val="18"/>
              </w:rPr>
            </w:pPr>
          </w:p>
        </w:tc>
        <w:tc>
          <w:tcPr>
            <w:tcW w:w="1275" w:type="dxa"/>
            <w:gridSpan w:val="2"/>
            <w:vAlign w:val="center"/>
          </w:tcPr>
          <w:p>
            <w:pPr>
              <w:adjustRightInd w:val="0"/>
              <w:snapToGrid w:val="0"/>
              <w:jc w:val="center"/>
              <w:rPr>
                <w:b/>
                <w:bCs/>
                <w:sz w:val="18"/>
                <w:szCs w:val="18"/>
              </w:rPr>
            </w:pPr>
          </w:p>
        </w:tc>
        <w:tc>
          <w:tcPr>
            <w:tcW w:w="1170" w:type="dxa"/>
            <w:gridSpan w:val="2"/>
            <w:vAlign w:val="center"/>
          </w:tcPr>
          <w:p>
            <w:pPr>
              <w:adjustRightInd w:val="0"/>
              <w:snapToGrid w:val="0"/>
              <w:jc w:val="center"/>
              <w:rPr>
                <w:b/>
                <w:bCs/>
                <w:sz w:val="18"/>
                <w:szCs w:val="18"/>
              </w:rPr>
            </w:pPr>
          </w:p>
        </w:tc>
        <w:tc>
          <w:tcPr>
            <w:tcW w:w="1080" w:type="dxa"/>
            <w:gridSpan w:val="3"/>
            <w:vAlign w:val="center"/>
          </w:tcPr>
          <w:p>
            <w:pPr>
              <w:adjustRightInd w:val="0"/>
              <w:snapToGrid w:val="0"/>
              <w:jc w:val="center"/>
              <w:rPr>
                <w:b/>
                <w:bCs/>
                <w:sz w:val="18"/>
                <w:szCs w:val="18"/>
              </w:rPr>
            </w:pPr>
          </w:p>
        </w:tc>
        <w:tc>
          <w:tcPr>
            <w:tcW w:w="945" w:type="dxa"/>
            <w:vAlign w:val="center"/>
          </w:tcPr>
          <w:p>
            <w:pPr>
              <w:adjustRightInd w:val="0"/>
              <w:snapToGrid w:val="0"/>
              <w:jc w:val="center"/>
              <w:rPr>
                <w:b/>
                <w:bCs/>
                <w:sz w:val="18"/>
                <w:szCs w:val="18"/>
              </w:rPr>
            </w:pPr>
          </w:p>
        </w:tc>
        <w:tc>
          <w:tcPr>
            <w:tcW w:w="968" w:type="dxa"/>
            <w:gridSpan w:val="3"/>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683" w:type="dxa"/>
            <w:vMerge w:val="continue"/>
            <w:vAlign w:val="center"/>
          </w:tcPr>
          <w:p>
            <w:pPr>
              <w:adjustRightInd w:val="0"/>
              <w:snapToGrid w:val="0"/>
              <w:jc w:val="center"/>
              <w:rPr>
                <w:b/>
                <w:bCs/>
                <w:sz w:val="18"/>
                <w:szCs w:val="18"/>
              </w:rPr>
            </w:pPr>
          </w:p>
        </w:tc>
        <w:tc>
          <w:tcPr>
            <w:tcW w:w="2100" w:type="dxa"/>
            <w:gridSpan w:val="2"/>
            <w:vAlign w:val="center"/>
          </w:tcPr>
          <w:p>
            <w:pPr>
              <w:adjustRightInd w:val="0"/>
              <w:snapToGrid w:val="0"/>
              <w:jc w:val="center"/>
              <w:rPr>
                <w:b/>
                <w:bCs/>
                <w:sz w:val="18"/>
                <w:szCs w:val="18"/>
              </w:rPr>
            </w:pPr>
            <w:r>
              <w:rPr>
                <w:rFonts w:hint="eastAsia"/>
                <w:b/>
                <w:bCs/>
                <w:sz w:val="18"/>
                <w:szCs w:val="18"/>
              </w:rPr>
              <w:t>挥发性有机物</w:t>
            </w:r>
          </w:p>
        </w:tc>
        <w:tc>
          <w:tcPr>
            <w:tcW w:w="915" w:type="dxa"/>
            <w:gridSpan w:val="2"/>
            <w:vAlign w:val="center"/>
          </w:tcPr>
          <w:p>
            <w:pPr>
              <w:adjustRightInd w:val="0"/>
              <w:snapToGrid w:val="0"/>
              <w:jc w:val="center"/>
              <w:rPr>
                <w:b/>
                <w:bCs/>
                <w:sz w:val="18"/>
                <w:szCs w:val="18"/>
              </w:rPr>
            </w:pPr>
            <w:r>
              <w:rPr>
                <w:b/>
                <w:bCs/>
                <w:sz w:val="18"/>
                <w:szCs w:val="18"/>
              </w:rPr>
              <w:t>3.6288</w:t>
            </w:r>
          </w:p>
        </w:tc>
        <w:tc>
          <w:tcPr>
            <w:tcW w:w="1275" w:type="dxa"/>
            <w:gridSpan w:val="2"/>
            <w:vAlign w:val="center"/>
          </w:tcPr>
          <w:p>
            <w:pPr>
              <w:adjustRightInd w:val="0"/>
              <w:snapToGrid w:val="0"/>
              <w:jc w:val="center"/>
              <w:rPr>
                <w:b/>
                <w:bCs/>
                <w:sz w:val="18"/>
                <w:szCs w:val="18"/>
              </w:rPr>
            </w:pPr>
            <w:r>
              <w:rPr>
                <w:b/>
                <w:bCs/>
                <w:sz w:val="18"/>
                <w:szCs w:val="18"/>
              </w:rPr>
              <w:t>30</w:t>
            </w:r>
          </w:p>
        </w:tc>
        <w:tc>
          <w:tcPr>
            <w:tcW w:w="1170" w:type="dxa"/>
            <w:gridSpan w:val="2"/>
            <w:vAlign w:val="center"/>
          </w:tcPr>
          <w:p>
            <w:pPr>
              <w:adjustRightInd w:val="0"/>
              <w:snapToGrid w:val="0"/>
              <w:jc w:val="center"/>
              <w:rPr>
                <w:b/>
                <w:bCs/>
                <w:sz w:val="18"/>
                <w:szCs w:val="18"/>
              </w:rPr>
            </w:pPr>
            <w:r>
              <w:rPr>
                <w:b/>
                <w:bCs/>
                <w:sz w:val="18"/>
                <w:szCs w:val="18"/>
              </w:rPr>
              <w:t>30</w:t>
            </w:r>
          </w:p>
        </w:tc>
        <w:tc>
          <w:tcPr>
            <w:tcW w:w="1080" w:type="dxa"/>
            <w:gridSpan w:val="3"/>
            <w:vAlign w:val="center"/>
          </w:tcPr>
          <w:p>
            <w:pPr>
              <w:adjustRightInd w:val="0"/>
              <w:snapToGrid w:val="0"/>
              <w:jc w:val="center"/>
              <w:rPr>
                <w:b/>
                <w:bCs/>
                <w:sz w:val="18"/>
                <w:szCs w:val="18"/>
              </w:rPr>
            </w:pPr>
            <w:r>
              <w:rPr>
                <w:b/>
                <w:bCs/>
                <w:sz w:val="18"/>
                <w:szCs w:val="18"/>
              </w:rPr>
              <w:t>2.755</w:t>
            </w:r>
          </w:p>
        </w:tc>
        <w:tc>
          <w:tcPr>
            <w:tcW w:w="945" w:type="dxa"/>
            <w:vAlign w:val="center"/>
          </w:tcPr>
          <w:p>
            <w:pPr>
              <w:adjustRightInd w:val="0"/>
              <w:snapToGrid w:val="0"/>
              <w:jc w:val="center"/>
              <w:rPr>
                <w:b/>
                <w:bCs/>
                <w:sz w:val="18"/>
                <w:szCs w:val="18"/>
              </w:rPr>
            </w:pPr>
            <w:r>
              <w:rPr>
                <w:b/>
                <w:bCs/>
                <w:sz w:val="18"/>
                <w:szCs w:val="18"/>
              </w:rPr>
              <w:t>2.475</w:t>
            </w:r>
          </w:p>
        </w:tc>
        <w:tc>
          <w:tcPr>
            <w:tcW w:w="968" w:type="dxa"/>
            <w:gridSpan w:val="3"/>
            <w:vAlign w:val="center"/>
          </w:tcPr>
          <w:p>
            <w:pPr>
              <w:adjustRightInd w:val="0"/>
              <w:snapToGrid w:val="0"/>
              <w:jc w:val="center"/>
              <w:rPr>
                <w:b/>
                <w:bCs/>
                <w:sz w:val="18"/>
                <w:szCs w:val="18"/>
              </w:rPr>
            </w:pPr>
            <w:r>
              <w:rPr>
                <w:b/>
                <w:bCs/>
                <w:sz w:val="18"/>
                <w:szCs w:val="18"/>
              </w:rPr>
              <w:t>0.28</w:t>
            </w:r>
          </w:p>
        </w:tc>
        <w:tc>
          <w:tcPr>
            <w:tcW w:w="1142" w:type="dxa"/>
            <w:gridSpan w:val="2"/>
            <w:vAlign w:val="center"/>
          </w:tcPr>
          <w:p>
            <w:pPr>
              <w:adjustRightInd w:val="0"/>
              <w:snapToGrid w:val="0"/>
              <w:jc w:val="center"/>
              <w:rPr>
                <w:b/>
                <w:bCs/>
                <w:sz w:val="18"/>
                <w:szCs w:val="18"/>
              </w:rPr>
            </w:pPr>
            <w:r>
              <w:rPr>
                <w:b/>
                <w:bCs/>
                <w:sz w:val="18"/>
                <w:szCs w:val="18"/>
              </w:rPr>
              <w:t>0.28</w:t>
            </w:r>
          </w:p>
        </w:tc>
        <w:tc>
          <w:tcPr>
            <w:tcW w:w="1142" w:type="dxa"/>
            <w:gridSpan w:val="3"/>
            <w:vAlign w:val="center"/>
          </w:tcPr>
          <w:p>
            <w:pPr>
              <w:adjustRightInd w:val="0"/>
              <w:snapToGrid w:val="0"/>
              <w:jc w:val="center"/>
              <w:rPr>
                <w:b/>
                <w:bCs/>
                <w:sz w:val="18"/>
                <w:szCs w:val="18"/>
              </w:rPr>
            </w:pPr>
          </w:p>
        </w:tc>
        <w:tc>
          <w:tcPr>
            <w:tcW w:w="1142" w:type="dxa"/>
            <w:vAlign w:val="center"/>
          </w:tcPr>
          <w:p>
            <w:pPr>
              <w:adjustRightInd w:val="0"/>
              <w:snapToGrid w:val="0"/>
              <w:jc w:val="center"/>
              <w:rPr>
                <w:b/>
                <w:bCs/>
                <w:sz w:val="18"/>
                <w:szCs w:val="18"/>
              </w:rPr>
            </w:pPr>
            <w:r>
              <w:rPr>
                <w:b/>
                <w:bCs/>
                <w:sz w:val="18"/>
                <w:szCs w:val="18"/>
              </w:rPr>
              <w:t>3.9088</w:t>
            </w:r>
          </w:p>
        </w:tc>
        <w:tc>
          <w:tcPr>
            <w:tcW w:w="1142" w:type="dxa"/>
            <w:gridSpan w:val="2"/>
            <w:vAlign w:val="center"/>
          </w:tcPr>
          <w:p>
            <w:pPr>
              <w:adjustRightInd w:val="0"/>
              <w:snapToGrid w:val="0"/>
              <w:jc w:val="center"/>
              <w:rPr>
                <w:b/>
                <w:bCs/>
                <w:sz w:val="18"/>
                <w:szCs w:val="18"/>
              </w:rPr>
            </w:pPr>
            <w:r>
              <w:rPr>
                <w:b/>
                <w:bCs/>
                <w:sz w:val="18"/>
                <w:szCs w:val="18"/>
              </w:rPr>
              <w:t>3.9088</w:t>
            </w:r>
          </w:p>
        </w:tc>
        <w:tc>
          <w:tcPr>
            <w:tcW w:w="1142" w:type="dxa"/>
            <w:gridSpan w:val="2"/>
            <w:vAlign w:val="center"/>
          </w:tcPr>
          <w:p>
            <w:pPr>
              <w:adjustRightInd w:val="0"/>
              <w:snapToGrid w:val="0"/>
              <w:jc w:val="center"/>
              <w:rPr>
                <w:b/>
                <w:bCs/>
                <w:sz w:val="18"/>
                <w:szCs w:val="18"/>
              </w:rPr>
            </w:pPr>
          </w:p>
        </w:tc>
        <w:tc>
          <w:tcPr>
            <w:tcW w:w="1144" w:type="dxa"/>
            <w:gridSpan w:val="2"/>
            <w:vAlign w:val="center"/>
          </w:tcPr>
          <w:p>
            <w:pPr>
              <w:adjustRightInd w:val="0"/>
              <w:snapToGrid w:val="0"/>
              <w:jc w:val="center"/>
              <w:rPr>
                <w:b/>
                <w:bCs/>
                <w:sz w:val="18"/>
                <w:szCs w:val="18"/>
              </w:rPr>
            </w:pPr>
          </w:p>
        </w:tc>
      </w:tr>
    </w:tbl>
    <w:p>
      <w:pPr>
        <w:adjustRightInd w:val="0"/>
        <w:snapToGrid w:val="0"/>
        <w:spacing w:line="360" w:lineRule="auto"/>
        <w:rPr>
          <w:sz w:val="21"/>
          <w:szCs w:val="21"/>
        </w:rPr>
      </w:pPr>
      <w:r>
        <w:rPr>
          <w:rFonts w:hint="eastAsia"/>
          <w:sz w:val="21"/>
          <w:szCs w:val="21"/>
        </w:rPr>
        <w:t>注：</w:t>
      </w:r>
      <w:r>
        <w:rPr>
          <w:sz w:val="21"/>
          <w:szCs w:val="21"/>
        </w:rPr>
        <w:t>1</w:t>
      </w:r>
      <w:r>
        <w:rPr>
          <w:rFonts w:hint="eastAsia"/>
          <w:sz w:val="21"/>
          <w:szCs w:val="21"/>
        </w:rPr>
        <w:t>、排放增减量：（</w:t>
      </w:r>
      <w:r>
        <w:rPr>
          <w:sz w:val="21"/>
          <w:szCs w:val="21"/>
        </w:rPr>
        <w:t>+</w:t>
      </w:r>
      <w:r>
        <w:rPr>
          <w:rFonts w:hint="eastAsia"/>
          <w:sz w:val="21"/>
          <w:szCs w:val="21"/>
        </w:rPr>
        <w:t>）表示增加，（</w:t>
      </w:r>
      <w:r>
        <w:rPr>
          <w:sz w:val="21"/>
          <w:szCs w:val="21"/>
        </w:rPr>
        <w:t>—</w:t>
      </w:r>
      <w:r>
        <w:rPr>
          <w:rFonts w:hint="eastAsia"/>
          <w:sz w:val="21"/>
          <w:szCs w:val="21"/>
        </w:rPr>
        <w:t>）表示减少。</w:t>
      </w:r>
      <w:r>
        <w:rPr>
          <w:sz w:val="21"/>
          <w:szCs w:val="21"/>
        </w:rPr>
        <w:t>2</w:t>
      </w:r>
      <w:r>
        <w:rPr>
          <w:rFonts w:hint="eastAsia"/>
          <w:sz w:val="21"/>
          <w:szCs w:val="21"/>
        </w:rPr>
        <w:t>、（</w:t>
      </w:r>
      <w:r>
        <w:rPr>
          <w:sz w:val="21"/>
          <w:szCs w:val="21"/>
        </w:rPr>
        <w:t>12</w:t>
      </w:r>
      <w:r>
        <w:rPr>
          <w:rFonts w:hint="eastAsia"/>
          <w:sz w:val="21"/>
          <w:szCs w:val="21"/>
        </w:rPr>
        <w:t>）</w:t>
      </w:r>
      <w:r>
        <w:rPr>
          <w:sz w:val="21"/>
          <w:szCs w:val="21"/>
        </w:rPr>
        <w:t>=</w:t>
      </w:r>
      <w:r>
        <w:rPr>
          <w:rFonts w:hint="eastAsia"/>
          <w:sz w:val="21"/>
          <w:szCs w:val="21"/>
        </w:rPr>
        <w:t>（</w:t>
      </w:r>
      <w:r>
        <w:rPr>
          <w:sz w:val="21"/>
          <w:szCs w:val="21"/>
        </w:rPr>
        <w:t>6</w:t>
      </w:r>
      <w:r>
        <w:rPr>
          <w:rFonts w:hint="eastAsia"/>
          <w:sz w:val="21"/>
          <w:szCs w:val="21"/>
        </w:rPr>
        <w:t>）</w:t>
      </w:r>
      <w:r>
        <w:rPr>
          <w:sz w:val="21"/>
          <w:szCs w:val="21"/>
        </w:rPr>
        <w:t>-</w:t>
      </w:r>
      <w:r>
        <w:rPr>
          <w:rFonts w:hint="eastAsia"/>
          <w:sz w:val="21"/>
          <w:szCs w:val="21"/>
        </w:rPr>
        <w:t>（</w:t>
      </w:r>
      <w:r>
        <w:rPr>
          <w:sz w:val="21"/>
          <w:szCs w:val="21"/>
        </w:rPr>
        <w:t>8</w:t>
      </w:r>
      <w:r>
        <w:rPr>
          <w:rFonts w:hint="eastAsia"/>
          <w:sz w:val="21"/>
          <w:szCs w:val="21"/>
        </w:rPr>
        <w:t>），（</w:t>
      </w:r>
      <w:r>
        <w:rPr>
          <w:sz w:val="21"/>
          <w:szCs w:val="21"/>
        </w:rPr>
        <w:t>9</w:t>
      </w:r>
      <w:r>
        <w:rPr>
          <w:rFonts w:hint="eastAsia"/>
          <w:sz w:val="21"/>
          <w:szCs w:val="21"/>
        </w:rPr>
        <w:t>）</w:t>
      </w:r>
      <w:r>
        <w:rPr>
          <w:sz w:val="21"/>
          <w:szCs w:val="21"/>
        </w:rPr>
        <w:t>=</w:t>
      </w:r>
      <w:r>
        <w:rPr>
          <w:rFonts w:hint="eastAsia"/>
          <w:sz w:val="21"/>
          <w:szCs w:val="21"/>
        </w:rPr>
        <w:t>（</w:t>
      </w:r>
      <w:r>
        <w:rPr>
          <w:sz w:val="21"/>
          <w:szCs w:val="21"/>
        </w:rPr>
        <w:t>4</w:t>
      </w:r>
      <w:r>
        <w:rPr>
          <w:rFonts w:hint="eastAsia"/>
          <w:sz w:val="21"/>
          <w:szCs w:val="21"/>
        </w:rPr>
        <w:t>）</w:t>
      </w:r>
      <w:r>
        <w:rPr>
          <w:sz w:val="21"/>
          <w:szCs w:val="21"/>
        </w:rPr>
        <w:t>-</w:t>
      </w:r>
      <w:r>
        <w:rPr>
          <w:rFonts w:hint="eastAsia"/>
          <w:sz w:val="21"/>
          <w:szCs w:val="21"/>
        </w:rPr>
        <w:t>（</w:t>
      </w:r>
      <w:r>
        <w:rPr>
          <w:sz w:val="21"/>
          <w:szCs w:val="21"/>
        </w:rPr>
        <w:t>5</w:t>
      </w:r>
      <w:r>
        <w:rPr>
          <w:rFonts w:hint="eastAsia"/>
          <w:sz w:val="21"/>
          <w:szCs w:val="21"/>
        </w:rPr>
        <w:t>）</w:t>
      </w:r>
      <w:r>
        <w:rPr>
          <w:sz w:val="21"/>
          <w:szCs w:val="21"/>
        </w:rPr>
        <w:t>-</w:t>
      </w:r>
      <w:r>
        <w:rPr>
          <w:rFonts w:hint="eastAsia"/>
          <w:sz w:val="21"/>
          <w:szCs w:val="21"/>
        </w:rPr>
        <w:t>（</w:t>
      </w:r>
      <w:r>
        <w:rPr>
          <w:sz w:val="21"/>
          <w:szCs w:val="21"/>
        </w:rPr>
        <w:t>8</w:t>
      </w:r>
      <w:r>
        <w:rPr>
          <w:rFonts w:hint="eastAsia"/>
          <w:sz w:val="21"/>
          <w:szCs w:val="21"/>
        </w:rPr>
        <w:t>）</w:t>
      </w:r>
      <w:r>
        <w:rPr>
          <w:sz w:val="21"/>
          <w:szCs w:val="21"/>
        </w:rPr>
        <w:t>-</w:t>
      </w:r>
      <w:r>
        <w:rPr>
          <w:rFonts w:hint="eastAsia"/>
          <w:sz w:val="21"/>
          <w:szCs w:val="21"/>
        </w:rPr>
        <w:t>（</w:t>
      </w:r>
      <w:r>
        <w:rPr>
          <w:sz w:val="21"/>
          <w:szCs w:val="21"/>
        </w:rPr>
        <w:t>11</w:t>
      </w:r>
      <w:r>
        <w:rPr>
          <w:rFonts w:hint="eastAsia"/>
          <w:sz w:val="21"/>
          <w:szCs w:val="21"/>
        </w:rPr>
        <w:t>）</w:t>
      </w:r>
      <w:r>
        <w:rPr>
          <w:sz w:val="21"/>
          <w:szCs w:val="21"/>
        </w:rPr>
        <w:t>+</w:t>
      </w:r>
      <w:r>
        <w:rPr>
          <w:rFonts w:hint="eastAsia"/>
          <w:sz w:val="21"/>
          <w:szCs w:val="21"/>
        </w:rPr>
        <w:t>（</w:t>
      </w:r>
      <w:r>
        <w:rPr>
          <w:sz w:val="21"/>
          <w:szCs w:val="21"/>
        </w:rPr>
        <w:t>1</w:t>
      </w:r>
      <w:r>
        <w:rPr>
          <w:rFonts w:hint="eastAsia"/>
          <w:sz w:val="21"/>
          <w:szCs w:val="21"/>
        </w:rPr>
        <w:t>）。</w:t>
      </w:r>
    </w:p>
    <w:p>
      <w:pPr>
        <w:adjustRightInd w:val="0"/>
        <w:snapToGrid w:val="0"/>
        <w:spacing w:line="360" w:lineRule="auto"/>
        <w:rPr>
          <w:sz w:val="21"/>
          <w:szCs w:val="21"/>
        </w:rPr>
      </w:pPr>
      <w:r>
        <w:rPr>
          <w:sz w:val="21"/>
          <w:szCs w:val="21"/>
        </w:rPr>
        <w:t>3</w:t>
      </w:r>
      <w:r>
        <w:rPr>
          <w:rFonts w:hint="eastAsia"/>
          <w:sz w:val="21"/>
          <w:szCs w:val="21"/>
        </w:rPr>
        <w:t>计量单位：废水排风量</w:t>
      </w:r>
      <w:r>
        <w:rPr>
          <w:sz w:val="21"/>
          <w:szCs w:val="21"/>
        </w:rPr>
        <w:t>—</w:t>
      </w:r>
      <w:r>
        <w:rPr>
          <w:rFonts w:hint="eastAsia"/>
          <w:sz w:val="21"/>
          <w:szCs w:val="21"/>
        </w:rPr>
        <w:t>万吨</w:t>
      </w:r>
      <w:r>
        <w:rPr>
          <w:sz w:val="21"/>
          <w:szCs w:val="21"/>
        </w:rPr>
        <w:t>/</w:t>
      </w:r>
      <w:r>
        <w:rPr>
          <w:rFonts w:hint="eastAsia"/>
          <w:sz w:val="21"/>
          <w:szCs w:val="21"/>
        </w:rPr>
        <w:t>年；废气排放量</w:t>
      </w:r>
      <w:r>
        <w:rPr>
          <w:sz w:val="21"/>
          <w:szCs w:val="21"/>
        </w:rPr>
        <w:t>—</w:t>
      </w:r>
      <w:r>
        <w:rPr>
          <w:rFonts w:hint="eastAsia"/>
          <w:sz w:val="21"/>
          <w:szCs w:val="21"/>
        </w:rPr>
        <w:t>万标立方米</w:t>
      </w:r>
      <w:r>
        <w:rPr>
          <w:sz w:val="21"/>
          <w:szCs w:val="21"/>
        </w:rPr>
        <w:t>/</w:t>
      </w:r>
      <w:r>
        <w:rPr>
          <w:rFonts w:hint="eastAsia"/>
          <w:sz w:val="21"/>
          <w:szCs w:val="21"/>
        </w:rPr>
        <w:t>年；工业固体废物排放量</w:t>
      </w:r>
      <w:r>
        <w:rPr>
          <w:sz w:val="21"/>
          <w:szCs w:val="21"/>
        </w:rPr>
        <w:t>—</w:t>
      </w:r>
      <w:r>
        <w:rPr>
          <w:rFonts w:hint="eastAsia"/>
          <w:sz w:val="21"/>
          <w:szCs w:val="21"/>
        </w:rPr>
        <w:t>万吨</w:t>
      </w:r>
      <w:r>
        <w:rPr>
          <w:sz w:val="21"/>
          <w:szCs w:val="21"/>
        </w:rPr>
        <w:t>/</w:t>
      </w:r>
      <w:r>
        <w:rPr>
          <w:rFonts w:hint="eastAsia"/>
          <w:sz w:val="21"/>
          <w:szCs w:val="21"/>
        </w:rPr>
        <w:t>年；水污染物排放浓度</w:t>
      </w:r>
      <w:r>
        <w:rPr>
          <w:sz w:val="21"/>
          <w:szCs w:val="21"/>
        </w:rPr>
        <w:t>—</w:t>
      </w:r>
      <w:r>
        <w:rPr>
          <w:rFonts w:hint="eastAsia"/>
          <w:sz w:val="21"/>
          <w:szCs w:val="21"/>
        </w:rPr>
        <w:t>毫克</w:t>
      </w:r>
      <w:r>
        <w:rPr>
          <w:sz w:val="21"/>
          <w:szCs w:val="21"/>
        </w:rPr>
        <w:t>/</w:t>
      </w:r>
      <w:r>
        <w:rPr>
          <w:rFonts w:hint="eastAsia"/>
          <w:sz w:val="21"/>
          <w:szCs w:val="21"/>
        </w:rPr>
        <w:t>升</w:t>
      </w:r>
    </w:p>
    <w:p>
      <w:pPr>
        <w:adjustRightInd w:val="0"/>
        <w:snapToGrid w:val="0"/>
        <w:spacing w:line="360" w:lineRule="auto"/>
        <w:rPr>
          <w:rFonts w:hint="eastAsia" w:eastAsia="宋体"/>
          <w:lang w:eastAsia="zh-CN"/>
        </w:rPr>
      </w:pPr>
    </w:p>
    <w:sectPr>
      <w:pgSz w:w="16838" w:h="11906" w:orient="landscape"/>
      <w:pgMar w:top="1080" w:right="1440" w:bottom="1080" w:left="1440" w:header="709" w:footer="709" w:gutter="0"/>
      <w:pgNumType w:fmt="decimal"/>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Arial">
    <w:panose1 w:val="020B0604020202020204"/>
    <w:charset w:val="00"/>
    <w:family w:val="swiss"/>
    <w:pitch w:val="default"/>
    <w:sig w:usb0="E0002AFF" w:usb1="C0007843" w:usb2="00000009" w:usb3="00000000" w:csb0="400001FF" w:csb1="FFFF0000"/>
  </w:font>
  <w:font w:name="Courier New">
    <w:panose1 w:val="02070309020205020404"/>
    <w:charset w:val="00"/>
    <w:family w:val="modern"/>
    <w:pitch w:val="default"/>
    <w:sig w:usb0="E0002AFF" w:usb1="C0007843" w:usb2="00000009" w:usb3="00000000" w:csb0="400001FF" w:csb1="FFFF0000"/>
  </w:font>
  <w:font w:name="仿宋_GB2312">
    <w:panose1 w:val="02010609030101010101"/>
    <w:charset w:val="86"/>
    <w:family w:val="modern"/>
    <w:pitch w:val="default"/>
    <w:sig w:usb0="00000001" w:usb1="080E0000" w:usb2="00000000" w:usb3="00000000" w:csb0="00040000" w:csb1="00000000"/>
  </w:font>
  <w:font w:name="Arial Unicode MS">
    <w:altName w:val="宋体"/>
    <w:panose1 w:val="020B0604020202020204"/>
    <w:charset w:val="86"/>
    <w:family w:val="roman"/>
    <w:pitch w:val="default"/>
    <w:sig w:usb0="00000000" w:usb1="00000000" w:usb2="0000003F" w:usb3="00000000" w:csb0="603F01FF" w:csb1="FFFF0000"/>
  </w:font>
  <w:font w:name="Sim Sun+ 2">
    <w:altName w:val="宋体"/>
    <w:panose1 w:val="00000000000000000000"/>
    <w:charset w:val="86"/>
    <w:family w:val="swiss"/>
    <w:pitch w:val="default"/>
    <w:sig w:usb0="00000000" w:usb1="00000000" w:usb2="00000010" w:usb3="00000000" w:csb0="00040000" w:csb1="00000000"/>
  </w:font>
  <w:font w:name="??_GB2312">
    <w:altName w:val="Segoe Print"/>
    <w:panose1 w:val="00000000000000000000"/>
    <w:charset w:val="00"/>
    <w:family w:val="auto"/>
    <w:pitch w:val="default"/>
    <w:sig w:usb0="00000000" w:usb1="00000000" w:usb2="00000000" w:usb3="00000000" w:csb0="00000001" w:csb1="00000000"/>
  </w:font>
  <w:font w:name="方正宋三简体">
    <w:altName w:val="宋体"/>
    <w:panose1 w:val="00000000000000000000"/>
    <w:charset w:val="86"/>
    <w:family w:val="auto"/>
    <w:pitch w:val="default"/>
    <w:sig w:usb0="00000000" w:usb1="00000000" w:usb2="00000010" w:usb3="00000000" w:csb0="00040000" w:csb1="00000000"/>
  </w:font>
  <w:font w:name="Malgun Gothic">
    <w:panose1 w:val="020B0503020000020004"/>
    <w:charset w:val="81"/>
    <w:family w:val="swiss"/>
    <w:pitch w:val="default"/>
    <w:sig w:usb0="900002AF" w:usb1="01D77CFB" w:usb2="00000012" w:usb3="00000000" w:csb0="00080001" w:csb1="00000000"/>
  </w:font>
  <w:font w:name="Batang">
    <w:panose1 w:val="02030600000101010101"/>
    <w:charset w:val="81"/>
    <w:family w:val="auto"/>
    <w:pitch w:val="default"/>
    <w:sig w:usb0="B00002AF" w:usb1="69D77CFB" w:usb2="00000030" w:usb3="00000000" w:csb0="4008009F" w:csb1="DFD70000"/>
  </w:font>
  <w:font w:name="Segoe Print">
    <w:panose1 w:val="02000600000000000000"/>
    <w:charset w:val="00"/>
    <w:family w:val="auto"/>
    <w:pitch w:val="default"/>
    <w:sig w:usb0="0000028F" w:usb1="00000000" w:usb2="00000000" w:usb3="00000000" w:csb0="2000009F" w:csb1="47010000"/>
  </w:font>
  <w:font w:name="仿宋">
    <w:panose1 w:val="02010609060101010101"/>
    <w:charset w:val="86"/>
    <w:family w:val="auto"/>
    <w:pitch w:val="default"/>
    <w:sig w:usb0="800002BF" w:usb1="38CF7CFA" w:usb2="00000016" w:usb3="00000000" w:csb0="00040001" w:csb1="00000000"/>
  </w:font>
  <w:font w:name="华文中宋">
    <w:altName w:val="宋体"/>
    <w:panose1 w:val="02010600040101010101"/>
    <w:charset w:val="86"/>
    <w:family w:val="auto"/>
    <w:pitch w:val="default"/>
    <w:sig w:usb0="00000000" w:usb1="00000000" w:usb2="00000000" w:usb3="00000000" w:csb0="0004009F" w:csb1="DFD70000"/>
  </w:font>
  <w:font w:name="华文行楷">
    <w:altName w:val="微软雅黑"/>
    <w:panose1 w:val="02010800040101010101"/>
    <w:charset w:val="86"/>
    <w:family w:val="auto"/>
    <w:pitch w:val="default"/>
    <w:sig w:usb0="00000000" w:usb1="00000000" w:usb2="00000000" w:usb3="00000000" w:csb0="00040000" w:csb1="00000000"/>
  </w:font>
  <w:font w:name="微软雅黑">
    <w:panose1 w:val="020B0503020204020204"/>
    <w:charset w:val="86"/>
    <w:family w:val="swiss"/>
    <w:pitch w:val="default"/>
    <w:sig w:usb0="80000287" w:usb1="280F3C52" w:usb2="00000016" w:usb3="00000000" w:csb0="0004001F" w:csb1="00000000"/>
  </w:font>
  <w:font w:name="Calibri Light">
    <w:panose1 w:val="020F0302020204030204"/>
    <w:charset w:val="00"/>
    <w:family w:val="swiss"/>
    <w:pitch w:val="default"/>
    <w:sig w:usb0="A00002EF" w:usb1="4000207B" w:usb2="00000000" w:usb3="00000000" w:csb0="2000019F" w:csb1="00000000"/>
  </w:font>
  <w:font w:name="Verdana">
    <w:panose1 w:val="020B0604030504040204"/>
    <w:charset w:val="00"/>
    <w:family w:val="swiss"/>
    <w:pitch w:val="default"/>
    <w:sig w:usb0="A10006FF" w:usb1="4000205B" w:usb2="0000001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方正小标宋简体">
    <w:panose1 w:val="03000509000000000000"/>
    <w:charset w:val="86"/>
    <w:family w:val="auto"/>
    <w:pitch w:val="default"/>
    <w:sig w:usb0="00000001" w:usb1="080E0000" w:usb2="00000000" w:usb3="00000000" w:csb0="00040000" w:csb1="00000000"/>
  </w:font>
  <w:font w:name="Impact">
    <w:panose1 w:val="020B0806030902050204"/>
    <w:charset w:val="00"/>
    <w:family w:val="swiss"/>
    <w:pitch w:val="default"/>
    <w:sig w:usb0="00000287" w:usb1="00000000" w:usb2="00000000" w:usb3="00000000" w:csb0="2000009F" w:csb1="DFD70000"/>
  </w:font>
  <w:font w:name="Arial Black">
    <w:panose1 w:val="020B0A04020102020204"/>
    <w:charset w:val="00"/>
    <w:family w:val="swiss"/>
    <w:pitch w:val="default"/>
    <w:sig w:usb0="00000287" w:usb1="00000000" w:usb2="00000000" w:usb3="00000000" w:csb0="2000009F" w:csb1="DFD70000"/>
  </w:font>
  <w:font w:name="仿宋体">
    <w:altName w:val="仿宋"/>
    <w:panose1 w:val="00000000000000000000"/>
    <w:charset w:val="86"/>
    <w:family w:val="swiss"/>
    <w:pitch w:val="default"/>
    <w:sig w:usb0="00000000" w:usb1="00000000" w:usb2="00000010" w:usb3="00000000" w:csb0="00040000" w:csb1="00000000"/>
  </w:font>
  <w:font w:name="”“Times New Roman”“">
    <w:altName w:val="宋体"/>
    <w:panose1 w:val="00000000000000000000"/>
    <w:charset w:val="86"/>
    <w:family w:val="roma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_x000B__x000C_">
    <w:altName w:val="Times New Roman"/>
    <w:panose1 w:val="00000000000000000000"/>
    <w:charset w:val="00"/>
    <w:family w:val="roman"/>
    <w:pitch w:val="default"/>
    <w:sig w:usb0="00000000" w:usb1="00000000" w:usb2="00000000" w:usb3="00000000" w:csb0="00040001" w:csb1="00000000"/>
  </w:font>
  <w:font w:name="ˎ̥">
    <w:altName w:val="Times New Roman"/>
    <w:panose1 w:val="00000000000000000000"/>
    <w:charset w:val="00"/>
    <w:family w:val="roman"/>
    <w:pitch w:val="default"/>
    <w:sig w:usb0="00000000" w:usb1="00000000" w:usb2="00000000" w:usb3="00000000" w:csb0="00040001" w:csb1="00000000"/>
  </w:font>
  <w:font w:name="_x000E_CSϸ_x0008_">
    <w:altName w:val="Times New Roman"/>
    <w:panose1 w:val="00000000000000000000"/>
    <w:charset w:val="00"/>
    <w:family w:val="roman"/>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 w:name="华文宋体">
    <w:altName w:val="宋体"/>
    <w:panose1 w:val="02010600040101010101"/>
    <w:charset w:val="86"/>
    <w:family w:val="auto"/>
    <w:pitch w:val="default"/>
    <w:sig w:usb0="00000000" w:usb1="00000000" w:usb2="00000000" w:usb3="00000000" w:csb0="0004009F" w:csb1="DFD70000"/>
  </w:font>
  <w:font w:name="楷体_GB2312">
    <w:altName w:val="楷体"/>
    <w:panose1 w:val="00000000000000000000"/>
    <w:charset w:val="00"/>
    <w:family w:val="auto"/>
    <w:pitch w:val="default"/>
    <w:sig w:usb0="00000000" w:usb1="00000000" w:usb2="00000000" w:usb3="00000000" w:csb0="00000000" w:csb1="00000000"/>
  </w:font>
  <w:font w:name="TimesNewRomanPSMT">
    <w:altName w:val="Times New Roman"/>
    <w:panose1 w:val="00000000000000000000"/>
    <w:charset w:val="00"/>
    <w:family w:val="swiss"/>
    <w:pitch w:val="default"/>
    <w:sig w:usb0="00000000" w:usb1="00000000" w:usb2="00000010" w:usb3="00000000" w:csb0="00020001" w:csb1="00000000"/>
  </w:font>
  <w:font w:name="新宋体">
    <w:panose1 w:val="02010609030101010101"/>
    <w:charset w:val="86"/>
    <w:family w:val="modern"/>
    <w:pitch w:val="default"/>
    <w:sig w:usb0="00000003" w:usb1="288F0000" w:usb2="00000006" w:usb3="00000000" w:csb0="00040001" w:csb1="00000000"/>
  </w:font>
  <w:font w:name="@宋体">
    <w:panose1 w:val="02010600030101010101"/>
    <w:charset w:val="86"/>
    <w:family w:val="auto"/>
    <w:pitch w:val="default"/>
    <w:sig w:usb0="00000003" w:usb1="288F0000" w:usb2="00000006" w:usb3="00000000" w:csb0="00040001" w:csb1="00000000"/>
  </w:font>
  <w:font w:name="CG Times (WN)">
    <w:altName w:val="Times New Roman"/>
    <w:panose1 w:val="00000000000000000000"/>
    <w:charset w:val="00"/>
    <w:family w:val="roman"/>
    <w:pitch w:val="default"/>
    <w:sig w:usb0="00000000" w:usb1="00000000" w:usb2="00000000" w:usb3="00000000" w:csb0="00000001" w:csb1="00000000"/>
  </w:font>
  <w:font w:name="MS Mincho">
    <w:panose1 w:val="02020609040205080304"/>
    <w:charset w:val="80"/>
    <w:family w:val="modern"/>
    <w:pitch w:val="default"/>
    <w:sig w:usb0="E00002FF" w:usb1="6AC7FDFB" w:usb2="00000012" w:usb3="00000000" w:csb0="4002009F" w:csb1="DFD70000"/>
  </w:font>
  <w:font w:name="Plotter">
    <w:altName w:val="Times New Roman"/>
    <w:panose1 w:val="00000000000000000000"/>
    <w:charset w:val="00"/>
    <w:family w:val="roman"/>
    <w:pitch w:val="default"/>
    <w:sig w:usb0="00000000" w:usb1="00000000" w:usb2="00000000" w:usb3="00000000" w:csb0="00000001" w:csb1="00000000"/>
  </w:font>
  <w:font w:name="Tms Rmn">
    <w:altName w:val="Segoe Print"/>
    <w:panose1 w:val="02020603040505020304"/>
    <w:charset w:val="00"/>
    <w:family w:val="roman"/>
    <w:pitch w:val="default"/>
    <w:sig w:usb0="00000000" w:usb1="00000000" w:usb2="00000000" w:usb3="00000000" w:csb0="00000001" w:csb1="00000000"/>
  </w:font>
  <w:font w:name="华文楷体">
    <w:altName w:val="宋体"/>
    <w:panose1 w:val="02010600040101010101"/>
    <w:charset w:val="86"/>
    <w:family w:val="auto"/>
    <w:pitch w:val="default"/>
    <w:sig w:usb0="00000000" w:usb1="00000000" w:usb2="00000000" w:usb3="00000000" w:csb0="0004009F" w:csb1="DFD70000"/>
  </w:font>
  <w:font w:name="Century Gothic">
    <w:altName w:val="Segoe Print"/>
    <w:panose1 w:val="020B0502020202020204"/>
    <w:charset w:val="00"/>
    <w:family w:val="swiss"/>
    <w:pitch w:val="default"/>
    <w:sig w:usb0="00000000" w:usb1="00000000" w:usb2="00000000" w:usb3="00000000" w:csb0="2000009F" w:csb1="DFD70000"/>
  </w:font>
  <w:font w:name="宋体,Bold">
    <w:altName w:val="黑体"/>
    <w:panose1 w:val="00000000000000000000"/>
    <w:charset w:val="86"/>
    <w:family w:val="auto"/>
    <w:pitch w:val="default"/>
    <w:sig w:usb0="00000000" w:usb1="00000000" w:usb2="00000010" w:usb3="00000000" w:csb0="00040000" w:csb1="00000000"/>
  </w:font>
  <w:font w:name="方正舒体">
    <w:altName w:val="宋体"/>
    <w:panose1 w:val="02010601030101010101"/>
    <w:charset w:val="86"/>
    <w:family w:val="auto"/>
    <w:pitch w:val="default"/>
    <w:sig w:usb0="00000000" w:usb1="00000000" w:usb2="00000000" w:usb3="00000000" w:csb0="00040000" w:csb1="00000000"/>
  </w:font>
  <w:font w:name="Yu Gothic UI">
    <w:altName w:val="Meiryo UI"/>
    <w:panose1 w:val="020B0500000000000000"/>
    <w:charset w:val="80"/>
    <w:family w:val="auto"/>
    <w:pitch w:val="default"/>
    <w:sig w:usb0="00000000" w:usb1="00000000" w:usb2="00000016" w:usb3="00000000" w:csb0="2002009F" w:csb1="00000000"/>
  </w:font>
  <w:font w:name="华文彩云">
    <w:altName w:val="微软雅黑"/>
    <w:panose1 w:val="02010800040101010101"/>
    <w:charset w:val="86"/>
    <w:family w:val="auto"/>
    <w:pitch w:val="default"/>
    <w:sig w:usb0="00000000" w:usb1="00000000" w:usb2="00000000" w:usb3="00000000" w:csb0="00040000" w:csb1="00000000"/>
  </w:font>
  <w:font w:name="华文仿宋">
    <w:altName w:val="仿宋"/>
    <w:panose1 w:val="02010600040101010101"/>
    <w:charset w:val="86"/>
    <w:family w:val="auto"/>
    <w:pitch w:val="default"/>
    <w:sig w:usb0="00000000" w:usb1="00000000" w:usb2="00000000" w:usb3="00000000" w:csb0="0004009F" w:csb1="DFD70000"/>
  </w:font>
  <w:font w:name="华文新魏">
    <w:altName w:val="宋体"/>
    <w:panose1 w:val="02010800040101010101"/>
    <w:charset w:val="86"/>
    <w:family w:val="auto"/>
    <w:pitch w:val="default"/>
    <w:sig w:usb0="00000000" w:usb1="00000000" w:usb2="00000000" w:usb3="00000000" w:csb0="00040000" w:csb1="00000000"/>
  </w:font>
  <w:font w:name="华文琥珀">
    <w:altName w:val="宋体"/>
    <w:panose1 w:val="02010800040101010101"/>
    <w:charset w:val="86"/>
    <w:family w:val="auto"/>
    <w:pitch w:val="default"/>
    <w:sig w:usb0="00000000" w:usb1="00000000" w:usb2="00000000" w:usb3="00000000" w:csb0="00040000" w:csb1="00000000"/>
  </w:font>
  <w:font w:name="华文隶书">
    <w:altName w:val="微软雅黑"/>
    <w:panose1 w:val="02010800040101010101"/>
    <w:charset w:val="86"/>
    <w:family w:val="auto"/>
    <w:pitch w:val="default"/>
    <w:sig w:usb0="00000000" w:usb1="00000000" w:usb2="00000000" w:usb3="00000000" w:csb0="00040000" w:csb1="00000000"/>
  </w:font>
  <w:font w:name="华文细黑">
    <w:altName w:val="微软雅黑"/>
    <w:panose1 w:val="02010600040101010101"/>
    <w:charset w:val="86"/>
    <w:family w:val="auto"/>
    <w:pitch w:val="default"/>
    <w:sig w:usb0="00000000" w:usb1="00000000" w:usb2="00000000" w:usb3="00000000" w:csb0="0004009F" w:csb1="DFD70000"/>
  </w:font>
  <w:font w:name="方正姚体">
    <w:altName w:val="宋体"/>
    <w:panose1 w:val="02010601030101010101"/>
    <w:charset w:val="86"/>
    <w:family w:val="auto"/>
    <w:pitch w:val="default"/>
    <w:sig w:usb0="00000000" w:usb1="00000000" w:usb2="00000000" w:usb3="00000000" w:csb0="00040000" w:csb1="00000000"/>
  </w:font>
  <w:font w:name="微软雅黑 Light">
    <w:altName w:val="黑体"/>
    <w:panose1 w:val="020B0502040204020203"/>
    <w:charset w:val="86"/>
    <w:family w:val="auto"/>
    <w:pitch w:val="default"/>
    <w:sig w:usb0="00000000" w:usb1="00000000" w:usb2="00000016" w:usb3="00000000" w:csb0="0004001F" w:csb1="00000000"/>
  </w:font>
  <w:font w:name="幼圆">
    <w:altName w:val="宋体"/>
    <w:panose1 w:val="02010509060101010101"/>
    <w:charset w:val="86"/>
    <w:family w:val="auto"/>
    <w:pitch w:val="default"/>
    <w:sig w:usb0="00000000" w:usb1="00000000" w:usb2="00000000" w:usb3="00000000" w:csb0="00040000" w:csb1="00000000"/>
  </w:font>
  <w:font w:name="Microsoft JhengHei">
    <w:panose1 w:val="020B0604030504040204"/>
    <w:charset w:val="88"/>
    <w:family w:val="auto"/>
    <w:pitch w:val="default"/>
    <w:sig w:usb0="00000087" w:usb1="28AF4000" w:usb2="00000016" w:usb3="00000000" w:csb0="00100009" w:csb1="00000000"/>
  </w:font>
  <w:font w:name="隶书">
    <w:altName w:val="微软雅黑"/>
    <w:panose1 w:val="02010509060101010101"/>
    <w:charset w:val="86"/>
    <w:family w:val="auto"/>
    <w:pitch w:val="default"/>
    <w:sig w:usb0="00000000" w:usb1="00000000" w:usb2="00000000" w:usb3="00000000" w:csb0="00040000" w:csb1="00000000"/>
  </w:font>
  <w:font w:name="等线 Light">
    <w:altName w:val="宋体"/>
    <w:panose1 w:val="02010600030101010101"/>
    <w:charset w:val="86"/>
    <w:family w:val="auto"/>
    <w:pitch w:val="default"/>
    <w:sig w:usb0="00000000" w:usb1="00000000" w:usb2="00000016" w:usb3="00000000" w:csb0="0004000F" w:csb1="00000000"/>
  </w:font>
  <w:font w:name="Meiryo UI">
    <w:panose1 w:val="020B0604030504040204"/>
    <w:charset w:val="80"/>
    <w:family w:val="auto"/>
    <w:pitch w:val="default"/>
    <w:sig w:usb0="E10102FF" w:usb1="EAC7FFFF" w:usb2="00010012" w:usb3="00000000" w:csb0="6002009F" w:csb1="DFD70000"/>
  </w:font>
  <w:font w:name="DotumChe">
    <w:panose1 w:val="020B0609000101010101"/>
    <w:charset w:val="81"/>
    <w:family w:val="auto"/>
    <w:pitch w:val="default"/>
    <w:sig w:usb0="B00002AF" w:usb1="69D77CFB" w:usb2="00000030" w:usb3="00000000" w:csb0="4008009F" w:csb1="DFD70000"/>
  </w:font>
  <w:font w:name="方正兰亭超细黑简体">
    <w:panose1 w:val="02000000000000000000"/>
    <w:charset w:val="86"/>
    <w:family w:val="auto"/>
    <w:pitch w:val="default"/>
    <w:sig w:usb0="00000001" w:usb1="08000000" w:usb2="00000000" w:usb3="00000000" w:csb0="00040000" w:csb1="00000000"/>
  </w:font>
  <w:font w:name="叶根友毛笔行书2.0版">
    <w:altName w:val="宋体"/>
    <w:panose1 w:val="02010601030101010101"/>
    <w:charset w:val="86"/>
    <w:family w:val="auto"/>
    <w:pitch w:val="default"/>
    <w:sig w:usb0="00000000" w:usb1="00000000" w:usb2="00000000" w:usb3="00000000" w:csb0="00040000" w:csb1="00000000"/>
  </w:font>
  <w:font w:name="PMingLiU">
    <w:panose1 w:val="02020500000000000000"/>
    <w:charset w:val="88"/>
    <w:family w:val="roman"/>
    <w:pitch w:val="default"/>
    <w:sig w:usb0="A00002FF" w:usb1="28CFFCFA" w:usb2="00000016" w:usb3="00000000" w:csb0="00100001" w:csb1="00000000"/>
  </w:font>
  <w:font w:name="ˎ̥">
    <w:altName w:val="宋体"/>
    <w:panose1 w:val="00000000000000000000"/>
    <w:charset w:val="01"/>
    <w:family w:val="auto"/>
    <w:pitch w:val="default"/>
    <w:sig w:usb0="00000000" w:usb1="00000000" w:usb2="00000000" w:usb3="00000000" w:csb0="00040001" w:csb1="00000000"/>
  </w:font>
  <w:font w:name="DFKai-SB">
    <w:panose1 w:val="03000509000000000000"/>
    <w:charset w:val="88"/>
    <w:family w:val="script"/>
    <w:pitch w:val="default"/>
    <w:sig w:usb0="00000003" w:usb1="082E0000" w:usb2="00000016" w:usb3="00000000" w:csb0="00100001" w:csb1="00000000"/>
  </w:font>
  <w:font w:name="等线">
    <w:altName w:val="宋体"/>
    <w:panose1 w:val="02010600030101010101"/>
    <w:charset w:val="86"/>
    <w:family w:val="auto"/>
    <w:pitch w:val="default"/>
    <w:sig w:usb0="00000000" w:usb1="00000000" w:usb2="00000016" w:usb3="00000000" w:csb0="0004000F" w:csb1="00000000"/>
  </w:font>
  <w:font w:name="AmdtSymbols">
    <w:altName w:val="Corbel"/>
    <w:panose1 w:val="02000500000000020004"/>
    <w:charset w:val="00"/>
    <w:family w:val="auto"/>
    <w:pitch w:val="default"/>
    <w:sig w:usb0="00000000" w:usb1="00000000" w:usb2="00000000" w:usb3="00000000" w:csb0="00000001" w:csb1="00000000"/>
  </w:font>
  <w:font w:name="Times">
    <w:altName w:val="Times New Roman"/>
    <w:panose1 w:val="00000000000000000000"/>
    <w:charset w:val="00"/>
    <w:family w:val="auto"/>
    <w:pitch w:val="default"/>
    <w:sig w:usb0="00000000" w:usb1="00000000" w:usb2="00000000" w:usb3="00000000" w:csb0="00000000" w:csb1="00000000"/>
  </w:font>
  <w:font w:name="CG Times">
    <w:altName w:val="Traditional Arabic"/>
    <w:panose1 w:val="02020603050405020304"/>
    <w:charset w:val="00"/>
    <w:family w:val="auto"/>
    <w:pitch w:val="default"/>
    <w:sig w:usb0="00000000" w:usb1="00000000" w:usb2="00000000" w:usb3="00000000" w:csb0="00000000" w:csb1="00000000"/>
  </w:font>
  <w:font w:name="Maiandra GD">
    <w:altName w:val="Segoe Print"/>
    <w:panose1 w:val="020E0502030308020204"/>
    <w:charset w:val="00"/>
    <w:family w:val="auto"/>
    <w:pitch w:val="default"/>
    <w:sig w:usb0="00000000" w:usb1="00000000" w:usb2="00000000" w:usb3="00000000" w:csb0="20000001" w:csb1="00000000"/>
  </w:font>
  <w:font w:name="Traditional Arabic">
    <w:panose1 w:val="02020603050405020304"/>
    <w:charset w:val="00"/>
    <w:family w:val="auto"/>
    <w:pitch w:val="default"/>
    <w:sig w:usb0="00006003" w:usb1="80000000" w:usb2="00000008" w:usb3="00000000" w:csb0="00000041" w:csb1="20080000"/>
  </w:font>
  <w:font w:name="Corbel">
    <w:panose1 w:val="020B0503020204020204"/>
    <w:charset w:val="00"/>
    <w:family w:val="auto"/>
    <w:pitch w:val="default"/>
    <w:sig w:usb0="A00002EF" w:usb1="4000A44B" w:usb2="00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jc w:val="cen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133"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4</w:t>
                          </w:r>
                          <w:r>
                            <w:rPr>
                              <w:rFonts w:hint="eastAsia"/>
                              <w:lang w:eastAsia="zh-CN"/>
                            </w:rPr>
                            <w:fldChar w:fldCharType="end"/>
                          </w:r>
                        </w:p>
                      </w:txbxContent>
                    </wps:txbx>
                    <wps:bodyPr wrap="none" lIns="0" tIns="0" rIns="0" bIns="0" upright="0">
                      <a:spAutoFit/>
                    </wps:bodyPr>
                  </wps:wsp>
                </a:graphicData>
              </a:graphic>
            </wp:anchor>
          </w:drawing>
        </mc:Choice>
        <mc:Fallback>
          <w:pict>
            <v:shape id="文本框 5"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OqXm5&#10;zwAAAAUBAAAPAAAAAAAAAAEAIAAAACIAAABkcnMvZG93bnJldi54bWxQSwECFAAUAAAACACHTuJA&#10;zNiQGLgBAABWAwAADgAAAAAAAAABACAAAAAeAQAAZHJzL2Uyb0RvYy54bWxQSwUGAAAAAAYABgBZ&#10;AQAASAUAAAAA&#10;">
              <v:fill on="f" focussize="0,0"/>
              <v:stroke on="f"/>
              <v:imagedata o:title=""/>
              <o:lock v:ext="edit" aspectratio="f"/>
              <v:textbox inset="0mm,0mm,0mm,0mm" style="mso-fit-shape-to-text:t;">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4</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34"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16</w:t>
                          </w:r>
                          <w:r>
                            <w:rPr>
                              <w:rFonts w:hint="eastAsia"/>
                              <w:lang w:eastAsia="zh-CN"/>
                            </w:rPr>
                            <w:fldChar w:fldCharType="end"/>
                          </w:r>
                        </w:p>
                      </w:txbxContent>
                    </wps:txbx>
                    <wps:bodyPr wrap="none" lIns="0" tIns="0" rIns="0" bIns="0" upright="0">
                      <a:spAutoFit/>
                    </wps:bodyPr>
                  </wps:wsp>
                </a:graphicData>
              </a:graphic>
            </wp:anchor>
          </w:drawing>
        </mc:Choice>
        <mc:Fallback>
          <w:pict>
            <v:shape id="文本框 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">
              <v:fill on="f" focussize="0,0"/>
              <v:stroke on="f"/>
              <v:imagedata o:title=""/>
              <o:lock v:ext="edit" aspectratio="f"/>
              <v:textbox inset="0mm,0mm,0mm,0mm" style="mso-fit-shape-to-text:t;">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16</w:t>
                    </w:r>
                    <w:r>
                      <w:rPr>
                        <w:rFonts w:hint="eastAsia"/>
                        <w:lang w:eastAsia="zh-CN"/>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6"/>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35"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43</w:t>
                          </w:r>
                          <w:r>
                            <w:rPr>
                              <w:rFonts w:hint="eastAsia"/>
                              <w:lang w:eastAsia="zh-CN"/>
                            </w:rPr>
                            <w:fldChar w:fldCharType="end"/>
                          </w:r>
                        </w:p>
                      </w:txbxContent>
                    </wps:txbx>
                    <wps:bodyPr wrap="none" lIns="0" tIns="0" rIns="0" bIns="0" upright="0">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">
              <v:fill on="f" focussize="0,0"/>
              <v:stroke on="f"/>
              <v:imagedata o:title=""/>
              <o:lock v:ext="edit" aspectratio="f"/>
              <v:textbox inset="0mm,0mm,0mm,0mm" style="mso-fit-shape-to-text:t;">
                <w:txbxContent>
                  <w:p>
                    <w:pPr>
                      <w:pStyle w:val="26"/>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43</w:t>
                    </w:r>
                    <w:r>
                      <w:rPr>
                        <w:rFonts w:hint="eastAsia"/>
                        <w:lang w:eastAsia="zh-C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8"/>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416B83A"/>
    <w:multiLevelType w:val="singleLevel"/>
    <w:tmpl w:val="9416B83A"/>
    <w:lvl w:ilvl="0" w:tentative="0">
      <w:start w:val="13"/>
      <w:numFmt w:val="decimal"/>
      <w:suff w:val="nothing"/>
      <w:lvlText w:val="%1、"/>
      <w:lvlJc w:val="left"/>
      <w:rPr>
        <w:rFonts w:cs="Times New Roman"/>
      </w:rPr>
    </w:lvl>
  </w:abstractNum>
  <w:abstractNum w:abstractNumId="1">
    <w:nsid w:val="3B823A93"/>
    <w:multiLevelType w:val="multilevel"/>
    <w:tmpl w:val="3B823A93"/>
    <w:lvl w:ilvl="0" w:tentative="0">
      <w:start w:val="1"/>
      <w:numFmt w:val="decimal"/>
      <w:pStyle w:val="15"/>
      <w:lvlText w:val="%1"/>
      <w:lvlJc w:val="left"/>
      <w:pPr>
        <w:tabs>
          <w:tab w:val="left" w:pos="360"/>
        </w:tabs>
      </w:pPr>
      <w:rPr>
        <w:rFonts w:hint="eastAsia" w:cs="Times New Roman"/>
      </w:rPr>
    </w:lvl>
    <w:lvl w:ilvl="1" w:tentative="0">
      <w:start w:val="1"/>
      <w:numFmt w:val="decimal"/>
      <w:lvlText w:val="%1.%2"/>
      <w:lvlJc w:val="left"/>
      <w:pPr>
        <w:tabs>
          <w:tab w:val="left" w:pos="720"/>
        </w:tabs>
      </w:pPr>
      <w:rPr>
        <w:rFonts w:hint="eastAsia" w:cs="Times New Roman"/>
      </w:rPr>
    </w:lvl>
    <w:lvl w:ilvl="2" w:tentative="0">
      <w:start w:val="1"/>
      <w:numFmt w:val="decimal"/>
      <w:lvlText w:val="%1.%2.%3"/>
      <w:lvlJc w:val="left"/>
      <w:pPr>
        <w:tabs>
          <w:tab w:val="left" w:pos="1080"/>
        </w:tabs>
      </w:pPr>
      <w:rPr>
        <w:rFonts w:hint="eastAsia" w:cs="Times New Roman"/>
      </w:rPr>
    </w:lvl>
    <w:lvl w:ilvl="3" w:tentative="0">
      <w:start w:val="1"/>
      <w:numFmt w:val="decimal"/>
      <w:lvlText w:val="%1.%2.%3.%4"/>
      <w:lvlJc w:val="left"/>
      <w:pPr>
        <w:tabs>
          <w:tab w:val="left" w:pos="1440"/>
        </w:tabs>
      </w:pPr>
      <w:rPr>
        <w:rFonts w:hint="eastAsia" w:cs="Times New Roman"/>
      </w:rPr>
    </w:lvl>
    <w:lvl w:ilvl="4" w:tentative="0">
      <w:start w:val="1"/>
      <w:numFmt w:val="decimal"/>
      <w:pStyle w:val="6"/>
      <w:lvlText w:val="%1.%2.%3.%4.%5"/>
      <w:lvlJc w:val="left"/>
      <w:pPr>
        <w:tabs>
          <w:tab w:val="left" w:pos="1008"/>
        </w:tabs>
        <w:ind w:left="1008" w:hanging="1008"/>
      </w:pPr>
      <w:rPr>
        <w:rFonts w:hint="eastAsia" w:cs="Times New Roman"/>
      </w:rPr>
    </w:lvl>
    <w:lvl w:ilvl="5" w:tentative="0">
      <w:start w:val="1"/>
      <w:numFmt w:val="decimal"/>
      <w:pStyle w:val="7"/>
      <w:lvlText w:val="%1.%2.%3.%4.%5.%6"/>
      <w:lvlJc w:val="left"/>
      <w:pPr>
        <w:tabs>
          <w:tab w:val="left" w:pos="1152"/>
        </w:tabs>
        <w:ind w:left="1152" w:hanging="1152"/>
      </w:pPr>
      <w:rPr>
        <w:rFonts w:hint="eastAsia" w:cs="Times New Roman"/>
      </w:rPr>
    </w:lvl>
    <w:lvl w:ilvl="6" w:tentative="0">
      <w:start w:val="1"/>
      <w:numFmt w:val="decimal"/>
      <w:pStyle w:val="8"/>
      <w:lvlText w:val="%1.%2.%3.%4.%5.%6.%7"/>
      <w:lvlJc w:val="left"/>
      <w:pPr>
        <w:tabs>
          <w:tab w:val="left" w:pos="1296"/>
        </w:tabs>
        <w:ind w:left="1296" w:hanging="1296"/>
      </w:pPr>
      <w:rPr>
        <w:rFonts w:hint="eastAsia" w:cs="Times New Roman"/>
      </w:rPr>
    </w:lvl>
    <w:lvl w:ilvl="7" w:tentative="0">
      <w:start w:val="1"/>
      <w:numFmt w:val="decimal"/>
      <w:pStyle w:val="9"/>
      <w:lvlText w:val="%1.%2.%3.%4.%5.%6.%7.%8"/>
      <w:lvlJc w:val="left"/>
      <w:pPr>
        <w:tabs>
          <w:tab w:val="left" w:pos="1440"/>
        </w:tabs>
        <w:ind w:left="1440" w:hanging="1440"/>
      </w:pPr>
      <w:rPr>
        <w:rFonts w:hint="eastAsia" w:cs="Times New Roman"/>
      </w:rPr>
    </w:lvl>
    <w:lvl w:ilvl="8" w:tentative="0">
      <w:start w:val="1"/>
      <w:numFmt w:val="decimal"/>
      <w:pStyle w:val="10"/>
      <w:lvlText w:val="%1.%2.%3.%4.%5.%6.%7.%8.%9"/>
      <w:lvlJc w:val="left"/>
      <w:pPr>
        <w:tabs>
          <w:tab w:val="left" w:pos="1584"/>
        </w:tabs>
        <w:ind w:left="1584" w:hanging="1584"/>
      </w:pPr>
      <w:rPr>
        <w:rFonts w:hint="eastAsia" w:cs="Times New Roman"/>
      </w:rPr>
    </w:lvl>
  </w:abstractNum>
  <w:abstractNum w:abstractNumId="2">
    <w:nsid w:val="580078C6"/>
    <w:multiLevelType w:val="singleLevel"/>
    <w:tmpl w:val="580078C6"/>
    <w:lvl w:ilvl="0" w:tentative="0">
      <w:start w:val="1"/>
      <w:numFmt w:val="chineseCounting"/>
      <w:suff w:val="nothing"/>
      <w:lvlText w:val="（%1）"/>
      <w:lvlJc w:val="left"/>
      <w:rPr>
        <w:rFonts w:cs="Times New Roman"/>
      </w:rPr>
    </w:lvl>
  </w:abstractNum>
  <w:abstractNum w:abstractNumId="3">
    <w:nsid w:val="5A376F21"/>
    <w:multiLevelType w:val="singleLevel"/>
    <w:tmpl w:val="5A376F21"/>
    <w:lvl w:ilvl="0" w:tentative="0">
      <w:start w:val="3"/>
      <w:numFmt w:val="decimal"/>
      <w:lvlText w:val="%1."/>
      <w:lvlJc w:val="left"/>
      <w:rPr>
        <w:rFonts w:cs="Times New Roman"/>
      </w:rPr>
    </w:lvl>
  </w:abstractNum>
  <w:abstractNum w:abstractNumId="4">
    <w:nsid w:val="5A39FE89"/>
    <w:multiLevelType w:val="singleLevel"/>
    <w:tmpl w:val="5A39FE89"/>
    <w:lvl w:ilvl="0" w:tentative="0">
      <w:start w:val="1"/>
      <w:numFmt w:val="chineseCounting"/>
      <w:suff w:val="nothing"/>
      <w:lvlText w:val="%1、"/>
      <w:lvlJc w:val="left"/>
      <w:rPr>
        <w:rFonts w:cs="Times New Roman"/>
      </w:rPr>
    </w:lvl>
  </w:abstractNum>
  <w:abstractNum w:abstractNumId="5">
    <w:nsid w:val="5A3A0086"/>
    <w:multiLevelType w:val="singleLevel"/>
    <w:tmpl w:val="5A3A0086"/>
    <w:lvl w:ilvl="0" w:tentative="0">
      <w:start w:val="1"/>
      <w:numFmt w:val="upperRoman"/>
      <w:suff w:val="nothing"/>
      <w:lvlText w:val="%1、"/>
      <w:lvlJc w:val="left"/>
      <w:rPr>
        <w:rFonts w:cs="Times New Roman"/>
      </w:rPr>
    </w:lvl>
  </w:abstractNum>
  <w:abstractNum w:abstractNumId="6">
    <w:nsid w:val="5A40788C"/>
    <w:multiLevelType w:val="singleLevel"/>
    <w:tmpl w:val="5A40788C"/>
    <w:lvl w:ilvl="0" w:tentative="0">
      <w:start w:val="7"/>
      <w:numFmt w:val="decimal"/>
      <w:suff w:val="nothing"/>
      <w:lvlText w:val="%1、"/>
      <w:lvlJc w:val="left"/>
      <w:rPr>
        <w:rFonts w:cs="Times New Roman"/>
      </w:rPr>
    </w:lvl>
  </w:abstractNum>
  <w:abstractNum w:abstractNumId="7">
    <w:nsid w:val="5A410628"/>
    <w:multiLevelType w:val="singleLevel"/>
    <w:tmpl w:val="5A410628"/>
    <w:lvl w:ilvl="0" w:tentative="0">
      <w:start w:val="4"/>
      <w:numFmt w:val="decimal"/>
      <w:suff w:val="nothing"/>
      <w:lvlText w:val="（%1）"/>
      <w:lvlJc w:val="left"/>
      <w:rPr>
        <w:rFonts w:cs="Times New Roman"/>
      </w:rPr>
    </w:lvl>
  </w:abstractNum>
  <w:num w:numId="1">
    <w:abstractNumId w:val="1"/>
  </w:num>
  <w:num w:numId="2">
    <w:abstractNumId w:val="3"/>
  </w:num>
  <w:num w:numId="3">
    <w:abstractNumId w:val="4"/>
  </w:num>
  <w:num w:numId="4">
    <w:abstractNumId w:val="5"/>
  </w:num>
  <w:num w:numId="5">
    <w:abstractNumId w:val="7"/>
  </w:num>
  <w:num w:numId="6">
    <w:abstractNumId w:val="2"/>
  </w:num>
  <w:num w:numId="7">
    <w:abstractNumId w:val="6"/>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cumentProtection w:enforcement="0"/>
  <w:defaultTabStop w:val="420"/>
  <w:drawingGridHorizontalSpacing w:val="140"/>
  <w:drawingGridVerticalSpacing w:val="156"/>
  <w:noPunctuationKerning w:val="1"/>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doNotExpandShiftReturn/>
    <w:adjustLineHeightInTable/>
    <w:useFELayout/>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4409"/>
    <w:rsid w:val="00000213"/>
    <w:rsid w:val="0000048D"/>
    <w:rsid w:val="00002B63"/>
    <w:rsid w:val="000039CE"/>
    <w:rsid w:val="00004031"/>
    <w:rsid w:val="000040B5"/>
    <w:rsid w:val="000061FA"/>
    <w:rsid w:val="00007629"/>
    <w:rsid w:val="00007A83"/>
    <w:rsid w:val="000123CD"/>
    <w:rsid w:val="00012A2F"/>
    <w:rsid w:val="00012FBB"/>
    <w:rsid w:val="00013847"/>
    <w:rsid w:val="00013A2B"/>
    <w:rsid w:val="00013B59"/>
    <w:rsid w:val="00013E32"/>
    <w:rsid w:val="00014665"/>
    <w:rsid w:val="00014806"/>
    <w:rsid w:val="00016C8B"/>
    <w:rsid w:val="0002226C"/>
    <w:rsid w:val="00022F28"/>
    <w:rsid w:val="00024874"/>
    <w:rsid w:val="00026426"/>
    <w:rsid w:val="00026797"/>
    <w:rsid w:val="00031055"/>
    <w:rsid w:val="00031A3A"/>
    <w:rsid w:val="00032112"/>
    <w:rsid w:val="0003273D"/>
    <w:rsid w:val="0003515C"/>
    <w:rsid w:val="00037590"/>
    <w:rsid w:val="00041553"/>
    <w:rsid w:val="00042D34"/>
    <w:rsid w:val="00043C04"/>
    <w:rsid w:val="00043D9A"/>
    <w:rsid w:val="00044E44"/>
    <w:rsid w:val="00044F65"/>
    <w:rsid w:val="00045F56"/>
    <w:rsid w:val="00046418"/>
    <w:rsid w:val="000464DE"/>
    <w:rsid w:val="00047716"/>
    <w:rsid w:val="00047D17"/>
    <w:rsid w:val="0005022E"/>
    <w:rsid w:val="00050411"/>
    <w:rsid w:val="00051531"/>
    <w:rsid w:val="0005155C"/>
    <w:rsid w:val="00052E12"/>
    <w:rsid w:val="00054956"/>
    <w:rsid w:val="00054B9B"/>
    <w:rsid w:val="00054FE4"/>
    <w:rsid w:val="00056F69"/>
    <w:rsid w:val="00057D8E"/>
    <w:rsid w:val="00060225"/>
    <w:rsid w:val="00060362"/>
    <w:rsid w:val="0006045E"/>
    <w:rsid w:val="00061426"/>
    <w:rsid w:val="00062C0A"/>
    <w:rsid w:val="0006403E"/>
    <w:rsid w:val="0006470C"/>
    <w:rsid w:val="00065889"/>
    <w:rsid w:val="00065C29"/>
    <w:rsid w:val="00065D95"/>
    <w:rsid w:val="000666EA"/>
    <w:rsid w:val="00066C51"/>
    <w:rsid w:val="00066CBD"/>
    <w:rsid w:val="00066FD6"/>
    <w:rsid w:val="00070351"/>
    <w:rsid w:val="000704EB"/>
    <w:rsid w:val="00072097"/>
    <w:rsid w:val="00072983"/>
    <w:rsid w:val="00072AA6"/>
    <w:rsid w:val="00073309"/>
    <w:rsid w:val="000765A9"/>
    <w:rsid w:val="00076706"/>
    <w:rsid w:val="00077982"/>
    <w:rsid w:val="0008000C"/>
    <w:rsid w:val="0008032B"/>
    <w:rsid w:val="000818F5"/>
    <w:rsid w:val="00083416"/>
    <w:rsid w:val="00085C3B"/>
    <w:rsid w:val="00086072"/>
    <w:rsid w:val="0008624B"/>
    <w:rsid w:val="00090074"/>
    <w:rsid w:val="00091542"/>
    <w:rsid w:val="00091EFC"/>
    <w:rsid w:val="00092A6C"/>
    <w:rsid w:val="000933BE"/>
    <w:rsid w:val="0009695E"/>
    <w:rsid w:val="000A03A2"/>
    <w:rsid w:val="000A0991"/>
    <w:rsid w:val="000A1B3E"/>
    <w:rsid w:val="000A24F3"/>
    <w:rsid w:val="000A3228"/>
    <w:rsid w:val="000A3F1C"/>
    <w:rsid w:val="000A6E1F"/>
    <w:rsid w:val="000B08CD"/>
    <w:rsid w:val="000B1382"/>
    <w:rsid w:val="000B1733"/>
    <w:rsid w:val="000B2B76"/>
    <w:rsid w:val="000B33A6"/>
    <w:rsid w:val="000B3A77"/>
    <w:rsid w:val="000B3B55"/>
    <w:rsid w:val="000B4E90"/>
    <w:rsid w:val="000B5BDB"/>
    <w:rsid w:val="000B69F6"/>
    <w:rsid w:val="000B7480"/>
    <w:rsid w:val="000B7A72"/>
    <w:rsid w:val="000C06EF"/>
    <w:rsid w:val="000C08C4"/>
    <w:rsid w:val="000C1227"/>
    <w:rsid w:val="000C4898"/>
    <w:rsid w:val="000C49D4"/>
    <w:rsid w:val="000C5178"/>
    <w:rsid w:val="000C5960"/>
    <w:rsid w:val="000C5B2C"/>
    <w:rsid w:val="000C6D95"/>
    <w:rsid w:val="000C74A0"/>
    <w:rsid w:val="000D18E1"/>
    <w:rsid w:val="000D2064"/>
    <w:rsid w:val="000D505E"/>
    <w:rsid w:val="000D5263"/>
    <w:rsid w:val="000D6311"/>
    <w:rsid w:val="000D63F3"/>
    <w:rsid w:val="000D7D74"/>
    <w:rsid w:val="000E099C"/>
    <w:rsid w:val="000E0E08"/>
    <w:rsid w:val="000E0E82"/>
    <w:rsid w:val="000E16C9"/>
    <w:rsid w:val="000E1BEC"/>
    <w:rsid w:val="000E395B"/>
    <w:rsid w:val="000E39A2"/>
    <w:rsid w:val="000E4DE1"/>
    <w:rsid w:val="000E6460"/>
    <w:rsid w:val="000E654E"/>
    <w:rsid w:val="000E6913"/>
    <w:rsid w:val="000E7D1F"/>
    <w:rsid w:val="000F1DF0"/>
    <w:rsid w:val="000F22F1"/>
    <w:rsid w:val="000F3AB3"/>
    <w:rsid w:val="000F4C53"/>
    <w:rsid w:val="000F5CBD"/>
    <w:rsid w:val="000F5ED1"/>
    <w:rsid w:val="000F67B2"/>
    <w:rsid w:val="000F6B43"/>
    <w:rsid w:val="00101575"/>
    <w:rsid w:val="0010168F"/>
    <w:rsid w:val="00103857"/>
    <w:rsid w:val="00103FA0"/>
    <w:rsid w:val="001040E3"/>
    <w:rsid w:val="00106C0C"/>
    <w:rsid w:val="00107430"/>
    <w:rsid w:val="001079C7"/>
    <w:rsid w:val="0011171E"/>
    <w:rsid w:val="00112845"/>
    <w:rsid w:val="00112887"/>
    <w:rsid w:val="001135F1"/>
    <w:rsid w:val="00114AE1"/>
    <w:rsid w:val="00115755"/>
    <w:rsid w:val="0011676D"/>
    <w:rsid w:val="00116DCF"/>
    <w:rsid w:val="00117341"/>
    <w:rsid w:val="00120536"/>
    <w:rsid w:val="001209CD"/>
    <w:rsid w:val="001219D0"/>
    <w:rsid w:val="00124ED3"/>
    <w:rsid w:val="0012504A"/>
    <w:rsid w:val="00130CED"/>
    <w:rsid w:val="001326CA"/>
    <w:rsid w:val="00132C4A"/>
    <w:rsid w:val="00134710"/>
    <w:rsid w:val="001349BD"/>
    <w:rsid w:val="0013544D"/>
    <w:rsid w:val="001354FC"/>
    <w:rsid w:val="001367F4"/>
    <w:rsid w:val="00137A53"/>
    <w:rsid w:val="00140086"/>
    <w:rsid w:val="00141AA4"/>
    <w:rsid w:val="00143405"/>
    <w:rsid w:val="0014430F"/>
    <w:rsid w:val="00146B07"/>
    <w:rsid w:val="00146B88"/>
    <w:rsid w:val="001471BC"/>
    <w:rsid w:val="001474EE"/>
    <w:rsid w:val="00147A9A"/>
    <w:rsid w:val="00151C9B"/>
    <w:rsid w:val="0015312D"/>
    <w:rsid w:val="0015323E"/>
    <w:rsid w:val="001535D5"/>
    <w:rsid w:val="00154A37"/>
    <w:rsid w:val="00155913"/>
    <w:rsid w:val="00155EDA"/>
    <w:rsid w:val="00156982"/>
    <w:rsid w:val="00157CCA"/>
    <w:rsid w:val="001607AA"/>
    <w:rsid w:val="001649DA"/>
    <w:rsid w:val="00165710"/>
    <w:rsid w:val="00165A91"/>
    <w:rsid w:val="00167B3D"/>
    <w:rsid w:val="0017160F"/>
    <w:rsid w:val="001721FD"/>
    <w:rsid w:val="001743A0"/>
    <w:rsid w:val="00175CA3"/>
    <w:rsid w:val="001779AF"/>
    <w:rsid w:val="00180626"/>
    <w:rsid w:val="0018179C"/>
    <w:rsid w:val="00182543"/>
    <w:rsid w:val="001849D6"/>
    <w:rsid w:val="00185900"/>
    <w:rsid w:val="00186B83"/>
    <w:rsid w:val="0018717C"/>
    <w:rsid w:val="00190C4A"/>
    <w:rsid w:val="00190CED"/>
    <w:rsid w:val="0019242D"/>
    <w:rsid w:val="001940AC"/>
    <w:rsid w:val="001942E2"/>
    <w:rsid w:val="001945D8"/>
    <w:rsid w:val="001952EC"/>
    <w:rsid w:val="00195E55"/>
    <w:rsid w:val="0019734B"/>
    <w:rsid w:val="00197B2D"/>
    <w:rsid w:val="001A06EA"/>
    <w:rsid w:val="001A092C"/>
    <w:rsid w:val="001A0D96"/>
    <w:rsid w:val="001A0FA9"/>
    <w:rsid w:val="001A121B"/>
    <w:rsid w:val="001A1390"/>
    <w:rsid w:val="001A1AF9"/>
    <w:rsid w:val="001A4620"/>
    <w:rsid w:val="001A4666"/>
    <w:rsid w:val="001A4D42"/>
    <w:rsid w:val="001A7015"/>
    <w:rsid w:val="001A718D"/>
    <w:rsid w:val="001B175A"/>
    <w:rsid w:val="001B1864"/>
    <w:rsid w:val="001B21CC"/>
    <w:rsid w:val="001B4EAB"/>
    <w:rsid w:val="001B5826"/>
    <w:rsid w:val="001B6C23"/>
    <w:rsid w:val="001C0148"/>
    <w:rsid w:val="001C1101"/>
    <w:rsid w:val="001C1173"/>
    <w:rsid w:val="001C2EF4"/>
    <w:rsid w:val="001C3FA4"/>
    <w:rsid w:val="001C47E5"/>
    <w:rsid w:val="001C4864"/>
    <w:rsid w:val="001D0E7A"/>
    <w:rsid w:val="001D2C09"/>
    <w:rsid w:val="001D2FAA"/>
    <w:rsid w:val="001D4A25"/>
    <w:rsid w:val="001D58BD"/>
    <w:rsid w:val="001D59C5"/>
    <w:rsid w:val="001D6E6D"/>
    <w:rsid w:val="001D7535"/>
    <w:rsid w:val="001E001F"/>
    <w:rsid w:val="001E1480"/>
    <w:rsid w:val="001E1EF2"/>
    <w:rsid w:val="001E222B"/>
    <w:rsid w:val="001E2241"/>
    <w:rsid w:val="001E256A"/>
    <w:rsid w:val="001E2CC5"/>
    <w:rsid w:val="001E2E1C"/>
    <w:rsid w:val="001E321E"/>
    <w:rsid w:val="001E49BE"/>
    <w:rsid w:val="001E6438"/>
    <w:rsid w:val="001E7C18"/>
    <w:rsid w:val="001F020C"/>
    <w:rsid w:val="001F0980"/>
    <w:rsid w:val="001F0CA9"/>
    <w:rsid w:val="001F0F81"/>
    <w:rsid w:val="001F117D"/>
    <w:rsid w:val="001F32F2"/>
    <w:rsid w:val="001F37E6"/>
    <w:rsid w:val="001F3F15"/>
    <w:rsid w:val="001F3FF4"/>
    <w:rsid w:val="001F4EE9"/>
    <w:rsid w:val="001F65A7"/>
    <w:rsid w:val="001F78BD"/>
    <w:rsid w:val="00200071"/>
    <w:rsid w:val="0020417A"/>
    <w:rsid w:val="00204550"/>
    <w:rsid w:val="0020566C"/>
    <w:rsid w:val="0020603A"/>
    <w:rsid w:val="00210379"/>
    <w:rsid w:val="0021050F"/>
    <w:rsid w:val="00210947"/>
    <w:rsid w:val="00210ACE"/>
    <w:rsid w:val="00210F38"/>
    <w:rsid w:val="00211A22"/>
    <w:rsid w:val="00213A45"/>
    <w:rsid w:val="00213D95"/>
    <w:rsid w:val="00216C82"/>
    <w:rsid w:val="00217EFC"/>
    <w:rsid w:val="00220598"/>
    <w:rsid w:val="00220AC4"/>
    <w:rsid w:val="002241C8"/>
    <w:rsid w:val="002245F6"/>
    <w:rsid w:val="00225455"/>
    <w:rsid w:val="00226792"/>
    <w:rsid w:val="00227072"/>
    <w:rsid w:val="00230023"/>
    <w:rsid w:val="002303BE"/>
    <w:rsid w:val="00230AA0"/>
    <w:rsid w:val="00232B4E"/>
    <w:rsid w:val="002345BB"/>
    <w:rsid w:val="0023519B"/>
    <w:rsid w:val="002356A2"/>
    <w:rsid w:val="00235A06"/>
    <w:rsid w:val="00236387"/>
    <w:rsid w:val="0023638E"/>
    <w:rsid w:val="002367C5"/>
    <w:rsid w:val="00237ED8"/>
    <w:rsid w:val="00240073"/>
    <w:rsid w:val="002400E7"/>
    <w:rsid w:val="00241F96"/>
    <w:rsid w:val="00241FE3"/>
    <w:rsid w:val="00244B8D"/>
    <w:rsid w:val="00244FFB"/>
    <w:rsid w:val="00246706"/>
    <w:rsid w:val="0024766C"/>
    <w:rsid w:val="00250A21"/>
    <w:rsid w:val="00251A58"/>
    <w:rsid w:val="002524C5"/>
    <w:rsid w:val="002547CC"/>
    <w:rsid w:val="002579DA"/>
    <w:rsid w:val="002610D0"/>
    <w:rsid w:val="00261142"/>
    <w:rsid w:val="0026150E"/>
    <w:rsid w:val="00261BC8"/>
    <w:rsid w:val="00263EDE"/>
    <w:rsid w:val="00265451"/>
    <w:rsid w:val="00265DD1"/>
    <w:rsid w:val="002660F1"/>
    <w:rsid w:val="002670B6"/>
    <w:rsid w:val="002671E5"/>
    <w:rsid w:val="0026741D"/>
    <w:rsid w:val="00272041"/>
    <w:rsid w:val="00272E90"/>
    <w:rsid w:val="002741D5"/>
    <w:rsid w:val="002748CD"/>
    <w:rsid w:val="002751F1"/>
    <w:rsid w:val="00275A83"/>
    <w:rsid w:val="002771F0"/>
    <w:rsid w:val="002825B6"/>
    <w:rsid w:val="0028284D"/>
    <w:rsid w:val="00282E2E"/>
    <w:rsid w:val="00284A95"/>
    <w:rsid w:val="00290DC2"/>
    <w:rsid w:val="00290DCF"/>
    <w:rsid w:val="00291EE4"/>
    <w:rsid w:val="00293088"/>
    <w:rsid w:val="00293114"/>
    <w:rsid w:val="00294887"/>
    <w:rsid w:val="002A010B"/>
    <w:rsid w:val="002A3172"/>
    <w:rsid w:val="002A4A7B"/>
    <w:rsid w:val="002A59ED"/>
    <w:rsid w:val="002A5D46"/>
    <w:rsid w:val="002B226A"/>
    <w:rsid w:val="002B3FB1"/>
    <w:rsid w:val="002B458F"/>
    <w:rsid w:val="002B517F"/>
    <w:rsid w:val="002B5A74"/>
    <w:rsid w:val="002B63CD"/>
    <w:rsid w:val="002B65C8"/>
    <w:rsid w:val="002B6E12"/>
    <w:rsid w:val="002B76A9"/>
    <w:rsid w:val="002C01EE"/>
    <w:rsid w:val="002C05D5"/>
    <w:rsid w:val="002C0FE4"/>
    <w:rsid w:val="002C338C"/>
    <w:rsid w:val="002C35CD"/>
    <w:rsid w:val="002C36A2"/>
    <w:rsid w:val="002C3F71"/>
    <w:rsid w:val="002C480E"/>
    <w:rsid w:val="002C5A89"/>
    <w:rsid w:val="002C5D3D"/>
    <w:rsid w:val="002C6260"/>
    <w:rsid w:val="002C62FF"/>
    <w:rsid w:val="002C6A80"/>
    <w:rsid w:val="002C73E4"/>
    <w:rsid w:val="002C77D1"/>
    <w:rsid w:val="002D0167"/>
    <w:rsid w:val="002D0627"/>
    <w:rsid w:val="002D0769"/>
    <w:rsid w:val="002D0C88"/>
    <w:rsid w:val="002D0CF5"/>
    <w:rsid w:val="002D0D9B"/>
    <w:rsid w:val="002D1C41"/>
    <w:rsid w:val="002D2619"/>
    <w:rsid w:val="002D4E71"/>
    <w:rsid w:val="002D5452"/>
    <w:rsid w:val="002D58C2"/>
    <w:rsid w:val="002D5A95"/>
    <w:rsid w:val="002D72A0"/>
    <w:rsid w:val="002E2E77"/>
    <w:rsid w:val="002E2F30"/>
    <w:rsid w:val="002F067F"/>
    <w:rsid w:val="002F2A30"/>
    <w:rsid w:val="002F321C"/>
    <w:rsid w:val="002F383F"/>
    <w:rsid w:val="002F3EAF"/>
    <w:rsid w:val="002F4040"/>
    <w:rsid w:val="002F46E4"/>
    <w:rsid w:val="002F4F84"/>
    <w:rsid w:val="002F60FF"/>
    <w:rsid w:val="002F7BD8"/>
    <w:rsid w:val="003008F5"/>
    <w:rsid w:val="00302200"/>
    <w:rsid w:val="00302290"/>
    <w:rsid w:val="003023EF"/>
    <w:rsid w:val="0030266F"/>
    <w:rsid w:val="00302767"/>
    <w:rsid w:val="00302BA0"/>
    <w:rsid w:val="00303286"/>
    <w:rsid w:val="003051A1"/>
    <w:rsid w:val="0030626D"/>
    <w:rsid w:val="003065D3"/>
    <w:rsid w:val="00307B87"/>
    <w:rsid w:val="00310CE3"/>
    <w:rsid w:val="00310DD0"/>
    <w:rsid w:val="0031339D"/>
    <w:rsid w:val="00314953"/>
    <w:rsid w:val="00314EB5"/>
    <w:rsid w:val="00316A4E"/>
    <w:rsid w:val="003174FE"/>
    <w:rsid w:val="00320185"/>
    <w:rsid w:val="00320A56"/>
    <w:rsid w:val="00320E20"/>
    <w:rsid w:val="00321EB9"/>
    <w:rsid w:val="00321F6F"/>
    <w:rsid w:val="0032225A"/>
    <w:rsid w:val="003223F1"/>
    <w:rsid w:val="003224B4"/>
    <w:rsid w:val="00325A48"/>
    <w:rsid w:val="00325DFA"/>
    <w:rsid w:val="003261EA"/>
    <w:rsid w:val="003263BC"/>
    <w:rsid w:val="00327FAA"/>
    <w:rsid w:val="003311A8"/>
    <w:rsid w:val="00333F8E"/>
    <w:rsid w:val="00335741"/>
    <w:rsid w:val="00335969"/>
    <w:rsid w:val="00335EA4"/>
    <w:rsid w:val="00336D4B"/>
    <w:rsid w:val="00337933"/>
    <w:rsid w:val="00340666"/>
    <w:rsid w:val="003410E0"/>
    <w:rsid w:val="00342EA0"/>
    <w:rsid w:val="00343CEA"/>
    <w:rsid w:val="003444B4"/>
    <w:rsid w:val="003451AC"/>
    <w:rsid w:val="003528F4"/>
    <w:rsid w:val="0035306B"/>
    <w:rsid w:val="003544E3"/>
    <w:rsid w:val="00355867"/>
    <w:rsid w:val="00356645"/>
    <w:rsid w:val="00356E4B"/>
    <w:rsid w:val="00356EF0"/>
    <w:rsid w:val="00357345"/>
    <w:rsid w:val="00357D4D"/>
    <w:rsid w:val="0036140F"/>
    <w:rsid w:val="00362916"/>
    <w:rsid w:val="00364954"/>
    <w:rsid w:val="003660D5"/>
    <w:rsid w:val="003666EB"/>
    <w:rsid w:val="00371EB2"/>
    <w:rsid w:val="00373D4A"/>
    <w:rsid w:val="00373DD7"/>
    <w:rsid w:val="00375FBD"/>
    <w:rsid w:val="00376180"/>
    <w:rsid w:val="003834C5"/>
    <w:rsid w:val="0038469D"/>
    <w:rsid w:val="00384FE6"/>
    <w:rsid w:val="00385C35"/>
    <w:rsid w:val="003863D5"/>
    <w:rsid w:val="0038645F"/>
    <w:rsid w:val="00387514"/>
    <w:rsid w:val="00387DA0"/>
    <w:rsid w:val="00390B1D"/>
    <w:rsid w:val="003937BF"/>
    <w:rsid w:val="0039398D"/>
    <w:rsid w:val="00394676"/>
    <w:rsid w:val="003950C5"/>
    <w:rsid w:val="003953A0"/>
    <w:rsid w:val="003978B0"/>
    <w:rsid w:val="00397D3A"/>
    <w:rsid w:val="003A0270"/>
    <w:rsid w:val="003A0BD5"/>
    <w:rsid w:val="003A0D37"/>
    <w:rsid w:val="003A1EB8"/>
    <w:rsid w:val="003A3345"/>
    <w:rsid w:val="003A3D40"/>
    <w:rsid w:val="003A547D"/>
    <w:rsid w:val="003A5A72"/>
    <w:rsid w:val="003A69C2"/>
    <w:rsid w:val="003A6BC8"/>
    <w:rsid w:val="003A7284"/>
    <w:rsid w:val="003B0C4E"/>
    <w:rsid w:val="003B15F7"/>
    <w:rsid w:val="003B3462"/>
    <w:rsid w:val="003B453E"/>
    <w:rsid w:val="003B5E3D"/>
    <w:rsid w:val="003B687B"/>
    <w:rsid w:val="003B6A24"/>
    <w:rsid w:val="003C1FB2"/>
    <w:rsid w:val="003C3D5A"/>
    <w:rsid w:val="003C4494"/>
    <w:rsid w:val="003C44BA"/>
    <w:rsid w:val="003C702E"/>
    <w:rsid w:val="003C70DB"/>
    <w:rsid w:val="003D12B7"/>
    <w:rsid w:val="003D3297"/>
    <w:rsid w:val="003D4576"/>
    <w:rsid w:val="003D4EF1"/>
    <w:rsid w:val="003D7DFE"/>
    <w:rsid w:val="003E00AA"/>
    <w:rsid w:val="003E2474"/>
    <w:rsid w:val="003E5BDA"/>
    <w:rsid w:val="003E65FA"/>
    <w:rsid w:val="003E6670"/>
    <w:rsid w:val="003F094B"/>
    <w:rsid w:val="003F09C9"/>
    <w:rsid w:val="003F1926"/>
    <w:rsid w:val="003F2606"/>
    <w:rsid w:val="003F275E"/>
    <w:rsid w:val="003F3B3C"/>
    <w:rsid w:val="003F3CB8"/>
    <w:rsid w:val="003F4991"/>
    <w:rsid w:val="003F73A1"/>
    <w:rsid w:val="003F7DEC"/>
    <w:rsid w:val="00401246"/>
    <w:rsid w:val="0040394C"/>
    <w:rsid w:val="004041B3"/>
    <w:rsid w:val="00404378"/>
    <w:rsid w:val="0040452F"/>
    <w:rsid w:val="00404EF7"/>
    <w:rsid w:val="004075A8"/>
    <w:rsid w:val="004076FE"/>
    <w:rsid w:val="00410BA5"/>
    <w:rsid w:val="00411DEA"/>
    <w:rsid w:val="00411F71"/>
    <w:rsid w:val="00412597"/>
    <w:rsid w:val="00412C03"/>
    <w:rsid w:val="00413D97"/>
    <w:rsid w:val="0041586B"/>
    <w:rsid w:val="0041588D"/>
    <w:rsid w:val="00415A4B"/>
    <w:rsid w:val="00415BBE"/>
    <w:rsid w:val="0041697C"/>
    <w:rsid w:val="004173AC"/>
    <w:rsid w:val="004200FB"/>
    <w:rsid w:val="00420B52"/>
    <w:rsid w:val="004216EB"/>
    <w:rsid w:val="0042189F"/>
    <w:rsid w:val="00423371"/>
    <w:rsid w:val="00424D2D"/>
    <w:rsid w:val="00427497"/>
    <w:rsid w:val="00430D34"/>
    <w:rsid w:val="00431905"/>
    <w:rsid w:val="00432A2C"/>
    <w:rsid w:val="00433885"/>
    <w:rsid w:val="00434C9A"/>
    <w:rsid w:val="00434D45"/>
    <w:rsid w:val="0043608D"/>
    <w:rsid w:val="0044051D"/>
    <w:rsid w:val="0044118B"/>
    <w:rsid w:val="0044186D"/>
    <w:rsid w:val="00441B92"/>
    <w:rsid w:val="004432C7"/>
    <w:rsid w:val="004460AD"/>
    <w:rsid w:val="004467C8"/>
    <w:rsid w:val="0044745E"/>
    <w:rsid w:val="004506D5"/>
    <w:rsid w:val="00451A8A"/>
    <w:rsid w:val="00453B01"/>
    <w:rsid w:val="00454671"/>
    <w:rsid w:val="00454C8D"/>
    <w:rsid w:val="00455206"/>
    <w:rsid w:val="00455BA9"/>
    <w:rsid w:val="00456116"/>
    <w:rsid w:val="0045660B"/>
    <w:rsid w:val="00460DBD"/>
    <w:rsid w:val="00460F6E"/>
    <w:rsid w:val="00462A9E"/>
    <w:rsid w:val="00466E5D"/>
    <w:rsid w:val="0046708C"/>
    <w:rsid w:val="00467A50"/>
    <w:rsid w:val="0047348D"/>
    <w:rsid w:val="00473C8F"/>
    <w:rsid w:val="004742DC"/>
    <w:rsid w:val="00474569"/>
    <w:rsid w:val="00476BC6"/>
    <w:rsid w:val="00477104"/>
    <w:rsid w:val="00477121"/>
    <w:rsid w:val="004776C1"/>
    <w:rsid w:val="00477EAA"/>
    <w:rsid w:val="00482261"/>
    <w:rsid w:val="004822D8"/>
    <w:rsid w:val="00482471"/>
    <w:rsid w:val="00482901"/>
    <w:rsid w:val="00485518"/>
    <w:rsid w:val="00485A1D"/>
    <w:rsid w:val="00485A2D"/>
    <w:rsid w:val="00487E4D"/>
    <w:rsid w:val="00491773"/>
    <w:rsid w:val="00492E4B"/>
    <w:rsid w:val="004930C5"/>
    <w:rsid w:val="004931DD"/>
    <w:rsid w:val="004934B9"/>
    <w:rsid w:val="00493DDB"/>
    <w:rsid w:val="0049433C"/>
    <w:rsid w:val="004950BE"/>
    <w:rsid w:val="004964C7"/>
    <w:rsid w:val="004970AE"/>
    <w:rsid w:val="004A0A5C"/>
    <w:rsid w:val="004A131F"/>
    <w:rsid w:val="004A1C7C"/>
    <w:rsid w:val="004A20FE"/>
    <w:rsid w:val="004A4335"/>
    <w:rsid w:val="004A6F71"/>
    <w:rsid w:val="004A71DA"/>
    <w:rsid w:val="004B0ADA"/>
    <w:rsid w:val="004B0E26"/>
    <w:rsid w:val="004B1492"/>
    <w:rsid w:val="004B16D8"/>
    <w:rsid w:val="004B388A"/>
    <w:rsid w:val="004B3987"/>
    <w:rsid w:val="004B4FAA"/>
    <w:rsid w:val="004B5725"/>
    <w:rsid w:val="004B57C6"/>
    <w:rsid w:val="004C0132"/>
    <w:rsid w:val="004C199E"/>
    <w:rsid w:val="004C3B79"/>
    <w:rsid w:val="004C3E63"/>
    <w:rsid w:val="004C3FF4"/>
    <w:rsid w:val="004C4EA3"/>
    <w:rsid w:val="004C604B"/>
    <w:rsid w:val="004C644A"/>
    <w:rsid w:val="004C7A31"/>
    <w:rsid w:val="004D0133"/>
    <w:rsid w:val="004D057C"/>
    <w:rsid w:val="004D3AFA"/>
    <w:rsid w:val="004D42C3"/>
    <w:rsid w:val="004D5615"/>
    <w:rsid w:val="004D5929"/>
    <w:rsid w:val="004D6F63"/>
    <w:rsid w:val="004D7493"/>
    <w:rsid w:val="004D74C5"/>
    <w:rsid w:val="004D79F5"/>
    <w:rsid w:val="004E02B0"/>
    <w:rsid w:val="004E14F3"/>
    <w:rsid w:val="004E1609"/>
    <w:rsid w:val="004E1B10"/>
    <w:rsid w:val="004E1BA6"/>
    <w:rsid w:val="004E2678"/>
    <w:rsid w:val="004E3C19"/>
    <w:rsid w:val="004E46F6"/>
    <w:rsid w:val="004E50E1"/>
    <w:rsid w:val="004E6858"/>
    <w:rsid w:val="004E68C3"/>
    <w:rsid w:val="004E74C8"/>
    <w:rsid w:val="004E7657"/>
    <w:rsid w:val="004E78C1"/>
    <w:rsid w:val="004E78CC"/>
    <w:rsid w:val="004F09DB"/>
    <w:rsid w:val="004F2069"/>
    <w:rsid w:val="004F32B6"/>
    <w:rsid w:val="004F37B8"/>
    <w:rsid w:val="004F411C"/>
    <w:rsid w:val="004F417E"/>
    <w:rsid w:val="004F4A7B"/>
    <w:rsid w:val="004F4BFF"/>
    <w:rsid w:val="004F6ED1"/>
    <w:rsid w:val="004F7816"/>
    <w:rsid w:val="00500212"/>
    <w:rsid w:val="005004E4"/>
    <w:rsid w:val="00501731"/>
    <w:rsid w:val="00501A4A"/>
    <w:rsid w:val="005021EC"/>
    <w:rsid w:val="00502258"/>
    <w:rsid w:val="005024E7"/>
    <w:rsid w:val="00505D50"/>
    <w:rsid w:val="00505F09"/>
    <w:rsid w:val="0050705D"/>
    <w:rsid w:val="0051168C"/>
    <w:rsid w:val="00511CB5"/>
    <w:rsid w:val="00512882"/>
    <w:rsid w:val="005138C4"/>
    <w:rsid w:val="005142B4"/>
    <w:rsid w:val="00514D81"/>
    <w:rsid w:val="00515208"/>
    <w:rsid w:val="00516A52"/>
    <w:rsid w:val="00517BA9"/>
    <w:rsid w:val="0052027D"/>
    <w:rsid w:val="00522489"/>
    <w:rsid w:val="0052309E"/>
    <w:rsid w:val="0052532B"/>
    <w:rsid w:val="00526297"/>
    <w:rsid w:val="00526F9A"/>
    <w:rsid w:val="0052728D"/>
    <w:rsid w:val="005276D7"/>
    <w:rsid w:val="0053015C"/>
    <w:rsid w:val="005316D7"/>
    <w:rsid w:val="0053175C"/>
    <w:rsid w:val="00532031"/>
    <w:rsid w:val="005328E5"/>
    <w:rsid w:val="005346CF"/>
    <w:rsid w:val="00535893"/>
    <w:rsid w:val="00537CD8"/>
    <w:rsid w:val="00540BBB"/>
    <w:rsid w:val="005435D0"/>
    <w:rsid w:val="005436B0"/>
    <w:rsid w:val="00545592"/>
    <w:rsid w:val="00545E1B"/>
    <w:rsid w:val="00546380"/>
    <w:rsid w:val="005468AB"/>
    <w:rsid w:val="00546B24"/>
    <w:rsid w:val="00546BD0"/>
    <w:rsid w:val="00546C5F"/>
    <w:rsid w:val="00547726"/>
    <w:rsid w:val="00547D77"/>
    <w:rsid w:val="005506ED"/>
    <w:rsid w:val="00550BC3"/>
    <w:rsid w:val="00553023"/>
    <w:rsid w:val="0055372E"/>
    <w:rsid w:val="00554500"/>
    <w:rsid w:val="00554526"/>
    <w:rsid w:val="00554D4A"/>
    <w:rsid w:val="00555F23"/>
    <w:rsid w:val="0055708C"/>
    <w:rsid w:val="00557182"/>
    <w:rsid w:val="00557D94"/>
    <w:rsid w:val="005601DA"/>
    <w:rsid w:val="0056068E"/>
    <w:rsid w:val="00560AC3"/>
    <w:rsid w:val="0056263D"/>
    <w:rsid w:val="00564BBF"/>
    <w:rsid w:val="00564D54"/>
    <w:rsid w:val="00565A95"/>
    <w:rsid w:val="00566015"/>
    <w:rsid w:val="00566AEF"/>
    <w:rsid w:val="0057070F"/>
    <w:rsid w:val="00571075"/>
    <w:rsid w:val="00571179"/>
    <w:rsid w:val="00571E16"/>
    <w:rsid w:val="00572170"/>
    <w:rsid w:val="0057252F"/>
    <w:rsid w:val="005729CF"/>
    <w:rsid w:val="00572DD2"/>
    <w:rsid w:val="00574944"/>
    <w:rsid w:val="005749E3"/>
    <w:rsid w:val="00575763"/>
    <w:rsid w:val="00576BFD"/>
    <w:rsid w:val="00580224"/>
    <w:rsid w:val="00580225"/>
    <w:rsid w:val="0058060F"/>
    <w:rsid w:val="0058397F"/>
    <w:rsid w:val="00584C99"/>
    <w:rsid w:val="00586ABE"/>
    <w:rsid w:val="00587D23"/>
    <w:rsid w:val="00590281"/>
    <w:rsid w:val="00590737"/>
    <w:rsid w:val="00590B18"/>
    <w:rsid w:val="00591968"/>
    <w:rsid w:val="005929B4"/>
    <w:rsid w:val="00593F2C"/>
    <w:rsid w:val="005943B6"/>
    <w:rsid w:val="00594923"/>
    <w:rsid w:val="005975C1"/>
    <w:rsid w:val="00597BBA"/>
    <w:rsid w:val="005A075A"/>
    <w:rsid w:val="005A0C11"/>
    <w:rsid w:val="005A0C27"/>
    <w:rsid w:val="005A0F0B"/>
    <w:rsid w:val="005A1ADC"/>
    <w:rsid w:val="005A29BE"/>
    <w:rsid w:val="005A4D4A"/>
    <w:rsid w:val="005A55E4"/>
    <w:rsid w:val="005A644F"/>
    <w:rsid w:val="005A6CE9"/>
    <w:rsid w:val="005B0DDE"/>
    <w:rsid w:val="005B1531"/>
    <w:rsid w:val="005B38C6"/>
    <w:rsid w:val="005C1D6D"/>
    <w:rsid w:val="005C1D8B"/>
    <w:rsid w:val="005C1D92"/>
    <w:rsid w:val="005C2390"/>
    <w:rsid w:val="005C24F4"/>
    <w:rsid w:val="005C34BE"/>
    <w:rsid w:val="005C551E"/>
    <w:rsid w:val="005C77E5"/>
    <w:rsid w:val="005D28D1"/>
    <w:rsid w:val="005D4FB6"/>
    <w:rsid w:val="005D54EB"/>
    <w:rsid w:val="005D5731"/>
    <w:rsid w:val="005D5A63"/>
    <w:rsid w:val="005D7A29"/>
    <w:rsid w:val="005E16DC"/>
    <w:rsid w:val="005E1C3D"/>
    <w:rsid w:val="005E3870"/>
    <w:rsid w:val="005E45DA"/>
    <w:rsid w:val="005E5FFF"/>
    <w:rsid w:val="005F08DC"/>
    <w:rsid w:val="005F0CDE"/>
    <w:rsid w:val="005F4AC7"/>
    <w:rsid w:val="005F6BAE"/>
    <w:rsid w:val="005F7DCA"/>
    <w:rsid w:val="005F7E20"/>
    <w:rsid w:val="00600DD3"/>
    <w:rsid w:val="00601478"/>
    <w:rsid w:val="00601B11"/>
    <w:rsid w:val="00602E82"/>
    <w:rsid w:val="00603DE2"/>
    <w:rsid w:val="006066C0"/>
    <w:rsid w:val="006075B3"/>
    <w:rsid w:val="00610F58"/>
    <w:rsid w:val="006112AF"/>
    <w:rsid w:val="00611A00"/>
    <w:rsid w:val="00612AF1"/>
    <w:rsid w:val="00613298"/>
    <w:rsid w:val="00613352"/>
    <w:rsid w:val="006136BB"/>
    <w:rsid w:val="006145E0"/>
    <w:rsid w:val="00614CAA"/>
    <w:rsid w:val="00615C84"/>
    <w:rsid w:val="00615E8E"/>
    <w:rsid w:val="0061762B"/>
    <w:rsid w:val="00617BE1"/>
    <w:rsid w:val="006222E1"/>
    <w:rsid w:val="006234B6"/>
    <w:rsid w:val="006238CD"/>
    <w:rsid w:val="006239D9"/>
    <w:rsid w:val="00623ED3"/>
    <w:rsid w:val="006241A0"/>
    <w:rsid w:val="00626843"/>
    <w:rsid w:val="00626E95"/>
    <w:rsid w:val="00627B76"/>
    <w:rsid w:val="006309B2"/>
    <w:rsid w:val="00630D95"/>
    <w:rsid w:val="00631F5C"/>
    <w:rsid w:val="006320F0"/>
    <w:rsid w:val="00634439"/>
    <w:rsid w:val="00634638"/>
    <w:rsid w:val="006347F7"/>
    <w:rsid w:val="00634B9C"/>
    <w:rsid w:val="0063595A"/>
    <w:rsid w:val="0063602D"/>
    <w:rsid w:val="00637040"/>
    <w:rsid w:val="0063715B"/>
    <w:rsid w:val="006379FF"/>
    <w:rsid w:val="00640476"/>
    <w:rsid w:val="00641BF6"/>
    <w:rsid w:val="00641CC5"/>
    <w:rsid w:val="00641FA9"/>
    <w:rsid w:val="00643316"/>
    <w:rsid w:val="00643C6F"/>
    <w:rsid w:val="00643E90"/>
    <w:rsid w:val="006457C2"/>
    <w:rsid w:val="00647C3F"/>
    <w:rsid w:val="00647CB6"/>
    <w:rsid w:val="00647EFE"/>
    <w:rsid w:val="0065154B"/>
    <w:rsid w:val="0065159E"/>
    <w:rsid w:val="00651757"/>
    <w:rsid w:val="00651BFC"/>
    <w:rsid w:val="0065349A"/>
    <w:rsid w:val="00654695"/>
    <w:rsid w:val="006556BA"/>
    <w:rsid w:val="00655E13"/>
    <w:rsid w:val="00655F6E"/>
    <w:rsid w:val="006577B7"/>
    <w:rsid w:val="00661BD8"/>
    <w:rsid w:val="006630D3"/>
    <w:rsid w:val="00664CA9"/>
    <w:rsid w:val="00664FA4"/>
    <w:rsid w:val="00665554"/>
    <w:rsid w:val="00666651"/>
    <w:rsid w:val="00666B31"/>
    <w:rsid w:val="00666EC6"/>
    <w:rsid w:val="0066715C"/>
    <w:rsid w:val="006700D8"/>
    <w:rsid w:val="00670362"/>
    <w:rsid w:val="006706F0"/>
    <w:rsid w:val="0067168B"/>
    <w:rsid w:val="00672767"/>
    <w:rsid w:val="00672BE6"/>
    <w:rsid w:val="00672E89"/>
    <w:rsid w:val="0067364D"/>
    <w:rsid w:val="0067612C"/>
    <w:rsid w:val="006766F4"/>
    <w:rsid w:val="00680FDC"/>
    <w:rsid w:val="006824A3"/>
    <w:rsid w:val="00682F89"/>
    <w:rsid w:val="006864A3"/>
    <w:rsid w:val="00687BBC"/>
    <w:rsid w:val="00687FB0"/>
    <w:rsid w:val="00687FEA"/>
    <w:rsid w:val="0069014C"/>
    <w:rsid w:val="006915D5"/>
    <w:rsid w:val="0069253B"/>
    <w:rsid w:val="00694528"/>
    <w:rsid w:val="00695113"/>
    <w:rsid w:val="006956C8"/>
    <w:rsid w:val="0069587A"/>
    <w:rsid w:val="00695D3E"/>
    <w:rsid w:val="00696437"/>
    <w:rsid w:val="00696B3B"/>
    <w:rsid w:val="00697196"/>
    <w:rsid w:val="006979E6"/>
    <w:rsid w:val="006A1117"/>
    <w:rsid w:val="006A1608"/>
    <w:rsid w:val="006A2CD4"/>
    <w:rsid w:val="006A35F5"/>
    <w:rsid w:val="006A5268"/>
    <w:rsid w:val="006A5401"/>
    <w:rsid w:val="006A68E8"/>
    <w:rsid w:val="006A7FE4"/>
    <w:rsid w:val="006B1F32"/>
    <w:rsid w:val="006B2D0A"/>
    <w:rsid w:val="006B4B79"/>
    <w:rsid w:val="006B4D6B"/>
    <w:rsid w:val="006B5D5A"/>
    <w:rsid w:val="006B5EAC"/>
    <w:rsid w:val="006B6E04"/>
    <w:rsid w:val="006B740C"/>
    <w:rsid w:val="006C1657"/>
    <w:rsid w:val="006C1AF0"/>
    <w:rsid w:val="006C377E"/>
    <w:rsid w:val="006C490C"/>
    <w:rsid w:val="006C6EE9"/>
    <w:rsid w:val="006D035C"/>
    <w:rsid w:val="006D0B66"/>
    <w:rsid w:val="006D1098"/>
    <w:rsid w:val="006D28E7"/>
    <w:rsid w:val="006D2B1F"/>
    <w:rsid w:val="006D3FAF"/>
    <w:rsid w:val="006D4F47"/>
    <w:rsid w:val="006D5647"/>
    <w:rsid w:val="006D565F"/>
    <w:rsid w:val="006D56E2"/>
    <w:rsid w:val="006D5862"/>
    <w:rsid w:val="006D5878"/>
    <w:rsid w:val="006D67ED"/>
    <w:rsid w:val="006E253B"/>
    <w:rsid w:val="006E25DD"/>
    <w:rsid w:val="006E2E8B"/>
    <w:rsid w:val="006E3599"/>
    <w:rsid w:val="006E3D54"/>
    <w:rsid w:val="006E3F0E"/>
    <w:rsid w:val="006E3F43"/>
    <w:rsid w:val="006E557A"/>
    <w:rsid w:val="006E788B"/>
    <w:rsid w:val="006F0631"/>
    <w:rsid w:val="006F2EB9"/>
    <w:rsid w:val="006F36C4"/>
    <w:rsid w:val="006F3950"/>
    <w:rsid w:val="006F47A3"/>
    <w:rsid w:val="006F4DFC"/>
    <w:rsid w:val="006F720B"/>
    <w:rsid w:val="00701AB2"/>
    <w:rsid w:val="00703A94"/>
    <w:rsid w:val="0070494C"/>
    <w:rsid w:val="00704C7D"/>
    <w:rsid w:val="00705E8F"/>
    <w:rsid w:val="007071BA"/>
    <w:rsid w:val="007107EE"/>
    <w:rsid w:val="00712B96"/>
    <w:rsid w:val="0071400A"/>
    <w:rsid w:val="00714317"/>
    <w:rsid w:val="00715471"/>
    <w:rsid w:val="007157D4"/>
    <w:rsid w:val="00715E78"/>
    <w:rsid w:val="007160F3"/>
    <w:rsid w:val="00716A25"/>
    <w:rsid w:val="00716A74"/>
    <w:rsid w:val="00716F88"/>
    <w:rsid w:val="0071765D"/>
    <w:rsid w:val="007203B5"/>
    <w:rsid w:val="00720C81"/>
    <w:rsid w:val="00720F3F"/>
    <w:rsid w:val="00723AB1"/>
    <w:rsid w:val="00724685"/>
    <w:rsid w:val="00724F8E"/>
    <w:rsid w:val="00725574"/>
    <w:rsid w:val="007264DD"/>
    <w:rsid w:val="0073138D"/>
    <w:rsid w:val="00731674"/>
    <w:rsid w:val="00734637"/>
    <w:rsid w:val="007377EF"/>
    <w:rsid w:val="007378E0"/>
    <w:rsid w:val="00740959"/>
    <w:rsid w:val="00740D76"/>
    <w:rsid w:val="00741EBD"/>
    <w:rsid w:val="007424BF"/>
    <w:rsid w:val="007427D8"/>
    <w:rsid w:val="007442F9"/>
    <w:rsid w:val="00744A9B"/>
    <w:rsid w:val="00745212"/>
    <w:rsid w:val="007455D9"/>
    <w:rsid w:val="007457CC"/>
    <w:rsid w:val="007465B9"/>
    <w:rsid w:val="00746C3F"/>
    <w:rsid w:val="0075033A"/>
    <w:rsid w:val="00750AE6"/>
    <w:rsid w:val="007524FE"/>
    <w:rsid w:val="0075286C"/>
    <w:rsid w:val="007528B4"/>
    <w:rsid w:val="00752C28"/>
    <w:rsid w:val="00753A8A"/>
    <w:rsid w:val="00754808"/>
    <w:rsid w:val="00755172"/>
    <w:rsid w:val="007569B9"/>
    <w:rsid w:val="00761A2C"/>
    <w:rsid w:val="00762249"/>
    <w:rsid w:val="007622A3"/>
    <w:rsid w:val="007641BC"/>
    <w:rsid w:val="00764F76"/>
    <w:rsid w:val="00765498"/>
    <w:rsid w:val="00765E53"/>
    <w:rsid w:val="0076707E"/>
    <w:rsid w:val="0076796C"/>
    <w:rsid w:val="00767EEC"/>
    <w:rsid w:val="00770CD3"/>
    <w:rsid w:val="007719C2"/>
    <w:rsid w:val="0077434D"/>
    <w:rsid w:val="00776DA0"/>
    <w:rsid w:val="00776FCD"/>
    <w:rsid w:val="007772A5"/>
    <w:rsid w:val="00777EB3"/>
    <w:rsid w:val="007800D9"/>
    <w:rsid w:val="00782810"/>
    <w:rsid w:val="00782A1F"/>
    <w:rsid w:val="0078371E"/>
    <w:rsid w:val="00784960"/>
    <w:rsid w:val="00784D26"/>
    <w:rsid w:val="00784EAF"/>
    <w:rsid w:val="00787C6F"/>
    <w:rsid w:val="00790484"/>
    <w:rsid w:val="00790764"/>
    <w:rsid w:val="00791A0F"/>
    <w:rsid w:val="0079231E"/>
    <w:rsid w:val="00792BC9"/>
    <w:rsid w:val="00793742"/>
    <w:rsid w:val="00794AC4"/>
    <w:rsid w:val="007964AB"/>
    <w:rsid w:val="00796B96"/>
    <w:rsid w:val="007A108B"/>
    <w:rsid w:val="007A2631"/>
    <w:rsid w:val="007A40AB"/>
    <w:rsid w:val="007A4136"/>
    <w:rsid w:val="007A5718"/>
    <w:rsid w:val="007A58EB"/>
    <w:rsid w:val="007B1257"/>
    <w:rsid w:val="007B29B7"/>
    <w:rsid w:val="007B3283"/>
    <w:rsid w:val="007B32AC"/>
    <w:rsid w:val="007B3363"/>
    <w:rsid w:val="007B33B0"/>
    <w:rsid w:val="007B543A"/>
    <w:rsid w:val="007B6AF4"/>
    <w:rsid w:val="007C2168"/>
    <w:rsid w:val="007C283F"/>
    <w:rsid w:val="007C29A3"/>
    <w:rsid w:val="007C43FF"/>
    <w:rsid w:val="007C678F"/>
    <w:rsid w:val="007C6DC0"/>
    <w:rsid w:val="007C7279"/>
    <w:rsid w:val="007D0E21"/>
    <w:rsid w:val="007D4BD0"/>
    <w:rsid w:val="007D5D8E"/>
    <w:rsid w:val="007D5FE9"/>
    <w:rsid w:val="007E0077"/>
    <w:rsid w:val="007E24E7"/>
    <w:rsid w:val="007E263F"/>
    <w:rsid w:val="007E2669"/>
    <w:rsid w:val="007E2A70"/>
    <w:rsid w:val="007E2AD8"/>
    <w:rsid w:val="007E2B1C"/>
    <w:rsid w:val="007E5AA0"/>
    <w:rsid w:val="007E5BB5"/>
    <w:rsid w:val="007E62E6"/>
    <w:rsid w:val="007E764F"/>
    <w:rsid w:val="007E799F"/>
    <w:rsid w:val="007E7F43"/>
    <w:rsid w:val="007F334A"/>
    <w:rsid w:val="007F3620"/>
    <w:rsid w:val="007F5CE9"/>
    <w:rsid w:val="007F7D83"/>
    <w:rsid w:val="008007DD"/>
    <w:rsid w:val="008007E8"/>
    <w:rsid w:val="00802481"/>
    <w:rsid w:val="00803554"/>
    <w:rsid w:val="00804196"/>
    <w:rsid w:val="008064E4"/>
    <w:rsid w:val="008070F9"/>
    <w:rsid w:val="008071C9"/>
    <w:rsid w:val="00807DE0"/>
    <w:rsid w:val="00807E2C"/>
    <w:rsid w:val="0081058E"/>
    <w:rsid w:val="00811CC5"/>
    <w:rsid w:val="00813171"/>
    <w:rsid w:val="0081319E"/>
    <w:rsid w:val="00813C49"/>
    <w:rsid w:val="00813D64"/>
    <w:rsid w:val="008144D1"/>
    <w:rsid w:val="00815728"/>
    <w:rsid w:val="00815899"/>
    <w:rsid w:val="00816B61"/>
    <w:rsid w:val="00817311"/>
    <w:rsid w:val="00817823"/>
    <w:rsid w:val="00817956"/>
    <w:rsid w:val="008205EA"/>
    <w:rsid w:val="0082082A"/>
    <w:rsid w:val="0082182B"/>
    <w:rsid w:val="00821BC3"/>
    <w:rsid w:val="008224B0"/>
    <w:rsid w:val="008247D5"/>
    <w:rsid w:val="008256EE"/>
    <w:rsid w:val="00827966"/>
    <w:rsid w:val="008321FE"/>
    <w:rsid w:val="008330B9"/>
    <w:rsid w:val="00835276"/>
    <w:rsid w:val="00835E14"/>
    <w:rsid w:val="0083654A"/>
    <w:rsid w:val="008367A5"/>
    <w:rsid w:val="008376C8"/>
    <w:rsid w:val="00837F77"/>
    <w:rsid w:val="00840CAA"/>
    <w:rsid w:val="0084146F"/>
    <w:rsid w:val="00841530"/>
    <w:rsid w:val="008423A4"/>
    <w:rsid w:val="008423AE"/>
    <w:rsid w:val="008428F7"/>
    <w:rsid w:val="008430D2"/>
    <w:rsid w:val="00844A04"/>
    <w:rsid w:val="0084756A"/>
    <w:rsid w:val="0085139C"/>
    <w:rsid w:val="0085154D"/>
    <w:rsid w:val="00852147"/>
    <w:rsid w:val="00853BCC"/>
    <w:rsid w:val="00854599"/>
    <w:rsid w:val="008563DC"/>
    <w:rsid w:val="00861FCD"/>
    <w:rsid w:val="00862C75"/>
    <w:rsid w:val="00862C8A"/>
    <w:rsid w:val="00866401"/>
    <w:rsid w:val="008741B9"/>
    <w:rsid w:val="0087454D"/>
    <w:rsid w:val="00874D63"/>
    <w:rsid w:val="00875118"/>
    <w:rsid w:val="00876149"/>
    <w:rsid w:val="0088105E"/>
    <w:rsid w:val="00881C72"/>
    <w:rsid w:val="008824E0"/>
    <w:rsid w:val="00882BDA"/>
    <w:rsid w:val="00882D96"/>
    <w:rsid w:val="00882E1D"/>
    <w:rsid w:val="00883EE5"/>
    <w:rsid w:val="008854B8"/>
    <w:rsid w:val="00886493"/>
    <w:rsid w:val="00886CCE"/>
    <w:rsid w:val="008873E4"/>
    <w:rsid w:val="0089254A"/>
    <w:rsid w:val="008925A6"/>
    <w:rsid w:val="00892F3A"/>
    <w:rsid w:val="008954E9"/>
    <w:rsid w:val="008958A2"/>
    <w:rsid w:val="00895B4A"/>
    <w:rsid w:val="00895BDA"/>
    <w:rsid w:val="008975E1"/>
    <w:rsid w:val="00897BDE"/>
    <w:rsid w:val="008A127D"/>
    <w:rsid w:val="008A2F96"/>
    <w:rsid w:val="008A3B32"/>
    <w:rsid w:val="008A57A5"/>
    <w:rsid w:val="008A6542"/>
    <w:rsid w:val="008A6A23"/>
    <w:rsid w:val="008B08D2"/>
    <w:rsid w:val="008B1F9D"/>
    <w:rsid w:val="008B2473"/>
    <w:rsid w:val="008B2995"/>
    <w:rsid w:val="008B37F6"/>
    <w:rsid w:val="008B3F6C"/>
    <w:rsid w:val="008B4A7B"/>
    <w:rsid w:val="008B5994"/>
    <w:rsid w:val="008B5D1E"/>
    <w:rsid w:val="008B715C"/>
    <w:rsid w:val="008B769B"/>
    <w:rsid w:val="008B787F"/>
    <w:rsid w:val="008C0840"/>
    <w:rsid w:val="008C1652"/>
    <w:rsid w:val="008C2637"/>
    <w:rsid w:val="008C43D1"/>
    <w:rsid w:val="008C4592"/>
    <w:rsid w:val="008C5FF6"/>
    <w:rsid w:val="008C6C65"/>
    <w:rsid w:val="008C7104"/>
    <w:rsid w:val="008C7553"/>
    <w:rsid w:val="008C767C"/>
    <w:rsid w:val="008D003D"/>
    <w:rsid w:val="008D07BD"/>
    <w:rsid w:val="008D17ED"/>
    <w:rsid w:val="008D1BFC"/>
    <w:rsid w:val="008D1E6A"/>
    <w:rsid w:val="008D36FA"/>
    <w:rsid w:val="008D4187"/>
    <w:rsid w:val="008D51CE"/>
    <w:rsid w:val="008D5AE7"/>
    <w:rsid w:val="008D5BA8"/>
    <w:rsid w:val="008D666A"/>
    <w:rsid w:val="008D7AE1"/>
    <w:rsid w:val="008E2065"/>
    <w:rsid w:val="008E2648"/>
    <w:rsid w:val="008E28AE"/>
    <w:rsid w:val="008E3257"/>
    <w:rsid w:val="008E358B"/>
    <w:rsid w:val="008E474C"/>
    <w:rsid w:val="008E5B68"/>
    <w:rsid w:val="008E6683"/>
    <w:rsid w:val="008E7E46"/>
    <w:rsid w:val="008F219F"/>
    <w:rsid w:val="008F3A60"/>
    <w:rsid w:val="008F4983"/>
    <w:rsid w:val="008F70E6"/>
    <w:rsid w:val="00900568"/>
    <w:rsid w:val="00900A3B"/>
    <w:rsid w:val="00901F28"/>
    <w:rsid w:val="0090242D"/>
    <w:rsid w:val="0090298B"/>
    <w:rsid w:val="00903664"/>
    <w:rsid w:val="009053DD"/>
    <w:rsid w:val="00906C97"/>
    <w:rsid w:val="009074FA"/>
    <w:rsid w:val="009079C9"/>
    <w:rsid w:val="00911ADF"/>
    <w:rsid w:val="00913BBB"/>
    <w:rsid w:val="00914A91"/>
    <w:rsid w:val="00915D37"/>
    <w:rsid w:val="00915F48"/>
    <w:rsid w:val="00916A66"/>
    <w:rsid w:val="00917BBF"/>
    <w:rsid w:val="00917DBD"/>
    <w:rsid w:val="00922481"/>
    <w:rsid w:val="00922932"/>
    <w:rsid w:val="00922B9F"/>
    <w:rsid w:val="009231D7"/>
    <w:rsid w:val="009257DC"/>
    <w:rsid w:val="00926BAB"/>
    <w:rsid w:val="009305EE"/>
    <w:rsid w:val="009308C9"/>
    <w:rsid w:val="00930F5A"/>
    <w:rsid w:val="00933B0D"/>
    <w:rsid w:val="00934DDF"/>
    <w:rsid w:val="00936B7D"/>
    <w:rsid w:val="009425B7"/>
    <w:rsid w:val="00943EE1"/>
    <w:rsid w:val="00944791"/>
    <w:rsid w:val="00946E3F"/>
    <w:rsid w:val="009502E1"/>
    <w:rsid w:val="0095296A"/>
    <w:rsid w:val="00952A54"/>
    <w:rsid w:val="009535CD"/>
    <w:rsid w:val="00953D01"/>
    <w:rsid w:val="00954B22"/>
    <w:rsid w:val="009559FE"/>
    <w:rsid w:val="00960DAA"/>
    <w:rsid w:val="0096115E"/>
    <w:rsid w:val="009628E1"/>
    <w:rsid w:val="009631DA"/>
    <w:rsid w:val="0096331E"/>
    <w:rsid w:val="00964A01"/>
    <w:rsid w:val="00964A26"/>
    <w:rsid w:val="009656E2"/>
    <w:rsid w:val="00967D44"/>
    <w:rsid w:val="00967DD6"/>
    <w:rsid w:val="00967FC6"/>
    <w:rsid w:val="0097106D"/>
    <w:rsid w:val="00971208"/>
    <w:rsid w:val="009729C8"/>
    <w:rsid w:val="009748EE"/>
    <w:rsid w:val="00975503"/>
    <w:rsid w:val="00976CB6"/>
    <w:rsid w:val="00976F04"/>
    <w:rsid w:val="00977098"/>
    <w:rsid w:val="00977E91"/>
    <w:rsid w:val="0098073D"/>
    <w:rsid w:val="00980FD4"/>
    <w:rsid w:val="00981D2F"/>
    <w:rsid w:val="00981FD9"/>
    <w:rsid w:val="009825BB"/>
    <w:rsid w:val="0098360E"/>
    <w:rsid w:val="0098477E"/>
    <w:rsid w:val="009858BD"/>
    <w:rsid w:val="00986CDB"/>
    <w:rsid w:val="00987293"/>
    <w:rsid w:val="00990355"/>
    <w:rsid w:val="0099118C"/>
    <w:rsid w:val="009941A2"/>
    <w:rsid w:val="009965EB"/>
    <w:rsid w:val="009972D6"/>
    <w:rsid w:val="009A083A"/>
    <w:rsid w:val="009A0A99"/>
    <w:rsid w:val="009A1681"/>
    <w:rsid w:val="009A1BDE"/>
    <w:rsid w:val="009A4846"/>
    <w:rsid w:val="009A51D6"/>
    <w:rsid w:val="009A554D"/>
    <w:rsid w:val="009A5D7F"/>
    <w:rsid w:val="009A67E7"/>
    <w:rsid w:val="009A7187"/>
    <w:rsid w:val="009A7836"/>
    <w:rsid w:val="009B0C49"/>
    <w:rsid w:val="009B1204"/>
    <w:rsid w:val="009B1A06"/>
    <w:rsid w:val="009B222D"/>
    <w:rsid w:val="009B457F"/>
    <w:rsid w:val="009B4F28"/>
    <w:rsid w:val="009B620D"/>
    <w:rsid w:val="009B70FB"/>
    <w:rsid w:val="009B7FDC"/>
    <w:rsid w:val="009C0AF6"/>
    <w:rsid w:val="009C1C09"/>
    <w:rsid w:val="009C1C80"/>
    <w:rsid w:val="009C321E"/>
    <w:rsid w:val="009C3730"/>
    <w:rsid w:val="009C4610"/>
    <w:rsid w:val="009C47EA"/>
    <w:rsid w:val="009C4F24"/>
    <w:rsid w:val="009C603C"/>
    <w:rsid w:val="009D0C9A"/>
    <w:rsid w:val="009D2966"/>
    <w:rsid w:val="009D2C6E"/>
    <w:rsid w:val="009D61B2"/>
    <w:rsid w:val="009E0415"/>
    <w:rsid w:val="009E247F"/>
    <w:rsid w:val="009E27D5"/>
    <w:rsid w:val="009E35CB"/>
    <w:rsid w:val="009E5011"/>
    <w:rsid w:val="009E50F8"/>
    <w:rsid w:val="009E5DE6"/>
    <w:rsid w:val="009E61C8"/>
    <w:rsid w:val="009E61D2"/>
    <w:rsid w:val="009E7BF4"/>
    <w:rsid w:val="009E7E60"/>
    <w:rsid w:val="009F1C16"/>
    <w:rsid w:val="009F25A0"/>
    <w:rsid w:val="009F2B23"/>
    <w:rsid w:val="009F4176"/>
    <w:rsid w:val="009F4376"/>
    <w:rsid w:val="009F5636"/>
    <w:rsid w:val="009F64FB"/>
    <w:rsid w:val="009F6C60"/>
    <w:rsid w:val="009F709F"/>
    <w:rsid w:val="009F7E55"/>
    <w:rsid w:val="00A019F0"/>
    <w:rsid w:val="00A02D60"/>
    <w:rsid w:val="00A0302C"/>
    <w:rsid w:val="00A0352A"/>
    <w:rsid w:val="00A03A61"/>
    <w:rsid w:val="00A044B5"/>
    <w:rsid w:val="00A05DEB"/>
    <w:rsid w:val="00A0712C"/>
    <w:rsid w:val="00A07627"/>
    <w:rsid w:val="00A1478D"/>
    <w:rsid w:val="00A14C1C"/>
    <w:rsid w:val="00A15CDD"/>
    <w:rsid w:val="00A16F8A"/>
    <w:rsid w:val="00A17C7B"/>
    <w:rsid w:val="00A20523"/>
    <w:rsid w:val="00A2140F"/>
    <w:rsid w:val="00A23737"/>
    <w:rsid w:val="00A23F0B"/>
    <w:rsid w:val="00A252A3"/>
    <w:rsid w:val="00A2566E"/>
    <w:rsid w:val="00A25AF8"/>
    <w:rsid w:val="00A26FAA"/>
    <w:rsid w:val="00A32ECC"/>
    <w:rsid w:val="00A33662"/>
    <w:rsid w:val="00A3577E"/>
    <w:rsid w:val="00A36598"/>
    <w:rsid w:val="00A433EE"/>
    <w:rsid w:val="00A45E9C"/>
    <w:rsid w:val="00A46674"/>
    <w:rsid w:val="00A4751B"/>
    <w:rsid w:val="00A509F7"/>
    <w:rsid w:val="00A50C4B"/>
    <w:rsid w:val="00A5210F"/>
    <w:rsid w:val="00A529AD"/>
    <w:rsid w:val="00A54948"/>
    <w:rsid w:val="00A56C5F"/>
    <w:rsid w:val="00A57BAE"/>
    <w:rsid w:val="00A6016A"/>
    <w:rsid w:val="00A60C55"/>
    <w:rsid w:val="00A611F1"/>
    <w:rsid w:val="00A613CD"/>
    <w:rsid w:val="00A61B8B"/>
    <w:rsid w:val="00A61BFE"/>
    <w:rsid w:val="00A62864"/>
    <w:rsid w:val="00A628E4"/>
    <w:rsid w:val="00A62B52"/>
    <w:rsid w:val="00A649C2"/>
    <w:rsid w:val="00A652B2"/>
    <w:rsid w:val="00A66ABF"/>
    <w:rsid w:val="00A71081"/>
    <w:rsid w:val="00A711C5"/>
    <w:rsid w:val="00A714CB"/>
    <w:rsid w:val="00A71B6F"/>
    <w:rsid w:val="00A721BA"/>
    <w:rsid w:val="00A726B5"/>
    <w:rsid w:val="00A735B7"/>
    <w:rsid w:val="00A762F5"/>
    <w:rsid w:val="00A7770E"/>
    <w:rsid w:val="00A77A70"/>
    <w:rsid w:val="00A77FC4"/>
    <w:rsid w:val="00A80667"/>
    <w:rsid w:val="00A817D2"/>
    <w:rsid w:val="00A81D05"/>
    <w:rsid w:val="00A86535"/>
    <w:rsid w:val="00A86B2E"/>
    <w:rsid w:val="00A86CCE"/>
    <w:rsid w:val="00A9069A"/>
    <w:rsid w:val="00A922C2"/>
    <w:rsid w:val="00A94333"/>
    <w:rsid w:val="00A946D3"/>
    <w:rsid w:val="00A94C86"/>
    <w:rsid w:val="00A953FD"/>
    <w:rsid w:val="00A95499"/>
    <w:rsid w:val="00A95B7D"/>
    <w:rsid w:val="00A964C4"/>
    <w:rsid w:val="00A9691A"/>
    <w:rsid w:val="00A979C8"/>
    <w:rsid w:val="00AA0C3D"/>
    <w:rsid w:val="00AA30C5"/>
    <w:rsid w:val="00AA4885"/>
    <w:rsid w:val="00AA4EC5"/>
    <w:rsid w:val="00AA5790"/>
    <w:rsid w:val="00AA742E"/>
    <w:rsid w:val="00AB1166"/>
    <w:rsid w:val="00AB1372"/>
    <w:rsid w:val="00AB20F8"/>
    <w:rsid w:val="00AB2A0E"/>
    <w:rsid w:val="00AB3ECB"/>
    <w:rsid w:val="00AB5D1E"/>
    <w:rsid w:val="00AB65C4"/>
    <w:rsid w:val="00AB65CB"/>
    <w:rsid w:val="00AB75DA"/>
    <w:rsid w:val="00AB77F0"/>
    <w:rsid w:val="00AB7DF1"/>
    <w:rsid w:val="00AC0DD1"/>
    <w:rsid w:val="00AC2283"/>
    <w:rsid w:val="00AC29A5"/>
    <w:rsid w:val="00AC3BE8"/>
    <w:rsid w:val="00AC4813"/>
    <w:rsid w:val="00AC4E64"/>
    <w:rsid w:val="00AC55E7"/>
    <w:rsid w:val="00AD00C0"/>
    <w:rsid w:val="00AD29F4"/>
    <w:rsid w:val="00AD4254"/>
    <w:rsid w:val="00AD55E8"/>
    <w:rsid w:val="00AD5BE6"/>
    <w:rsid w:val="00AD5CEE"/>
    <w:rsid w:val="00AE0D7D"/>
    <w:rsid w:val="00AE1377"/>
    <w:rsid w:val="00AE2283"/>
    <w:rsid w:val="00AE48D5"/>
    <w:rsid w:val="00AE6D6B"/>
    <w:rsid w:val="00AE795D"/>
    <w:rsid w:val="00AF0CFC"/>
    <w:rsid w:val="00AF137D"/>
    <w:rsid w:val="00AF1686"/>
    <w:rsid w:val="00AF27D2"/>
    <w:rsid w:val="00AF4102"/>
    <w:rsid w:val="00AF68A0"/>
    <w:rsid w:val="00B01E41"/>
    <w:rsid w:val="00B03F66"/>
    <w:rsid w:val="00B04222"/>
    <w:rsid w:val="00B05B38"/>
    <w:rsid w:val="00B05C8D"/>
    <w:rsid w:val="00B05D7B"/>
    <w:rsid w:val="00B0748A"/>
    <w:rsid w:val="00B078B5"/>
    <w:rsid w:val="00B07B99"/>
    <w:rsid w:val="00B1048C"/>
    <w:rsid w:val="00B1126F"/>
    <w:rsid w:val="00B115F4"/>
    <w:rsid w:val="00B140F0"/>
    <w:rsid w:val="00B14242"/>
    <w:rsid w:val="00B14614"/>
    <w:rsid w:val="00B16AE5"/>
    <w:rsid w:val="00B20603"/>
    <w:rsid w:val="00B20B88"/>
    <w:rsid w:val="00B20F00"/>
    <w:rsid w:val="00B21A68"/>
    <w:rsid w:val="00B25EF9"/>
    <w:rsid w:val="00B25FC9"/>
    <w:rsid w:val="00B26A99"/>
    <w:rsid w:val="00B26EB8"/>
    <w:rsid w:val="00B274E3"/>
    <w:rsid w:val="00B30654"/>
    <w:rsid w:val="00B32002"/>
    <w:rsid w:val="00B321DD"/>
    <w:rsid w:val="00B32ED2"/>
    <w:rsid w:val="00B330FC"/>
    <w:rsid w:val="00B34F44"/>
    <w:rsid w:val="00B36033"/>
    <w:rsid w:val="00B4112B"/>
    <w:rsid w:val="00B4220F"/>
    <w:rsid w:val="00B44B1F"/>
    <w:rsid w:val="00B44CA8"/>
    <w:rsid w:val="00B46CAC"/>
    <w:rsid w:val="00B473B8"/>
    <w:rsid w:val="00B50752"/>
    <w:rsid w:val="00B5148A"/>
    <w:rsid w:val="00B52B87"/>
    <w:rsid w:val="00B5425E"/>
    <w:rsid w:val="00B551B5"/>
    <w:rsid w:val="00B56122"/>
    <w:rsid w:val="00B56327"/>
    <w:rsid w:val="00B569E3"/>
    <w:rsid w:val="00B56DDE"/>
    <w:rsid w:val="00B5719E"/>
    <w:rsid w:val="00B57B52"/>
    <w:rsid w:val="00B60FFE"/>
    <w:rsid w:val="00B61DA4"/>
    <w:rsid w:val="00B620A1"/>
    <w:rsid w:val="00B6253A"/>
    <w:rsid w:val="00B626EC"/>
    <w:rsid w:val="00B63773"/>
    <w:rsid w:val="00B6380B"/>
    <w:rsid w:val="00B64563"/>
    <w:rsid w:val="00B64BDE"/>
    <w:rsid w:val="00B65721"/>
    <w:rsid w:val="00B66B0E"/>
    <w:rsid w:val="00B66DF1"/>
    <w:rsid w:val="00B71812"/>
    <w:rsid w:val="00B71C09"/>
    <w:rsid w:val="00B7279F"/>
    <w:rsid w:val="00B72C1A"/>
    <w:rsid w:val="00B7358E"/>
    <w:rsid w:val="00B739DE"/>
    <w:rsid w:val="00B741B1"/>
    <w:rsid w:val="00B745C3"/>
    <w:rsid w:val="00B74CB4"/>
    <w:rsid w:val="00B74F42"/>
    <w:rsid w:val="00B76A00"/>
    <w:rsid w:val="00B76E73"/>
    <w:rsid w:val="00B76F78"/>
    <w:rsid w:val="00B771F5"/>
    <w:rsid w:val="00B77232"/>
    <w:rsid w:val="00B77B3A"/>
    <w:rsid w:val="00B77C2A"/>
    <w:rsid w:val="00B806EF"/>
    <w:rsid w:val="00B828DE"/>
    <w:rsid w:val="00B82A06"/>
    <w:rsid w:val="00B85395"/>
    <w:rsid w:val="00B854CB"/>
    <w:rsid w:val="00B919DB"/>
    <w:rsid w:val="00B95C5B"/>
    <w:rsid w:val="00B96508"/>
    <w:rsid w:val="00B9699F"/>
    <w:rsid w:val="00B97B75"/>
    <w:rsid w:val="00BA2772"/>
    <w:rsid w:val="00BA29C9"/>
    <w:rsid w:val="00BA380C"/>
    <w:rsid w:val="00BA4B5A"/>
    <w:rsid w:val="00BA579A"/>
    <w:rsid w:val="00BA7B1E"/>
    <w:rsid w:val="00BA7E51"/>
    <w:rsid w:val="00BB02D7"/>
    <w:rsid w:val="00BB0318"/>
    <w:rsid w:val="00BB0D5D"/>
    <w:rsid w:val="00BB154D"/>
    <w:rsid w:val="00BB18CF"/>
    <w:rsid w:val="00BB22CF"/>
    <w:rsid w:val="00BB2F26"/>
    <w:rsid w:val="00BB3776"/>
    <w:rsid w:val="00BB43AE"/>
    <w:rsid w:val="00BB4844"/>
    <w:rsid w:val="00BB5572"/>
    <w:rsid w:val="00BB5AA7"/>
    <w:rsid w:val="00BB7F17"/>
    <w:rsid w:val="00BC0C31"/>
    <w:rsid w:val="00BC0F14"/>
    <w:rsid w:val="00BC1159"/>
    <w:rsid w:val="00BC45C6"/>
    <w:rsid w:val="00BC4A1C"/>
    <w:rsid w:val="00BC4BFE"/>
    <w:rsid w:val="00BC5DBB"/>
    <w:rsid w:val="00BC5E92"/>
    <w:rsid w:val="00BC61E8"/>
    <w:rsid w:val="00BC62CE"/>
    <w:rsid w:val="00BC6AAC"/>
    <w:rsid w:val="00BC6F76"/>
    <w:rsid w:val="00BD1C88"/>
    <w:rsid w:val="00BD1EDA"/>
    <w:rsid w:val="00BD37C0"/>
    <w:rsid w:val="00BD429C"/>
    <w:rsid w:val="00BD4B70"/>
    <w:rsid w:val="00BD5094"/>
    <w:rsid w:val="00BD62C5"/>
    <w:rsid w:val="00BD67DE"/>
    <w:rsid w:val="00BD71FF"/>
    <w:rsid w:val="00BD7F6F"/>
    <w:rsid w:val="00BE0044"/>
    <w:rsid w:val="00BE0CBA"/>
    <w:rsid w:val="00BE1EF9"/>
    <w:rsid w:val="00BE2C5C"/>
    <w:rsid w:val="00BE2DFA"/>
    <w:rsid w:val="00BE3BCB"/>
    <w:rsid w:val="00BE574D"/>
    <w:rsid w:val="00BE61DE"/>
    <w:rsid w:val="00BE6563"/>
    <w:rsid w:val="00BE65FE"/>
    <w:rsid w:val="00BE7A6A"/>
    <w:rsid w:val="00BF08E9"/>
    <w:rsid w:val="00BF09AC"/>
    <w:rsid w:val="00BF0D10"/>
    <w:rsid w:val="00BF0EA4"/>
    <w:rsid w:val="00BF1173"/>
    <w:rsid w:val="00BF16B8"/>
    <w:rsid w:val="00BF32BC"/>
    <w:rsid w:val="00BF40A6"/>
    <w:rsid w:val="00BF4AEB"/>
    <w:rsid w:val="00BF527E"/>
    <w:rsid w:val="00BF5559"/>
    <w:rsid w:val="00BF5931"/>
    <w:rsid w:val="00BF6753"/>
    <w:rsid w:val="00BF7E46"/>
    <w:rsid w:val="00C00797"/>
    <w:rsid w:val="00C01C4C"/>
    <w:rsid w:val="00C01D50"/>
    <w:rsid w:val="00C023DF"/>
    <w:rsid w:val="00C05150"/>
    <w:rsid w:val="00C05FA6"/>
    <w:rsid w:val="00C064B3"/>
    <w:rsid w:val="00C07DB9"/>
    <w:rsid w:val="00C124BD"/>
    <w:rsid w:val="00C12E3C"/>
    <w:rsid w:val="00C13A04"/>
    <w:rsid w:val="00C13F43"/>
    <w:rsid w:val="00C14698"/>
    <w:rsid w:val="00C14999"/>
    <w:rsid w:val="00C14BAD"/>
    <w:rsid w:val="00C15321"/>
    <w:rsid w:val="00C158BC"/>
    <w:rsid w:val="00C16202"/>
    <w:rsid w:val="00C16887"/>
    <w:rsid w:val="00C168F5"/>
    <w:rsid w:val="00C1728A"/>
    <w:rsid w:val="00C17658"/>
    <w:rsid w:val="00C203E4"/>
    <w:rsid w:val="00C21C63"/>
    <w:rsid w:val="00C2248D"/>
    <w:rsid w:val="00C2388A"/>
    <w:rsid w:val="00C2399D"/>
    <w:rsid w:val="00C249BB"/>
    <w:rsid w:val="00C25CD7"/>
    <w:rsid w:val="00C26BFC"/>
    <w:rsid w:val="00C27019"/>
    <w:rsid w:val="00C279AB"/>
    <w:rsid w:val="00C310D5"/>
    <w:rsid w:val="00C317C6"/>
    <w:rsid w:val="00C32D23"/>
    <w:rsid w:val="00C338F3"/>
    <w:rsid w:val="00C37CA9"/>
    <w:rsid w:val="00C409BE"/>
    <w:rsid w:val="00C40F10"/>
    <w:rsid w:val="00C41472"/>
    <w:rsid w:val="00C42318"/>
    <w:rsid w:val="00C43E7B"/>
    <w:rsid w:val="00C44D09"/>
    <w:rsid w:val="00C4594B"/>
    <w:rsid w:val="00C46444"/>
    <w:rsid w:val="00C50DBC"/>
    <w:rsid w:val="00C52E32"/>
    <w:rsid w:val="00C54575"/>
    <w:rsid w:val="00C554AA"/>
    <w:rsid w:val="00C569AA"/>
    <w:rsid w:val="00C56C53"/>
    <w:rsid w:val="00C600DC"/>
    <w:rsid w:val="00C610B6"/>
    <w:rsid w:val="00C615D4"/>
    <w:rsid w:val="00C61859"/>
    <w:rsid w:val="00C61E49"/>
    <w:rsid w:val="00C62FF3"/>
    <w:rsid w:val="00C6312F"/>
    <w:rsid w:val="00C63465"/>
    <w:rsid w:val="00C636C4"/>
    <w:rsid w:val="00C65917"/>
    <w:rsid w:val="00C65970"/>
    <w:rsid w:val="00C659BE"/>
    <w:rsid w:val="00C660A5"/>
    <w:rsid w:val="00C6649B"/>
    <w:rsid w:val="00C66F1E"/>
    <w:rsid w:val="00C66F70"/>
    <w:rsid w:val="00C670C6"/>
    <w:rsid w:val="00C67135"/>
    <w:rsid w:val="00C731FC"/>
    <w:rsid w:val="00C74409"/>
    <w:rsid w:val="00C7474C"/>
    <w:rsid w:val="00C74CF7"/>
    <w:rsid w:val="00C74EA0"/>
    <w:rsid w:val="00C74F14"/>
    <w:rsid w:val="00C761E7"/>
    <w:rsid w:val="00C7731A"/>
    <w:rsid w:val="00C77437"/>
    <w:rsid w:val="00C7792B"/>
    <w:rsid w:val="00C8010B"/>
    <w:rsid w:val="00C8089B"/>
    <w:rsid w:val="00C80DAD"/>
    <w:rsid w:val="00C81CA3"/>
    <w:rsid w:val="00C8311D"/>
    <w:rsid w:val="00C83EC6"/>
    <w:rsid w:val="00C85F5A"/>
    <w:rsid w:val="00C86E29"/>
    <w:rsid w:val="00C879FB"/>
    <w:rsid w:val="00C90171"/>
    <w:rsid w:val="00C91D08"/>
    <w:rsid w:val="00C92EF2"/>
    <w:rsid w:val="00C94614"/>
    <w:rsid w:val="00C94BEB"/>
    <w:rsid w:val="00C96069"/>
    <w:rsid w:val="00C962DE"/>
    <w:rsid w:val="00C96375"/>
    <w:rsid w:val="00C97B00"/>
    <w:rsid w:val="00CA0D50"/>
    <w:rsid w:val="00CA15E1"/>
    <w:rsid w:val="00CA1CB5"/>
    <w:rsid w:val="00CA5044"/>
    <w:rsid w:val="00CA5E14"/>
    <w:rsid w:val="00CA7533"/>
    <w:rsid w:val="00CB0BA9"/>
    <w:rsid w:val="00CB266E"/>
    <w:rsid w:val="00CB3787"/>
    <w:rsid w:val="00CB3F84"/>
    <w:rsid w:val="00CB46A9"/>
    <w:rsid w:val="00CB4764"/>
    <w:rsid w:val="00CB6909"/>
    <w:rsid w:val="00CB694E"/>
    <w:rsid w:val="00CB6DB5"/>
    <w:rsid w:val="00CB6FC0"/>
    <w:rsid w:val="00CB7B9B"/>
    <w:rsid w:val="00CC238E"/>
    <w:rsid w:val="00CC2D3B"/>
    <w:rsid w:val="00CC3E89"/>
    <w:rsid w:val="00CC5115"/>
    <w:rsid w:val="00CC612B"/>
    <w:rsid w:val="00CC66AC"/>
    <w:rsid w:val="00CC69AF"/>
    <w:rsid w:val="00CC6C43"/>
    <w:rsid w:val="00CC743B"/>
    <w:rsid w:val="00CC750F"/>
    <w:rsid w:val="00CD1482"/>
    <w:rsid w:val="00CD1918"/>
    <w:rsid w:val="00CD325B"/>
    <w:rsid w:val="00CD557A"/>
    <w:rsid w:val="00CD6981"/>
    <w:rsid w:val="00CE016B"/>
    <w:rsid w:val="00CE17F8"/>
    <w:rsid w:val="00CE4770"/>
    <w:rsid w:val="00CE592E"/>
    <w:rsid w:val="00CE5FA3"/>
    <w:rsid w:val="00CE6D62"/>
    <w:rsid w:val="00CE7FD8"/>
    <w:rsid w:val="00CF0C1C"/>
    <w:rsid w:val="00CF3572"/>
    <w:rsid w:val="00CF418A"/>
    <w:rsid w:val="00CF43C5"/>
    <w:rsid w:val="00CF45B7"/>
    <w:rsid w:val="00CF4EB0"/>
    <w:rsid w:val="00CF50DD"/>
    <w:rsid w:val="00CF5479"/>
    <w:rsid w:val="00D007EC"/>
    <w:rsid w:val="00D00B33"/>
    <w:rsid w:val="00D00DCD"/>
    <w:rsid w:val="00D01A11"/>
    <w:rsid w:val="00D01C7B"/>
    <w:rsid w:val="00D026F2"/>
    <w:rsid w:val="00D02A07"/>
    <w:rsid w:val="00D03442"/>
    <w:rsid w:val="00D03B80"/>
    <w:rsid w:val="00D03D0B"/>
    <w:rsid w:val="00D0448A"/>
    <w:rsid w:val="00D0481B"/>
    <w:rsid w:val="00D06BFF"/>
    <w:rsid w:val="00D073A2"/>
    <w:rsid w:val="00D07C58"/>
    <w:rsid w:val="00D12FB5"/>
    <w:rsid w:val="00D13FF4"/>
    <w:rsid w:val="00D14D20"/>
    <w:rsid w:val="00D1545D"/>
    <w:rsid w:val="00D1551D"/>
    <w:rsid w:val="00D16EE8"/>
    <w:rsid w:val="00D1791F"/>
    <w:rsid w:val="00D20ACE"/>
    <w:rsid w:val="00D212D1"/>
    <w:rsid w:val="00D21C5D"/>
    <w:rsid w:val="00D23C8C"/>
    <w:rsid w:val="00D24510"/>
    <w:rsid w:val="00D2451E"/>
    <w:rsid w:val="00D24D18"/>
    <w:rsid w:val="00D25198"/>
    <w:rsid w:val="00D25E20"/>
    <w:rsid w:val="00D25F79"/>
    <w:rsid w:val="00D27E89"/>
    <w:rsid w:val="00D30C7D"/>
    <w:rsid w:val="00D31055"/>
    <w:rsid w:val="00D32A86"/>
    <w:rsid w:val="00D34091"/>
    <w:rsid w:val="00D349F8"/>
    <w:rsid w:val="00D35146"/>
    <w:rsid w:val="00D37970"/>
    <w:rsid w:val="00D40445"/>
    <w:rsid w:val="00D40EB7"/>
    <w:rsid w:val="00D43423"/>
    <w:rsid w:val="00D43895"/>
    <w:rsid w:val="00D44D60"/>
    <w:rsid w:val="00D474A9"/>
    <w:rsid w:val="00D501A8"/>
    <w:rsid w:val="00D51E61"/>
    <w:rsid w:val="00D52D5A"/>
    <w:rsid w:val="00D52DB8"/>
    <w:rsid w:val="00D5339E"/>
    <w:rsid w:val="00D538FE"/>
    <w:rsid w:val="00D55210"/>
    <w:rsid w:val="00D61300"/>
    <w:rsid w:val="00D6205F"/>
    <w:rsid w:val="00D63615"/>
    <w:rsid w:val="00D64507"/>
    <w:rsid w:val="00D64A70"/>
    <w:rsid w:val="00D64C3A"/>
    <w:rsid w:val="00D65D81"/>
    <w:rsid w:val="00D66045"/>
    <w:rsid w:val="00D670B5"/>
    <w:rsid w:val="00D675F6"/>
    <w:rsid w:val="00D70D77"/>
    <w:rsid w:val="00D71582"/>
    <w:rsid w:val="00D71F89"/>
    <w:rsid w:val="00D738E8"/>
    <w:rsid w:val="00D73E24"/>
    <w:rsid w:val="00D740BE"/>
    <w:rsid w:val="00D75003"/>
    <w:rsid w:val="00D75227"/>
    <w:rsid w:val="00D7538D"/>
    <w:rsid w:val="00D76169"/>
    <w:rsid w:val="00D7628D"/>
    <w:rsid w:val="00D772F2"/>
    <w:rsid w:val="00D77B9E"/>
    <w:rsid w:val="00D81514"/>
    <w:rsid w:val="00D81A2B"/>
    <w:rsid w:val="00D81DD4"/>
    <w:rsid w:val="00D82991"/>
    <w:rsid w:val="00D83673"/>
    <w:rsid w:val="00D83D39"/>
    <w:rsid w:val="00D86498"/>
    <w:rsid w:val="00D869F1"/>
    <w:rsid w:val="00D86D8D"/>
    <w:rsid w:val="00D87F0D"/>
    <w:rsid w:val="00D91783"/>
    <w:rsid w:val="00D96893"/>
    <w:rsid w:val="00D969C0"/>
    <w:rsid w:val="00D96BE8"/>
    <w:rsid w:val="00DA02FD"/>
    <w:rsid w:val="00DA2D29"/>
    <w:rsid w:val="00DA3850"/>
    <w:rsid w:val="00DA3F2B"/>
    <w:rsid w:val="00DA699A"/>
    <w:rsid w:val="00DA726C"/>
    <w:rsid w:val="00DA78C7"/>
    <w:rsid w:val="00DB1118"/>
    <w:rsid w:val="00DB3FC3"/>
    <w:rsid w:val="00DB4208"/>
    <w:rsid w:val="00DB618E"/>
    <w:rsid w:val="00DB6FE1"/>
    <w:rsid w:val="00DC0F05"/>
    <w:rsid w:val="00DC2CC9"/>
    <w:rsid w:val="00DC3A24"/>
    <w:rsid w:val="00DC4BEE"/>
    <w:rsid w:val="00DC5EF5"/>
    <w:rsid w:val="00DC770C"/>
    <w:rsid w:val="00DC7B58"/>
    <w:rsid w:val="00DD031A"/>
    <w:rsid w:val="00DD150A"/>
    <w:rsid w:val="00DD245F"/>
    <w:rsid w:val="00DD28C6"/>
    <w:rsid w:val="00DD2CD7"/>
    <w:rsid w:val="00DD3C74"/>
    <w:rsid w:val="00DD4B01"/>
    <w:rsid w:val="00DD53EB"/>
    <w:rsid w:val="00DD7CF9"/>
    <w:rsid w:val="00DE0FC4"/>
    <w:rsid w:val="00DE10DB"/>
    <w:rsid w:val="00DE2A12"/>
    <w:rsid w:val="00DE3CC6"/>
    <w:rsid w:val="00DE4B1B"/>
    <w:rsid w:val="00DE5B7B"/>
    <w:rsid w:val="00DE5E04"/>
    <w:rsid w:val="00DE61D5"/>
    <w:rsid w:val="00DE69D4"/>
    <w:rsid w:val="00DE7177"/>
    <w:rsid w:val="00DF1456"/>
    <w:rsid w:val="00DF1C5D"/>
    <w:rsid w:val="00DF3596"/>
    <w:rsid w:val="00DF5B67"/>
    <w:rsid w:val="00DF71D9"/>
    <w:rsid w:val="00DF7A99"/>
    <w:rsid w:val="00E00578"/>
    <w:rsid w:val="00E035E7"/>
    <w:rsid w:val="00E0389C"/>
    <w:rsid w:val="00E05B1F"/>
    <w:rsid w:val="00E06B2A"/>
    <w:rsid w:val="00E073A1"/>
    <w:rsid w:val="00E07E87"/>
    <w:rsid w:val="00E11640"/>
    <w:rsid w:val="00E126CC"/>
    <w:rsid w:val="00E135FA"/>
    <w:rsid w:val="00E1375D"/>
    <w:rsid w:val="00E14ABD"/>
    <w:rsid w:val="00E15615"/>
    <w:rsid w:val="00E16798"/>
    <w:rsid w:val="00E1722F"/>
    <w:rsid w:val="00E20B6B"/>
    <w:rsid w:val="00E218CA"/>
    <w:rsid w:val="00E21B03"/>
    <w:rsid w:val="00E22D59"/>
    <w:rsid w:val="00E24B69"/>
    <w:rsid w:val="00E259A0"/>
    <w:rsid w:val="00E259DF"/>
    <w:rsid w:val="00E30499"/>
    <w:rsid w:val="00E30F59"/>
    <w:rsid w:val="00E3192B"/>
    <w:rsid w:val="00E31D44"/>
    <w:rsid w:val="00E32B06"/>
    <w:rsid w:val="00E32FBE"/>
    <w:rsid w:val="00E352CF"/>
    <w:rsid w:val="00E42701"/>
    <w:rsid w:val="00E430AB"/>
    <w:rsid w:val="00E43688"/>
    <w:rsid w:val="00E437B8"/>
    <w:rsid w:val="00E44B71"/>
    <w:rsid w:val="00E45B13"/>
    <w:rsid w:val="00E462FB"/>
    <w:rsid w:val="00E4660D"/>
    <w:rsid w:val="00E5012A"/>
    <w:rsid w:val="00E50494"/>
    <w:rsid w:val="00E512F6"/>
    <w:rsid w:val="00E52926"/>
    <w:rsid w:val="00E5378F"/>
    <w:rsid w:val="00E53CC9"/>
    <w:rsid w:val="00E5518C"/>
    <w:rsid w:val="00E55E0D"/>
    <w:rsid w:val="00E609D9"/>
    <w:rsid w:val="00E61A07"/>
    <w:rsid w:val="00E62218"/>
    <w:rsid w:val="00E656F4"/>
    <w:rsid w:val="00E65901"/>
    <w:rsid w:val="00E66DDC"/>
    <w:rsid w:val="00E675E3"/>
    <w:rsid w:val="00E70DCC"/>
    <w:rsid w:val="00E73406"/>
    <w:rsid w:val="00E73F80"/>
    <w:rsid w:val="00E74A79"/>
    <w:rsid w:val="00E7550F"/>
    <w:rsid w:val="00E7585D"/>
    <w:rsid w:val="00E75BE0"/>
    <w:rsid w:val="00E7745B"/>
    <w:rsid w:val="00E8075A"/>
    <w:rsid w:val="00E807E8"/>
    <w:rsid w:val="00E80A10"/>
    <w:rsid w:val="00E826A0"/>
    <w:rsid w:val="00E826F1"/>
    <w:rsid w:val="00E83EFD"/>
    <w:rsid w:val="00E85715"/>
    <w:rsid w:val="00E918EB"/>
    <w:rsid w:val="00E928A9"/>
    <w:rsid w:val="00E93160"/>
    <w:rsid w:val="00E9469B"/>
    <w:rsid w:val="00EA0A9D"/>
    <w:rsid w:val="00EA10E7"/>
    <w:rsid w:val="00EA14FE"/>
    <w:rsid w:val="00EA1521"/>
    <w:rsid w:val="00EA2033"/>
    <w:rsid w:val="00EA3D39"/>
    <w:rsid w:val="00EA4395"/>
    <w:rsid w:val="00EA45C8"/>
    <w:rsid w:val="00EA4CD1"/>
    <w:rsid w:val="00EA5E43"/>
    <w:rsid w:val="00EA6D59"/>
    <w:rsid w:val="00EA7E09"/>
    <w:rsid w:val="00EB0103"/>
    <w:rsid w:val="00EB134E"/>
    <w:rsid w:val="00EB1456"/>
    <w:rsid w:val="00EB22F8"/>
    <w:rsid w:val="00EB2567"/>
    <w:rsid w:val="00EB3559"/>
    <w:rsid w:val="00EB35A2"/>
    <w:rsid w:val="00EB5F93"/>
    <w:rsid w:val="00EC22AA"/>
    <w:rsid w:val="00EC22B1"/>
    <w:rsid w:val="00EC2A0B"/>
    <w:rsid w:val="00EC2D54"/>
    <w:rsid w:val="00EC3803"/>
    <w:rsid w:val="00EC62B7"/>
    <w:rsid w:val="00EC72CD"/>
    <w:rsid w:val="00EC7E46"/>
    <w:rsid w:val="00ED1980"/>
    <w:rsid w:val="00ED3854"/>
    <w:rsid w:val="00ED3877"/>
    <w:rsid w:val="00ED3A0B"/>
    <w:rsid w:val="00ED5388"/>
    <w:rsid w:val="00ED66C0"/>
    <w:rsid w:val="00ED6BA8"/>
    <w:rsid w:val="00ED6CEB"/>
    <w:rsid w:val="00ED6ECA"/>
    <w:rsid w:val="00ED7800"/>
    <w:rsid w:val="00ED78F7"/>
    <w:rsid w:val="00EE0D2C"/>
    <w:rsid w:val="00EE12F2"/>
    <w:rsid w:val="00EE1BAF"/>
    <w:rsid w:val="00EE39EB"/>
    <w:rsid w:val="00EE4F69"/>
    <w:rsid w:val="00EE5E92"/>
    <w:rsid w:val="00EE66B9"/>
    <w:rsid w:val="00EE6DD9"/>
    <w:rsid w:val="00EE7321"/>
    <w:rsid w:val="00EE7463"/>
    <w:rsid w:val="00EF00EC"/>
    <w:rsid w:val="00EF0CF4"/>
    <w:rsid w:val="00EF104E"/>
    <w:rsid w:val="00EF1C48"/>
    <w:rsid w:val="00EF3773"/>
    <w:rsid w:val="00EF4588"/>
    <w:rsid w:val="00EF4A59"/>
    <w:rsid w:val="00EF54C3"/>
    <w:rsid w:val="00EF6529"/>
    <w:rsid w:val="00EF6A92"/>
    <w:rsid w:val="00F005C0"/>
    <w:rsid w:val="00F041BD"/>
    <w:rsid w:val="00F0432F"/>
    <w:rsid w:val="00F04F4A"/>
    <w:rsid w:val="00F05D61"/>
    <w:rsid w:val="00F0655E"/>
    <w:rsid w:val="00F06DF4"/>
    <w:rsid w:val="00F10C58"/>
    <w:rsid w:val="00F11012"/>
    <w:rsid w:val="00F114E6"/>
    <w:rsid w:val="00F12781"/>
    <w:rsid w:val="00F130CA"/>
    <w:rsid w:val="00F136A5"/>
    <w:rsid w:val="00F149E7"/>
    <w:rsid w:val="00F17134"/>
    <w:rsid w:val="00F2314D"/>
    <w:rsid w:val="00F234EA"/>
    <w:rsid w:val="00F24BCA"/>
    <w:rsid w:val="00F25F8B"/>
    <w:rsid w:val="00F266BA"/>
    <w:rsid w:val="00F26E4F"/>
    <w:rsid w:val="00F26F8C"/>
    <w:rsid w:val="00F308BC"/>
    <w:rsid w:val="00F30A50"/>
    <w:rsid w:val="00F30CE6"/>
    <w:rsid w:val="00F3260A"/>
    <w:rsid w:val="00F32E93"/>
    <w:rsid w:val="00F33132"/>
    <w:rsid w:val="00F377D6"/>
    <w:rsid w:val="00F42124"/>
    <w:rsid w:val="00F421C5"/>
    <w:rsid w:val="00F434A1"/>
    <w:rsid w:val="00F43A17"/>
    <w:rsid w:val="00F45025"/>
    <w:rsid w:val="00F4647A"/>
    <w:rsid w:val="00F51283"/>
    <w:rsid w:val="00F52849"/>
    <w:rsid w:val="00F5359B"/>
    <w:rsid w:val="00F54CB5"/>
    <w:rsid w:val="00F55554"/>
    <w:rsid w:val="00F55689"/>
    <w:rsid w:val="00F56C47"/>
    <w:rsid w:val="00F633CE"/>
    <w:rsid w:val="00F63467"/>
    <w:rsid w:val="00F6402E"/>
    <w:rsid w:val="00F640B8"/>
    <w:rsid w:val="00F660C4"/>
    <w:rsid w:val="00F67A0F"/>
    <w:rsid w:val="00F721E9"/>
    <w:rsid w:val="00F72DF0"/>
    <w:rsid w:val="00F72EDB"/>
    <w:rsid w:val="00F739E3"/>
    <w:rsid w:val="00F73C24"/>
    <w:rsid w:val="00F740FB"/>
    <w:rsid w:val="00F7545B"/>
    <w:rsid w:val="00F75AB2"/>
    <w:rsid w:val="00F7608B"/>
    <w:rsid w:val="00F77474"/>
    <w:rsid w:val="00F77C5D"/>
    <w:rsid w:val="00F77EE2"/>
    <w:rsid w:val="00F802DA"/>
    <w:rsid w:val="00F80540"/>
    <w:rsid w:val="00F81E30"/>
    <w:rsid w:val="00F822DA"/>
    <w:rsid w:val="00F823DD"/>
    <w:rsid w:val="00F82BE9"/>
    <w:rsid w:val="00F832E7"/>
    <w:rsid w:val="00F8356F"/>
    <w:rsid w:val="00F83F0F"/>
    <w:rsid w:val="00F84465"/>
    <w:rsid w:val="00F86F9B"/>
    <w:rsid w:val="00F9008C"/>
    <w:rsid w:val="00F92976"/>
    <w:rsid w:val="00F93891"/>
    <w:rsid w:val="00F9393C"/>
    <w:rsid w:val="00F93EF1"/>
    <w:rsid w:val="00F94980"/>
    <w:rsid w:val="00F95703"/>
    <w:rsid w:val="00F95FEF"/>
    <w:rsid w:val="00F9664C"/>
    <w:rsid w:val="00F970BD"/>
    <w:rsid w:val="00FA22AB"/>
    <w:rsid w:val="00FA29C9"/>
    <w:rsid w:val="00FA368C"/>
    <w:rsid w:val="00FA37FD"/>
    <w:rsid w:val="00FA4277"/>
    <w:rsid w:val="00FA4A29"/>
    <w:rsid w:val="00FA4D8D"/>
    <w:rsid w:val="00FA56DB"/>
    <w:rsid w:val="00FA5726"/>
    <w:rsid w:val="00FB02F9"/>
    <w:rsid w:val="00FB1629"/>
    <w:rsid w:val="00FB2342"/>
    <w:rsid w:val="00FB2E93"/>
    <w:rsid w:val="00FB3F7F"/>
    <w:rsid w:val="00FB6F13"/>
    <w:rsid w:val="00FB7FFC"/>
    <w:rsid w:val="00FC0488"/>
    <w:rsid w:val="00FC0844"/>
    <w:rsid w:val="00FC0F78"/>
    <w:rsid w:val="00FC0FDE"/>
    <w:rsid w:val="00FC210E"/>
    <w:rsid w:val="00FC3006"/>
    <w:rsid w:val="00FC37C6"/>
    <w:rsid w:val="00FC4701"/>
    <w:rsid w:val="00FC4CB6"/>
    <w:rsid w:val="00FC513B"/>
    <w:rsid w:val="00FC5BB8"/>
    <w:rsid w:val="00FC7126"/>
    <w:rsid w:val="00FC74B0"/>
    <w:rsid w:val="00FD16B2"/>
    <w:rsid w:val="00FD18CF"/>
    <w:rsid w:val="00FD18F8"/>
    <w:rsid w:val="00FD3612"/>
    <w:rsid w:val="00FD388D"/>
    <w:rsid w:val="00FD509C"/>
    <w:rsid w:val="00FD59E5"/>
    <w:rsid w:val="00FD5DD2"/>
    <w:rsid w:val="00FD720F"/>
    <w:rsid w:val="00FD7ED6"/>
    <w:rsid w:val="00FE0F75"/>
    <w:rsid w:val="00FE1691"/>
    <w:rsid w:val="00FE1899"/>
    <w:rsid w:val="00FE45A4"/>
    <w:rsid w:val="00FE5753"/>
    <w:rsid w:val="00FE5C2A"/>
    <w:rsid w:val="00FE61B4"/>
    <w:rsid w:val="00FE6855"/>
    <w:rsid w:val="00FE6F30"/>
    <w:rsid w:val="00FF34A3"/>
    <w:rsid w:val="00FF56C8"/>
    <w:rsid w:val="03D90A21"/>
    <w:rsid w:val="041F6FE3"/>
    <w:rsid w:val="056E757F"/>
    <w:rsid w:val="060D6DDF"/>
    <w:rsid w:val="06A43BAB"/>
    <w:rsid w:val="07702757"/>
    <w:rsid w:val="08377E17"/>
    <w:rsid w:val="08AA1C52"/>
    <w:rsid w:val="08C5051D"/>
    <w:rsid w:val="093F00C5"/>
    <w:rsid w:val="0A5D0C27"/>
    <w:rsid w:val="0A68116C"/>
    <w:rsid w:val="0AC25817"/>
    <w:rsid w:val="0B5E41F0"/>
    <w:rsid w:val="0CC6517C"/>
    <w:rsid w:val="0F3854A0"/>
    <w:rsid w:val="0F843743"/>
    <w:rsid w:val="103222C1"/>
    <w:rsid w:val="12F952FE"/>
    <w:rsid w:val="1339506D"/>
    <w:rsid w:val="144E1C12"/>
    <w:rsid w:val="151E1210"/>
    <w:rsid w:val="16785501"/>
    <w:rsid w:val="17146AFF"/>
    <w:rsid w:val="17A20235"/>
    <w:rsid w:val="188A5023"/>
    <w:rsid w:val="19803C6D"/>
    <w:rsid w:val="1B3B7780"/>
    <w:rsid w:val="1DB45F00"/>
    <w:rsid w:val="1DC91B66"/>
    <w:rsid w:val="1ED8333D"/>
    <w:rsid w:val="1EE33C50"/>
    <w:rsid w:val="1FAE12B7"/>
    <w:rsid w:val="21746610"/>
    <w:rsid w:val="219E5009"/>
    <w:rsid w:val="2241594A"/>
    <w:rsid w:val="2242536B"/>
    <w:rsid w:val="22BF29DD"/>
    <w:rsid w:val="238C7B13"/>
    <w:rsid w:val="23B240CE"/>
    <w:rsid w:val="258F58D6"/>
    <w:rsid w:val="264F766B"/>
    <w:rsid w:val="26592226"/>
    <w:rsid w:val="27510121"/>
    <w:rsid w:val="27B81E70"/>
    <w:rsid w:val="27B844F3"/>
    <w:rsid w:val="282C3CC8"/>
    <w:rsid w:val="283F237C"/>
    <w:rsid w:val="286F4A20"/>
    <w:rsid w:val="2A310804"/>
    <w:rsid w:val="2E0A74FA"/>
    <w:rsid w:val="2E757216"/>
    <w:rsid w:val="2E8205CB"/>
    <w:rsid w:val="2E9631B7"/>
    <w:rsid w:val="3015122F"/>
    <w:rsid w:val="3234090B"/>
    <w:rsid w:val="339A7B86"/>
    <w:rsid w:val="33C6637E"/>
    <w:rsid w:val="33F45F9C"/>
    <w:rsid w:val="35EB5210"/>
    <w:rsid w:val="37664023"/>
    <w:rsid w:val="37F9613B"/>
    <w:rsid w:val="380F706F"/>
    <w:rsid w:val="39DA6F5E"/>
    <w:rsid w:val="3A524F54"/>
    <w:rsid w:val="3BB57FCB"/>
    <w:rsid w:val="3BCC4B5D"/>
    <w:rsid w:val="3CE91A53"/>
    <w:rsid w:val="3CED4A43"/>
    <w:rsid w:val="3DFE3620"/>
    <w:rsid w:val="3EE55502"/>
    <w:rsid w:val="3EFE5311"/>
    <w:rsid w:val="3F175821"/>
    <w:rsid w:val="4089085E"/>
    <w:rsid w:val="40913BAA"/>
    <w:rsid w:val="426B2006"/>
    <w:rsid w:val="42FF5B0A"/>
    <w:rsid w:val="433C0191"/>
    <w:rsid w:val="439C2185"/>
    <w:rsid w:val="43B178EC"/>
    <w:rsid w:val="43BB6A91"/>
    <w:rsid w:val="44AF551B"/>
    <w:rsid w:val="49A236BF"/>
    <w:rsid w:val="49F938DD"/>
    <w:rsid w:val="4A1F10E9"/>
    <w:rsid w:val="4A912B60"/>
    <w:rsid w:val="4AA102D5"/>
    <w:rsid w:val="4E3C1C70"/>
    <w:rsid w:val="4EFC1334"/>
    <w:rsid w:val="5033000A"/>
    <w:rsid w:val="51BB197D"/>
    <w:rsid w:val="52833E81"/>
    <w:rsid w:val="52F505A0"/>
    <w:rsid w:val="533E5CE8"/>
    <w:rsid w:val="553E0619"/>
    <w:rsid w:val="55727370"/>
    <w:rsid w:val="567B3318"/>
    <w:rsid w:val="575C0FC8"/>
    <w:rsid w:val="579117BF"/>
    <w:rsid w:val="5811293C"/>
    <w:rsid w:val="587F2E51"/>
    <w:rsid w:val="59297708"/>
    <w:rsid w:val="5A6F172F"/>
    <w:rsid w:val="5D5019E7"/>
    <w:rsid w:val="5D52186F"/>
    <w:rsid w:val="5DE531B1"/>
    <w:rsid w:val="5E5068D1"/>
    <w:rsid w:val="5EDA0E4C"/>
    <w:rsid w:val="60661349"/>
    <w:rsid w:val="613B1D4A"/>
    <w:rsid w:val="61597875"/>
    <w:rsid w:val="647F0C6E"/>
    <w:rsid w:val="65E7746F"/>
    <w:rsid w:val="661F7906"/>
    <w:rsid w:val="67E3256F"/>
    <w:rsid w:val="67F678D3"/>
    <w:rsid w:val="683D3538"/>
    <w:rsid w:val="69486A18"/>
    <w:rsid w:val="69BF38B1"/>
    <w:rsid w:val="69EB0E5C"/>
    <w:rsid w:val="69EE7514"/>
    <w:rsid w:val="69F15658"/>
    <w:rsid w:val="6A6628AA"/>
    <w:rsid w:val="6AA9661F"/>
    <w:rsid w:val="6C021D2D"/>
    <w:rsid w:val="6CF730E0"/>
    <w:rsid w:val="6E1323A1"/>
    <w:rsid w:val="6E475D10"/>
    <w:rsid w:val="706570A3"/>
    <w:rsid w:val="71026CAA"/>
    <w:rsid w:val="7257086B"/>
    <w:rsid w:val="72F56848"/>
    <w:rsid w:val="74377A2C"/>
    <w:rsid w:val="746C262E"/>
    <w:rsid w:val="781D24F9"/>
    <w:rsid w:val="7B0952D1"/>
    <w:rsid w:val="7B2D2EE9"/>
    <w:rsid w:val="7C3663BD"/>
    <w:rsid w:val="7D83434B"/>
    <w:rsid w:val="7E0A01E4"/>
    <w:rsid w:val="7EAC1C7B"/>
    <w:rsid w:val="7EC83FED"/>
    <w:rsid w:val="7F322E2E"/>
    <w:rsid w:val="7F547F69"/>
  </w:rsids>
  <m:mathPr>
    <m:mathFont m:val="Cambria Math"/>
    <m:brkBin m:val="before"/>
    <m:brkBinSub m:val="--"/>
    <m:smallFrac m:val="0"/>
    <m:dispDef/>
    <m:lMargin m:val="0"/>
    <m:rMargin m:val="0"/>
    <m:defJc m:val="centerGroup"/>
    <m:wrapIndent m:val="1440"/>
    <m:intLim m:val="subSup"/>
    <m:naryLim m:val="undOvr"/>
  </m:mathPr>
  <w:doNotAutoCompressPictures/>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uiPriority="99" w:name="index 1" w:locked="1"/>
    <w:lsdException w:uiPriority="99" w:name="index 2" w:locked="1"/>
    <w:lsdException w:uiPriority="99" w:name="index 3" w:locked="1"/>
    <w:lsdException w:uiPriority="99" w:name="index 4" w:locked="1"/>
    <w:lsdException w:uiPriority="99" w:name="index 5" w:locked="1"/>
    <w:lsdException w:uiPriority="99" w:name="index 6" w:locked="1"/>
    <w:lsdException w:uiPriority="99" w:name="index 7" w:locked="1"/>
    <w:lsdException w:uiPriority="99" w:name="index 8" w:locked="1"/>
    <w:lsdException w:uiPriority="99" w:name="index 9" w:locked="1"/>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name="toc 4"/>
    <w:lsdException w:qFormat="1" w:unhideWhenUsed="0" w:uiPriority="99" w:name="toc 5"/>
    <w:lsdException w:qFormat="1" w:unhideWhenUsed="0" w:uiPriority="99" w:name="toc 6"/>
    <w:lsdException w:qFormat="1" w:unhideWhenUsed="0" w:uiPriority="99" w:name="toc 7"/>
    <w:lsdException w:qFormat="1" w:unhideWhenUsed="0" w:uiPriority="99" w:name="toc 8"/>
    <w:lsdException w:qFormat="1" w:unhideWhenUsed="0" w:uiPriority="99" w:name="toc 9"/>
    <w:lsdException w:qFormat="1" w:unhideWhenUsed="0" w:uiPriority="99" w:semiHidden="0" w:name="Normal Indent"/>
    <w:lsdException w:uiPriority="99" w:name="footnote text" w:locked="1"/>
    <w:lsdException w:uiPriority="99" w:name="annotation text" w:locked="1"/>
    <w:lsdException w:qFormat="1" w:unhideWhenUsed="0" w:uiPriority="99" w:semiHidden="0" w:name="header"/>
    <w:lsdException w:qFormat="1" w:unhideWhenUsed="0" w:uiPriority="99" w:semiHidden="0" w:name="footer"/>
    <w:lsdException w:uiPriority="99" w:name="index heading" w:locked="1"/>
    <w:lsdException w:qFormat="1" w:uiPriority="35" w:name="caption" w:locked="1"/>
    <w:lsdException w:uiPriority="99" w:name="table of figures" w:locked="1"/>
    <w:lsdException w:uiPriority="99" w:name="envelope address" w:locked="1"/>
    <w:lsdException w:uiPriority="99" w:name="envelope return" w:locked="1"/>
    <w:lsdException w:uiPriority="99" w:name="footnote reference" w:locked="1"/>
    <w:lsdException w:uiPriority="99" w:name="annotation reference" w:locked="1"/>
    <w:lsdException w:uiPriority="99" w:name="line number" w:locked="1"/>
    <w:lsdException w:qFormat="1" w:unhideWhenUsed="0" w:uiPriority="99" w:semiHidden="0" w:name="page number"/>
    <w:lsdException w:uiPriority="99" w:name="endnote reference" w:locked="1"/>
    <w:lsdException w:uiPriority="99" w:name="endnote text" w:locked="1"/>
    <w:lsdException w:uiPriority="99" w:name="table of authorities" w:locked="1"/>
    <w:lsdException w:uiPriority="99" w:name="macro" w:locked="1"/>
    <w:lsdException w:qFormat="1" w:unhideWhenUsed="0" w:uiPriority="99" w:name="toa heading"/>
    <w:lsdException w:qFormat="1" w:unhideWhenUsed="0" w:uiPriority="99" w:semiHidden="0" w:name="List"/>
    <w:lsdException w:qFormat="1" w:unhideWhenUsed="0" w:uiPriority="99" w:semiHidden="0" w:name="List Bullet"/>
    <w:lsdException w:uiPriority="99" w:name="List Number" w:locked="1"/>
    <w:lsdException w:uiPriority="99" w:name="List 2" w:locked="1"/>
    <w:lsdException w:uiPriority="99" w:name="List 3" w:locked="1"/>
    <w:lsdException w:uiPriority="99" w:name="List 4" w:locked="1"/>
    <w:lsdException w:uiPriority="99" w:name="List 5" w:locked="1"/>
    <w:lsdException w:uiPriority="99" w:name="List Bullet 2" w:locked="1"/>
    <w:lsdException w:uiPriority="99" w:name="List Bullet 3" w:locked="1"/>
    <w:lsdException w:uiPriority="99" w:name="List Bullet 4" w:locked="1"/>
    <w:lsdException w:uiPriority="99" w:name="List Bullet 5" w:locked="1"/>
    <w:lsdException w:uiPriority="99" w:name="List Number 2" w:locked="1"/>
    <w:lsdException w:uiPriority="99" w:name="List Number 3" w:locked="1"/>
    <w:lsdException w:uiPriority="99" w:name="List Number 4" w:locked="1"/>
    <w:lsdException w:uiPriority="99" w:name="List Number 5" w:locked="1"/>
    <w:lsdException w:qFormat="1" w:unhideWhenUsed="0" w:uiPriority="99" w:semiHidden="0" w:name="Title"/>
    <w:lsdException w:uiPriority="99" w:name="Closing" w:locked="1"/>
    <w:lsdException w:uiPriority="99" w:name="Signature" w:locked="1"/>
    <w:lsdException w:qFormat="1" w:unhideWhenUsed="0" w:uiPriority="99" w:name="Default Paragraph Font"/>
    <w:lsdException w:qFormat="1" w:unhideWhenUsed="0" w:uiPriority="99" w:semiHidden="0" w:name="Body Text"/>
    <w:lsdException w:qFormat="1" w:unhideWhenUsed="0" w:uiPriority="99" w:semiHidden="0" w:name="Body Text Indent"/>
    <w:lsdException w:uiPriority="99" w:name="List Continue" w:locked="1"/>
    <w:lsdException w:uiPriority="99" w:name="List Continue 2" w:locked="1"/>
    <w:lsdException w:uiPriority="99" w:name="List Continue 3" w:locked="1"/>
    <w:lsdException w:uiPriority="99" w:name="List Continue 4" w:locked="1"/>
    <w:lsdException w:uiPriority="99" w:name="List Continue 5" w:locked="1"/>
    <w:lsdException w:uiPriority="99" w:name="Message Header" w:locked="1"/>
    <w:lsdException w:qFormat="1" w:unhideWhenUsed="0" w:uiPriority="99" w:semiHidden="0" w:name="Subtitle"/>
    <w:lsdException w:uiPriority="99" w:name="Salutation" w:locked="1"/>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ocked="1"/>
    <w:lsdException w:qFormat="1" w:unhideWhenUsed="0" w:uiPriority="99" w:semiHidden="0" w:name="Body Text 2"/>
    <w:lsdException w:uiPriority="99" w:name="Body Text 3" w:locked="1"/>
    <w:lsdException w:qFormat="1" w:unhideWhenUsed="0" w:uiPriority="99" w:semiHidden="0" w:name="Body Text Indent 2"/>
    <w:lsdException w:qFormat="1" w:unhideWhenUsed="0" w:uiPriority="99" w:semiHidden="0" w:name="Body Text Indent 3"/>
    <w:lsdException w:uiPriority="99" w:name="Block Text" w:locked="1"/>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name="Document Map"/>
    <w:lsdException w:qFormat="1" w:unhideWhenUsed="0" w:uiPriority="99" w:semiHidden="0" w:name="Plain Text"/>
    <w:lsdException w:uiPriority="99" w:name="E-mail Signature" w:locked="1"/>
    <w:lsdException w:qFormat="1" w:unhideWhenUsed="0" w:uiPriority="99" w:semiHidden="0" w:name="Normal (Web)"/>
    <w:lsdException w:uiPriority="99" w:name="HTML Acronym" w:locked="1"/>
    <w:lsdException w:uiPriority="99" w:name="HTML Address" w:locked="1"/>
    <w:lsdException w:uiPriority="99" w:name="HTML Cite" w:locked="1"/>
    <w:lsdException w:uiPriority="99" w:name="HTML Code" w:locked="1"/>
    <w:lsdException w:uiPriority="99" w:name="HTML Definition" w:locked="1"/>
    <w:lsdException w:uiPriority="99" w:name="HTML Keyboard" w:locked="1"/>
    <w:lsdException w:qFormat="1" w:unhideWhenUsed="0" w:uiPriority="99" w:semiHidden="0" w:name="HTML Preformatted"/>
    <w:lsdException w:uiPriority="99" w:name="HTML Sample" w:locked="1"/>
    <w:lsdException w:uiPriority="99" w:name="HTML Typewriter" w:locked="1"/>
    <w:lsdException w:uiPriority="99" w:name="HTML Variable" w:locked="1"/>
    <w:lsdException w:qFormat="1" w:uiPriority="99" w:name="Normal Table"/>
    <w:lsdException w:uiPriority="99" w:name="annotation subject" w:locked="1"/>
    <w:lsdException w:qFormat="1" w:unhideWhenUsed="0" w:uiPriority="99" w:semiHidden="0" w:name="Table Simple 1"/>
    <w:lsdException w:uiPriority="99" w:name="Table Simple 2" w:locked="1"/>
    <w:lsdException w:uiPriority="99" w:name="Table Simple 3" w:locked="1"/>
    <w:lsdException w:uiPriority="99" w:name="Table Classic 1" w:locked="1"/>
    <w:lsdException w:uiPriority="99" w:name="Table Classic 2" w:locked="1"/>
    <w:lsdException w:uiPriority="99" w:name="Table Classic 3" w:locked="1"/>
    <w:lsdException w:uiPriority="99" w:name="Table Classic 4" w:locked="1"/>
    <w:lsdException w:uiPriority="99" w:name="Table Colorful 1" w:locked="1"/>
    <w:lsdException w:uiPriority="99" w:name="Table Colorful 2" w:locked="1"/>
    <w:lsdException w:uiPriority="99" w:name="Table Colorful 3" w:locked="1"/>
    <w:lsdException w:uiPriority="99" w:name="Table Columns 1" w:locked="1"/>
    <w:lsdException w:uiPriority="99" w:name="Table Columns 2" w:locked="1"/>
    <w:lsdException w:uiPriority="99" w:name="Table Columns 3" w:locked="1"/>
    <w:lsdException w:uiPriority="99" w:name="Table Columns 4" w:locked="1"/>
    <w:lsdException w:uiPriority="99" w:name="Table Columns 5" w:locked="1"/>
    <w:lsdException w:uiPriority="99" w:name="Table Grid 1" w:locked="1"/>
    <w:lsdException w:uiPriority="99" w:name="Table Grid 2" w:locked="1"/>
    <w:lsdException w:uiPriority="99" w:name="Table Grid 3" w:locked="1"/>
    <w:lsdException w:uiPriority="99" w:name="Table Grid 4" w:locked="1"/>
    <w:lsdException w:uiPriority="99" w:name="Table Grid 5" w:locked="1"/>
    <w:lsdException w:uiPriority="99" w:name="Table Grid 6" w:locked="1"/>
    <w:lsdException w:uiPriority="99" w:name="Table Grid 7" w:locked="1"/>
    <w:lsdException w:uiPriority="99" w:name="Table Grid 8" w:locked="1"/>
    <w:lsdException w:uiPriority="99" w:name="Table List 1" w:locked="1"/>
    <w:lsdException w:uiPriority="99" w:name="Table List 2" w:locked="1"/>
    <w:lsdException w:uiPriority="99" w:name="Table List 3" w:locked="1"/>
    <w:lsdException w:uiPriority="99" w:name="Table List 4" w:locked="1"/>
    <w:lsdException w:uiPriority="99" w:name="Table List 5" w:locked="1"/>
    <w:lsdException w:uiPriority="99" w:name="Table List 6" w:locked="1"/>
    <w:lsdException w:uiPriority="99" w:name="Table List 7" w:locked="1"/>
    <w:lsdException w:uiPriority="99" w:name="Table List 8" w:locked="1"/>
    <w:lsdException w:uiPriority="99" w:name="Table 3D effects 1" w:locked="1"/>
    <w:lsdException w:uiPriority="99" w:name="Table 3D effects 2" w:locked="1"/>
    <w:lsdException w:uiPriority="99" w:name="Table 3D effects 3" w:locked="1"/>
    <w:lsdException w:uiPriority="99" w:name="Table Contemporary" w:locked="1"/>
    <w:lsdException w:uiPriority="99" w:name="Table Elegant" w:locked="1"/>
    <w:lsdException w:uiPriority="99" w:name="Table Professional" w:locked="1"/>
    <w:lsdException w:uiPriority="99" w:name="Table Subtle 1" w:locked="1"/>
    <w:lsdException w:uiPriority="99" w:name="Table Subtle 2" w:locked="1"/>
    <w:lsdException w:uiPriority="99" w:name="Table Web 1" w:locked="1"/>
    <w:lsdException w:uiPriority="99" w:name="Table Web 2" w:locked="1"/>
    <w:lsdException w:uiPriority="99" w:name="Table Web 3" w:locked="1"/>
    <w:lsdException w:qFormat="1" w:unhideWhenUsed="0" w:uiPriority="99" w:name="Balloon Text"/>
    <w:lsdException w:qFormat="1" w:unhideWhenUsed="0" w:uiPriority="99" w:semiHidden="0" w:name="Table Grid"/>
    <w:lsdException w:uiPriority="99" w:name="Table Theme" w:locked="1"/>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4"/>
      <w:szCs w:val="24"/>
      <w:lang w:val="en-US" w:eastAsia="zh-CN" w:bidi="ar-SA"/>
    </w:rPr>
  </w:style>
  <w:style w:type="paragraph" w:styleId="2">
    <w:name w:val="heading 1"/>
    <w:basedOn w:val="1"/>
    <w:next w:val="1"/>
    <w:link w:val="50"/>
    <w:qFormat/>
    <w:uiPriority w:val="99"/>
    <w:pPr>
      <w:keepNext/>
      <w:keepLines/>
      <w:widowControl/>
      <w:spacing w:before="340" w:after="330" w:line="578" w:lineRule="auto"/>
      <w:jc w:val="left"/>
      <w:outlineLvl w:val="0"/>
    </w:pPr>
    <w:rPr>
      <w:rFonts w:ascii="宋体" w:hAnsi="宋体" w:cs="宋体"/>
      <w:b/>
      <w:bCs/>
      <w:kern w:val="44"/>
      <w:sz w:val="44"/>
      <w:szCs w:val="44"/>
    </w:rPr>
  </w:style>
  <w:style w:type="paragraph" w:styleId="3">
    <w:name w:val="heading 2"/>
    <w:basedOn w:val="1"/>
    <w:next w:val="1"/>
    <w:link w:val="51"/>
    <w:qFormat/>
    <w:uiPriority w:val="99"/>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52"/>
    <w:qFormat/>
    <w:uiPriority w:val="99"/>
    <w:pPr>
      <w:keepNext/>
      <w:keepLines/>
      <w:spacing w:before="260" w:after="260" w:line="416" w:lineRule="auto"/>
      <w:outlineLvl w:val="2"/>
    </w:pPr>
    <w:rPr>
      <w:b/>
      <w:bCs/>
      <w:sz w:val="28"/>
      <w:szCs w:val="32"/>
    </w:rPr>
  </w:style>
  <w:style w:type="paragraph" w:styleId="5">
    <w:name w:val="heading 4"/>
    <w:basedOn w:val="1"/>
    <w:next w:val="1"/>
    <w:link w:val="53"/>
    <w:qFormat/>
    <w:uiPriority w:val="99"/>
    <w:pPr>
      <w:keepNext/>
      <w:keepLines/>
      <w:widowControl/>
      <w:adjustRightInd w:val="0"/>
      <w:spacing w:before="120" w:line="400" w:lineRule="atLeast"/>
      <w:jc w:val="left"/>
      <w:textAlignment w:val="baseline"/>
      <w:outlineLvl w:val="3"/>
    </w:pPr>
    <w:rPr>
      <w:rFonts w:ascii="Arial" w:hAnsi="Arial" w:eastAsia="黑体" w:cs="宋体"/>
      <w:kern w:val="0"/>
      <w:szCs w:val="20"/>
    </w:rPr>
  </w:style>
  <w:style w:type="paragraph" w:styleId="6">
    <w:name w:val="heading 5"/>
    <w:basedOn w:val="1"/>
    <w:next w:val="1"/>
    <w:link w:val="54"/>
    <w:qFormat/>
    <w:uiPriority w:val="99"/>
    <w:pPr>
      <w:keepNext/>
      <w:keepLines/>
      <w:widowControl/>
      <w:numPr>
        <w:ilvl w:val="4"/>
        <w:numId w:val="1"/>
      </w:numPr>
      <w:adjustRightInd w:val="0"/>
      <w:spacing w:before="280" w:after="290" w:line="376" w:lineRule="atLeast"/>
      <w:jc w:val="left"/>
      <w:textAlignment w:val="baseline"/>
      <w:outlineLvl w:val="4"/>
    </w:pPr>
    <w:rPr>
      <w:rFonts w:ascii="宋体" w:hAnsi="宋体" w:cs="宋体"/>
      <w:b/>
      <w:bCs/>
      <w:kern w:val="0"/>
      <w:szCs w:val="28"/>
    </w:rPr>
  </w:style>
  <w:style w:type="paragraph" w:styleId="7">
    <w:name w:val="heading 6"/>
    <w:basedOn w:val="1"/>
    <w:next w:val="1"/>
    <w:link w:val="55"/>
    <w:qFormat/>
    <w:uiPriority w:val="99"/>
    <w:pPr>
      <w:keepNext/>
      <w:keepLines/>
      <w:widowControl/>
      <w:numPr>
        <w:ilvl w:val="5"/>
        <w:numId w:val="1"/>
      </w:numPr>
      <w:adjustRightInd w:val="0"/>
      <w:spacing w:before="240" w:after="64" w:line="320" w:lineRule="atLeast"/>
      <w:jc w:val="left"/>
      <w:textAlignment w:val="baseline"/>
      <w:outlineLvl w:val="5"/>
    </w:pPr>
    <w:rPr>
      <w:rFonts w:ascii="Arial" w:hAnsi="Arial" w:eastAsia="黑体" w:cs="宋体"/>
      <w:b/>
      <w:bCs/>
      <w:kern w:val="0"/>
      <w:sz w:val="20"/>
    </w:rPr>
  </w:style>
  <w:style w:type="paragraph" w:styleId="8">
    <w:name w:val="heading 7"/>
    <w:basedOn w:val="1"/>
    <w:next w:val="1"/>
    <w:link w:val="56"/>
    <w:qFormat/>
    <w:uiPriority w:val="99"/>
    <w:pPr>
      <w:keepNext/>
      <w:keepLines/>
      <w:widowControl/>
      <w:numPr>
        <w:ilvl w:val="6"/>
        <w:numId w:val="1"/>
      </w:numPr>
      <w:adjustRightInd w:val="0"/>
      <w:spacing w:before="240" w:after="64" w:line="320" w:lineRule="atLeast"/>
      <w:jc w:val="left"/>
      <w:textAlignment w:val="baseline"/>
      <w:outlineLvl w:val="6"/>
    </w:pPr>
    <w:rPr>
      <w:rFonts w:ascii="宋体" w:hAnsi="宋体" w:cs="宋体"/>
      <w:b/>
      <w:bCs/>
      <w:kern w:val="0"/>
      <w:sz w:val="20"/>
    </w:rPr>
  </w:style>
  <w:style w:type="paragraph" w:styleId="9">
    <w:name w:val="heading 8"/>
    <w:basedOn w:val="1"/>
    <w:next w:val="1"/>
    <w:link w:val="57"/>
    <w:qFormat/>
    <w:uiPriority w:val="99"/>
    <w:pPr>
      <w:keepNext/>
      <w:keepLines/>
      <w:widowControl/>
      <w:numPr>
        <w:ilvl w:val="7"/>
        <w:numId w:val="1"/>
      </w:numPr>
      <w:adjustRightInd w:val="0"/>
      <w:spacing w:before="240" w:after="64" w:line="320" w:lineRule="atLeast"/>
      <w:jc w:val="left"/>
      <w:textAlignment w:val="baseline"/>
      <w:outlineLvl w:val="7"/>
    </w:pPr>
    <w:rPr>
      <w:rFonts w:ascii="Arial" w:hAnsi="Arial" w:eastAsia="黑体" w:cs="宋体"/>
      <w:kern w:val="0"/>
      <w:sz w:val="20"/>
    </w:rPr>
  </w:style>
  <w:style w:type="paragraph" w:styleId="10">
    <w:name w:val="heading 9"/>
    <w:basedOn w:val="1"/>
    <w:next w:val="1"/>
    <w:link w:val="58"/>
    <w:qFormat/>
    <w:uiPriority w:val="99"/>
    <w:pPr>
      <w:keepNext/>
      <w:keepLines/>
      <w:widowControl/>
      <w:numPr>
        <w:ilvl w:val="8"/>
        <w:numId w:val="1"/>
      </w:numPr>
      <w:adjustRightInd w:val="0"/>
      <w:spacing w:before="240" w:after="64" w:line="320" w:lineRule="atLeast"/>
      <w:jc w:val="left"/>
      <w:textAlignment w:val="baseline"/>
      <w:outlineLvl w:val="8"/>
    </w:pPr>
    <w:rPr>
      <w:rFonts w:ascii="Arial" w:hAnsi="Arial" w:eastAsia="黑体" w:cs="宋体"/>
      <w:kern w:val="0"/>
      <w:szCs w:val="21"/>
    </w:rPr>
  </w:style>
  <w:style w:type="character" w:default="1" w:styleId="41">
    <w:name w:val="Default Paragraph Font"/>
    <w:semiHidden/>
    <w:qFormat/>
    <w:uiPriority w:val="99"/>
  </w:style>
  <w:style w:type="table" w:default="1" w:styleId="47">
    <w:name w:val="Normal Table"/>
    <w:unhideWhenUsed/>
    <w:qFormat/>
    <w:uiPriority w:val="99"/>
    <w:tblPr>
      <w:tblLayout w:type="fixed"/>
      <w:tblCellMar>
        <w:top w:w="0" w:type="dxa"/>
        <w:left w:w="108" w:type="dxa"/>
        <w:bottom w:w="0" w:type="dxa"/>
        <w:right w:w="108" w:type="dxa"/>
      </w:tblCellMar>
    </w:tblPr>
  </w:style>
  <w:style w:type="paragraph" w:styleId="11">
    <w:name w:val="toc 7"/>
    <w:basedOn w:val="1"/>
    <w:next w:val="1"/>
    <w:semiHidden/>
    <w:qFormat/>
    <w:uiPriority w:val="99"/>
    <w:pPr>
      <w:widowControl/>
      <w:ind w:left="1260"/>
      <w:jc w:val="left"/>
    </w:pPr>
    <w:rPr>
      <w:rFonts w:ascii="宋体" w:hAnsi="宋体" w:cs="宋体"/>
      <w:kern w:val="0"/>
      <w:sz w:val="18"/>
      <w:szCs w:val="18"/>
    </w:rPr>
  </w:style>
  <w:style w:type="paragraph" w:styleId="12">
    <w:name w:val="Body Text First Indent"/>
    <w:basedOn w:val="13"/>
    <w:link w:val="60"/>
    <w:qFormat/>
    <w:uiPriority w:val="99"/>
    <w:pPr>
      <w:ind w:firstLine="420" w:firstLineChars="100"/>
    </w:pPr>
  </w:style>
  <w:style w:type="paragraph" w:styleId="13">
    <w:name w:val="Body Text"/>
    <w:basedOn w:val="1"/>
    <w:link w:val="59"/>
    <w:qFormat/>
    <w:uiPriority w:val="99"/>
    <w:pPr>
      <w:spacing w:after="120"/>
    </w:pPr>
  </w:style>
  <w:style w:type="paragraph" w:styleId="14">
    <w:name w:val="Normal Indent"/>
    <w:basedOn w:val="1"/>
    <w:link w:val="127"/>
    <w:qFormat/>
    <w:uiPriority w:val="99"/>
    <w:pPr>
      <w:widowControl/>
      <w:spacing w:line="460" w:lineRule="atLeast"/>
      <w:ind w:firstLine="420"/>
      <w:jc w:val="left"/>
    </w:pPr>
    <w:rPr>
      <w:rFonts w:ascii="宋体" w:hAnsi="宋体" w:cs="宋体"/>
      <w:kern w:val="0"/>
      <w:szCs w:val="20"/>
    </w:rPr>
  </w:style>
  <w:style w:type="paragraph" w:styleId="15">
    <w:name w:val="List Bullet"/>
    <w:basedOn w:val="1"/>
    <w:qFormat/>
    <w:uiPriority w:val="99"/>
    <w:pPr>
      <w:numPr>
        <w:ilvl w:val="0"/>
        <w:numId w:val="1"/>
      </w:numPr>
      <w:ind w:left="360" w:hanging="200" w:hangingChars="200"/>
    </w:pPr>
  </w:style>
  <w:style w:type="paragraph" w:styleId="16">
    <w:name w:val="Document Map"/>
    <w:basedOn w:val="1"/>
    <w:link w:val="61"/>
    <w:semiHidden/>
    <w:qFormat/>
    <w:uiPriority w:val="99"/>
    <w:pPr>
      <w:widowControl/>
      <w:shd w:val="clear" w:color="auto" w:fill="000080"/>
      <w:jc w:val="left"/>
    </w:pPr>
    <w:rPr>
      <w:rFonts w:ascii="宋体" w:hAnsi="宋体" w:cs="宋体"/>
      <w:kern w:val="0"/>
    </w:rPr>
  </w:style>
  <w:style w:type="paragraph" w:styleId="17">
    <w:name w:val="toa heading"/>
    <w:basedOn w:val="1"/>
    <w:next w:val="1"/>
    <w:semiHidden/>
    <w:qFormat/>
    <w:uiPriority w:val="99"/>
    <w:pPr>
      <w:spacing w:before="120"/>
    </w:pPr>
    <w:rPr>
      <w:rFonts w:ascii="Arial" w:hAnsi="Arial" w:cs="Arial"/>
    </w:rPr>
  </w:style>
  <w:style w:type="paragraph" w:styleId="18">
    <w:name w:val="Body Text Indent"/>
    <w:basedOn w:val="1"/>
    <w:link w:val="62"/>
    <w:qFormat/>
    <w:uiPriority w:val="99"/>
    <w:pPr>
      <w:spacing w:line="360" w:lineRule="auto"/>
      <w:ind w:firstLine="480" w:firstLineChars="200"/>
    </w:pPr>
  </w:style>
  <w:style w:type="paragraph" w:styleId="19">
    <w:name w:val="toc 5"/>
    <w:basedOn w:val="1"/>
    <w:next w:val="1"/>
    <w:semiHidden/>
    <w:qFormat/>
    <w:uiPriority w:val="99"/>
    <w:pPr>
      <w:widowControl/>
      <w:ind w:left="840"/>
      <w:jc w:val="left"/>
    </w:pPr>
    <w:rPr>
      <w:rFonts w:ascii="宋体" w:hAnsi="宋体" w:cs="宋体"/>
      <w:kern w:val="0"/>
      <w:sz w:val="18"/>
      <w:szCs w:val="18"/>
    </w:rPr>
  </w:style>
  <w:style w:type="paragraph" w:styleId="20">
    <w:name w:val="toc 3"/>
    <w:basedOn w:val="1"/>
    <w:next w:val="1"/>
    <w:qFormat/>
    <w:uiPriority w:val="99"/>
    <w:pPr>
      <w:widowControl/>
      <w:ind w:left="420"/>
      <w:jc w:val="left"/>
    </w:pPr>
    <w:rPr>
      <w:rFonts w:ascii="宋体" w:hAnsi="宋体" w:cs="宋体"/>
      <w:i/>
      <w:iCs/>
      <w:kern w:val="0"/>
      <w:sz w:val="20"/>
      <w:szCs w:val="20"/>
    </w:rPr>
  </w:style>
  <w:style w:type="paragraph" w:styleId="21">
    <w:name w:val="Plain Text"/>
    <w:basedOn w:val="1"/>
    <w:link w:val="63"/>
    <w:qFormat/>
    <w:uiPriority w:val="99"/>
    <w:rPr>
      <w:rFonts w:ascii="宋体" w:hAnsi="Courier New" w:cs="Courier New"/>
      <w:szCs w:val="21"/>
    </w:rPr>
  </w:style>
  <w:style w:type="paragraph" w:styleId="22">
    <w:name w:val="toc 8"/>
    <w:basedOn w:val="1"/>
    <w:next w:val="1"/>
    <w:semiHidden/>
    <w:qFormat/>
    <w:uiPriority w:val="99"/>
    <w:pPr>
      <w:widowControl/>
      <w:ind w:left="1470"/>
      <w:jc w:val="left"/>
    </w:pPr>
    <w:rPr>
      <w:rFonts w:ascii="宋体" w:hAnsi="宋体" w:cs="宋体"/>
      <w:kern w:val="0"/>
      <w:sz w:val="18"/>
      <w:szCs w:val="18"/>
    </w:rPr>
  </w:style>
  <w:style w:type="paragraph" w:styleId="23">
    <w:name w:val="Date"/>
    <w:basedOn w:val="1"/>
    <w:next w:val="1"/>
    <w:link w:val="64"/>
    <w:qFormat/>
    <w:uiPriority w:val="99"/>
    <w:pPr>
      <w:ind w:left="100" w:leftChars="2500"/>
    </w:pPr>
  </w:style>
  <w:style w:type="paragraph" w:styleId="24">
    <w:name w:val="Body Text Indent 2"/>
    <w:basedOn w:val="1"/>
    <w:link w:val="65"/>
    <w:qFormat/>
    <w:uiPriority w:val="99"/>
    <w:pPr>
      <w:widowControl/>
      <w:spacing w:line="480" w:lineRule="exact"/>
      <w:ind w:firstLine="600" w:firstLineChars="200"/>
      <w:jc w:val="left"/>
    </w:pPr>
    <w:rPr>
      <w:rFonts w:ascii="仿宋_GB2312" w:hAnsi="宋体" w:eastAsia="仿宋_GB2312" w:cs="宋体"/>
      <w:kern w:val="0"/>
      <w:sz w:val="30"/>
    </w:rPr>
  </w:style>
  <w:style w:type="paragraph" w:styleId="25">
    <w:name w:val="Balloon Text"/>
    <w:basedOn w:val="1"/>
    <w:link w:val="66"/>
    <w:semiHidden/>
    <w:qFormat/>
    <w:uiPriority w:val="99"/>
    <w:rPr>
      <w:sz w:val="18"/>
      <w:szCs w:val="18"/>
    </w:rPr>
  </w:style>
  <w:style w:type="paragraph" w:styleId="26">
    <w:name w:val="footer"/>
    <w:basedOn w:val="1"/>
    <w:link w:val="67"/>
    <w:qFormat/>
    <w:uiPriority w:val="99"/>
    <w:pPr>
      <w:tabs>
        <w:tab w:val="center" w:pos="4153"/>
        <w:tab w:val="right" w:pos="8306"/>
      </w:tabs>
      <w:snapToGrid w:val="0"/>
      <w:jc w:val="left"/>
    </w:pPr>
    <w:rPr>
      <w:sz w:val="18"/>
      <w:szCs w:val="18"/>
    </w:rPr>
  </w:style>
  <w:style w:type="paragraph" w:styleId="27">
    <w:name w:val="Body Text First Indent 2"/>
    <w:basedOn w:val="18"/>
    <w:link w:val="68"/>
    <w:qFormat/>
    <w:uiPriority w:val="99"/>
    <w:pPr>
      <w:widowControl/>
      <w:snapToGrid w:val="0"/>
      <w:spacing w:line="500" w:lineRule="atLeast"/>
      <w:ind w:firstLine="552"/>
      <w:jc w:val="left"/>
    </w:pPr>
    <w:rPr>
      <w:rFonts w:ascii="宋体" w:hAnsi="宋体" w:cs="宋体"/>
      <w:spacing w:val="-2"/>
      <w:kern w:val="0"/>
      <w:sz w:val="28"/>
    </w:rPr>
  </w:style>
  <w:style w:type="paragraph" w:styleId="28">
    <w:name w:val="header"/>
    <w:basedOn w:val="1"/>
    <w:link w:val="69"/>
    <w:qFormat/>
    <w:uiPriority w:val="99"/>
    <w:pPr>
      <w:pBdr>
        <w:bottom w:val="single" w:color="auto" w:sz="6" w:space="1"/>
      </w:pBdr>
      <w:tabs>
        <w:tab w:val="center" w:pos="4153"/>
        <w:tab w:val="right" w:pos="8306"/>
      </w:tabs>
      <w:snapToGrid w:val="0"/>
      <w:jc w:val="center"/>
    </w:pPr>
    <w:rPr>
      <w:sz w:val="18"/>
      <w:szCs w:val="18"/>
    </w:rPr>
  </w:style>
  <w:style w:type="paragraph" w:styleId="29">
    <w:name w:val="toc 1"/>
    <w:basedOn w:val="1"/>
    <w:next w:val="1"/>
    <w:qFormat/>
    <w:uiPriority w:val="99"/>
    <w:pPr>
      <w:tabs>
        <w:tab w:val="right" w:leader="dot" w:pos="8494"/>
      </w:tabs>
      <w:spacing w:line="360" w:lineRule="auto"/>
      <w:jc w:val="left"/>
    </w:pPr>
    <w:rPr>
      <w:b/>
      <w:bCs/>
      <w:caps/>
    </w:rPr>
  </w:style>
  <w:style w:type="paragraph" w:styleId="30">
    <w:name w:val="toc 4"/>
    <w:basedOn w:val="1"/>
    <w:next w:val="1"/>
    <w:semiHidden/>
    <w:qFormat/>
    <w:uiPriority w:val="99"/>
    <w:pPr>
      <w:widowControl/>
      <w:ind w:left="630"/>
      <w:jc w:val="left"/>
    </w:pPr>
    <w:rPr>
      <w:rFonts w:ascii="宋体" w:hAnsi="宋体" w:cs="宋体"/>
      <w:kern w:val="0"/>
      <w:sz w:val="18"/>
      <w:szCs w:val="18"/>
    </w:rPr>
  </w:style>
  <w:style w:type="paragraph" w:styleId="31">
    <w:name w:val="Subtitle"/>
    <w:basedOn w:val="1"/>
    <w:next w:val="1"/>
    <w:link w:val="70"/>
    <w:qFormat/>
    <w:uiPriority w:val="99"/>
    <w:pPr>
      <w:spacing w:before="240" w:after="60" w:line="312" w:lineRule="auto"/>
      <w:jc w:val="left"/>
      <w:outlineLvl w:val="1"/>
    </w:pPr>
    <w:rPr>
      <w:rFonts w:ascii="Cambria" w:hAnsi="Cambria"/>
      <w:b/>
      <w:bCs/>
      <w:kern w:val="28"/>
      <w:szCs w:val="32"/>
    </w:rPr>
  </w:style>
  <w:style w:type="paragraph" w:styleId="32">
    <w:name w:val="List"/>
    <w:basedOn w:val="1"/>
    <w:qFormat/>
    <w:uiPriority w:val="99"/>
    <w:pPr>
      <w:spacing w:line="360" w:lineRule="auto"/>
      <w:ind w:left="200" w:hanging="200" w:hangingChars="200"/>
    </w:pPr>
    <w:rPr>
      <w:rFonts w:eastAsia="仿宋_GB2312"/>
    </w:rPr>
  </w:style>
  <w:style w:type="paragraph" w:styleId="33">
    <w:name w:val="toc 6"/>
    <w:basedOn w:val="1"/>
    <w:next w:val="1"/>
    <w:semiHidden/>
    <w:qFormat/>
    <w:uiPriority w:val="99"/>
    <w:pPr>
      <w:widowControl/>
      <w:ind w:left="1050"/>
      <w:jc w:val="left"/>
    </w:pPr>
    <w:rPr>
      <w:rFonts w:ascii="宋体" w:hAnsi="宋体" w:cs="宋体"/>
      <w:kern w:val="0"/>
      <w:sz w:val="18"/>
      <w:szCs w:val="18"/>
    </w:rPr>
  </w:style>
  <w:style w:type="paragraph" w:styleId="34">
    <w:name w:val="Body Text Indent 3"/>
    <w:basedOn w:val="1"/>
    <w:link w:val="71"/>
    <w:qFormat/>
    <w:uiPriority w:val="99"/>
    <w:pPr>
      <w:widowControl/>
      <w:spacing w:line="360" w:lineRule="auto"/>
      <w:ind w:firstLine="480" w:firstLineChars="200"/>
      <w:jc w:val="left"/>
    </w:pPr>
    <w:rPr>
      <w:rFonts w:ascii="宋体" w:hAnsi="宋体" w:cs="宋体"/>
      <w:kern w:val="0"/>
      <w:szCs w:val="28"/>
    </w:rPr>
  </w:style>
  <w:style w:type="paragraph" w:styleId="35">
    <w:name w:val="toc 2"/>
    <w:basedOn w:val="1"/>
    <w:next w:val="1"/>
    <w:qFormat/>
    <w:uiPriority w:val="99"/>
    <w:pPr>
      <w:tabs>
        <w:tab w:val="right" w:leader="dot" w:pos="8494"/>
      </w:tabs>
      <w:spacing w:line="360" w:lineRule="auto"/>
      <w:ind w:firstLine="179" w:firstLineChars="64"/>
      <w:jc w:val="left"/>
    </w:pPr>
    <w:rPr>
      <w:smallCaps/>
    </w:rPr>
  </w:style>
  <w:style w:type="paragraph" w:styleId="36">
    <w:name w:val="toc 9"/>
    <w:basedOn w:val="1"/>
    <w:next w:val="1"/>
    <w:semiHidden/>
    <w:qFormat/>
    <w:uiPriority w:val="99"/>
    <w:pPr>
      <w:widowControl/>
      <w:ind w:left="1680"/>
      <w:jc w:val="left"/>
    </w:pPr>
    <w:rPr>
      <w:rFonts w:ascii="宋体" w:hAnsi="宋体" w:cs="宋体"/>
      <w:kern w:val="0"/>
      <w:sz w:val="18"/>
      <w:szCs w:val="18"/>
    </w:rPr>
  </w:style>
  <w:style w:type="paragraph" w:styleId="37">
    <w:name w:val="Body Text 2"/>
    <w:basedOn w:val="1"/>
    <w:link w:val="72"/>
    <w:qFormat/>
    <w:uiPriority w:val="99"/>
    <w:pPr>
      <w:spacing w:after="120" w:line="480" w:lineRule="auto"/>
    </w:pPr>
  </w:style>
  <w:style w:type="paragraph" w:styleId="38">
    <w:name w:val="HTML Preformatted"/>
    <w:basedOn w:val="1"/>
    <w:link w:val="73"/>
    <w:qFormat/>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黑体" w:hAnsi="Courier New" w:eastAsia="黑体" w:cs="Courier New"/>
      <w:kern w:val="0"/>
      <w:sz w:val="20"/>
      <w:szCs w:val="20"/>
    </w:rPr>
  </w:style>
  <w:style w:type="paragraph" w:styleId="39">
    <w:name w:val="Normal (Web)"/>
    <w:basedOn w:val="1"/>
    <w:qFormat/>
    <w:uiPriority w:val="99"/>
    <w:pPr>
      <w:widowControl/>
      <w:spacing w:before="100" w:beforeAutospacing="1" w:after="100" w:afterAutospacing="1"/>
      <w:jc w:val="left"/>
    </w:pPr>
    <w:rPr>
      <w:rFonts w:ascii="宋体" w:hAnsi="宋体"/>
      <w:kern w:val="0"/>
    </w:rPr>
  </w:style>
  <w:style w:type="paragraph" w:styleId="40">
    <w:name w:val="Title"/>
    <w:basedOn w:val="1"/>
    <w:next w:val="1"/>
    <w:link w:val="74"/>
    <w:qFormat/>
    <w:uiPriority w:val="99"/>
    <w:pPr>
      <w:spacing w:before="240" w:after="60"/>
      <w:jc w:val="left"/>
      <w:outlineLvl w:val="0"/>
    </w:pPr>
    <w:rPr>
      <w:rFonts w:ascii="Cambria" w:hAnsi="Cambria"/>
      <w:b/>
      <w:bCs/>
      <w:sz w:val="32"/>
      <w:szCs w:val="32"/>
    </w:rPr>
  </w:style>
  <w:style w:type="character" w:styleId="42">
    <w:name w:val="Strong"/>
    <w:basedOn w:val="41"/>
    <w:qFormat/>
    <w:uiPriority w:val="99"/>
    <w:rPr>
      <w:rFonts w:cs="Times New Roman"/>
      <w:b/>
      <w:bCs/>
    </w:rPr>
  </w:style>
  <w:style w:type="character" w:styleId="43">
    <w:name w:val="page number"/>
    <w:basedOn w:val="41"/>
    <w:qFormat/>
    <w:uiPriority w:val="99"/>
    <w:rPr>
      <w:rFonts w:cs="Times New Roman"/>
    </w:rPr>
  </w:style>
  <w:style w:type="character" w:styleId="44">
    <w:name w:val="FollowedHyperlink"/>
    <w:basedOn w:val="41"/>
    <w:qFormat/>
    <w:uiPriority w:val="99"/>
    <w:rPr>
      <w:rFonts w:cs="Times New Roman"/>
      <w:color w:val="800080"/>
      <w:u w:val="single"/>
    </w:rPr>
  </w:style>
  <w:style w:type="character" w:styleId="45">
    <w:name w:val="Emphasis"/>
    <w:basedOn w:val="41"/>
    <w:qFormat/>
    <w:uiPriority w:val="99"/>
    <w:rPr>
      <w:rFonts w:cs="Times New Roman"/>
      <w:color w:val="C60A00"/>
    </w:rPr>
  </w:style>
  <w:style w:type="character" w:styleId="46">
    <w:name w:val="Hyperlink"/>
    <w:basedOn w:val="41"/>
    <w:qFormat/>
    <w:uiPriority w:val="99"/>
    <w:rPr>
      <w:rFonts w:cs="Times New Roman"/>
      <w:color w:val="0000FF"/>
      <w:u w:val="single"/>
    </w:rPr>
  </w:style>
  <w:style w:type="table" w:styleId="48">
    <w:name w:val="Table Grid"/>
    <w:basedOn w:val="47"/>
    <w:qFormat/>
    <w:uiPriority w:val="99"/>
    <w:pPr>
      <w:widowControl w:val="0"/>
      <w:jc w:val="both"/>
    </w:pPr>
    <w:rPr>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styleId="49">
    <w:name w:val="Table Simple 1"/>
    <w:basedOn w:val="47"/>
    <w:qFormat/>
    <w:uiPriority w:val="99"/>
    <w:pPr>
      <w:widowControl w:val="0"/>
      <w:jc w:val="both"/>
    </w:pPr>
    <w:rPr>
      <w:kern w:val="0"/>
      <w:sz w:val="20"/>
      <w:szCs w:val="20"/>
    </w:rPr>
    <w:tblPr>
      <w:tblBorders>
        <w:top w:val="single" w:color="008000" w:sz="12" w:space="0"/>
        <w:bottom w:val="single" w:color="008000" w:sz="12" w:space="0"/>
      </w:tblBorders>
      <w:tblLayout w:type="fixed"/>
      <w:tblCellMar>
        <w:top w:w="0" w:type="dxa"/>
        <w:left w:w="108" w:type="dxa"/>
        <w:bottom w:w="0" w:type="dxa"/>
        <w:right w:w="108" w:type="dxa"/>
      </w:tblCellMar>
    </w:tblPr>
    <w:tblStylePr w:type="firstRow">
      <w:rPr>
        <w:rFonts w:cs="Times New Roman"/>
      </w:rPr>
      <w:tblPr>
        <w:tblLayout w:type="fixed"/>
      </w:tblPr>
      <w:tcPr>
        <w:tcBorders>
          <w:bottom w:val="single" w:color="008000" w:sz="6" w:space="0"/>
          <w:tl2br w:val="nil"/>
          <w:tr2bl w:val="nil"/>
        </w:tcBorders>
      </w:tcPr>
    </w:tblStylePr>
    <w:tblStylePr w:type="lastRow">
      <w:rPr>
        <w:rFonts w:cs="Times New Roman"/>
      </w:rPr>
      <w:tblPr>
        <w:tblLayout w:type="fixed"/>
      </w:tblPr>
      <w:tcPr>
        <w:tcBorders>
          <w:top w:val="single" w:color="008000" w:sz="6" w:space="0"/>
          <w:tl2br w:val="nil"/>
          <w:tr2bl w:val="nil"/>
        </w:tcBorders>
      </w:tcPr>
    </w:tblStylePr>
  </w:style>
  <w:style w:type="character" w:customStyle="1" w:styleId="50">
    <w:name w:val="Heading 1 Char"/>
    <w:basedOn w:val="41"/>
    <w:link w:val="2"/>
    <w:qFormat/>
    <w:locked/>
    <w:uiPriority w:val="99"/>
    <w:rPr>
      <w:rFonts w:eastAsia="Times New Roman" w:cs="Times New Roman"/>
      <w:b/>
      <w:bCs/>
      <w:kern w:val="44"/>
      <w:sz w:val="44"/>
      <w:szCs w:val="44"/>
    </w:rPr>
  </w:style>
  <w:style w:type="character" w:customStyle="1" w:styleId="51">
    <w:name w:val="Heading 2 Char"/>
    <w:basedOn w:val="41"/>
    <w:link w:val="3"/>
    <w:semiHidden/>
    <w:qFormat/>
    <w:locked/>
    <w:uiPriority w:val="99"/>
    <w:rPr>
      <w:rFonts w:ascii="Cambria" w:hAnsi="Cambria" w:eastAsia="宋体" w:cs="Times New Roman"/>
      <w:b/>
      <w:bCs/>
      <w:sz w:val="32"/>
      <w:szCs w:val="32"/>
    </w:rPr>
  </w:style>
  <w:style w:type="character" w:customStyle="1" w:styleId="52">
    <w:name w:val="Heading 3 Char"/>
    <w:basedOn w:val="41"/>
    <w:link w:val="4"/>
    <w:qFormat/>
    <w:locked/>
    <w:uiPriority w:val="99"/>
    <w:rPr>
      <w:rFonts w:eastAsia="宋体" w:cs="Times New Roman"/>
      <w:b/>
      <w:bCs/>
      <w:kern w:val="2"/>
      <w:sz w:val="32"/>
      <w:szCs w:val="32"/>
    </w:rPr>
  </w:style>
  <w:style w:type="character" w:customStyle="1" w:styleId="53">
    <w:name w:val="Heading 4 Char"/>
    <w:basedOn w:val="41"/>
    <w:link w:val="5"/>
    <w:semiHidden/>
    <w:qFormat/>
    <w:locked/>
    <w:uiPriority w:val="99"/>
    <w:rPr>
      <w:rFonts w:ascii="Cambria" w:hAnsi="Cambria" w:eastAsia="宋体" w:cs="Times New Roman"/>
      <w:b/>
      <w:bCs/>
      <w:sz w:val="28"/>
      <w:szCs w:val="28"/>
    </w:rPr>
  </w:style>
  <w:style w:type="character" w:customStyle="1" w:styleId="54">
    <w:name w:val="Heading 5 Char"/>
    <w:basedOn w:val="41"/>
    <w:link w:val="6"/>
    <w:qFormat/>
    <w:locked/>
    <w:uiPriority w:val="99"/>
    <w:rPr>
      <w:rFonts w:ascii="宋体" w:hAnsi="宋体" w:cs="宋体"/>
      <w:b/>
      <w:bCs/>
      <w:kern w:val="0"/>
      <w:sz w:val="24"/>
      <w:szCs w:val="28"/>
    </w:rPr>
  </w:style>
  <w:style w:type="character" w:customStyle="1" w:styleId="55">
    <w:name w:val="Heading 6 Char"/>
    <w:basedOn w:val="41"/>
    <w:link w:val="7"/>
    <w:qFormat/>
    <w:locked/>
    <w:uiPriority w:val="99"/>
    <w:rPr>
      <w:rFonts w:ascii="Arial" w:hAnsi="Arial" w:eastAsia="黑体" w:cs="宋体"/>
      <w:b/>
      <w:bCs/>
      <w:kern w:val="0"/>
      <w:sz w:val="20"/>
      <w:szCs w:val="24"/>
    </w:rPr>
  </w:style>
  <w:style w:type="character" w:customStyle="1" w:styleId="56">
    <w:name w:val="Heading 7 Char"/>
    <w:basedOn w:val="41"/>
    <w:link w:val="8"/>
    <w:qFormat/>
    <w:locked/>
    <w:uiPriority w:val="99"/>
    <w:rPr>
      <w:rFonts w:ascii="宋体" w:hAnsi="宋体" w:cs="宋体"/>
      <w:b/>
      <w:bCs/>
      <w:kern w:val="0"/>
      <w:sz w:val="20"/>
      <w:szCs w:val="24"/>
    </w:rPr>
  </w:style>
  <w:style w:type="character" w:customStyle="1" w:styleId="57">
    <w:name w:val="Heading 8 Char"/>
    <w:basedOn w:val="41"/>
    <w:link w:val="9"/>
    <w:qFormat/>
    <w:locked/>
    <w:uiPriority w:val="99"/>
    <w:rPr>
      <w:rFonts w:ascii="Arial" w:hAnsi="Arial" w:eastAsia="黑体" w:cs="宋体"/>
      <w:kern w:val="0"/>
      <w:sz w:val="20"/>
      <w:szCs w:val="24"/>
    </w:rPr>
  </w:style>
  <w:style w:type="character" w:customStyle="1" w:styleId="58">
    <w:name w:val="Heading 9 Char"/>
    <w:basedOn w:val="41"/>
    <w:link w:val="10"/>
    <w:qFormat/>
    <w:locked/>
    <w:uiPriority w:val="99"/>
    <w:rPr>
      <w:rFonts w:ascii="Arial" w:hAnsi="Arial" w:eastAsia="黑体" w:cs="宋体"/>
      <w:kern w:val="0"/>
      <w:sz w:val="24"/>
      <w:szCs w:val="21"/>
    </w:rPr>
  </w:style>
  <w:style w:type="character" w:customStyle="1" w:styleId="59">
    <w:name w:val="Body Text Char"/>
    <w:basedOn w:val="41"/>
    <w:link w:val="13"/>
    <w:qFormat/>
    <w:locked/>
    <w:uiPriority w:val="99"/>
    <w:rPr>
      <w:rFonts w:eastAsia="宋体" w:cs="Times New Roman"/>
      <w:kern w:val="2"/>
      <w:sz w:val="24"/>
      <w:szCs w:val="24"/>
      <w:lang w:val="en-US" w:eastAsia="zh-CN" w:bidi="ar-SA"/>
    </w:rPr>
  </w:style>
  <w:style w:type="character" w:customStyle="1" w:styleId="60">
    <w:name w:val="Body Text First Indent Char"/>
    <w:basedOn w:val="59"/>
    <w:link w:val="12"/>
    <w:semiHidden/>
    <w:qFormat/>
    <w:locked/>
    <w:uiPriority w:val="99"/>
    <w:rPr>
      <w:rFonts w:eastAsia="Times New Roman"/>
    </w:rPr>
  </w:style>
  <w:style w:type="character" w:customStyle="1" w:styleId="61">
    <w:name w:val="Document Map Char"/>
    <w:basedOn w:val="41"/>
    <w:link w:val="16"/>
    <w:semiHidden/>
    <w:qFormat/>
    <w:locked/>
    <w:uiPriority w:val="99"/>
    <w:rPr>
      <w:rFonts w:eastAsia="Times New Roman" w:cs="Times New Roman"/>
      <w:sz w:val="2"/>
    </w:rPr>
  </w:style>
  <w:style w:type="character" w:customStyle="1" w:styleId="62">
    <w:name w:val="Body Text Indent Char"/>
    <w:basedOn w:val="41"/>
    <w:link w:val="18"/>
    <w:semiHidden/>
    <w:qFormat/>
    <w:locked/>
    <w:uiPriority w:val="99"/>
    <w:rPr>
      <w:rFonts w:eastAsia="Times New Roman" w:cs="Times New Roman"/>
      <w:sz w:val="24"/>
      <w:szCs w:val="24"/>
    </w:rPr>
  </w:style>
  <w:style w:type="character" w:customStyle="1" w:styleId="63">
    <w:name w:val="Plain Text Char"/>
    <w:basedOn w:val="41"/>
    <w:link w:val="21"/>
    <w:semiHidden/>
    <w:qFormat/>
    <w:locked/>
    <w:uiPriority w:val="99"/>
    <w:rPr>
      <w:rFonts w:ascii="宋体" w:hAnsi="Courier New" w:cs="Courier New"/>
      <w:sz w:val="21"/>
      <w:szCs w:val="21"/>
    </w:rPr>
  </w:style>
  <w:style w:type="character" w:customStyle="1" w:styleId="64">
    <w:name w:val="Date Char"/>
    <w:basedOn w:val="41"/>
    <w:link w:val="23"/>
    <w:semiHidden/>
    <w:qFormat/>
    <w:locked/>
    <w:uiPriority w:val="99"/>
    <w:rPr>
      <w:rFonts w:eastAsia="Times New Roman" w:cs="Times New Roman"/>
      <w:sz w:val="24"/>
      <w:szCs w:val="24"/>
    </w:rPr>
  </w:style>
  <w:style w:type="character" w:customStyle="1" w:styleId="65">
    <w:name w:val="Body Text Indent 2 Char"/>
    <w:basedOn w:val="41"/>
    <w:link w:val="24"/>
    <w:semiHidden/>
    <w:qFormat/>
    <w:locked/>
    <w:uiPriority w:val="99"/>
    <w:rPr>
      <w:rFonts w:eastAsia="Times New Roman" w:cs="Times New Roman"/>
      <w:sz w:val="24"/>
      <w:szCs w:val="24"/>
    </w:rPr>
  </w:style>
  <w:style w:type="character" w:customStyle="1" w:styleId="66">
    <w:name w:val="Balloon Text Char"/>
    <w:basedOn w:val="41"/>
    <w:link w:val="25"/>
    <w:semiHidden/>
    <w:qFormat/>
    <w:locked/>
    <w:uiPriority w:val="99"/>
    <w:rPr>
      <w:rFonts w:eastAsia="Times New Roman" w:cs="Times New Roman"/>
      <w:sz w:val="2"/>
    </w:rPr>
  </w:style>
  <w:style w:type="character" w:customStyle="1" w:styleId="67">
    <w:name w:val="Footer Char"/>
    <w:basedOn w:val="41"/>
    <w:link w:val="26"/>
    <w:qFormat/>
    <w:locked/>
    <w:uiPriority w:val="99"/>
    <w:rPr>
      <w:rFonts w:cs="Times New Roman"/>
      <w:kern w:val="2"/>
      <w:sz w:val="18"/>
      <w:szCs w:val="18"/>
    </w:rPr>
  </w:style>
  <w:style w:type="character" w:customStyle="1" w:styleId="68">
    <w:name w:val="Body Text First Indent 2 Char"/>
    <w:basedOn w:val="62"/>
    <w:link w:val="27"/>
    <w:semiHidden/>
    <w:qFormat/>
    <w:locked/>
    <w:uiPriority w:val="99"/>
  </w:style>
  <w:style w:type="character" w:customStyle="1" w:styleId="69">
    <w:name w:val="Header Char"/>
    <w:basedOn w:val="41"/>
    <w:link w:val="28"/>
    <w:qFormat/>
    <w:locked/>
    <w:uiPriority w:val="99"/>
    <w:rPr>
      <w:rFonts w:cs="Times New Roman"/>
      <w:kern w:val="2"/>
      <w:sz w:val="18"/>
      <w:szCs w:val="18"/>
    </w:rPr>
  </w:style>
  <w:style w:type="character" w:customStyle="1" w:styleId="70">
    <w:name w:val="Subtitle Char"/>
    <w:basedOn w:val="41"/>
    <w:link w:val="31"/>
    <w:qFormat/>
    <w:locked/>
    <w:uiPriority w:val="99"/>
    <w:rPr>
      <w:rFonts w:ascii="Cambria" w:hAnsi="Cambria" w:cs="Times New Roman"/>
      <w:b/>
      <w:bCs/>
      <w:kern w:val="28"/>
      <w:sz w:val="32"/>
      <w:szCs w:val="32"/>
    </w:rPr>
  </w:style>
  <w:style w:type="character" w:customStyle="1" w:styleId="71">
    <w:name w:val="Body Text Indent 3 Char"/>
    <w:basedOn w:val="41"/>
    <w:link w:val="34"/>
    <w:semiHidden/>
    <w:qFormat/>
    <w:locked/>
    <w:uiPriority w:val="99"/>
    <w:rPr>
      <w:rFonts w:eastAsia="Times New Roman" w:cs="Times New Roman"/>
      <w:sz w:val="16"/>
      <w:szCs w:val="16"/>
    </w:rPr>
  </w:style>
  <w:style w:type="character" w:customStyle="1" w:styleId="72">
    <w:name w:val="Body Text 2 Char"/>
    <w:basedOn w:val="41"/>
    <w:link w:val="37"/>
    <w:semiHidden/>
    <w:qFormat/>
    <w:locked/>
    <w:uiPriority w:val="99"/>
    <w:rPr>
      <w:rFonts w:eastAsia="Times New Roman" w:cs="Times New Roman"/>
      <w:sz w:val="24"/>
      <w:szCs w:val="24"/>
    </w:rPr>
  </w:style>
  <w:style w:type="character" w:customStyle="1" w:styleId="73">
    <w:name w:val="HTML Preformatted Char"/>
    <w:basedOn w:val="41"/>
    <w:link w:val="38"/>
    <w:semiHidden/>
    <w:qFormat/>
    <w:locked/>
    <w:uiPriority w:val="99"/>
    <w:rPr>
      <w:rFonts w:ascii="Courier New" w:hAnsi="Courier New" w:eastAsia="Times New Roman" w:cs="Courier New"/>
      <w:sz w:val="20"/>
      <w:szCs w:val="20"/>
    </w:rPr>
  </w:style>
  <w:style w:type="character" w:customStyle="1" w:styleId="74">
    <w:name w:val="Title Char"/>
    <w:basedOn w:val="41"/>
    <w:link w:val="40"/>
    <w:qFormat/>
    <w:locked/>
    <w:uiPriority w:val="99"/>
    <w:rPr>
      <w:rFonts w:ascii="Cambria" w:hAnsi="Cambria" w:cs="Times New Roman"/>
      <w:b/>
      <w:bCs/>
      <w:kern w:val="2"/>
      <w:sz w:val="32"/>
      <w:szCs w:val="32"/>
    </w:rPr>
  </w:style>
  <w:style w:type="paragraph" w:customStyle="1" w:styleId="75">
    <w:name w:val="xl22"/>
    <w:basedOn w:val="1"/>
    <w:qFormat/>
    <w:uiPriority w:val="99"/>
    <w:pPr>
      <w:widowControl/>
      <w:pBdr>
        <w:bottom w:val="single" w:color="auto" w:sz="4" w:space="0"/>
        <w:right w:val="single" w:color="auto" w:sz="4" w:space="0"/>
      </w:pBdr>
      <w:spacing w:before="100" w:beforeAutospacing="1" w:after="100" w:afterAutospacing="1"/>
      <w:jc w:val="center"/>
    </w:pPr>
    <w:rPr>
      <w:kern w:val="0"/>
      <w:szCs w:val="21"/>
    </w:rPr>
  </w:style>
  <w:style w:type="paragraph" w:customStyle="1" w:styleId="76">
    <w:name w:val="xl32"/>
    <w:basedOn w:val="1"/>
    <w:qFormat/>
    <w:uiPriority w:val="99"/>
    <w:pPr>
      <w:widowControl/>
      <w:pBdr>
        <w:bottom w:val="single" w:color="auto" w:sz="4" w:space="0"/>
        <w:right w:val="single" w:color="auto" w:sz="4" w:space="0"/>
      </w:pBdr>
      <w:spacing w:before="100" w:beforeAutospacing="1" w:after="100" w:afterAutospacing="1"/>
      <w:jc w:val="center"/>
    </w:pPr>
    <w:rPr>
      <w:rFonts w:ascii="宋体" w:hAnsi="宋体"/>
      <w:kern w:val="0"/>
      <w:szCs w:val="21"/>
    </w:rPr>
  </w:style>
  <w:style w:type="paragraph" w:customStyle="1" w:styleId="77">
    <w:name w:val="样式1"/>
    <w:basedOn w:val="17"/>
    <w:qFormat/>
    <w:uiPriority w:val="99"/>
    <w:pPr>
      <w:tabs>
        <w:tab w:val="left" w:pos="1080"/>
      </w:tabs>
      <w:adjustRightInd w:val="0"/>
      <w:snapToGrid w:val="0"/>
      <w:spacing w:before="0" w:line="360" w:lineRule="auto"/>
      <w:ind w:left="1105" w:hanging="1105" w:hangingChars="393"/>
    </w:pPr>
    <w:rPr>
      <w:rFonts w:ascii="宋体" w:hAnsi="宋体" w:cs="Times New Roman"/>
      <w:b/>
      <w:caps/>
      <w:sz w:val="28"/>
      <w:szCs w:val="28"/>
    </w:rPr>
  </w:style>
  <w:style w:type="character" w:customStyle="1" w:styleId="78">
    <w:name w:val="contents1"/>
    <w:basedOn w:val="41"/>
    <w:qFormat/>
    <w:uiPriority w:val="99"/>
    <w:rPr>
      <w:rFonts w:cs="Times New Roman"/>
      <w:color w:val="000000"/>
      <w:spacing w:val="330"/>
      <w:sz w:val="21"/>
      <w:szCs w:val="21"/>
      <w:u w:val="none"/>
    </w:rPr>
  </w:style>
  <w:style w:type="character" w:customStyle="1" w:styleId="79">
    <w:name w:val="info"/>
    <w:basedOn w:val="41"/>
    <w:qFormat/>
    <w:uiPriority w:val="99"/>
    <w:rPr>
      <w:rFonts w:cs="Times New Roman"/>
    </w:rPr>
  </w:style>
  <w:style w:type="character" w:customStyle="1" w:styleId="80">
    <w:name w:val="章标题 Char Char"/>
    <w:basedOn w:val="41"/>
    <w:qFormat/>
    <w:uiPriority w:val="99"/>
    <w:rPr>
      <w:rFonts w:eastAsia="宋体" w:cs="Times New Roman"/>
      <w:b/>
      <w:bCs/>
      <w:kern w:val="44"/>
      <w:sz w:val="44"/>
      <w:szCs w:val="44"/>
      <w:lang w:val="en-US" w:eastAsia="zh-CN" w:bidi="ar-SA"/>
    </w:rPr>
  </w:style>
  <w:style w:type="character" w:customStyle="1" w:styleId="81">
    <w:name w:val="title"/>
    <w:basedOn w:val="41"/>
    <w:qFormat/>
    <w:uiPriority w:val="99"/>
    <w:rPr>
      <w:rFonts w:cs="Times New Roman"/>
    </w:rPr>
  </w:style>
  <w:style w:type="paragraph" w:customStyle="1" w:styleId="8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83">
    <w:name w:val="font6"/>
    <w:basedOn w:val="1"/>
    <w:qFormat/>
    <w:uiPriority w:val="99"/>
    <w:pPr>
      <w:widowControl/>
      <w:spacing w:before="100" w:beforeAutospacing="1" w:after="100" w:afterAutospacing="1"/>
      <w:jc w:val="left"/>
    </w:pPr>
    <w:rPr>
      <w:rFonts w:ascii="仿宋_GB2312" w:hAnsi="宋体" w:eastAsia="仿宋_GB2312" w:cs="宋体"/>
      <w:b/>
      <w:bCs/>
      <w:kern w:val="0"/>
      <w:szCs w:val="28"/>
    </w:rPr>
  </w:style>
  <w:style w:type="paragraph" w:customStyle="1" w:styleId="84">
    <w:name w:val="font7"/>
    <w:basedOn w:val="1"/>
    <w:qFormat/>
    <w:uiPriority w:val="99"/>
    <w:pPr>
      <w:widowControl/>
      <w:spacing w:before="100" w:beforeAutospacing="1" w:after="100" w:afterAutospacing="1"/>
      <w:jc w:val="left"/>
    </w:pPr>
    <w:rPr>
      <w:rFonts w:ascii="仿宋_GB2312" w:hAnsi="宋体" w:eastAsia="仿宋_GB2312" w:cs="宋体"/>
      <w:kern w:val="0"/>
      <w:sz w:val="20"/>
      <w:szCs w:val="20"/>
    </w:rPr>
  </w:style>
  <w:style w:type="paragraph" w:customStyle="1" w:styleId="85">
    <w:name w:val="font8"/>
    <w:basedOn w:val="1"/>
    <w:qFormat/>
    <w:uiPriority w:val="99"/>
    <w:pPr>
      <w:widowControl/>
      <w:spacing w:before="100" w:beforeAutospacing="1" w:after="100" w:afterAutospacing="1"/>
      <w:jc w:val="left"/>
    </w:pPr>
    <w:rPr>
      <w:rFonts w:ascii="仿宋_GB2312" w:hAnsi="宋体" w:eastAsia="仿宋_GB2312" w:cs="宋体"/>
      <w:kern w:val="0"/>
      <w:sz w:val="20"/>
      <w:szCs w:val="20"/>
    </w:rPr>
  </w:style>
  <w:style w:type="paragraph" w:customStyle="1" w:styleId="86">
    <w:name w:val="font9"/>
    <w:basedOn w:val="1"/>
    <w:qFormat/>
    <w:uiPriority w:val="99"/>
    <w:pPr>
      <w:widowControl/>
      <w:spacing w:before="100" w:beforeAutospacing="1" w:after="100" w:afterAutospacing="1"/>
      <w:jc w:val="left"/>
    </w:pPr>
    <w:rPr>
      <w:rFonts w:ascii="宋体" w:hAnsi="宋体" w:cs="宋体"/>
      <w:b/>
      <w:bCs/>
      <w:kern w:val="0"/>
      <w:szCs w:val="28"/>
    </w:rPr>
  </w:style>
  <w:style w:type="paragraph" w:customStyle="1" w:styleId="87">
    <w:name w:val="xl2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88">
    <w:name w:val="xl25"/>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89">
    <w:name w:val="xl26"/>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pPr>
    <w:rPr>
      <w:rFonts w:ascii="仿宋_GB2312" w:hAnsi="宋体" w:eastAsia="仿宋_GB2312" w:cs="宋体"/>
      <w:kern w:val="0"/>
      <w:sz w:val="20"/>
      <w:szCs w:val="20"/>
    </w:rPr>
  </w:style>
  <w:style w:type="paragraph" w:customStyle="1" w:styleId="90">
    <w:name w:val="xl2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textAlignment w:val="center"/>
    </w:pPr>
    <w:rPr>
      <w:rFonts w:ascii="仿宋_GB2312" w:hAnsi="宋体" w:eastAsia="仿宋_GB2312" w:cs="宋体"/>
      <w:kern w:val="0"/>
      <w:sz w:val="20"/>
      <w:szCs w:val="20"/>
    </w:rPr>
  </w:style>
  <w:style w:type="paragraph" w:customStyle="1" w:styleId="91">
    <w:name w:val="xl28"/>
    <w:basedOn w:val="1"/>
    <w:qFormat/>
    <w:uiPriority w:val="99"/>
    <w:pPr>
      <w:widowControl/>
      <w:pBdr>
        <w:left w:val="single" w:color="auto" w:sz="4" w:space="0"/>
        <w:right w:val="single" w:color="auto" w:sz="4" w:space="0"/>
      </w:pBdr>
      <w:spacing w:before="100" w:beforeAutospacing="1" w:after="100" w:afterAutospacing="1"/>
      <w:jc w:val="left"/>
    </w:pPr>
    <w:rPr>
      <w:rFonts w:ascii="仿宋_GB2312" w:hAnsi="宋体" w:eastAsia="仿宋_GB2312" w:cs="宋体"/>
      <w:kern w:val="0"/>
      <w:sz w:val="20"/>
      <w:szCs w:val="20"/>
    </w:rPr>
  </w:style>
  <w:style w:type="paragraph" w:customStyle="1" w:styleId="92">
    <w:name w:val="xl29"/>
    <w:basedOn w:val="1"/>
    <w:qFormat/>
    <w:uiPriority w:val="99"/>
    <w:pPr>
      <w:widowControl/>
      <w:spacing w:before="100" w:beforeAutospacing="1" w:after="100" w:afterAutospacing="1"/>
      <w:jc w:val="left"/>
    </w:pPr>
    <w:rPr>
      <w:rFonts w:ascii="仿宋_GB2312" w:hAnsi="宋体" w:eastAsia="仿宋_GB2312" w:cs="宋体"/>
      <w:kern w:val="0"/>
      <w:sz w:val="20"/>
      <w:szCs w:val="20"/>
    </w:rPr>
  </w:style>
  <w:style w:type="paragraph" w:customStyle="1" w:styleId="93">
    <w:name w:val="xl30"/>
    <w:basedOn w:val="1"/>
    <w:qFormat/>
    <w:uiPriority w:val="99"/>
    <w:pPr>
      <w:widowControl/>
      <w:pBdr>
        <w:left w:val="single" w:color="auto" w:sz="4" w:space="0"/>
        <w:bottom w:val="single" w:color="auto" w:sz="4" w:space="0"/>
        <w:right w:val="single" w:color="auto" w:sz="4" w:space="0"/>
      </w:pBdr>
      <w:spacing w:before="100" w:beforeAutospacing="1" w:after="100" w:afterAutospacing="1"/>
      <w:jc w:val="center"/>
    </w:pPr>
    <w:rPr>
      <w:rFonts w:ascii="仿宋_GB2312" w:hAnsi="宋体" w:eastAsia="仿宋_GB2312" w:cs="宋体"/>
      <w:kern w:val="0"/>
      <w:sz w:val="20"/>
      <w:szCs w:val="20"/>
    </w:rPr>
  </w:style>
  <w:style w:type="paragraph" w:customStyle="1" w:styleId="94">
    <w:name w:val="xl31"/>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仿宋_GB2312" w:hAnsi="宋体" w:eastAsia="仿宋_GB2312" w:cs="宋体"/>
      <w:kern w:val="0"/>
      <w:sz w:val="20"/>
      <w:szCs w:val="20"/>
    </w:rPr>
  </w:style>
  <w:style w:type="paragraph" w:customStyle="1" w:styleId="95">
    <w:name w:val="xl33"/>
    <w:basedOn w:val="1"/>
    <w:qFormat/>
    <w:uiPriority w:val="99"/>
    <w:pPr>
      <w:widowControl/>
      <w:pBdr>
        <w:left w:val="single" w:color="auto" w:sz="4" w:space="0"/>
        <w:right w:val="single" w:color="auto" w:sz="4" w:space="0"/>
      </w:pBdr>
      <w:spacing w:before="100" w:beforeAutospacing="1" w:after="100" w:afterAutospacing="1"/>
      <w:jc w:val="center"/>
    </w:pPr>
    <w:rPr>
      <w:rFonts w:ascii="仿宋_GB2312" w:hAnsi="宋体" w:eastAsia="仿宋_GB2312" w:cs="宋体"/>
      <w:kern w:val="0"/>
      <w:sz w:val="20"/>
      <w:szCs w:val="20"/>
    </w:rPr>
  </w:style>
  <w:style w:type="paragraph" w:customStyle="1" w:styleId="96">
    <w:name w:val="xl3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仿宋_GB2312" w:hAnsi="宋体" w:eastAsia="仿宋_GB2312" w:cs="宋体"/>
      <w:kern w:val="0"/>
      <w:sz w:val="20"/>
      <w:szCs w:val="20"/>
    </w:rPr>
  </w:style>
  <w:style w:type="paragraph" w:customStyle="1" w:styleId="97">
    <w:name w:val="xl35"/>
    <w:basedOn w:val="1"/>
    <w:qFormat/>
    <w:uiPriority w:val="99"/>
    <w:pPr>
      <w:widowControl/>
      <w:pBdr>
        <w:top w:val="single" w:color="auto" w:sz="4" w:space="0"/>
        <w:left w:val="single" w:color="auto" w:sz="4" w:space="0"/>
        <w:bottom w:val="single" w:color="auto" w:sz="4" w:space="0"/>
      </w:pBdr>
      <w:spacing w:before="100" w:beforeAutospacing="1" w:after="100" w:afterAutospacing="1"/>
      <w:jc w:val="left"/>
      <w:textAlignment w:val="center"/>
    </w:pPr>
    <w:rPr>
      <w:rFonts w:ascii="仿宋_GB2312" w:hAnsi="宋体" w:eastAsia="仿宋_GB2312" w:cs="宋体"/>
      <w:kern w:val="0"/>
      <w:sz w:val="20"/>
      <w:szCs w:val="20"/>
    </w:rPr>
  </w:style>
  <w:style w:type="paragraph" w:customStyle="1" w:styleId="98">
    <w:name w:val="xl36"/>
    <w:basedOn w:val="1"/>
    <w:qFormat/>
    <w:uiPriority w:val="99"/>
    <w:pPr>
      <w:widowControl/>
      <w:pBdr>
        <w:left w:val="single" w:color="auto" w:sz="4" w:space="0"/>
        <w:bottom w:val="single" w:color="auto" w:sz="4" w:space="0"/>
        <w:right w:val="single" w:color="auto" w:sz="4" w:space="0"/>
      </w:pBdr>
      <w:spacing w:before="100" w:beforeAutospacing="1" w:after="100" w:afterAutospacing="1"/>
      <w:jc w:val="left"/>
    </w:pPr>
    <w:rPr>
      <w:rFonts w:ascii="仿宋_GB2312" w:hAnsi="宋体" w:eastAsia="仿宋_GB2312" w:cs="宋体"/>
      <w:kern w:val="0"/>
      <w:sz w:val="20"/>
      <w:szCs w:val="20"/>
    </w:rPr>
  </w:style>
  <w:style w:type="paragraph" w:customStyle="1" w:styleId="99">
    <w:name w:val="xl37"/>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0">
    <w:name w:val="xl3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color w:val="FFFFFF"/>
      <w:kern w:val="0"/>
      <w:sz w:val="20"/>
      <w:szCs w:val="20"/>
    </w:rPr>
  </w:style>
  <w:style w:type="paragraph" w:customStyle="1" w:styleId="101">
    <w:name w:val="xl3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2">
    <w:name w:val="xl40"/>
    <w:basedOn w:val="1"/>
    <w:qFormat/>
    <w:uiPriority w:val="99"/>
    <w:pPr>
      <w:widowControl/>
      <w:spacing w:before="100" w:beforeAutospacing="1" w:after="100" w:afterAutospacing="1"/>
      <w:jc w:val="left"/>
      <w:textAlignment w:val="center"/>
    </w:pPr>
    <w:rPr>
      <w:rFonts w:ascii="仿宋_GB2312" w:hAnsi="宋体" w:eastAsia="仿宋_GB2312" w:cs="宋体"/>
      <w:kern w:val="0"/>
      <w:sz w:val="20"/>
      <w:szCs w:val="20"/>
    </w:rPr>
  </w:style>
  <w:style w:type="paragraph" w:customStyle="1" w:styleId="103">
    <w:name w:val="xl41"/>
    <w:basedOn w:val="1"/>
    <w:qFormat/>
    <w:uiPriority w:val="99"/>
    <w:pPr>
      <w:widowControl/>
      <w:pBdr>
        <w:top w:val="single" w:color="auto" w:sz="4" w:space="0"/>
        <w:lef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4">
    <w:name w:val="xl42"/>
    <w:basedOn w:val="1"/>
    <w:qFormat/>
    <w:uiPriority w:val="99"/>
    <w:pPr>
      <w:widowControl/>
      <w:pBdr>
        <w:top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5">
    <w:name w:val="xl43"/>
    <w:basedOn w:val="1"/>
    <w:qFormat/>
    <w:uiPriority w:val="99"/>
    <w:pPr>
      <w:widowControl/>
      <w:pBdr>
        <w:left w:val="single" w:color="auto" w:sz="4" w:space="0"/>
        <w:bottom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6">
    <w:name w:val="xl44"/>
    <w:basedOn w:val="1"/>
    <w:qFormat/>
    <w:uiPriority w:val="99"/>
    <w:pPr>
      <w:widowControl/>
      <w:pBdr>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7">
    <w:name w:val="xl45"/>
    <w:basedOn w:val="1"/>
    <w:qFormat/>
    <w:uiPriority w:val="99"/>
    <w:pPr>
      <w:widowControl/>
      <w:pBdr>
        <w:top w:val="single" w:color="auto" w:sz="4" w:space="0"/>
        <w:left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8">
    <w:name w:val="xl46"/>
    <w:basedOn w:val="1"/>
    <w:qFormat/>
    <w:uiPriority w:val="99"/>
    <w:pPr>
      <w:widowControl/>
      <w:pBdr>
        <w:left w:val="single" w:color="auto" w:sz="4" w:space="0"/>
        <w:bottom w:val="single" w:color="auto" w:sz="4" w:space="0"/>
        <w:right w:val="single" w:color="auto" w:sz="4" w:space="0"/>
      </w:pBdr>
      <w:spacing w:before="100" w:beforeAutospacing="1" w:after="100" w:afterAutospacing="1"/>
      <w:jc w:val="center"/>
      <w:textAlignment w:val="center"/>
    </w:pPr>
    <w:rPr>
      <w:rFonts w:ascii="仿宋_GB2312" w:hAnsi="宋体" w:eastAsia="仿宋_GB2312" w:cs="宋体"/>
      <w:kern w:val="0"/>
      <w:sz w:val="20"/>
      <w:szCs w:val="20"/>
    </w:rPr>
  </w:style>
  <w:style w:type="paragraph" w:customStyle="1" w:styleId="109">
    <w:name w:val="xl47"/>
    <w:basedOn w:val="1"/>
    <w:qFormat/>
    <w:uiPriority w:val="99"/>
    <w:pPr>
      <w:widowControl/>
      <w:pBdr>
        <w:bottom w:val="single" w:color="auto" w:sz="4" w:space="0"/>
      </w:pBdr>
      <w:spacing w:before="100" w:beforeAutospacing="1" w:after="100" w:afterAutospacing="1"/>
      <w:jc w:val="left"/>
      <w:textAlignment w:val="center"/>
    </w:pPr>
    <w:rPr>
      <w:rFonts w:ascii="仿宋_GB2312" w:hAnsi="宋体" w:eastAsia="仿宋_GB2312" w:cs="宋体"/>
      <w:kern w:val="0"/>
      <w:szCs w:val="28"/>
    </w:rPr>
  </w:style>
  <w:style w:type="paragraph" w:customStyle="1" w:styleId="110">
    <w:name w:val="xl48"/>
    <w:basedOn w:val="1"/>
    <w:qFormat/>
    <w:uiPriority w:val="99"/>
    <w:pPr>
      <w:widowControl/>
      <w:pBdr>
        <w:bottom w:val="single" w:color="auto" w:sz="4" w:space="0"/>
      </w:pBdr>
      <w:spacing w:before="100" w:beforeAutospacing="1" w:after="100" w:afterAutospacing="1"/>
      <w:jc w:val="left"/>
    </w:pPr>
    <w:rPr>
      <w:rFonts w:ascii="宋体" w:hAnsi="宋体" w:cs="宋体"/>
      <w:b/>
      <w:bCs/>
      <w:kern w:val="0"/>
      <w:szCs w:val="28"/>
    </w:rPr>
  </w:style>
  <w:style w:type="paragraph" w:customStyle="1" w:styleId="111">
    <w:name w:val="word1"/>
    <w:basedOn w:val="1"/>
    <w:qFormat/>
    <w:uiPriority w:val="99"/>
    <w:pPr>
      <w:widowControl/>
      <w:spacing w:before="100" w:beforeAutospacing="1" w:after="100" w:afterAutospacing="1" w:line="432" w:lineRule="auto"/>
      <w:jc w:val="left"/>
    </w:pPr>
    <w:rPr>
      <w:rFonts w:ascii="宋体" w:hAnsi="宋体" w:cs="宋体"/>
      <w:kern w:val="0"/>
      <w:sz w:val="18"/>
      <w:szCs w:val="18"/>
    </w:rPr>
  </w:style>
  <w:style w:type="paragraph" w:customStyle="1" w:styleId="112">
    <w:name w:val="简单回函地址"/>
    <w:basedOn w:val="1"/>
    <w:qFormat/>
    <w:uiPriority w:val="99"/>
    <w:pPr>
      <w:widowControl/>
      <w:jc w:val="left"/>
    </w:pPr>
    <w:rPr>
      <w:rFonts w:ascii="宋体" w:hAnsi="宋体" w:cs="宋体"/>
      <w:kern w:val="0"/>
    </w:rPr>
  </w:style>
  <w:style w:type="paragraph" w:customStyle="1" w:styleId="113">
    <w:name w:val="a"/>
    <w:basedOn w:val="1"/>
    <w:uiPriority w:val="99"/>
    <w:pPr>
      <w:widowControl/>
      <w:spacing w:before="100" w:beforeAutospacing="1" w:after="100" w:afterAutospacing="1"/>
      <w:jc w:val="left"/>
    </w:pPr>
    <w:rPr>
      <w:rFonts w:ascii="Arial Unicode MS" w:hAnsi="Arial Unicode MS" w:cs="宋体"/>
      <w:kern w:val="0"/>
    </w:rPr>
  </w:style>
  <w:style w:type="paragraph" w:customStyle="1" w:styleId="114">
    <w:name w:val="表格"/>
    <w:next w:val="1"/>
    <w:uiPriority w:val="99"/>
    <w:pPr>
      <w:keepNext/>
      <w:widowControl w:val="0"/>
      <w:autoSpaceDE w:val="0"/>
      <w:autoSpaceDN w:val="0"/>
      <w:adjustRightInd w:val="0"/>
      <w:jc w:val="both"/>
      <w:textAlignment w:val="baseline"/>
    </w:pPr>
    <w:rPr>
      <w:rFonts w:ascii="宋体" w:hAnsi="宋体" w:eastAsia="宋体" w:cs="Times New Roman"/>
      <w:spacing w:val="10"/>
      <w:kern w:val="11"/>
      <w:sz w:val="21"/>
      <w:szCs w:val="18"/>
      <w:lang w:val="en-US" w:eastAsia="zh-CN" w:bidi="ar-SA"/>
    </w:rPr>
  </w:style>
  <w:style w:type="character" w:customStyle="1" w:styleId="115">
    <w:name w:val="h1"/>
    <w:basedOn w:val="41"/>
    <w:uiPriority w:val="99"/>
    <w:rPr>
      <w:rFonts w:cs="Times New Roman"/>
    </w:rPr>
  </w:style>
  <w:style w:type="paragraph" w:customStyle="1" w:styleId="116">
    <w:name w:val="样式2"/>
    <w:basedOn w:val="1"/>
    <w:qFormat/>
    <w:uiPriority w:val="99"/>
    <w:pPr>
      <w:widowControl/>
      <w:adjustRightInd w:val="0"/>
      <w:spacing w:line="300" w:lineRule="atLeast"/>
      <w:jc w:val="center"/>
      <w:textAlignment w:val="baseline"/>
    </w:pPr>
    <w:rPr>
      <w:rFonts w:ascii="宋体" w:hAnsi="宋体" w:cs="宋体"/>
      <w:kern w:val="28"/>
      <w:szCs w:val="20"/>
    </w:rPr>
  </w:style>
  <w:style w:type="character" w:customStyle="1" w:styleId="117">
    <w:name w:val="10dpi"/>
    <w:basedOn w:val="41"/>
    <w:uiPriority w:val="99"/>
    <w:rPr>
      <w:rFonts w:cs="Times New Roman"/>
    </w:rPr>
  </w:style>
  <w:style w:type="paragraph" w:customStyle="1" w:styleId="118">
    <w:name w:val="缩进"/>
    <w:basedOn w:val="1"/>
    <w:uiPriority w:val="99"/>
    <w:pPr>
      <w:widowControl/>
      <w:autoSpaceDE w:val="0"/>
      <w:autoSpaceDN w:val="0"/>
      <w:adjustRightInd w:val="0"/>
      <w:spacing w:line="400" w:lineRule="atLeast"/>
      <w:ind w:firstLine="425"/>
      <w:jc w:val="left"/>
      <w:textAlignment w:val="baseline"/>
    </w:pPr>
    <w:rPr>
      <w:rFonts w:ascii="宋体" w:hAnsi="宋体" w:cs="宋体"/>
      <w:kern w:val="0"/>
      <w:szCs w:val="20"/>
    </w:rPr>
  </w:style>
  <w:style w:type="character" w:customStyle="1" w:styleId="119">
    <w:name w:val="zw1"/>
    <w:basedOn w:val="41"/>
    <w:qFormat/>
    <w:uiPriority w:val="99"/>
    <w:rPr>
      <w:rFonts w:ascii="宋体" w:hAnsi="宋体" w:eastAsia="宋体" w:cs="Times New Roman"/>
      <w:spacing w:val="400"/>
      <w:sz w:val="22"/>
      <w:szCs w:val="22"/>
    </w:rPr>
  </w:style>
  <w:style w:type="character" w:customStyle="1" w:styleId="120">
    <w:name w:val="style51"/>
    <w:basedOn w:val="41"/>
    <w:uiPriority w:val="99"/>
    <w:rPr>
      <w:rFonts w:ascii="宋体" w:hAnsi="宋体" w:eastAsia="宋体" w:cs="Times New Roman"/>
      <w:sz w:val="21"/>
      <w:szCs w:val="21"/>
    </w:rPr>
  </w:style>
  <w:style w:type="character" w:customStyle="1" w:styleId="121">
    <w:name w:val="size13"/>
    <w:basedOn w:val="41"/>
    <w:uiPriority w:val="99"/>
    <w:rPr>
      <w:rFonts w:cs="Times New Roman"/>
    </w:rPr>
  </w:style>
  <w:style w:type="paragraph" w:customStyle="1" w:styleId="122">
    <w:name w:val="表头"/>
    <w:basedOn w:val="1"/>
    <w:link w:val="153"/>
    <w:uiPriority w:val="99"/>
    <w:pPr>
      <w:widowControl/>
      <w:spacing w:after="120" w:line="360" w:lineRule="auto"/>
      <w:ind w:firstLine="425"/>
      <w:jc w:val="center"/>
    </w:pPr>
    <w:rPr>
      <w:rFonts w:ascii="宋体" w:hAnsi="宋体" w:cs="宋体"/>
      <w:kern w:val="0"/>
      <w:szCs w:val="20"/>
    </w:rPr>
  </w:style>
  <w:style w:type="paragraph" w:customStyle="1" w:styleId="123">
    <w:name w:val="表格 32"/>
    <w:basedOn w:val="1"/>
    <w:uiPriority w:val="99"/>
    <w:pPr>
      <w:widowControl/>
      <w:autoSpaceDE w:val="0"/>
      <w:autoSpaceDN w:val="0"/>
      <w:adjustRightInd w:val="0"/>
      <w:jc w:val="center"/>
      <w:textAlignment w:val="baseline"/>
    </w:pPr>
    <w:rPr>
      <w:rFonts w:ascii="宋体" w:hAnsi="宋体" w:cs="宋体"/>
      <w:kern w:val="0"/>
      <w:szCs w:val="20"/>
    </w:rPr>
  </w:style>
  <w:style w:type="character" w:customStyle="1" w:styleId="124">
    <w:name w:val="Char"/>
    <w:basedOn w:val="41"/>
    <w:uiPriority w:val="99"/>
    <w:rPr>
      <w:rFonts w:ascii="宋体" w:hAnsi="Courier New" w:eastAsia="宋体" w:cs="Times New Roman"/>
      <w:kern w:val="2"/>
      <w:sz w:val="21"/>
      <w:lang w:val="en-US" w:eastAsia="zh-CN" w:bidi="ar-SA"/>
    </w:rPr>
  </w:style>
  <w:style w:type="paragraph" w:customStyle="1" w:styleId="125">
    <w:name w:val="标题2李"/>
    <w:basedOn w:val="3"/>
    <w:uiPriority w:val="99"/>
    <w:pPr>
      <w:adjustRightInd w:val="0"/>
      <w:snapToGrid w:val="0"/>
      <w:spacing w:before="0" w:after="0" w:line="360" w:lineRule="auto"/>
      <w:ind w:firstLine="150" w:firstLineChars="150"/>
      <w:jc w:val="left"/>
    </w:pPr>
    <w:rPr>
      <w:rFonts w:ascii="Times New Roman" w:hAnsi="Times New Roman"/>
      <w:b w:val="0"/>
      <w:bCs w:val="0"/>
    </w:rPr>
  </w:style>
  <w:style w:type="paragraph" w:customStyle="1" w:styleId="126">
    <w:name w:val="标题3李"/>
    <w:basedOn w:val="4"/>
    <w:uiPriority w:val="99"/>
    <w:pPr>
      <w:adjustRightInd w:val="0"/>
      <w:snapToGrid w:val="0"/>
      <w:spacing w:before="0" w:after="0" w:line="360" w:lineRule="auto"/>
      <w:ind w:firstLine="200" w:firstLineChars="200"/>
    </w:pPr>
    <w:rPr>
      <w:rFonts w:eastAsia="黑体"/>
      <w:b w:val="0"/>
      <w:szCs w:val="28"/>
    </w:rPr>
  </w:style>
  <w:style w:type="character" w:customStyle="1" w:styleId="127">
    <w:name w:val="Normal Indent Char"/>
    <w:basedOn w:val="41"/>
    <w:link w:val="14"/>
    <w:locked/>
    <w:uiPriority w:val="99"/>
    <w:rPr>
      <w:rFonts w:ascii="宋体" w:hAnsi="宋体" w:eastAsia="宋体" w:cs="宋体"/>
      <w:sz w:val="24"/>
      <w:lang w:val="en-US" w:eastAsia="zh-CN" w:bidi="ar-SA"/>
    </w:rPr>
  </w:style>
  <w:style w:type="paragraph" w:customStyle="1" w:styleId="128">
    <w:name w:val="条文"/>
    <w:basedOn w:val="1"/>
    <w:qFormat/>
    <w:uiPriority w:val="99"/>
    <w:pPr>
      <w:spacing w:line="300" w:lineRule="auto"/>
      <w:outlineLvl w:val="2"/>
    </w:pPr>
  </w:style>
  <w:style w:type="paragraph" w:customStyle="1" w:styleId="129">
    <w:name w:val="段落正文"/>
    <w:basedOn w:val="1"/>
    <w:uiPriority w:val="99"/>
    <w:pPr>
      <w:spacing w:line="300" w:lineRule="auto"/>
      <w:ind w:firstLine="482" w:firstLineChars="200"/>
    </w:pPr>
  </w:style>
  <w:style w:type="paragraph" w:customStyle="1" w:styleId="130">
    <w:name w:val="样式 首行缩进"/>
    <w:basedOn w:val="1"/>
    <w:uiPriority w:val="99"/>
    <w:pPr>
      <w:ind w:firstLine="551"/>
    </w:pPr>
    <w:rPr>
      <w:rFonts w:ascii="仿宋_GB2312" w:eastAsia="仿宋_GB2312" w:cs="宋体"/>
      <w:szCs w:val="20"/>
    </w:rPr>
  </w:style>
  <w:style w:type="character" w:customStyle="1" w:styleId="131">
    <w:name w:val="正文1"/>
    <w:basedOn w:val="41"/>
    <w:uiPriority w:val="99"/>
    <w:rPr>
      <w:rFonts w:ascii="宋体" w:hAnsi="宋体" w:eastAsia="宋体" w:cs="Times New Roman"/>
      <w:spacing w:val="400"/>
      <w:sz w:val="22"/>
      <w:szCs w:val="22"/>
    </w:rPr>
  </w:style>
  <w:style w:type="paragraph" w:customStyle="1" w:styleId="132">
    <w:name w:val="前言、引言标题"/>
    <w:next w:val="1"/>
    <w:qFormat/>
    <w:uiPriority w:val="99"/>
    <w:pPr>
      <w:shd w:val="clear" w:color="FFFFFF" w:fill="FFFFFF"/>
      <w:tabs>
        <w:tab w:val="left" w:pos="360"/>
        <w:tab w:val="left" w:pos="903"/>
      </w:tabs>
      <w:spacing w:before="640" w:after="560"/>
      <w:ind w:left="903" w:hanging="315"/>
      <w:jc w:val="center"/>
      <w:outlineLvl w:val="0"/>
    </w:pPr>
    <w:rPr>
      <w:rFonts w:ascii="黑体" w:hAnsi="Times New Roman" w:eastAsia="黑体" w:cs="Times New Roman"/>
      <w:kern w:val="0"/>
      <w:sz w:val="32"/>
      <w:szCs w:val="20"/>
      <w:lang w:val="en-US" w:eastAsia="zh-CN" w:bidi="ar-SA"/>
    </w:rPr>
  </w:style>
  <w:style w:type="paragraph" w:customStyle="1" w:styleId="133">
    <w:name w:val="一级条标题"/>
    <w:basedOn w:val="2"/>
    <w:next w:val="1"/>
    <w:uiPriority w:val="99"/>
    <w:pPr>
      <w:keepNext w:val="0"/>
      <w:keepLines w:val="0"/>
      <w:tabs>
        <w:tab w:val="left" w:pos="360"/>
      </w:tabs>
      <w:spacing w:before="0" w:after="0" w:line="240" w:lineRule="auto"/>
      <w:jc w:val="both"/>
      <w:outlineLvl w:val="2"/>
    </w:pPr>
    <w:rPr>
      <w:rFonts w:ascii="黑体" w:hAnsi="Times New Roman" w:eastAsia="黑体" w:cs="Times New Roman"/>
      <w:b w:val="0"/>
      <w:bCs w:val="0"/>
      <w:kern w:val="0"/>
      <w:sz w:val="21"/>
      <w:szCs w:val="20"/>
    </w:rPr>
  </w:style>
  <w:style w:type="paragraph" w:customStyle="1" w:styleId="134">
    <w:name w:val="二级条标题"/>
    <w:basedOn w:val="133"/>
    <w:next w:val="1"/>
    <w:uiPriority w:val="99"/>
    <w:pPr>
      <w:outlineLvl w:val="3"/>
    </w:pPr>
  </w:style>
  <w:style w:type="paragraph" w:customStyle="1" w:styleId="135">
    <w:name w:val="三级条标题"/>
    <w:basedOn w:val="134"/>
    <w:next w:val="1"/>
    <w:uiPriority w:val="99"/>
    <w:pPr>
      <w:outlineLvl w:val="4"/>
    </w:pPr>
  </w:style>
  <w:style w:type="paragraph" w:customStyle="1" w:styleId="136">
    <w:name w:val="四级条标题"/>
    <w:basedOn w:val="135"/>
    <w:next w:val="1"/>
    <w:uiPriority w:val="99"/>
    <w:pPr>
      <w:outlineLvl w:val="5"/>
    </w:pPr>
  </w:style>
  <w:style w:type="paragraph" w:customStyle="1" w:styleId="137">
    <w:name w:val="五级条标题"/>
    <w:basedOn w:val="136"/>
    <w:next w:val="1"/>
    <w:uiPriority w:val="99"/>
    <w:pPr>
      <w:outlineLvl w:val="6"/>
    </w:pPr>
  </w:style>
  <w:style w:type="paragraph" w:customStyle="1" w:styleId="138">
    <w:name w:val="新正文样式"/>
    <w:basedOn w:val="1"/>
    <w:uiPriority w:val="99"/>
    <w:pPr>
      <w:tabs>
        <w:tab w:val="left" w:pos="567"/>
      </w:tabs>
      <w:spacing w:line="360" w:lineRule="auto"/>
      <w:ind w:firstLine="567"/>
    </w:pPr>
    <w:rPr>
      <w:spacing w:val="20"/>
      <w:szCs w:val="20"/>
    </w:rPr>
  </w:style>
  <w:style w:type="paragraph" w:customStyle="1" w:styleId="139">
    <w:name w:val="Char Char Char Char"/>
    <w:basedOn w:val="1"/>
    <w:qFormat/>
    <w:uiPriority w:val="99"/>
    <w:pPr>
      <w:ind w:firstLine="480" w:firstLineChars="200"/>
    </w:pPr>
    <w:rPr>
      <w:rFonts w:ascii="宋体"/>
    </w:rPr>
  </w:style>
  <w:style w:type="paragraph" w:customStyle="1" w:styleId="140">
    <w:name w:val="Default"/>
    <w:uiPriority w:val="99"/>
    <w:pPr>
      <w:widowControl w:val="0"/>
      <w:autoSpaceDE w:val="0"/>
      <w:autoSpaceDN w:val="0"/>
      <w:adjustRightInd w:val="0"/>
    </w:pPr>
    <w:rPr>
      <w:rFonts w:ascii="Sim Sun+ 2" w:hAnsi="Times New Roman" w:eastAsia="Sim Sun+ 2" w:cs="Sim Sun+ 2"/>
      <w:color w:val="000000"/>
      <w:kern w:val="0"/>
      <w:sz w:val="24"/>
      <w:szCs w:val="24"/>
      <w:lang w:val="en-US" w:eastAsia="zh-CN" w:bidi="ar-SA"/>
    </w:rPr>
  </w:style>
  <w:style w:type="character" w:customStyle="1" w:styleId="141">
    <w:name w:val="t_tag"/>
    <w:basedOn w:val="41"/>
    <w:uiPriority w:val="99"/>
    <w:rPr>
      <w:rFonts w:cs="Times New Roman"/>
    </w:rPr>
  </w:style>
  <w:style w:type="paragraph" w:customStyle="1" w:styleId="142">
    <w:name w:val="自制表格"/>
    <w:basedOn w:val="1"/>
    <w:next w:val="1"/>
    <w:uiPriority w:val="99"/>
    <w:pPr>
      <w:spacing w:after="120" w:line="360" w:lineRule="auto"/>
    </w:pPr>
    <w:rPr>
      <w:rFonts w:ascii="宋体"/>
      <w:kern w:val="10"/>
      <w:szCs w:val="20"/>
    </w:rPr>
  </w:style>
  <w:style w:type="character" w:customStyle="1" w:styleId="143">
    <w:name w:val="样式721"/>
    <w:basedOn w:val="41"/>
    <w:uiPriority w:val="99"/>
    <w:rPr>
      <w:rFonts w:ascii="宋体" w:hAnsi="宋体" w:eastAsia="宋体" w:cs="Times New Roman"/>
    </w:rPr>
  </w:style>
  <w:style w:type="paragraph" w:customStyle="1" w:styleId="144">
    <w:name w:val="样式13"/>
    <w:basedOn w:val="4"/>
    <w:qFormat/>
    <w:uiPriority w:val="99"/>
    <w:pPr>
      <w:tabs>
        <w:tab w:val="left" w:pos="720"/>
      </w:tabs>
      <w:autoSpaceDE w:val="0"/>
      <w:autoSpaceDN w:val="0"/>
      <w:spacing w:before="0" w:after="0" w:line="360" w:lineRule="auto"/>
      <w:jc w:val="left"/>
      <w:textAlignment w:val="baseline"/>
    </w:pPr>
    <w:rPr>
      <w:rFonts w:ascii="??_GB2312"/>
      <w:bCs w:val="0"/>
      <w:kern w:val="0"/>
      <w:szCs w:val="28"/>
    </w:rPr>
  </w:style>
  <w:style w:type="paragraph" w:customStyle="1" w:styleId="145">
    <w:name w:val="xl50"/>
    <w:basedOn w:val="1"/>
    <w:uiPriority w:val="99"/>
    <w:pPr>
      <w:widowControl/>
      <w:pBdr>
        <w:left w:val="single" w:color="auto" w:sz="8" w:space="0"/>
        <w:bottom w:val="single" w:color="auto" w:sz="8" w:space="0"/>
        <w:right w:val="single" w:color="auto" w:sz="4" w:space="0"/>
      </w:pBdr>
      <w:spacing w:before="100" w:beforeAutospacing="1" w:after="100" w:afterAutospacing="1"/>
      <w:jc w:val="center"/>
      <w:textAlignment w:val="center"/>
    </w:pPr>
    <w:rPr>
      <w:rFonts w:ascii="Arial Unicode MS" w:hAnsi="Arial Unicode MS" w:cs="Arial Unicode MS"/>
      <w:kern w:val="0"/>
      <w:sz w:val="20"/>
      <w:szCs w:val="20"/>
    </w:rPr>
  </w:style>
  <w:style w:type="paragraph" w:customStyle="1" w:styleId="146">
    <w:name w:val="表格1"/>
    <w:basedOn w:val="1"/>
    <w:qFormat/>
    <w:uiPriority w:val="99"/>
  </w:style>
  <w:style w:type="paragraph" w:customStyle="1" w:styleId="147">
    <w:name w:val="样式 小四 行距: 固定值 27 磅"/>
    <w:basedOn w:val="1"/>
    <w:uiPriority w:val="99"/>
    <w:pPr>
      <w:spacing w:line="560" w:lineRule="exact"/>
      <w:ind w:firstLine="200" w:firstLineChars="200"/>
    </w:pPr>
    <w:rPr>
      <w:rFonts w:cs="宋体"/>
      <w:szCs w:val="20"/>
    </w:rPr>
  </w:style>
  <w:style w:type="paragraph" w:customStyle="1" w:styleId="148">
    <w:name w:val="No Spacing1"/>
    <w:link w:val="149"/>
    <w:uiPriority w:val="99"/>
    <w:rPr>
      <w:rFonts w:ascii="Calibri" w:hAnsi="Calibri" w:eastAsia="宋体" w:cs="Times New Roman"/>
      <w:kern w:val="0"/>
      <w:sz w:val="22"/>
      <w:szCs w:val="22"/>
      <w:lang w:val="en-US" w:eastAsia="zh-CN" w:bidi="ar-SA"/>
    </w:rPr>
  </w:style>
  <w:style w:type="character" w:customStyle="1" w:styleId="149">
    <w:name w:val="无间隔 Char"/>
    <w:basedOn w:val="41"/>
    <w:link w:val="148"/>
    <w:locked/>
    <w:uiPriority w:val="99"/>
    <w:rPr>
      <w:rFonts w:ascii="Calibri" w:hAnsi="Calibri" w:cs="Times New Roman"/>
      <w:sz w:val="22"/>
      <w:szCs w:val="22"/>
      <w:lang w:val="en-US" w:eastAsia="zh-CN" w:bidi="ar-SA"/>
    </w:rPr>
  </w:style>
  <w:style w:type="character" w:customStyle="1" w:styleId="150">
    <w:name w:val="search_content1"/>
    <w:basedOn w:val="41"/>
    <w:uiPriority w:val="99"/>
    <w:rPr>
      <w:rFonts w:cs="Times New Roman"/>
      <w:sz w:val="16"/>
      <w:szCs w:val="16"/>
    </w:rPr>
  </w:style>
  <w:style w:type="paragraph" w:customStyle="1" w:styleId="151">
    <w:name w:val="样式 正文文本缩进 + 宋体 五号 黑色 全部大写 居中 首行缩进:  0 厘米 段前: 0 磅 行距: 单倍行距"/>
    <w:basedOn w:val="18"/>
    <w:uiPriority w:val="99"/>
    <w:pPr>
      <w:adjustRightInd w:val="0"/>
      <w:spacing w:line="240" w:lineRule="auto"/>
      <w:ind w:firstLine="0" w:firstLineChars="0"/>
      <w:jc w:val="center"/>
      <w:textAlignment w:val="baseline"/>
    </w:pPr>
    <w:rPr>
      <w:rFonts w:ascii="宋体" w:hAnsi="宋体"/>
      <w:color w:val="000000"/>
      <w:kern w:val="28"/>
      <w:sz w:val="21"/>
      <w:szCs w:val="20"/>
    </w:rPr>
  </w:style>
  <w:style w:type="paragraph" w:customStyle="1" w:styleId="152">
    <w:name w:val="TOC Heading1"/>
    <w:basedOn w:val="2"/>
    <w:next w:val="1"/>
    <w:uiPriority w:val="99"/>
    <w:pPr>
      <w:spacing w:before="480" w:after="0" w:line="276" w:lineRule="auto"/>
      <w:outlineLvl w:val="9"/>
    </w:pPr>
    <w:rPr>
      <w:rFonts w:ascii="Cambria" w:hAnsi="Cambria" w:cs="Times New Roman"/>
      <w:color w:val="365F91"/>
      <w:kern w:val="0"/>
      <w:sz w:val="28"/>
      <w:szCs w:val="28"/>
    </w:rPr>
  </w:style>
  <w:style w:type="character" w:customStyle="1" w:styleId="153">
    <w:name w:val="表头 Char"/>
    <w:basedOn w:val="41"/>
    <w:link w:val="122"/>
    <w:qFormat/>
    <w:locked/>
    <w:uiPriority w:val="99"/>
    <w:rPr>
      <w:rFonts w:ascii="宋体" w:hAnsi="宋体" w:eastAsia="Times New Roman" w:cs="宋体"/>
      <w:sz w:val="24"/>
    </w:rPr>
  </w:style>
  <w:style w:type="paragraph" w:customStyle="1" w:styleId="154">
    <w:name w:val="表内容"/>
    <w:basedOn w:val="122"/>
    <w:uiPriority w:val="99"/>
    <w:pPr>
      <w:widowControl w:val="0"/>
      <w:snapToGrid w:val="0"/>
      <w:spacing w:after="0" w:line="240" w:lineRule="auto"/>
      <w:ind w:firstLine="0"/>
    </w:pPr>
    <w:rPr>
      <w:rFonts w:ascii="Calibri" w:hAnsi="Calibri" w:cs="Times New Roman"/>
      <w:sz w:val="21"/>
      <w:szCs w:val="21"/>
    </w:rPr>
  </w:style>
  <w:style w:type="table" w:customStyle="1" w:styleId="155">
    <w:name w:val="网格型1"/>
    <w:uiPriority w:val="99"/>
    <w:rPr>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table" w:customStyle="1" w:styleId="156">
    <w:name w:val="网格型2"/>
    <w:uiPriority w:val="99"/>
    <w:rPr>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character" w:customStyle="1" w:styleId="157">
    <w:name w:val="Char Char3"/>
    <w:basedOn w:val="41"/>
    <w:qFormat/>
    <w:locked/>
    <w:uiPriority w:val="99"/>
    <w:rPr>
      <w:rFonts w:eastAsia="Times New Roman" w:cs="Times New Roman"/>
      <w:kern w:val="2"/>
      <w:sz w:val="18"/>
      <w:szCs w:val="18"/>
      <w:lang w:val="en-US" w:eastAsia="zh-CN" w:bidi="ar-SA"/>
    </w:rPr>
  </w:style>
  <w:style w:type="paragraph" w:customStyle="1" w:styleId="158">
    <w:name w:val="黏贴"/>
    <w:uiPriority w:val="99"/>
    <w:rPr>
      <w:rFonts w:ascii="方正宋三简体" w:hAnsi="Times New Roman" w:eastAsia="方正宋三简体" w:cs="方正宋三简体"/>
      <w:kern w:val="2"/>
      <w:sz w:val="18"/>
      <w:szCs w:val="24"/>
      <w:lang w:val="en-US" w:eastAsia="zh-CN" w:bidi="ar-SA"/>
    </w:rPr>
  </w:style>
  <w:style w:type="paragraph" w:customStyle="1" w:styleId="159">
    <w:name w:val="正文_0"/>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报告正文"/>
    <w:basedOn w:val="1"/>
    <w:uiPriority w:val="99"/>
    <w:pPr>
      <w:adjustRightInd w:val="0"/>
      <w:snapToGrid w:val="0"/>
      <w:spacing w:line="360" w:lineRule="auto"/>
      <w:ind w:firstLine="200" w:firstLineChars="200"/>
    </w:pPr>
    <w:rPr>
      <w:rFonts w:ascii="宋体"/>
    </w:rPr>
  </w:style>
</w:styles>
</file>

<file path=word/_rels/document.xml.rels><?xml version="1.0" encoding="UTF-8" standalone="yes"?>
<Relationships xmlns="http://schemas.openxmlformats.org/package/2006/relationships"><Relationship Id="rId9" Type="http://schemas.openxmlformats.org/officeDocument/2006/relationships/image" Target="media/image1.emf"/><Relationship Id="rId8" Type="http://schemas.openxmlformats.org/officeDocument/2006/relationships/theme" Target="theme/theme1.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jpeg"/><Relationship Id="rId12" Type="http://schemas.openxmlformats.org/officeDocument/2006/relationships/image" Target="media/image4.emf"/><Relationship Id="rId11" Type="http://schemas.openxmlformats.org/officeDocument/2006/relationships/image" Target="media/image3.jpeg"/><Relationship Id="rId10" Type="http://schemas.openxmlformats.org/officeDocument/2006/relationships/image" Target="media/image2.emf"/><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Normal_Wordconv</Template>
  <Company>Microsoft</Company>
  <Pages>94</Pages>
  <Words>6365</Words>
  <Lines>0</Lines>
  <Paragraphs>0</Paragraphs>
  <ScaleCrop>false</ScaleCrop>
  <LinksUpToDate>false</LinksUpToDate>
  <CharactersWithSpaces>0</CharactersWithSpaces>
  <Application>WPS Office_10.1.0.7022_F1E327BC-269C-435d-A152-05C5408002CA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2016-08-11T10:15:00Z</dcterms:created>
  <dc:creator>owen</dc:creator>
  <cp:lastModifiedBy>種顏銫o</cp:lastModifiedBy>
  <cp:lastPrinted>2016-10-27T08:43:00Z</cp:lastPrinted>
  <dcterms:modified xsi:type="dcterms:W3CDTF">2018-01-30T08:22:06Z</dcterms:modified>
  <dc:title>1</dc:title>
  <cp:revision>23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2052-10.1.0.7022</vt:lpwstr>
  </property>
</Properties>
</file>