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36"/>
          <w:szCs w:val="36"/>
          <w:u w:val="single"/>
          <w:lang w:val="en-US" w:eastAsia="zh-CN"/>
        </w:rPr>
        <w:t xml:space="preserve">   2016</w:t>
      </w:r>
      <w:r>
        <w:rPr>
          <w:rFonts w:hint="eastAsia" w:ascii="宋体" w:hAnsi="宋体"/>
          <w:b/>
          <w:bCs/>
          <w:sz w:val="36"/>
          <w:szCs w:val="36"/>
        </w:rPr>
        <w:t>年度</w:t>
      </w:r>
      <w:r>
        <w:rPr>
          <w:rFonts w:hint="eastAsia" w:ascii="宋体" w:hAnsi="宋体"/>
          <w:b/>
          <w:bCs/>
          <w:sz w:val="36"/>
          <w:szCs w:val="36"/>
          <w:u w:val="single"/>
          <w:lang w:eastAsia="zh-CN"/>
        </w:rPr>
        <w:t>民革韶关市委员会</w:t>
      </w:r>
      <w:r>
        <w:rPr>
          <w:rFonts w:hint="eastAsia" w:ascii="宋体" w:hAnsi="宋体"/>
          <w:b/>
          <w:bCs/>
          <w:sz w:val="36"/>
          <w:szCs w:val="36"/>
        </w:rPr>
        <w:t>预算公开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补充公开）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目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第一部分  部门预算基本情况说明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收入预算说明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支出预算说明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机关运行经费预算说明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“三公”经费预算说明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政府采购情况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国有资产占有情况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预算绩效情况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国有资本经营收支情况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专业名词解释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第二部分  部门预算表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部门收入总表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部门支出总表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部门项目支出表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财政拨款收支总表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一般公共预算项目支出表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一般公共预算安排的机关运行经费及“三公”经费支出表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政府性基金预算支出表</w:t>
      </w:r>
    </w:p>
    <w:p>
      <w:pPr>
        <w:pStyle w:val="6"/>
        <w:spacing w:line="600" w:lineRule="exact"/>
        <w:jc w:val="center"/>
        <w:rPr>
          <w:rFonts w:hint="eastAsia" w:ascii="宋体" w:hAnsi="宋体" w:eastAsia="宋体"/>
          <w:b/>
          <w:szCs w:val="44"/>
        </w:rPr>
      </w:pPr>
      <w:r>
        <w:rPr>
          <w:rFonts w:hint="eastAsia" w:ascii="宋体" w:hAnsi="宋体" w:eastAsia="宋体"/>
          <w:b/>
          <w:sz w:val="36"/>
          <w:szCs w:val="36"/>
        </w:rPr>
        <w:t>部门预算基本情况说明（样板）</w:t>
      </w:r>
    </w:p>
    <w:p>
      <w:pPr>
        <w:pStyle w:val="6"/>
        <w:spacing w:line="600" w:lineRule="exact"/>
        <w:rPr>
          <w:rFonts w:hint="eastAsia" w:ascii="仿宋_GB2312"/>
          <w:sz w:val="30"/>
          <w:szCs w:val="32"/>
        </w:rPr>
      </w:pP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一、部门基本情况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（一）部门机构设置、职能。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年预算组成单位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2"/>
        </w:rPr>
        <w:t>个，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是</w:t>
      </w:r>
      <w:r>
        <w:rPr>
          <w:rFonts w:hint="eastAsia" w:ascii="仿宋_GB2312" w:eastAsia="仿宋_GB2312"/>
          <w:sz w:val="30"/>
          <w:szCs w:val="30"/>
        </w:rPr>
        <w:t>民革韶关市委员会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主要职能是</w:t>
      </w:r>
      <w:r>
        <w:rPr>
          <w:rFonts w:hint="eastAsia" w:ascii="仿宋_GB2312" w:hAnsi="仿宋_GB2312" w:eastAsia="仿宋_GB2312" w:cs="仿宋_GB2312"/>
          <w:sz w:val="30"/>
          <w:szCs w:val="30"/>
        </w:rPr>
        <w:t>履行</w:t>
      </w:r>
      <w:r>
        <w:rPr>
          <w:rFonts w:hint="eastAsia" w:ascii="仿宋_GB2312" w:eastAsia="仿宋_GB2312"/>
          <w:sz w:val="30"/>
          <w:szCs w:val="30"/>
        </w:rPr>
        <w:t>参政议政、民主监督和参加中国共产党领导的政治协商职能</w:t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2"/>
        </w:rPr>
        <w:t>内设机构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（二）人员构成情况。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民革韶关市委员会机关共有行政编制5人，其中，在职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人，离退休人员4人。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Chars="20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（三）预算年度的主要工作任务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（简单罗列）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Chars="20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民革韶关市委员会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作为</w:t>
      </w:r>
      <w:r>
        <w:rPr>
          <w:rFonts w:hint="eastAsia" w:ascii="仿宋_GB2312" w:hAnsi="仿宋_GB2312" w:eastAsia="仿宋_GB2312" w:cs="仿宋_GB2312"/>
          <w:sz w:val="30"/>
          <w:szCs w:val="30"/>
        </w:rPr>
        <w:t>韶关市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六个</w:t>
      </w:r>
      <w:r>
        <w:rPr>
          <w:rFonts w:hint="eastAsia" w:ascii="仿宋_GB2312" w:hAnsi="仿宋_GB2312" w:eastAsia="仿宋_GB2312" w:cs="仿宋_GB2312"/>
          <w:sz w:val="30"/>
          <w:szCs w:val="30"/>
        </w:rPr>
        <w:t>民主党派之一，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年主要工作任务是积极</w:t>
      </w:r>
      <w:r>
        <w:rPr>
          <w:rFonts w:hint="eastAsia" w:ascii="仿宋_GB2312" w:hAnsi="仿宋_GB2312" w:eastAsia="仿宋_GB2312" w:cs="仿宋_GB2312"/>
          <w:sz w:val="30"/>
          <w:szCs w:val="30"/>
        </w:rPr>
        <w:t>履行</w:t>
      </w:r>
      <w:r>
        <w:rPr>
          <w:rFonts w:hint="eastAsia" w:ascii="仿宋_GB2312" w:eastAsia="仿宋_GB2312"/>
          <w:sz w:val="30"/>
          <w:szCs w:val="30"/>
        </w:rPr>
        <w:t>参政议政、民主监督和参加中国共产党领导的政治协商职能</w:t>
      </w:r>
      <w:r>
        <w:rPr>
          <w:rFonts w:hint="eastAsia" w:ascii="仿宋_GB2312" w:eastAsia="仿宋_GB2312"/>
          <w:sz w:val="30"/>
          <w:szCs w:val="30"/>
          <w:lang w:eastAsia="zh-CN"/>
        </w:rPr>
        <w:t>，加强自身建设，完成市委会年度计划各项工作。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二、收入预算说明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年收入预算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129.09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万元，比上年增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28.10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万元，增幅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27.82</w:t>
      </w:r>
      <w:r>
        <w:rPr>
          <w:rFonts w:hint="eastAsia" w:ascii="仿宋_GB2312" w:hAnsi="仿宋_GB2312" w:eastAsia="仿宋_GB2312" w:cs="仿宋_GB2312"/>
          <w:sz w:val="30"/>
          <w:szCs w:val="32"/>
        </w:rPr>
        <w:t>%，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0"/>
          <w:szCs w:val="32"/>
        </w:rPr>
        <w:t>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2016年民革市委员会发生换届，换届经费13.90万元</w:t>
      </w:r>
      <w:r>
        <w:rPr>
          <w:rFonts w:hint="eastAsia" w:ascii="仿宋_GB2312" w:hAnsi="仿宋_GB2312" w:eastAsia="仿宋_GB2312" w:cs="仿宋_GB2312"/>
          <w:sz w:val="30"/>
          <w:szCs w:val="32"/>
        </w:rPr>
        <w:t>。其中：一般公共预算拨款</w:t>
      </w:r>
      <w:r>
        <w:rPr>
          <w:rFonts w:hint="eastAsia" w:ascii="仿宋_GB2312" w:hAnsi="仿宋_GB2312" w:eastAsia="仿宋_GB2312" w:cs="仿宋_GB2312"/>
          <w:sz w:val="28"/>
          <w:szCs w:val="28"/>
        </w:rPr>
        <w:t>129.09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万元，其他收入（财政专户拨款、基金预算拨款等）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万元。</w:t>
      </w: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三、支出预算说明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年支出预算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129.09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万元，比上年增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28.10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万元，增幅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27.82</w:t>
      </w:r>
      <w:r>
        <w:rPr>
          <w:rFonts w:hint="eastAsia" w:ascii="仿宋_GB2312" w:hAnsi="仿宋_GB2312" w:eastAsia="仿宋_GB2312" w:cs="仿宋_GB2312"/>
          <w:sz w:val="30"/>
          <w:szCs w:val="32"/>
        </w:rPr>
        <w:t>%，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0"/>
          <w:szCs w:val="32"/>
        </w:rPr>
        <w:t>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2016年民革市委员会发生换届，换届经费开支13.90万元</w:t>
      </w:r>
      <w:r>
        <w:rPr>
          <w:rFonts w:hint="eastAsia" w:ascii="仿宋_GB2312" w:hAnsi="仿宋_GB2312" w:eastAsia="仿宋_GB2312" w:cs="仿宋_GB2312"/>
          <w:sz w:val="30"/>
          <w:szCs w:val="32"/>
        </w:rPr>
        <w:t>。其中：一般公共预算拨款安排支出</w:t>
      </w:r>
      <w:r>
        <w:rPr>
          <w:rFonts w:hint="eastAsia" w:ascii="仿宋_GB2312" w:hAnsi="仿宋_GB2312" w:eastAsia="仿宋_GB2312" w:cs="仿宋_GB2312"/>
          <w:sz w:val="28"/>
          <w:szCs w:val="28"/>
        </w:rPr>
        <w:t>129.09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万元，其他收入拨款（财政专户拨款、基金预算拨款等）安排支出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一般公共预算拨款支出按用途划分：</w:t>
      </w:r>
    </w:p>
    <w:p>
      <w:pPr>
        <w:pStyle w:val="9"/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0"/>
          <w:szCs w:val="32"/>
        </w:rPr>
        <w:t>基本支出预算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98.19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万元，占预算拨款支出的</w:t>
      </w:r>
      <w:r>
        <w:rPr>
          <w:rFonts w:hint="eastAsia" w:ascii="仿宋_GB2312" w:hAnsi="仿宋_GB2312" w:eastAsia="仿宋_GB2312" w:cs="仿宋_GB2312"/>
          <w:sz w:val="30"/>
          <w:szCs w:val="30"/>
        </w:rPr>
        <w:t>76.06</w:t>
      </w:r>
      <w:r>
        <w:rPr>
          <w:rFonts w:hint="eastAsia" w:ascii="仿宋_GB2312" w:hAnsi="仿宋_GB2312" w:eastAsia="仿宋_GB2312" w:cs="仿宋_GB2312"/>
          <w:sz w:val="30"/>
          <w:szCs w:val="32"/>
        </w:rPr>
        <w:t>%，比上年增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14.20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万元，增幅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16.91</w:t>
      </w:r>
      <w:r>
        <w:rPr>
          <w:rFonts w:hint="eastAsia" w:ascii="仿宋_GB2312" w:hAnsi="仿宋_GB2312" w:eastAsia="仿宋_GB2312" w:cs="仿宋_GB2312"/>
          <w:sz w:val="30"/>
          <w:szCs w:val="32"/>
        </w:rPr>
        <w:t>%，原因是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工资</w:t>
      </w:r>
      <w:r>
        <w:rPr>
          <w:rFonts w:hint="eastAsia" w:ascii="仿宋_GB2312" w:hAnsi="仿宋_GB2312" w:eastAsia="仿宋_GB2312" w:cs="仿宋_GB2312"/>
          <w:sz w:val="30"/>
          <w:szCs w:val="32"/>
        </w:rPr>
        <w:t>福利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商品和服务支出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0"/>
          <w:szCs w:val="30"/>
        </w:rPr>
        <w:t>对个人和家庭的补助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正常增长及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新增公务交通补贴、住房维修基金</w:t>
      </w:r>
      <w:r>
        <w:rPr>
          <w:rFonts w:hint="eastAsia" w:ascii="仿宋_GB2312" w:hAnsi="仿宋_GB2312" w:eastAsia="仿宋_GB2312" w:cs="仿宋_GB2312"/>
          <w:sz w:val="30"/>
          <w:szCs w:val="32"/>
        </w:rPr>
        <w:t>。其中：</w:t>
      </w:r>
      <w:r>
        <w:rPr>
          <w:rFonts w:hint="eastAsia" w:ascii="仿宋_GB2312" w:hAnsi="仿宋_GB2312" w:eastAsia="仿宋_GB2312" w:cs="仿宋_GB2312"/>
          <w:sz w:val="30"/>
          <w:szCs w:val="30"/>
        </w:rPr>
        <w:t>工资福利支出76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万元，商品和服务支出19.59万元，对个人和家庭的补助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2.46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（二）项目支出预算</w:t>
      </w:r>
      <w:r>
        <w:rPr>
          <w:rFonts w:hint="eastAsia" w:ascii="仿宋_GB2312" w:hAnsi="仿宋_GB2312" w:eastAsia="仿宋_GB2312" w:cs="仿宋_GB2312"/>
          <w:sz w:val="30"/>
          <w:szCs w:val="30"/>
        </w:rPr>
        <w:t>30.90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万元，占预算拨款支出的</w:t>
      </w:r>
      <w:r>
        <w:rPr>
          <w:rFonts w:hint="eastAsia" w:ascii="仿宋_GB2312" w:hAnsi="仿宋_GB2312" w:eastAsia="仿宋_GB2312" w:cs="仿宋_GB2312"/>
          <w:sz w:val="30"/>
          <w:szCs w:val="30"/>
        </w:rPr>
        <w:t>23.94%</w:t>
      </w:r>
      <w:r>
        <w:rPr>
          <w:rFonts w:hint="eastAsia" w:ascii="仿宋_GB2312" w:hAnsi="仿宋_GB2312" w:eastAsia="仿宋_GB2312" w:cs="仿宋_GB2312"/>
          <w:sz w:val="30"/>
          <w:szCs w:val="32"/>
        </w:rPr>
        <w:t>，与上年预算相比，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13.90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81.76</w:t>
      </w:r>
      <w:r>
        <w:rPr>
          <w:rFonts w:hint="eastAsia" w:ascii="仿宋_GB2312" w:hAnsi="仿宋_GB2312" w:eastAsia="仿宋_GB2312" w:cs="仿宋_GB2312"/>
          <w:sz w:val="30"/>
          <w:szCs w:val="30"/>
        </w:rPr>
        <w:t>%。其中：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001</w:t>
      </w:r>
      <w:r>
        <w:rPr>
          <w:rFonts w:hint="eastAsia" w:ascii="仿宋_GB2312" w:hAnsi="华文仿宋" w:eastAsia="仿宋_GB2312"/>
          <w:sz w:val="30"/>
          <w:szCs w:val="30"/>
        </w:rPr>
        <w:t>调研及活动费17.00万元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与上年</w:t>
      </w:r>
      <w:r>
        <w:rPr>
          <w:rFonts w:hint="eastAsia" w:ascii="仿宋_GB2312" w:hAnsi="仿宋_GB2312" w:eastAsia="仿宋_GB2312" w:cs="仿宋_GB2312"/>
          <w:sz w:val="30"/>
          <w:szCs w:val="32"/>
        </w:rPr>
        <w:t>保持不变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无增拨经费，</w:t>
      </w:r>
      <w:r>
        <w:rPr>
          <w:rFonts w:hint="eastAsia" w:ascii="仿宋_GB2312" w:hAnsi="华文仿宋" w:eastAsia="仿宋_GB2312"/>
          <w:sz w:val="30"/>
          <w:szCs w:val="30"/>
        </w:rPr>
        <w:t>主要用于课题调研及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基层组织</w:t>
      </w:r>
      <w:r>
        <w:rPr>
          <w:rFonts w:hint="eastAsia" w:ascii="仿宋_GB2312" w:hAnsi="华文仿宋" w:eastAsia="仿宋_GB2312"/>
          <w:sz w:val="30"/>
          <w:szCs w:val="30"/>
        </w:rPr>
        <w:t>活动支出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华文仿宋" w:eastAsia="仿宋_GB2312"/>
          <w:sz w:val="30"/>
          <w:szCs w:val="30"/>
          <w:lang w:val="en-US" w:eastAsia="zh-CN"/>
        </w:rPr>
        <w:t>002</w:t>
      </w:r>
      <w:r>
        <w:rPr>
          <w:rFonts w:hint="eastAsia" w:ascii="仿宋_GB2312" w:hAnsi="华文仿宋" w:eastAsia="仿宋_GB2312"/>
          <w:sz w:val="30"/>
          <w:szCs w:val="30"/>
        </w:rPr>
        <w:t>换届会议经费13.90万元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，属于新增项目，</w:t>
      </w:r>
      <w:r>
        <w:rPr>
          <w:rFonts w:hint="eastAsia" w:ascii="仿宋_GB2312" w:hAnsi="华文仿宋" w:eastAsia="仿宋_GB2312"/>
          <w:sz w:val="30"/>
          <w:szCs w:val="30"/>
        </w:rPr>
        <w:t>主要用于2016年民革市委会换届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工作的</w:t>
      </w:r>
      <w:r>
        <w:rPr>
          <w:rFonts w:hint="eastAsia" w:ascii="仿宋_GB2312" w:hAnsi="华文仿宋" w:eastAsia="仿宋_GB2312"/>
          <w:sz w:val="30"/>
          <w:szCs w:val="30"/>
        </w:rPr>
        <w:t>各项支出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。</w:t>
      </w:r>
    </w:p>
    <w:p>
      <w:pPr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四、机关运行经费</w:t>
      </w: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预算说明。</w:t>
      </w:r>
      <w:r>
        <w:rPr>
          <w:rFonts w:hint="eastAsia" w:ascii="黑体" w:hAnsi="仿宋_GB2312" w:eastAsia="黑体" w:cs="仿宋_GB2312"/>
          <w:b/>
          <w:sz w:val="30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年一般公共预算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安排</w:t>
      </w:r>
      <w:r>
        <w:rPr>
          <w:rFonts w:hint="eastAsia" w:ascii="仿宋_GB2312" w:hAnsi="仿宋_GB2312" w:eastAsia="仿宋_GB2312" w:cs="仿宋_GB2312"/>
          <w:sz w:val="30"/>
          <w:szCs w:val="32"/>
        </w:rPr>
        <w:t>机关运行经费预算为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19.59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万元，比上年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预算相比保持不变</w:t>
      </w:r>
      <w:r>
        <w:rPr>
          <w:rFonts w:hint="eastAsia" w:ascii="仿宋_GB2312" w:hAnsi="仿宋_GB2312" w:eastAsia="仿宋_GB2312" w:cs="仿宋_GB2312"/>
          <w:sz w:val="30"/>
          <w:szCs w:val="32"/>
        </w:rPr>
        <w:t>，原因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是无增加人员和公用经费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。其中</w:t>
      </w:r>
      <w:r>
        <w:rPr>
          <w:rFonts w:hint="eastAsia" w:ascii="仿宋_GB2312" w:hAnsi="仿宋_GB2312" w:eastAsia="仿宋_GB2312" w:cs="仿宋_GB2312"/>
          <w:sz w:val="30"/>
          <w:szCs w:val="32"/>
        </w:rPr>
        <w:t>办公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万元、印刷费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万元、邮电费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0.80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万元、差旅费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万元、会议费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万元、福利费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0.09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万元、日常维修费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0.60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工会经费0.50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培训费1.00万元、租赁费1.00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委托业务费0.31万元、</w:t>
      </w:r>
      <w:r>
        <w:rPr>
          <w:rFonts w:hint="eastAsia" w:ascii="仿宋_GB2312" w:hAnsi="仿宋_GB2312" w:eastAsia="仿宋_GB2312" w:cs="仿宋_GB2312"/>
          <w:sz w:val="30"/>
          <w:szCs w:val="32"/>
        </w:rPr>
        <w:t>水费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0.60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万元、电费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0.70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万元、办公用房取暖费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万元、办公用房物业管理费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0.30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咨询费0.30万元、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万元、其他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交通</w:t>
      </w:r>
      <w:r>
        <w:rPr>
          <w:rFonts w:hint="eastAsia" w:ascii="仿宋_GB2312" w:hAnsi="仿宋_GB2312" w:eastAsia="仿宋_GB2312" w:cs="仿宋_GB2312"/>
          <w:sz w:val="30"/>
          <w:szCs w:val="32"/>
        </w:rPr>
        <w:t>费用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其他商品和服务支出2.19万元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pStyle w:val="9"/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五、</w:t>
      </w:r>
      <w:r>
        <w:rPr>
          <w:rFonts w:hint="eastAsia" w:ascii="黑体" w:hAnsi="仿宋_GB2312" w:eastAsia="黑体" w:cs="仿宋_GB2312"/>
          <w:b/>
          <w:sz w:val="30"/>
          <w:szCs w:val="32"/>
        </w:rPr>
        <w:t>“三公”经费预算说明</w:t>
      </w: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。</w:t>
      </w:r>
      <w:r>
        <w:rPr>
          <w:rFonts w:hint="eastAsia" w:ascii="黑体" w:hAnsi="仿宋_GB2312" w:eastAsia="黑体" w:cs="仿宋_GB2312"/>
          <w:b/>
          <w:sz w:val="30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年一般公共预算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安排</w:t>
      </w:r>
      <w:r>
        <w:rPr>
          <w:rFonts w:hint="eastAsia" w:ascii="仿宋_GB2312" w:hAnsi="仿宋_GB2312" w:eastAsia="仿宋_GB2312" w:cs="仿宋_GB2312"/>
          <w:sz w:val="30"/>
          <w:szCs w:val="32"/>
        </w:rPr>
        <w:t>“三公”经费预算为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3.50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预算相比，增加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1.5万元，</w:t>
      </w:r>
      <w:r>
        <w:rPr>
          <w:rFonts w:hint="eastAsia" w:ascii="仿宋_GB2312" w:hAnsi="仿宋_GB2312" w:eastAsia="仿宋_GB2312" w:cs="仿宋_GB2312"/>
          <w:sz w:val="30"/>
          <w:szCs w:val="32"/>
        </w:rPr>
        <w:t>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2"/>
        </w:rPr>
        <w:t>%，原因是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公务接待费。按具体项目分，因公出国（境）支出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万元，与上年保持不变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公务用车购置及运行维护支出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与上年保持不变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其中公务用车购置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万元，公务用车运行维护费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公务接待费支出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1.50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，上年为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与上年相比增加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1.5万元</w:t>
      </w:r>
      <w:r>
        <w:rPr>
          <w:rFonts w:hint="eastAsia" w:ascii="仿宋_GB2312" w:hAnsi="仿宋_GB2312" w:eastAsia="仿宋_GB2312" w:cs="仿宋_GB2312"/>
          <w:sz w:val="30"/>
          <w:szCs w:val="32"/>
        </w:rPr>
        <w:t>，原因是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根据工作需要，有时要接待上级民革和外地市民革等有关单位来韶调研。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六、政府采购情况。2016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本部门安排政府采购</w:t>
      </w:r>
      <w:r>
        <w:rPr>
          <w:rFonts w:hint="eastAsia" w:ascii="仿宋_GB2312" w:hAnsi="仿宋_GB2312" w:eastAsia="仿宋_GB2312" w:cs="仿宋_GB2312"/>
          <w:sz w:val="30"/>
          <w:szCs w:val="32"/>
        </w:rPr>
        <w:t>预算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万元，与上年数相比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保持不变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，其中：货物类采购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万元，工程类采购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万元，服务类采购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七、国有资产占有情况(固定资产情况）。2016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本部门</w:t>
      </w:r>
      <w:r>
        <w:rPr>
          <w:rFonts w:hint="eastAsia" w:ascii="仿宋_GB2312" w:hAnsi="仿宋_GB2312" w:eastAsia="仿宋_GB2312" w:cs="仿宋_GB2312"/>
          <w:sz w:val="30"/>
          <w:szCs w:val="32"/>
        </w:rPr>
        <w:t>占有国有资产的总体情况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（总额）价值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943966.60元</w:t>
      </w:r>
      <w:r>
        <w:rPr>
          <w:rFonts w:hint="eastAsia" w:ascii="仿宋_GB2312" w:hAnsi="仿宋_GB2312" w:eastAsia="仿宋_GB2312" w:cs="仿宋_GB2312"/>
          <w:sz w:val="30"/>
          <w:szCs w:val="32"/>
        </w:rPr>
        <w:t>、分布构成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（种类）主要有土地、房屋及构筑物、通用设备、家具用具，</w:t>
      </w:r>
      <w:r>
        <w:rPr>
          <w:rFonts w:hint="eastAsia" w:ascii="仿宋_GB2312" w:hAnsi="仿宋_GB2312" w:eastAsia="仿宋_GB2312" w:cs="仿宋_GB2312"/>
          <w:sz w:val="30"/>
          <w:szCs w:val="32"/>
        </w:rPr>
        <w:t>主要实物资产数据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（分明细、金额）：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房屋证载建筑面积职工宿舍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200平方、办公用房1188.48平方，原值和净值均为450000元，无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（增减情况及原因）。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2、小型客车金杯阁瑞斯1辆，车牌号粤fdp183，规格型号sy6521g2s1bg，排气量2.5升以上，取得日期为2010年10月11日，原值和净值均为229248元，无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。3、家具用具包括行政办及民革的桌椅共50套，原值和净值均为66919元，无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八、预算绩效情况。2016</w:t>
      </w:r>
      <w:r>
        <w:rPr>
          <w:rFonts w:hint="eastAsia" w:ascii="仿宋_GB2312" w:hAnsi="仿宋_GB2312" w:eastAsia="仿宋_GB2312" w:cs="仿宋_GB2312"/>
          <w:sz w:val="30"/>
          <w:szCs w:val="32"/>
        </w:rPr>
        <w:t>年，主要工作目标有：完成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围绕党委、政府中心工作，积极调查研究，促进民生改善，抓住民生领域重点问题资政建言，加强自身建设</w:t>
      </w:r>
      <w:r>
        <w:rPr>
          <w:rFonts w:hint="eastAsia" w:ascii="仿宋_GB2312" w:hAnsi="仿宋_GB2312" w:eastAsia="仿宋_GB2312" w:cs="仿宋_GB2312"/>
          <w:sz w:val="30"/>
          <w:szCs w:val="32"/>
        </w:rPr>
        <w:t>等项工作，实施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2"/>
        </w:rPr>
        <w:t>个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课题调研</w:t>
      </w:r>
      <w:r>
        <w:rPr>
          <w:rFonts w:hint="eastAsia" w:ascii="仿宋_GB2312" w:hAnsi="仿宋_GB2312" w:eastAsia="仿宋_GB2312" w:cs="仿宋_GB2312"/>
          <w:sz w:val="30"/>
          <w:szCs w:val="32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推动基层组织完成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115次活动，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绩效目标覆盖率为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2"/>
        </w:rPr>
        <w:t>依法合规并安全高效得做好支出工作，力争100%达到部门整体绩效目标。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2"/>
        </w:rPr>
        <w:t>国有资本经营收支情况（如无也应注明）。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无国有资本经营，</w:t>
      </w:r>
      <w:r>
        <w:rPr>
          <w:rFonts w:hint="eastAsia" w:ascii="仿宋_GB2312" w:hAnsi="仿宋_GB2312" w:eastAsia="仿宋_GB2312" w:cs="仿宋_GB2312"/>
          <w:sz w:val="30"/>
          <w:szCs w:val="32"/>
        </w:rPr>
        <w:t>收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，支出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spacing w:line="600" w:lineRule="exact"/>
        <w:ind w:firstLine="602" w:firstLineChars="200"/>
        <w:rPr>
          <w:rFonts w:hint="eastAsia" w:ascii="黑体" w:hAnsi="黑体" w:eastAsia="黑体" w:cs="黑体"/>
          <w:b/>
          <w:bCs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  <w:lang w:eastAsia="zh-CN"/>
        </w:rPr>
        <w:t>十、</w:t>
      </w:r>
      <w:r>
        <w:rPr>
          <w:rFonts w:hint="eastAsia" w:ascii="黑体" w:hAnsi="黑体" w:eastAsia="黑体" w:cs="黑体"/>
          <w:b/>
          <w:bCs/>
          <w:sz w:val="30"/>
          <w:szCs w:val="32"/>
        </w:rPr>
        <w:t>专业名词解释。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1.一般公共预算：指对以税收为主体的财政收入，安排用于保障和改善民生、推动经济社会发展、维护国家安全、维持国家机构正常运转等方面的收支预算。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.部门预算：指与财政部门直接发生预算缴款、拨款关系的政府机关、社会团体和其他单位，依据国家有关法律、法规规定及其履行职能的需要编制的本部门年度收支计划，涵盖部门各项收支，实行一个部门一本预算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3.机关运行费：即部门（单位）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4.“三公”经费包括因公出国（境）经费、公务用车购置及运行维护费和公务接待费。其中：因公出国（境）经费指市直行政单位、事业单位工作人员公务出国（境）的住宿费、差旅费、伙食补助费、杂费、培训费等支出；公务用车购置及运行维护费指市直行政单位、事业单位公务用车购置费、公务用车租用费、燃料费、维修费、过桥过路费、保险费等支出；公务接待费指市直行政单位、事业单位按规定开支的各类公务接待（外宾接待）费用。</w:t>
      </w:r>
    </w:p>
    <w:p>
      <w:pPr>
        <w:rPr>
          <w:rFonts w:hint="eastAsia" w:eastAsia="宋体"/>
          <w:lang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83" w:right="1286" w:bottom="1383" w:left="13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between w:val="none" w:color="auto" w:sz="0" w:space="0"/>
      </w:pBdr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C0"/>
    <w:rsid w:val="00DA29C0"/>
    <w:rsid w:val="051B6FD0"/>
    <w:rsid w:val="0621038C"/>
    <w:rsid w:val="08401E92"/>
    <w:rsid w:val="09CA4BA9"/>
    <w:rsid w:val="0CC16F1B"/>
    <w:rsid w:val="255865F4"/>
    <w:rsid w:val="2D0E78CF"/>
    <w:rsid w:val="759112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Char"/>
    <w:basedOn w:val="6"/>
    <w:link w:val="4"/>
    <w:qFormat/>
    <w:uiPriority w:val="0"/>
  </w:style>
  <w:style w:type="paragraph" w:customStyle="1" w:styleId="6">
    <w:name w:val="正文 New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styleId="7">
    <w:name w:val="page number"/>
    <w:basedOn w:val="4"/>
    <w:qFormat/>
    <w:uiPriority w:val="0"/>
  </w:style>
  <w:style w:type="paragraph" w:customStyle="1" w:styleId="9">
    <w:name w:val="正文 New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2018-03-12T02:39:00Z</dcterms:created>
  <dc:creator>123</dc:creator>
  <cp:lastModifiedBy>123</cp:lastModifiedBy>
  <dcterms:modified xsi:type="dcterms:W3CDTF">2018-03-20T00:23:06Z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