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77" w:rsidRPr="005D5008" w:rsidRDefault="00FE0C77" w:rsidP="005D5008">
      <w:pPr>
        <w:pStyle w:val="New"/>
        <w:spacing w:line="520" w:lineRule="exact"/>
        <w:jc w:val="center"/>
        <w:rPr>
          <w:rFonts w:ascii="宋体" w:eastAsia="宋体" w:hAnsi="宋体"/>
          <w:b/>
          <w:sz w:val="44"/>
          <w:szCs w:val="44"/>
        </w:rPr>
      </w:pPr>
      <w:r w:rsidRPr="005D5008">
        <w:rPr>
          <w:rFonts w:ascii="宋体" w:eastAsia="宋体" w:hAnsi="宋体" w:hint="eastAsia"/>
          <w:b/>
          <w:sz w:val="44"/>
          <w:szCs w:val="44"/>
        </w:rPr>
        <w:t>2016年部门决算基本情况说明</w:t>
      </w:r>
    </w:p>
    <w:p w:rsidR="00FE0C77" w:rsidRDefault="00FE0C77" w:rsidP="00FE0C77">
      <w:pPr>
        <w:pStyle w:val="New"/>
        <w:spacing w:line="520" w:lineRule="exact"/>
        <w:rPr>
          <w:rFonts w:ascii="仿宋_GB2312"/>
          <w:sz w:val="30"/>
          <w:szCs w:val="32"/>
        </w:rPr>
      </w:pPr>
    </w:p>
    <w:p w:rsidR="00FE0C77" w:rsidRDefault="00FE0C77" w:rsidP="00FE0C77">
      <w:pPr>
        <w:pStyle w:val="NewNewNewNewNewNew"/>
        <w:spacing w:line="520" w:lineRule="exact"/>
        <w:ind w:firstLineChars="200" w:firstLine="602"/>
        <w:rPr>
          <w:rFonts w:ascii="黑体" w:eastAsia="黑体" w:hAnsi="仿宋_GB2312" w:cs="仿宋_GB2312"/>
          <w:b/>
          <w:sz w:val="30"/>
          <w:szCs w:val="32"/>
        </w:rPr>
      </w:pPr>
      <w:r>
        <w:rPr>
          <w:rFonts w:ascii="黑体" w:eastAsia="黑体" w:hAnsi="仿宋_GB2312" w:cs="仿宋_GB2312" w:hint="eastAsia"/>
          <w:b/>
          <w:sz w:val="30"/>
          <w:szCs w:val="32"/>
        </w:rPr>
        <w:t>一、部门基本情况</w:t>
      </w:r>
    </w:p>
    <w:p w:rsidR="00FE0C77" w:rsidRDefault="00FE0C77" w:rsidP="00FE0C77">
      <w:pPr>
        <w:pStyle w:val="NewNewNewNewNewNew"/>
        <w:spacing w:line="520" w:lineRule="exact"/>
        <w:ind w:firstLineChars="200" w:firstLine="600"/>
        <w:rPr>
          <w:rFonts w:ascii="仿宋_GB2312" w:eastAsia="仿宋_GB2312" w:hAnsi="仿宋_GB2312" w:cs="仿宋_GB2312"/>
          <w:sz w:val="30"/>
          <w:szCs w:val="32"/>
        </w:rPr>
      </w:pPr>
      <w:r>
        <w:rPr>
          <w:rFonts w:ascii="仿宋_GB2312" w:eastAsia="仿宋_GB2312" w:hAnsi="仿宋_GB2312" w:cs="仿宋_GB2312" w:hint="eastAsia"/>
          <w:sz w:val="30"/>
          <w:szCs w:val="32"/>
        </w:rPr>
        <w:t>（一）机构设置</w:t>
      </w:r>
    </w:p>
    <w:p w:rsidR="00E26ADC" w:rsidRPr="00C73C33" w:rsidRDefault="00E26ADC" w:rsidP="00E26ADC">
      <w:pPr>
        <w:spacing w:line="400" w:lineRule="exact"/>
        <w:ind w:firstLineChars="300" w:firstLine="900"/>
        <w:jc w:val="left"/>
        <w:rPr>
          <w:rFonts w:ascii="仿宋_GB2312" w:eastAsia="仿宋_GB2312" w:hAnsi="仿宋_GB2312" w:cs="仿宋_GB2312"/>
          <w:sz w:val="30"/>
          <w:szCs w:val="32"/>
        </w:rPr>
      </w:pPr>
      <w:r w:rsidRPr="00C73C33">
        <w:rPr>
          <w:rFonts w:ascii="仿宋_GB2312" w:eastAsia="仿宋_GB2312" w:hAnsi="仿宋_GB2312" w:cs="仿宋_GB2312" w:hint="eastAsia"/>
          <w:sz w:val="30"/>
          <w:szCs w:val="32"/>
        </w:rPr>
        <w:t>韶关国家森林公园管理处地处韶关市南郊</w:t>
      </w:r>
      <w:smartTag w:uri="urn:schemas-microsoft-com:office:smarttags" w:element="chmetcnv">
        <w:smartTagPr>
          <w:attr w:name="UnitName" w:val="公里"/>
          <w:attr w:name="SourceValue" w:val="2"/>
          <w:attr w:name="HasSpace" w:val="False"/>
          <w:attr w:name="Negative" w:val="False"/>
          <w:attr w:name="NumberType" w:val="3"/>
          <w:attr w:name="TCSC" w:val="1"/>
        </w:smartTagPr>
        <w:r w:rsidRPr="00C73C33">
          <w:rPr>
            <w:rFonts w:ascii="仿宋_GB2312" w:eastAsia="仿宋_GB2312" w:hAnsi="仿宋_GB2312" w:cs="仿宋_GB2312" w:hint="eastAsia"/>
            <w:sz w:val="30"/>
            <w:szCs w:val="32"/>
          </w:rPr>
          <w:t>二公里</w:t>
        </w:r>
      </w:smartTag>
      <w:r w:rsidRPr="00C73C33">
        <w:rPr>
          <w:rFonts w:ascii="仿宋_GB2312" w:eastAsia="仿宋_GB2312" w:hAnsi="仿宋_GB2312" w:cs="仿宋_GB2312" w:hint="eastAsia"/>
          <w:sz w:val="30"/>
          <w:szCs w:val="32"/>
        </w:rPr>
        <w:t>；是依据韶关市人大通过《关于将市区皇岗山、芙蓉山、莲花山（以下简称“三山”）纳入城市生态公园规划建设和管理议案的决议》和市政府制定的议案《实施方案》，于2006年9月成立的，隶属韶关市林业局。</w:t>
      </w:r>
    </w:p>
    <w:p w:rsidR="00E26ADC" w:rsidRDefault="00E26ADC" w:rsidP="00E26ADC">
      <w:pPr>
        <w:pStyle w:val="NewNewNewNewNewNew"/>
        <w:spacing w:line="540" w:lineRule="exact"/>
        <w:ind w:firstLineChars="200" w:firstLine="600"/>
        <w:rPr>
          <w:rFonts w:ascii="仿宋_GB2312" w:eastAsia="仿宋_GB2312" w:hAnsi="仿宋_GB2312" w:cs="仿宋_GB2312"/>
          <w:sz w:val="30"/>
          <w:szCs w:val="32"/>
        </w:rPr>
      </w:pPr>
      <w:r>
        <w:rPr>
          <w:rFonts w:ascii="仿宋_GB2312" w:eastAsia="仿宋_GB2312" w:hAnsi="仿宋_GB2312" w:cs="仿宋_GB2312" w:hint="eastAsia"/>
          <w:sz w:val="30"/>
          <w:szCs w:val="32"/>
        </w:rPr>
        <w:t xml:space="preserve"> 2016年决算组成单位1 个，是韶关国家森林公园管理处</w:t>
      </w:r>
    </w:p>
    <w:p w:rsidR="00FE0C77" w:rsidRDefault="00FE0C77" w:rsidP="00FE0C77">
      <w:pPr>
        <w:pStyle w:val="NewNewNewNewNewNew"/>
        <w:spacing w:line="520" w:lineRule="exact"/>
        <w:ind w:firstLineChars="200" w:firstLine="600"/>
        <w:rPr>
          <w:rFonts w:ascii="仿宋_GB2312" w:eastAsia="仿宋_GB2312" w:hAnsi="仿宋_GB2312" w:cs="仿宋_GB2312"/>
          <w:sz w:val="30"/>
          <w:szCs w:val="32"/>
        </w:rPr>
      </w:pPr>
      <w:r>
        <w:rPr>
          <w:rFonts w:ascii="仿宋_GB2312" w:eastAsia="仿宋_GB2312" w:hAnsi="仿宋_GB2312" w:cs="仿宋_GB2312" w:hint="eastAsia"/>
          <w:sz w:val="30"/>
          <w:szCs w:val="32"/>
        </w:rPr>
        <w:t>（二）部门职责</w:t>
      </w:r>
    </w:p>
    <w:p w:rsidR="00FE0C77" w:rsidRPr="00D6155C" w:rsidRDefault="00FE0C77" w:rsidP="00FE0C77">
      <w:pPr>
        <w:pStyle w:val="NewNewNewNewNewNew"/>
        <w:spacing w:line="520" w:lineRule="exact"/>
        <w:ind w:leftChars="67" w:left="141" w:firstLineChars="200" w:firstLine="600"/>
        <w:rPr>
          <w:rFonts w:ascii="仿宋_GB2312" w:eastAsia="仿宋_GB2312" w:hAnsi="宋体"/>
          <w:sz w:val="28"/>
          <w:szCs w:val="28"/>
        </w:rPr>
      </w:pPr>
      <w:r>
        <w:rPr>
          <w:rFonts w:ascii="仿宋_GB2312" w:eastAsia="仿宋_GB2312" w:hAnsi="仿宋_GB2312" w:cs="仿宋_GB2312" w:hint="eastAsia"/>
          <w:sz w:val="30"/>
          <w:szCs w:val="32"/>
        </w:rPr>
        <w:t>韶关国家森林公园管理处主是</w:t>
      </w:r>
      <w:r>
        <w:rPr>
          <w:rFonts w:ascii="仿宋_GB2312" w:eastAsia="仿宋_GB2312" w:hint="eastAsia"/>
          <w:sz w:val="28"/>
          <w:szCs w:val="28"/>
        </w:rPr>
        <w:t>负责皇岗山、芙蓉山、莲花山的日常保护、管理</w:t>
      </w:r>
      <w:r w:rsidRPr="00D6155C">
        <w:rPr>
          <w:rFonts w:ascii="仿宋_GB2312" w:eastAsia="仿宋_GB2312" w:hint="eastAsia"/>
          <w:sz w:val="28"/>
          <w:szCs w:val="28"/>
        </w:rPr>
        <w:t>和建设工作。</w:t>
      </w:r>
    </w:p>
    <w:p w:rsidR="00FE0C77" w:rsidRDefault="00FE0C77" w:rsidP="00FE0C77">
      <w:pPr>
        <w:pStyle w:val="NewNewNewNewNewNew"/>
        <w:spacing w:line="520" w:lineRule="exact"/>
        <w:ind w:firstLineChars="200" w:firstLine="602"/>
        <w:rPr>
          <w:rFonts w:ascii="黑体" w:eastAsia="黑体" w:hAnsi="仿宋_GB2312" w:cs="仿宋_GB2312"/>
          <w:b/>
          <w:sz w:val="30"/>
          <w:szCs w:val="32"/>
        </w:rPr>
      </w:pPr>
      <w:r>
        <w:rPr>
          <w:rFonts w:ascii="黑体" w:eastAsia="黑体" w:hAnsi="仿宋_GB2312" w:cs="仿宋_GB2312" w:hint="eastAsia"/>
          <w:b/>
          <w:sz w:val="30"/>
          <w:szCs w:val="32"/>
        </w:rPr>
        <w:t>二、预算执行情况分析</w:t>
      </w:r>
    </w:p>
    <w:p w:rsidR="00FE0C77" w:rsidRDefault="00FE0C77" w:rsidP="00FE0C77">
      <w:pPr>
        <w:pStyle w:val="NewNewNewNewNewNew"/>
        <w:spacing w:line="520" w:lineRule="exact"/>
        <w:ind w:firstLineChars="200" w:firstLine="600"/>
        <w:rPr>
          <w:rFonts w:ascii="仿宋_GB2312" w:eastAsia="仿宋_GB2312" w:hAnsi="仿宋_GB2312" w:cs="仿宋_GB2312"/>
          <w:sz w:val="30"/>
          <w:szCs w:val="32"/>
        </w:rPr>
      </w:pPr>
      <w:r>
        <w:rPr>
          <w:rFonts w:ascii="仿宋_GB2312" w:eastAsia="仿宋_GB2312" w:hAnsi="仿宋_GB2312" w:cs="仿宋_GB2312" w:hint="eastAsia"/>
          <w:sz w:val="30"/>
          <w:szCs w:val="32"/>
        </w:rPr>
        <w:t xml:space="preserve">  1、关于预算执行情况分析</w:t>
      </w:r>
    </w:p>
    <w:p w:rsidR="00FE0C77" w:rsidRDefault="00FE0C77" w:rsidP="00FE0C77">
      <w:pPr>
        <w:pStyle w:val="NewNewNewNewNewNew"/>
        <w:spacing w:line="520" w:lineRule="exact"/>
        <w:ind w:firstLineChars="300" w:firstLine="900"/>
        <w:rPr>
          <w:rFonts w:ascii="仿宋_GB2312" w:eastAsia="仿宋_GB2312" w:hAnsi="仿宋_GB2312" w:cs="仿宋_GB2312"/>
          <w:sz w:val="30"/>
          <w:szCs w:val="32"/>
        </w:rPr>
      </w:pPr>
      <w:r>
        <w:rPr>
          <w:rFonts w:ascii="仿宋_GB2312" w:eastAsia="仿宋_GB2312" w:hAnsi="仿宋_GB2312" w:cs="仿宋_GB2312" w:hint="eastAsia"/>
          <w:sz w:val="30"/>
          <w:szCs w:val="32"/>
        </w:rPr>
        <w:t>2016年</w:t>
      </w:r>
      <w:r w:rsidR="00CF350C">
        <w:rPr>
          <w:rFonts w:ascii="仿宋_GB2312" w:eastAsia="仿宋_GB2312" w:hAnsi="仿宋_GB2312" w:cs="仿宋_GB2312" w:hint="eastAsia"/>
          <w:sz w:val="30"/>
          <w:szCs w:val="32"/>
        </w:rPr>
        <w:t>本部门</w:t>
      </w:r>
      <w:r>
        <w:rPr>
          <w:rFonts w:ascii="仿宋_GB2312" w:eastAsia="仿宋_GB2312" w:hAnsi="仿宋_GB2312" w:cs="仿宋_GB2312" w:hint="eastAsia"/>
          <w:sz w:val="30"/>
          <w:szCs w:val="32"/>
        </w:rPr>
        <w:t>决算</w:t>
      </w:r>
      <w:r w:rsidR="00E26ADC">
        <w:rPr>
          <w:rFonts w:ascii="仿宋_GB2312" w:eastAsia="仿宋_GB2312" w:hAnsi="仿宋_GB2312" w:cs="仿宋_GB2312" w:hint="eastAsia"/>
          <w:sz w:val="30"/>
          <w:szCs w:val="32"/>
        </w:rPr>
        <w:t>总</w:t>
      </w:r>
      <w:r>
        <w:rPr>
          <w:rFonts w:ascii="仿宋_GB2312" w:eastAsia="仿宋_GB2312" w:hAnsi="仿宋_GB2312" w:cs="仿宋_GB2312" w:hint="eastAsia"/>
          <w:sz w:val="30"/>
          <w:szCs w:val="32"/>
        </w:rPr>
        <w:t>收入673万元</w:t>
      </w:r>
      <w:r w:rsidR="00E26ADC">
        <w:rPr>
          <w:rFonts w:ascii="仿宋_GB2312" w:eastAsia="仿宋_GB2312" w:hAnsi="仿宋_GB2312" w:cs="仿宋_GB2312" w:hint="eastAsia"/>
          <w:sz w:val="30"/>
          <w:szCs w:val="32"/>
        </w:rPr>
        <w:t>，与上年决算相比增长202%</w:t>
      </w:r>
      <w:r>
        <w:rPr>
          <w:rFonts w:ascii="仿宋_GB2312" w:eastAsia="仿宋_GB2312" w:hAnsi="仿宋_GB2312" w:cs="仿宋_GB2312" w:hint="eastAsia"/>
          <w:sz w:val="30"/>
          <w:szCs w:val="32"/>
        </w:rPr>
        <w:t>，</w:t>
      </w:r>
      <w:r w:rsidR="00E26ADC">
        <w:rPr>
          <w:rFonts w:ascii="仿宋_GB2312" w:eastAsia="仿宋_GB2312" w:hAnsi="仿宋_GB2312" w:cs="仿宋_GB2312" w:hint="eastAsia"/>
          <w:sz w:val="30"/>
          <w:szCs w:val="32"/>
        </w:rPr>
        <w:t>全为一般公共预算拨款，增加原因是本年度有新增项目支出</w:t>
      </w:r>
      <w:r w:rsidR="00A120E0">
        <w:rPr>
          <w:rFonts w:ascii="仿宋_GB2312" w:eastAsia="仿宋_GB2312" w:hAnsi="仿宋_GB2312" w:cs="仿宋_GB2312" w:hint="eastAsia"/>
          <w:sz w:val="30"/>
          <w:szCs w:val="32"/>
        </w:rPr>
        <w:t>和人员经</w:t>
      </w:r>
      <w:r w:rsidR="00A120E0">
        <w:rPr>
          <w:rFonts w:ascii="宋体" w:hAnsi="宋体" w:cs="宋体" w:hint="eastAsia"/>
          <w:sz w:val="30"/>
          <w:szCs w:val="32"/>
        </w:rPr>
        <w:t>费支出</w:t>
      </w:r>
      <w:r>
        <w:rPr>
          <w:rFonts w:ascii="仿宋_GB2312" w:eastAsia="仿宋_GB2312" w:hAnsi="仿宋_GB2312" w:cs="仿宋_GB2312" w:hint="eastAsia"/>
          <w:sz w:val="30"/>
          <w:szCs w:val="32"/>
        </w:rPr>
        <w:t>。</w:t>
      </w:r>
      <w:r w:rsidR="00E26ADC">
        <w:rPr>
          <w:rFonts w:ascii="仿宋_GB2312" w:eastAsia="仿宋_GB2312" w:hAnsi="仿宋_GB2312" w:cs="仿宋_GB2312" w:hint="eastAsia"/>
          <w:sz w:val="30"/>
          <w:szCs w:val="32"/>
        </w:rPr>
        <w:t>本年度财政拨款支出673万元，与年初预算相比增加227%，增加原因是本年度有新</w:t>
      </w:r>
      <w:r w:rsidR="00CF350C">
        <w:rPr>
          <w:rFonts w:ascii="仿宋_GB2312" w:eastAsia="仿宋_GB2312" w:hAnsi="仿宋_GB2312" w:cs="仿宋_GB2312" w:hint="eastAsia"/>
          <w:sz w:val="30"/>
          <w:szCs w:val="32"/>
        </w:rPr>
        <w:t>增</w:t>
      </w:r>
      <w:r w:rsidR="00E26ADC">
        <w:rPr>
          <w:rFonts w:ascii="仿宋_GB2312" w:eastAsia="仿宋_GB2312" w:hAnsi="仿宋_GB2312" w:cs="仿宋_GB2312" w:hint="eastAsia"/>
          <w:sz w:val="30"/>
          <w:szCs w:val="32"/>
        </w:rPr>
        <w:t>项目支出</w:t>
      </w:r>
      <w:r w:rsidR="00A120E0">
        <w:rPr>
          <w:rFonts w:ascii="仿宋_GB2312" w:eastAsia="仿宋_GB2312" w:hAnsi="仿宋_GB2312" w:cs="仿宋_GB2312" w:hint="eastAsia"/>
          <w:sz w:val="30"/>
          <w:szCs w:val="32"/>
        </w:rPr>
        <w:t>和人员经费支出</w:t>
      </w:r>
      <w:r w:rsidR="00E26ADC">
        <w:rPr>
          <w:rFonts w:ascii="仿宋_GB2312" w:eastAsia="仿宋_GB2312" w:hAnsi="仿宋_GB2312" w:cs="仿宋_GB2312" w:hint="eastAsia"/>
          <w:sz w:val="30"/>
          <w:szCs w:val="32"/>
        </w:rPr>
        <w:t>。</w:t>
      </w:r>
    </w:p>
    <w:p w:rsidR="00CF350C" w:rsidRDefault="00CF350C" w:rsidP="00FE0C77">
      <w:pPr>
        <w:pStyle w:val="NewNewNewNewNewNew"/>
        <w:spacing w:line="520" w:lineRule="exact"/>
        <w:ind w:firstLineChars="300" w:firstLine="900"/>
        <w:rPr>
          <w:rFonts w:ascii="仿宋_GB2312" w:eastAsia="仿宋_GB2312" w:hAnsi="仿宋_GB2312" w:cs="仿宋_GB2312"/>
          <w:sz w:val="30"/>
          <w:szCs w:val="32"/>
        </w:rPr>
      </w:pPr>
      <w:r>
        <w:rPr>
          <w:rFonts w:ascii="仿宋_GB2312" w:eastAsia="仿宋_GB2312" w:hAnsi="仿宋_GB2312" w:cs="仿宋_GB2312" w:hint="eastAsia"/>
          <w:sz w:val="30"/>
          <w:szCs w:val="32"/>
        </w:rPr>
        <w:t>2、关于“三公”经费支出说明</w:t>
      </w:r>
    </w:p>
    <w:p w:rsidR="00CF350C" w:rsidRDefault="00CF350C" w:rsidP="00FE0C77">
      <w:pPr>
        <w:pStyle w:val="NewNewNewNewNewNew"/>
        <w:spacing w:line="520" w:lineRule="exact"/>
        <w:ind w:firstLineChars="300" w:firstLine="900"/>
        <w:rPr>
          <w:rFonts w:ascii="仿宋_GB2312" w:eastAsia="仿宋_GB2312" w:hAnsi="仿宋_GB2312" w:cs="仿宋_GB2312"/>
          <w:sz w:val="30"/>
          <w:szCs w:val="32"/>
        </w:rPr>
      </w:pPr>
      <w:r>
        <w:rPr>
          <w:rFonts w:ascii="仿宋_GB2312" w:eastAsia="仿宋_GB2312" w:hAnsi="仿宋_GB2312" w:cs="仿宋_GB2312" w:hint="eastAsia"/>
          <w:sz w:val="30"/>
          <w:szCs w:val="32"/>
        </w:rPr>
        <w:t>2016年本部门“三公”经费支出2.5万元，与年初预算数相比持平，与上年决算数相比持平。本年度的“三公”</w:t>
      </w:r>
      <w:r w:rsidR="008E32BF">
        <w:rPr>
          <w:rFonts w:ascii="仿宋_GB2312" w:eastAsia="仿宋_GB2312" w:hAnsi="仿宋_GB2312" w:cs="仿宋_GB2312" w:hint="eastAsia"/>
          <w:sz w:val="30"/>
          <w:szCs w:val="32"/>
        </w:rPr>
        <w:t>经费支出</w:t>
      </w:r>
      <w:r>
        <w:rPr>
          <w:rFonts w:ascii="仿宋_GB2312" w:eastAsia="仿宋_GB2312" w:hAnsi="仿宋_GB2312" w:cs="仿宋_GB2312" w:hint="eastAsia"/>
          <w:sz w:val="30"/>
          <w:szCs w:val="32"/>
        </w:rPr>
        <w:t>全为公务用车运行费支出。</w:t>
      </w:r>
    </w:p>
    <w:p w:rsidR="00CF350C" w:rsidRDefault="00CF350C" w:rsidP="00FE0C77">
      <w:pPr>
        <w:pStyle w:val="NewNewNewNewNewNew"/>
        <w:spacing w:line="520" w:lineRule="exact"/>
        <w:ind w:firstLineChars="300" w:firstLine="900"/>
        <w:rPr>
          <w:rFonts w:ascii="仿宋_GB2312" w:eastAsia="仿宋_GB2312" w:hAnsi="仿宋_GB2312" w:cs="仿宋_GB2312"/>
          <w:sz w:val="30"/>
          <w:szCs w:val="32"/>
        </w:rPr>
      </w:pPr>
      <w:r>
        <w:rPr>
          <w:rFonts w:ascii="仿宋_GB2312" w:eastAsia="仿宋_GB2312" w:hAnsi="仿宋_GB2312" w:cs="仿宋_GB2312" w:hint="eastAsia"/>
          <w:sz w:val="30"/>
          <w:szCs w:val="32"/>
        </w:rPr>
        <w:t>3、关于政府采购支出说明</w:t>
      </w:r>
    </w:p>
    <w:p w:rsidR="00CF350C" w:rsidRDefault="00CF350C" w:rsidP="00FE0C77">
      <w:pPr>
        <w:pStyle w:val="NewNewNewNewNewNew"/>
        <w:spacing w:line="520" w:lineRule="exact"/>
        <w:ind w:firstLineChars="300" w:firstLine="900"/>
        <w:rPr>
          <w:rFonts w:ascii="仿宋_GB2312" w:eastAsia="仿宋_GB2312" w:hAnsi="仿宋_GB2312" w:cs="仿宋_GB2312"/>
          <w:sz w:val="30"/>
          <w:szCs w:val="32"/>
        </w:rPr>
      </w:pPr>
      <w:r>
        <w:rPr>
          <w:rFonts w:ascii="仿宋_GB2312" w:eastAsia="仿宋_GB2312" w:hAnsi="仿宋_GB2312" w:cs="仿宋_GB2312" w:hint="eastAsia"/>
          <w:sz w:val="30"/>
          <w:szCs w:val="32"/>
        </w:rPr>
        <w:t xml:space="preserve">2016本部门政府采购支出总额2.67万元，全为政府采购货物支出。  </w:t>
      </w:r>
    </w:p>
    <w:p w:rsidR="00CF350C" w:rsidRDefault="00CF350C" w:rsidP="00FE0C77">
      <w:pPr>
        <w:pStyle w:val="NewNewNewNewNewNew"/>
        <w:spacing w:line="520" w:lineRule="exact"/>
        <w:ind w:firstLineChars="300" w:firstLine="900"/>
        <w:rPr>
          <w:rFonts w:ascii="仿宋_GB2312" w:eastAsia="仿宋_GB2312" w:hAnsi="仿宋_GB2312" w:cs="仿宋_GB2312"/>
          <w:sz w:val="30"/>
          <w:szCs w:val="32"/>
        </w:rPr>
      </w:pPr>
      <w:r>
        <w:rPr>
          <w:rFonts w:ascii="仿宋_GB2312" w:eastAsia="仿宋_GB2312" w:hAnsi="仿宋_GB2312" w:cs="仿宋_GB2312" w:hint="eastAsia"/>
          <w:sz w:val="30"/>
          <w:szCs w:val="32"/>
        </w:rPr>
        <w:t>4、关于国有资产占用情况说明</w:t>
      </w:r>
    </w:p>
    <w:p w:rsidR="00CF350C" w:rsidRDefault="00CF350C" w:rsidP="00FE0C77">
      <w:pPr>
        <w:pStyle w:val="NewNewNewNewNewNew"/>
        <w:spacing w:line="520" w:lineRule="exact"/>
        <w:ind w:firstLineChars="300" w:firstLine="900"/>
        <w:rPr>
          <w:rFonts w:ascii="仿宋_GB2312" w:eastAsia="仿宋_GB2312" w:hAnsi="仿宋_GB2312" w:cs="仿宋_GB2312"/>
          <w:sz w:val="30"/>
          <w:szCs w:val="32"/>
        </w:rPr>
      </w:pPr>
      <w:r>
        <w:rPr>
          <w:rFonts w:ascii="仿宋_GB2312" w:eastAsia="仿宋_GB2312" w:hAnsi="仿宋_GB2312" w:cs="仿宋_GB2312" w:hint="eastAsia"/>
          <w:sz w:val="30"/>
          <w:szCs w:val="32"/>
        </w:rPr>
        <w:t>截至2016年12月31日止，本部门共有车辆2辆，其中一般公</w:t>
      </w:r>
      <w:r>
        <w:rPr>
          <w:rFonts w:ascii="仿宋_GB2312" w:eastAsia="仿宋_GB2312" w:hAnsi="仿宋_GB2312" w:cs="仿宋_GB2312" w:hint="eastAsia"/>
          <w:sz w:val="30"/>
          <w:szCs w:val="32"/>
        </w:rPr>
        <w:lastRenderedPageBreak/>
        <w:t>务用车1辆</w:t>
      </w:r>
      <w:r w:rsidR="005D5008">
        <w:rPr>
          <w:rFonts w:ascii="仿宋_GB2312" w:eastAsia="仿宋_GB2312" w:hAnsi="仿宋_GB2312" w:cs="仿宋_GB2312" w:hint="eastAsia"/>
          <w:sz w:val="30"/>
          <w:szCs w:val="32"/>
        </w:rPr>
        <w:t>，其他用车1辆为洒水车。</w:t>
      </w:r>
    </w:p>
    <w:p w:rsidR="005D5008" w:rsidRDefault="005D5008" w:rsidP="00FE0C77">
      <w:pPr>
        <w:pStyle w:val="NewNewNewNewNewNew"/>
        <w:spacing w:line="520" w:lineRule="exact"/>
        <w:ind w:firstLineChars="300" w:firstLine="900"/>
        <w:rPr>
          <w:rFonts w:ascii="仿宋_GB2312" w:eastAsia="仿宋_GB2312" w:hAnsi="仿宋_GB2312" w:cs="仿宋_GB2312"/>
          <w:sz w:val="30"/>
          <w:szCs w:val="32"/>
        </w:rPr>
      </w:pPr>
      <w:r>
        <w:rPr>
          <w:rFonts w:ascii="仿宋_GB2312" w:eastAsia="仿宋_GB2312" w:hAnsi="仿宋_GB2312" w:cs="仿宋_GB2312" w:hint="eastAsia"/>
          <w:sz w:val="30"/>
          <w:szCs w:val="32"/>
        </w:rPr>
        <w:t>5、关于专业名词解释</w:t>
      </w:r>
    </w:p>
    <w:p w:rsidR="005D5008" w:rsidRDefault="005D5008" w:rsidP="00FE0C77">
      <w:pPr>
        <w:pStyle w:val="NewNewNewNewNewNew"/>
        <w:spacing w:line="520" w:lineRule="exact"/>
        <w:ind w:firstLineChars="300" w:firstLine="900"/>
        <w:rPr>
          <w:rFonts w:ascii="仿宋_GB2312" w:eastAsia="仿宋_GB2312" w:hAnsi="仿宋_GB2312" w:cs="仿宋_GB2312"/>
          <w:sz w:val="30"/>
          <w:szCs w:val="32"/>
        </w:rPr>
      </w:pPr>
      <w:r>
        <w:rPr>
          <w:rFonts w:ascii="仿宋_GB2312" w:eastAsia="仿宋_GB2312" w:hAnsi="仿宋_GB2312" w:cs="仿宋_GB2312" w:hint="eastAsia"/>
          <w:sz w:val="30"/>
          <w:szCs w:val="32"/>
        </w:rPr>
        <w:t>“三公”经费支出是指因公出国（境）费支出、公务接待费支出、公务用车购置及运行费支出，其中公务用车购置及运行费支出包括公务用车购置费支出和公务用车运行费支出。</w:t>
      </w:r>
    </w:p>
    <w:p w:rsidR="005D5008" w:rsidRDefault="005D5008" w:rsidP="00FE0C77">
      <w:pPr>
        <w:pStyle w:val="NewNewNewNewNewNew"/>
        <w:spacing w:line="520" w:lineRule="exact"/>
        <w:ind w:firstLineChars="300" w:firstLine="900"/>
        <w:rPr>
          <w:rFonts w:ascii="仿宋_GB2312" w:eastAsia="仿宋_GB2312" w:hAnsi="仿宋_GB2312" w:cs="仿宋_GB2312"/>
          <w:sz w:val="30"/>
          <w:szCs w:val="32"/>
        </w:rPr>
      </w:pPr>
    </w:p>
    <w:p w:rsidR="005D5008" w:rsidRDefault="005D5008" w:rsidP="00FE0C77">
      <w:pPr>
        <w:pStyle w:val="NewNewNewNewNewNew"/>
        <w:spacing w:line="520" w:lineRule="exact"/>
        <w:ind w:firstLineChars="300" w:firstLine="900"/>
        <w:rPr>
          <w:rFonts w:ascii="仿宋_GB2312" w:eastAsia="仿宋_GB2312" w:hAnsi="仿宋_GB2312" w:cs="仿宋_GB2312"/>
          <w:sz w:val="30"/>
          <w:szCs w:val="32"/>
        </w:rPr>
      </w:pPr>
      <w:r>
        <w:rPr>
          <w:rFonts w:ascii="仿宋_GB2312" w:eastAsia="仿宋_GB2312" w:hAnsi="仿宋_GB2312" w:cs="仿宋_GB2312" w:hint="eastAsia"/>
          <w:sz w:val="30"/>
          <w:szCs w:val="32"/>
        </w:rPr>
        <w:t xml:space="preserve">                              韶关国家森林公园管理处</w:t>
      </w:r>
    </w:p>
    <w:p w:rsidR="005D5008" w:rsidRPr="005D5008" w:rsidRDefault="005D5008" w:rsidP="00FE0C77">
      <w:pPr>
        <w:pStyle w:val="NewNewNewNewNewNew"/>
        <w:spacing w:line="520" w:lineRule="exact"/>
        <w:ind w:firstLineChars="300" w:firstLine="900"/>
        <w:rPr>
          <w:rFonts w:ascii="仿宋_GB2312" w:eastAsia="仿宋_GB2312" w:hAnsi="仿宋_GB2312" w:cs="仿宋_GB2312"/>
          <w:sz w:val="30"/>
          <w:szCs w:val="32"/>
        </w:rPr>
      </w:pPr>
      <w:r>
        <w:rPr>
          <w:rFonts w:ascii="仿宋_GB2312" w:eastAsia="仿宋_GB2312" w:hAnsi="仿宋_GB2312" w:cs="仿宋_GB2312" w:hint="eastAsia"/>
          <w:sz w:val="30"/>
          <w:szCs w:val="32"/>
        </w:rPr>
        <w:t xml:space="preserve">                                 2017年7月12日</w:t>
      </w:r>
    </w:p>
    <w:sectPr w:rsidR="005D5008" w:rsidRPr="005D5008" w:rsidSect="00BD2EAA">
      <w:headerReference w:type="default" r:id="rId7"/>
      <w:footerReference w:type="even" r:id="rId8"/>
      <w:footerReference w:type="default" r:id="rId9"/>
      <w:footerReference w:type="first" r:id="rId10"/>
      <w:pgSz w:w="11906" w:h="16838"/>
      <w:pgMar w:top="1383" w:right="1286" w:bottom="1383" w:left="1380" w:header="851" w:footer="992" w:gutter="0"/>
      <w:pgNumType w:start="1"/>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0390" w:rsidRDefault="00E10390" w:rsidP="00FE0C77">
      <w:r>
        <w:separator/>
      </w:r>
    </w:p>
  </w:endnote>
  <w:endnote w:type="continuationSeparator" w:id="1">
    <w:p w:rsidR="00E10390" w:rsidRDefault="00E10390" w:rsidP="00FE0C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A9A" w:rsidRDefault="002F74FD" w:rsidP="008F0A9A">
    <w:pPr>
      <w:pStyle w:val="a4"/>
      <w:framePr w:wrap="around" w:vAnchor="text" w:hAnchor="margin" w:xAlign="center" w:y="1"/>
      <w:rPr>
        <w:rStyle w:val="a5"/>
      </w:rPr>
    </w:pPr>
    <w:r>
      <w:rPr>
        <w:rStyle w:val="a5"/>
      </w:rPr>
      <w:fldChar w:fldCharType="begin"/>
    </w:r>
    <w:r w:rsidR="00940265">
      <w:rPr>
        <w:rStyle w:val="a5"/>
      </w:rPr>
      <w:instrText xml:space="preserve">PAGE  </w:instrText>
    </w:r>
    <w:r>
      <w:rPr>
        <w:rStyle w:val="a5"/>
      </w:rPr>
      <w:fldChar w:fldCharType="end"/>
    </w:r>
  </w:p>
  <w:p w:rsidR="00744067" w:rsidRDefault="00E10390" w:rsidP="008F0A9A">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EAA" w:rsidRDefault="00BD2EAA">
    <w:pPr>
      <w:pStyle w:val="a4"/>
    </w:pPr>
  </w:p>
  <w:p w:rsidR="00744067" w:rsidRDefault="00E10390">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EAA" w:rsidRDefault="00BD2EAA">
    <w:pPr>
      <w:pStyle w:val="a4"/>
    </w:pPr>
  </w:p>
  <w:p w:rsidR="00BD2EAA" w:rsidRDefault="00BD2E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0390" w:rsidRDefault="00E10390" w:rsidP="00FE0C77">
      <w:r>
        <w:separator/>
      </w:r>
    </w:p>
  </w:footnote>
  <w:footnote w:type="continuationSeparator" w:id="1">
    <w:p w:rsidR="00E10390" w:rsidRDefault="00E10390" w:rsidP="00FE0C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067" w:rsidRDefault="00E10390">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singleLevel"/>
    <w:tmpl w:val="0000000B"/>
    <w:lvl w:ilvl="0">
      <w:start w:val="1"/>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0C77"/>
    <w:rsid w:val="002F74FD"/>
    <w:rsid w:val="005D5008"/>
    <w:rsid w:val="006B4705"/>
    <w:rsid w:val="008E32BF"/>
    <w:rsid w:val="00940265"/>
    <w:rsid w:val="00A120E0"/>
    <w:rsid w:val="00BD2EAA"/>
    <w:rsid w:val="00CF350C"/>
    <w:rsid w:val="00E07088"/>
    <w:rsid w:val="00E10390"/>
    <w:rsid w:val="00E26ADC"/>
    <w:rsid w:val="00FE0C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C7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E0C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E0C77"/>
    <w:rPr>
      <w:sz w:val="18"/>
      <w:szCs w:val="18"/>
    </w:rPr>
  </w:style>
  <w:style w:type="paragraph" w:styleId="a4">
    <w:name w:val="footer"/>
    <w:basedOn w:val="a"/>
    <w:link w:val="Char0"/>
    <w:uiPriority w:val="99"/>
    <w:unhideWhenUsed/>
    <w:rsid w:val="00FE0C77"/>
    <w:pPr>
      <w:tabs>
        <w:tab w:val="center" w:pos="4153"/>
        <w:tab w:val="right" w:pos="8306"/>
      </w:tabs>
      <w:snapToGrid w:val="0"/>
      <w:jc w:val="left"/>
    </w:pPr>
    <w:rPr>
      <w:sz w:val="18"/>
      <w:szCs w:val="18"/>
    </w:rPr>
  </w:style>
  <w:style w:type="character" w:customStyle="1" w:styleId="Char0">
    <w:name w:val="页脚 Char"/>
    <w:basedOn w:val="a0"/>
    <w:link w:val="a4"/>
    <w:uiPriority w:val="99"/>
    <w:rsid w:val="00FE0C77"/>
    <w:rPr>
      <w:sz w:val="18"/>
      <w:szCs w:val="18"/>
    </w:rPr>
  </w:style>
  <w:style w:type="character" w:styleId="a5">
    <w:name w:val="page number"/>
    <w:basedOn w:val="a0"/>
    <w:rsid w:val="00FE0C77"/>
  </w:style>
  <w:style w:type="paragraph" w:customStyle="1" w:styleId="NewNewNewNewNewNew">
    <w:name w:val="正文 New New New New New New"/>
    <w:rsid w:val="00FE0C77"/>
    <w:pPr>
      <w:widowControl w:val="0"/>
      <w:jc w:val="both"/>
    </w:pPr>
    <w:rPr>
      <w:rFonts w:ascii="Times New Roman" w:eastAsia="宋体" w:hAnsi="Times New Roman" w:cs="Times New Roman"/>
      <w:szCs w:val="20"/>
    </w:rPr>
  </w:style>
  <w:style w:type="paragraph" w:customStyle="1" w:styleId="New">
    <w:name w:val="正文 New"/>
    <w:rsid w:val="00FE0C77"/>
    <w:pPr>
      <w:widowControl w:val="0"/>
      <w:jc w:val="both"/>
    </w:pPr>
    <w:rPr>
      <w:rFonts w:ascii="Times New Roman" w:eastAsia="仿宋_GB2312" w:hAnsi="Times New Roman" w:cs="Times New Roman"/>
      <w:sz w:val="32"/>
      <w:szCs w:val="24"/>
    </w:rPr>
  </w:style>
  <w:style w:type="paragraph" w:styleId="a6">
    <w:name w:val="Balloon Text"/>
    <w:basedOn w:val="a"/>
    <w:link w:val="Char1"/>
    <w:uiPriority w:val="99"/>
    <w:semiHidden/>
    <w:unhideWhenUsed/>
    <w:rsid w:val="00BD2EAA"/>
    <w:rPr>
      <w:sz w:val="18"/>
      <w:szCs w:val="18"/>
    </w:rPr>
  </w:style>
  <w:style w:type="character" w:customStyle="1" w:styleId="Char1">
    <w:name w:val="批注框文本 Char"/>
    <w:basedOn w:val="a0"/>
    <w:link w:val="a6"/>
    <w:uiPriority w:val="99"/>
    <w:semiHidden/>
    <w:rsid w:val="00BD2E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111</Words>
  <Characters>638</Characters>
  <Application>Microsoft Office Word</Application>
  <DocSecurity>0</DocSecurity>
  <Lines>5</Lines>
  <Paragraphs>1</Paragraphs>
  <ScaleCrop>false</ScaleCrop>
  <Company>微软中国</Company>
  <LinksUpToDate>false</LinksUpToDate>
  <CharactersWithSpaces>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11</cp:revision>
  <cp:lastPrinted>2017-07-12T08:25:00Z</cp:lastPrinted>
  <dcterms:created xsi:type="dcterms:W3CDTF">2017-07-12T07:29:00Z</dcterms:created>
  <dcterms:modified xsi:type="dcterms:W3CDTF">2017-07-24T01:49:00Z</dcterms:modified>
</cp:coreProperties>
</file>