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ind w:leftChars="-67" w:hanging="140" w:hangingChars="67"/>
        <w:rPr>
          <w:rFonts w:hint="eastAsia" w:ascii="Times New Roman" w:hAnsi="Times New Roman" w:eastAsia="宋体" w:cs="Times New Roman"/>
          <w:b/>
          <w:bCs/>
          <w:color w:val="333333"/>
          <w:spacing w:val="8"/>
          <w:kern w:val="0"/>
          <w:sz w:val="24"/>
          <w:szCs w:val="29"/>
        </w:rPr>
      </w:pPr>
      <w:r>
        <w:drawing>
          <wp:inline distT="0" distB="0" distL="0" distR="0">
            <wp:extent cx="5495925" cy="77139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93329" cy="7710445"/>
                    </a:xfrm>
                    <a:prstGeom prst="rect">
                      <a:avLst/>
                    </a:prstGeom>
                  </pic:spPr>
                </pic:pic>
              </a:graphicData>
            </a:graphic>
          </wp:inline>
        </w:drawing>
      </w:r>
    </w:p>
    <w:p>
      <w:pPr>
        <w:shd w:val="clear" w:color="auto" w:fill="FFFFFF"/>
        <w:ind w:firstLine="514" w:firstLineChars="200"/>
        <w:rPr>
          <w:rFonts w:hint="eastAsia" w:ascii="Times New Roman" w:hAnsi="Times New Roman" w:eastAsia="宋体" w:cs="Times New Roman"/>
          <w:b/>
          <w:bCs/>
          <w:color w:val="333333"/>
          <w:spacing w:val="8"/>
          <w:kern w:val="0"/>
          <w:sz w:val="24"/>
          <w:szCs w:val="29"/>
        </w:rPr>
      </w:pPr>
    </w:p>
    <w:p>
      <w:pPr>
        <w:shd w:val="clear" w:color="auto" w:fill="FFFFFF"/>
        <w:ind w:firstLine="514" w:firstLineChars="200"/>
        <w:rPr>
          <w:rFonts w:hint="eastAsia" w:ascii="Times New Roman" w:hAnsi="Times New Roman" w:eastAsia="宋体" w:cs="Times New Roman"/>
          <w:b/>
          <w:bCs/>
          <w:color w:val="333333"/>
          <w:spacing w:val="8"/>
          <w:kern w:val="0"/>
          <w:sz w:val="24"/>
          <w:szCs w:val="29"/>
        </w:rPr>
      </w:pPr>
    </w:p>
    <w:p>
      <w:pPr>
        <w:shd w:val="clear" w:color="auto" w:fill="FFFFFF"/>
        <w:ind w:firstLine="514" w:firstLineChars="200"/>
        <w:rPr>
          <w:rFonts w:hint="eastAsia" w:ascii="Times New Roman" w:hAnsi="Times New Roman" w:eastAsia="宋体" w:cs="Times New Roman"/>
          <w:b/>
          <w:bCs/>
          <w:color w:val="333333"/>
          <w:spacing w:val="8"/>
          <w:kern w:val="0"/>
          <w:sz w:val="24"/>
          <w:szCs w:val="29"/>
        </w:rPr>
      </w:pPr>
    </w:p>
    <w:p>
      <w:pPr>
        <w:shd w:val="clear" w:color="auto" w:fill="FFFFFF"/>
        <w:ind w:firstLine="514" w:firstLineChars="200"/>
        <w:rPr>
          <w:rFonts w:hint="eastAsia" w:ascii="Times New Roman" w:hAnsi="Times New Roman" w:eastAsia="宋体" w:cs="Times New Roman"/>
          <w:b/>
          <w:bCs/>
          <w:color w:val="333333"/>
          <w:spacing w:val="8"/>
          <w:kern w:val="0"/>
          <w:sz w:val="24"/>
          <w:szCs w:val="29"/>
        </w:rPr>
      </w:pPr>
    </w:p>
    <w:p>
      <w:pPr>
        <w:shd w:val="clear" w:color="auto" w:fill="FFFFFF"/>
        <w:ind w:firstLine="514" w:firstLineChars="200"/>
        <w:rPr>
          <w:rFonts w:hint="eastAsia" w:ascii="Times New Roman" w:hAnsi="Times New Roman" w:eastAsia="宋体" w:cs="Times New Roman"/>
          <w:b/>
          <w:bCs/>
          <w:color w:val="333333"/>
          <w:spacing w:val="8"/>
          <w:kern w:val="0"/>
          <w:sz w:val="24"/>
          <w:szCs w:val="29"/>
        </w:rPr>
      </w:pPr>
    </w:p>
    <w:p>
      <w:pPr>
        <w:shd w:val="clear" w:color="auto" w:fill="FFFFFF"/>
        <w:ind w:firstLine="514" w:firstLineChars="200"/>
        <w:rPr>
          <w:rFonts w:ascii="Times New Roman" w:hAnsi="Times New Roman" w:eastAsia="宋体" w:cs="Times New Roman"/>
          <w:color w:val="333333"/>
          <w:spacing w:val="8"/>
          <w:kern w:val="0"/>
          <w:sz w:val="24"/>
          <w:szCs w:val="26"/>
        </w:rPr>
      </w:pPr>
      <w:r>
        <w:rPr>
          <w:rFonts w:hint="eastAsia" w:ascii="Times New Roman" w:hAnsi="Times New Roman" w:eastAsia="宋体" w:cs="Times New Roman"/>
          <w:b/>
          <w:bCs/>
          <w:color w:val="333333"/>
          <w:spacing w:val="8"/>
          <w:kern w:val="0"/>
          <w:sz w:val="24"/>
          <w:szCs w:val="29"/>
        </w:rPr>
        <w:t>附件：1</w:t>
      </w:r>
    </w:p>
    <w:p>
      <w:pPr>
        <w:shd w:val="clear" w:color="auto" w:fill="FFFFFF"/>
        <w:ind w:firstLine="512" w:firstLineChars="200"/>
        <w:rPr>
          <w:rFonts w:ascii="Times New Roman" w:hAnsi="Times New Roman" w:eastAsia="宋体" w:cs="Times New Roman"/>
          <w:color w:val="333333"/>
          <w:spacing w:val="8"/>
          <w:kern w:val="0"/>
          <w:sz w:val="24"/>
          <w:szCs w:val="26"/>
        </w:rPr>
      </w:pPr>
    </w:p>
    <w:p>
      <w:pPr>
        <w:shd w:val="clear" w:color="auto" w:fill="FFFFFF"/>
        <w:ind w:firstLine="514" w:firstLineChars="200"/>
        <w:jc w:val="center"/>
        <w:rPr>
          <w:rFonts w:ascii="Times New Roman" w:hAnsi="Times New Roman" w:eastAsia="宋体" w:cs="Times New Roman"/>
          <w:b/>
          <w:spacing w:val="8"/>
          <w:kern w:val="0"/>
          <w:sz w:val="24"/>
          <w:szCs w:val="24"/>
        </w:rPr>
      </w:pPr>
      <w:r>
        <w:rPr>
          <w:rFonts w:hint="eastAsia" w:ascii="Times New Roman" w:hAnsi="Times New Roman" w:eastAsia="宋体" w:cs="Times New Roman"/>
          <w:b/>
          <w:bCs/>
          <w:spacing w:val="8"/>
          <w:kern w:val="0"/>
          <w:sz w:val="24"/>
          <w:szCs w:val="24"/>
        </w:rPr>
        <w:t>广东省环境监测行业指导价编制说明</w:t>
      </w:r>
    </w:p>
    <w:p>
      <w:pPr>
        <w:shd w:val="clear" w:color="auto" w:fill="FFFFFF"/>
        <w:ind w:firstLine="512" w:firstLineChars="200"/>
        <w:rPr>
          <w:rFonts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目前我省环境监测收费唯一的标准的是省物价局1996年批准的《广东省环境监测收费项目及标准》（粤价函[1996]64号），该标准颁布至今已有22年，而且主要针对的是财政拨款的事业单位。随着监测成本的上升，该收费标准严重偏低，制约了环境监测社会化工作的发展。同时，由于社会环境监测机构的大量涌现，环境监测市场恶性竞争现象严重，一些环境监测机构往往以低价竞争取得任务，但所收取的监测费用又不足以保证按质按量完成任务，只好数据造假，并且导致“劣币驱逐良币”的情况。</w:t>
      </w:r>
    </w:p>
    <w:p>
      <w:pPr>
        <w:shd w:val="clear" w:color="auto" w:fill="FFFFFF"/>
        <w:ind w:firstLine="512" w:firstLineChars="200"/>
        <w:rPr>
          <w:rFonts w:hint="eastAsia"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为提高我省环境监测技术水平，推进环境监测专业市场的有序发展和良性竞争，规范收费行为，广东省环境监测协会在广东省环境监测中心于2014年提出的调整我省环境监测收费标准的基础上，制定《广东省环境监测行业指导价》，供会员单位在确定环境监测收费时参考。</w:t>
      </w:r>
    </w:p>
    <w:p>
      <w:pPr>
        <w:shd w:val="clear" w:color="auto" w:fill="FFFFFF"/>
        <w:ind w:firstLine="512" w:firstLineChars="200"/>
        <w:rPr>
          <w:rFonts w:hint="eastAsia"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1、编制依据：参考广东省建设工程质量安全检测和鉴定协会2015年9月制定的《广东省房屋建筑和市政工程工程质量安全检测收费指导价》（粤建检协【2015】8号），结合江苏省、上海市等地实行的环境收费标准以及广东省内主要环境监测机构的收费标准作为主要依据。</w:t>
      </w:r>
    </w:p>
    <w:p>
      <w:pPr>
        <w:shd w:val="clear" w:color="auto" w:fill="FFFFFF"/>
        <w:ind w:firstLine="512" w:firstLineChars="200"/>
        <w:rPr>
          <w:rFonts w:hint="eastAsia"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2、编制原则：为方便理解和操作，确保应用的一致性，本指导价包括了采样、检测和人员成本。</w:t>
      </w:r>
    </w:p>
    <w:p>
      <w:pPr>
        <w:shd w:val="clear" w:color="auto" w:fill="FFFFFF"/>
        <w:ind w:firstLine="512" w:firstLineChars="200"/>
        <w:rPr>
          <w:rFonts w:hint="eastAsia"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3、成本核算主要包括：仪器设备折旧费、试剂药品费、水电费、标准物质费、易损耗品（如玻璃仪器、采样介质等）费、实验场所租用费、办公费、人员费用（如工资、五险一金、差旅、补助、培训、绩效等）等。</w:t>
      </w:r>
    </w:p>
    <w:p>
      <w:pPr>
        <w:shd w:val="clear" w:color="auto" w:fill="FFFFFF"/>
        <w:ind w:firstLine="512" w:firstLineChars="200"/>
        <w:rPr>
          <w:rFonts w:hint="eastAsia"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4、行业指导价主要是按目前常用监测方法来分项收费，未包括的非常规项目或今后开展新的监测项目，可由各监测机构根据其监测方法在行业指导价的基础上自行确定。</w:t>
      </w:r>
    </w:p>
    <w:p>
      <w:pPr>
        <w:shd w:val="clear" w:color="auto" w:fill="FFFFFF"/>
        <w:ind w:firstLine="512" w:firstLineChars="200"/>
        <w:rPr>
          <w:rFonts w:hint="eastAsia" w:ascii="Times New Roman" w:hAnsi="Times New Roman" w:eastAsia="宋体" w:cs="Times New Roman"/>
          <w:color w:val="222222"/>
          <w:spacing w:val="8"/>
          <w:kern w:val="0"/>
          <w:sz w:val="24"/>
          <w:szCs w:val="24"/>
        </w:rPr>
      </w:pPr>
    </w:p>
    <w:p>
      <w:pPr>
        <w:shd w:val="clear" w:color="auto" w:fill="FFFFFF"/>
        <w:ind w:firstLine="512" w:firstLineChars="200"/>
        <w:rPr>
          <w:rFonts w:hint="eastAsia" w:ascii="Times New Roman" w:hAnsi="Times New Roman" w:eastAsia="宋体" w:cs="Times New Roman"/>
          <w:color w:val="222222"/>
          <w:spacing w:val="8"/>
          <w:kern w:val="0"/>
          <w:sz w:val="24"/>
          <w:szCs w:val="24"/>
        </w:rPr>
      </w:pPr>
      <w:r>
        <w:rPr>
          <w:rFonts w:hint="eastAsia" w:ascii="Times New Roman" w:hAnsi="Times New Roman" w:eastAsia="宋体" w:cs="Times New Roman"/>
          <w:color w:val="222222"/>
          <w:spacing w:val="8"/>
          <w:kern w:val="0"/>
          <w:sz w:val="24"/>
          <w:szCs w:val="24"/>
        </w:rPr>
        <w:t>5、采样交通费主要根据目前市场上的汽车租货价格作为参考。</w:t>
      </w:r>
    </w:p>
    <w:p>
      <w:pPr>
        <w:widowControl/>
        <w:shd w:val="clear" w:color="auto" w:fill="FFFFFF"/>
        <w:spacing w:line="600" w:lineRule="atLeast"/>
        <w:jc w:val="center"/>
        <w:rPr>
          <w:rFonts w:hint="eastAsia" w:ascii="微软雅黑" w:hAnsi="微软雅黑" w:eastAsia="微软雅黑" w:cs="宋体"/>
          <w:spacing w:val="8"/>
          <w:kern w:val="0"/>
          <w:sz w:val="24"/>
          <w:szCs w:val="24"/>
        </w:rPr>
      </w:pPr>
      <w:r>
        <w:rPr>
          <w:rFonts w:hint="eastAsia" w:ascii="微软雅黑" w:hAnsi="微软雅黑" w:eastAsia="微软雅黑" w:cs="宋体"/>
          <w:b/>
          <w:bCs/>
          <w:spacing w:val="8"/>
          <w:kern w:val="0"/>
          <w:sz w:val="24"/>
          <w:szCs w:val="24"/>
        </w:rPr>
        <w:t>广东省环境监测行业指导价</w:t>
      </w:r>
    </w:p>
    <w:tbl>
      <w:tblPr>
        <w:tblStyle w:val="8"/>
        <w:tblW w:w="9319" w:type="dxa"/>
        <w:tblInd w:w="-321" w:type="dxa"/>
        <w:shd w:val="clear" w:color="auto" w:fill="FFFFFF"/>
        <w:tblLayout w:type="fixed"/>
        <w:tblCellMar>
          <w:top w:w="0" w:type="dxa"/>
          <w:left w:w="0" w:type="dxa"/>
          <w:bottom w:w="0" w:type="dxa"/>
          <w:right w:w="0" w:type="dxa"/>
        </w:tblCellMar>
      </w:tblPr>
      <w:tblGrid>
        <w:gridCol w:w="718"/>
        <w:gridCol w:w="1591"/>
        <w:gridCol w:w="2172"/>
        <w:gridCol w:w="1162"/>
        <w:gridCol w:w="1820"/>
        <w:gridCol w:w="1856"/>
      </w:tblGrid>
      <w:tr>
        <w:tblPrEx>
          <w:shd w:val="clear" w:color="auto" w:fill="FFFFFF"/>
          <w:tblLayout w:type="fixed"/>
          <w:tblCellMar>
            <w:top w:w="0" w:type="dxa"/>
            <w:left w:w="0" w:type="dxa"/>
            <w:bottom w:w="0" w:type="dxa"/>
            <w:right w:w="0" w:type="dxa"/>
          </w:tblCellMar>
        </w:tblPrEx>
        <w:trPr>
          <w:trHeight w:val="300" w:hRule="atLeast"/>
        </w:trPr>
        <w:tc>
          <w:tcPr>
            <w:tcW w:w="718" w:type="dxa"/>
            <w:tcBorders>
              <w:top w:val="single" w:color="auto" w:sz="6" w:space="0"/>
              <w:left w:val="single" w:color="auto" w:sz="6" w:space="0"/>
              <w:bottom w:val="single" w:color="auto" w:sz="6" w:space="0"/>
              <w:right w:val="single" w:color="auto" w:sz="6" w:space="0"/>
            </w:tcBorders>
            <w:shd w:val="clear" w:color="auto" w:fill="7F7F7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序号</w:t>
            </w:r>
          </w:p>
        </w:tc>
        <w:tc>
          <w:tcPr>
            <w:tcW w:w="1591" w:type="dxa"/>
            <w:tcBorders>
              <w:top w:val="single" w:color="auto" w:sz="6" w:space="0"/>
              <w:left w:val="nil"/>
              <w:bottom w:val="single" w:color="auto" w:sz="6" w:space="0"/>
              <w:right w:val="single" w:color="auto" w:sz="6" w:space="0"/>
            </w:tcBorders>
            <w:shd w:val="clear" w:color="auto" w:fill="7F7F7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产品类别</w:t>
            </w:r>
          </w:p>
        </w:tc>
        <w:tc>
          <w:tcPr>
            <w:tcW w:w="2172" w:type="dxa"/>
            <w:tcBorders>
              <w:top w:val="single" w:color="auto" w:sz="6" w:space="0"/>
              <w:left w:val="nil"/>
              <w:bottom w:val="single" w:color="auto" w:sz="6" w:space="0"/>
              <w:right w:val="single" w:color="auto" w:sz="6" w:space="0"/>
            </w:tcBorders>
            <w:shd w:val="clear" w:color="auto" w:fill="7F7F7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检测项目/参数</w:t>
            </w:r>
          </w:p>
        </w:tc>
        <w:tc>
          <w:tcPr>
            <w:tcW w:w="1162" w:type="dxa"/>
            <w:tcBorders>
              <w:top w:val="single" w:color="auto" w:sz="6" w:space="0"/>
              <w:left w:val="nil"/>
              <w:bottom w:val="single" w:color="auto" w:sz="6" w:space="0"/>
              <w:right w:val="single" w:color="auto" w:sz="6" w:space="0"/>
            </w:tcBorders>
            <w:shd w:val="clear" w:color="auto" w:fill="7F7F7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计费单位</w:t>
            </w:r>
          </w:p>
        </w:tc>
        <w:tc>
          <w:tcPr>
            <w:tcW w:w="1820" w:type="dxa"/>
            <w:tcBorders>
              <w:top w:val="single" w:color="auto" w:sz="6" w:space="0"/>
              <w:left w:val="nil"/>
              <w:bottom w:val="single" w:color="auto" w:sz="6" w:space="0"/>
              <w:right w:val="single" w:color="auto" w:sz="6" w:space="0"/>
            </w:tcBorders>
            <w:shd w:val="clear" w:color="auto" w:fill="7F7F7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单价（元）</w:t>
            </w:r>
          </w:p>
        </w:tc>
        <w:tc>
          <w:tcPr>
            <w:tcW w:w="1856" w:type="dxa"/>
            <w:tcBorders>
              <w:top w:val="single" w:color="auto" w:sz="6" w:space="0"/>
              <w:left w:val="nil"/>
              <w:bottom w:val="single" w:color="auto" w:sz="6" w:space="0"/>
              <w:right w:val="single" w:color="auto" w:sz="6" w:space="0"/>
            </w:tcBorders>
            <w:shd w:val="clear" w:color="auto" w:fill="7F7F7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备注</w:t>
            </w: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一</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水和废水</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pH值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水温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40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流量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只对企业排口</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透明度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浊度（浑浊度）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色度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电导率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嗅和味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肉眼可见物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可氧化物质含量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吸光度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可溶性硅</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矿化度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蒸发残渣</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总残渣、可滤残渣、可溶解性总固体</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悬浮物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固体物质（全固体、灼烧减量及灼烧残留物）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全盐量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易沉固体</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重碳酸盐（重碳酸根）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碳酸盐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氢氧根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总碱度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酸度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阴离子表面活性剂</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石油类（油类）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动植物油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可吸附有机卤素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800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五日生化需氧量(BOD</w:t>
            </w:r>
            <w:r>
              <w:rPr>
                <w:rFonts w:hint="eastAsia" w:cs="宋体" w:asciiTheme="majorEastAsia" w:hAnsiTheme="majorEastAsia" w:eastAsiaTheme="majorEastAsia"/>
                <w:color w:val="222222"/>
                <w:spacing w:val="8"/>
                <w:kern w:val="0"/>
                <w:sz w:val="18"/>
                <w:szCs w:val="18"/>
                <w:vertAlign w:val="subscript"/>
              </w:rPr>
              <w:t>5</w:t>
            </w:r>
            <w:r>
              <w:rPr>
                <w:rFonts w:hint="eastAsia" w:cs="宋体" w:asciiTheme="majorEastAsia" w:hAnsiTheme="majorEastAsia" w:eastAsiaTheme="majorEastAsia"/>
                <w:color w:val="222222"/>
                <w:spacing w:val="8"/>
                <w:kern w:val="0"/>
                <w:sz w:val="18"/>
                <w:szCs w:val="18"/>
              </w:rPr>
              <w:t>)</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溶解氧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高锰酸钾指数（耗氧量）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化学需氧量(COD</w:t>
            </w:r>
            <w:r>
              <w:rPr>
                <w:rFonts w:hint="eastAsia" w:cs="宋体" w:asciiTheme="majorEastAsia" w:hAnsiTheme="majorEastAsia" w:eastAsiaTheme="majorEastAsia"/>
                <w:color w:val="222222"/>
                <w:spacing w:val="8"/>
                <w:kern w:val="0"/>
                <w:sz w:val="18"/>
                <w:szCs w:val="18"/>
                <w:vertAlign w:val="subscript"/>
              </w:rPr>
              <w:t>Cr</w:t>
            </w:r>
            <w:r>
              <w:rPr>
                <w:rFonts w:hint="eastAsia" w:cs="宋体" w:asciiTheme="majorEastAsia" w:hAnsiTheme="majorEastAsia" w:eastAsiaTheme="majorEastAsia"/>
                <w:color w:val="222222"/>
                <w:spacing w:val="8"/>
                <w:kern w:val="0"/>
                <w:sz w:val="18"/>
                <w:szCs w:val="18"/>
              </w:rPr>
              <w:t>)</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一</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水和废水</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总氯（总余氯、余氯、活性氯）</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氯化物(氯离子)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二氧化氯</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亚氯酸盐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氨氮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凯氏氮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氨</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铵</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硝酸盐（硝酸根、硝酸盐氮）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亚硝酸盐(亚硝酸根、亚硝酸盐氮)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氟化物（氟离子）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总磷（磷酸盐、元素磷）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硫化物（硫）</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硫酸盐（硫酸根）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亚硫酸根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溴酸盐（溴化物,溴离子）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碘化物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总氰化物、氰化物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总硬度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总有机碳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硅</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总α放射性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400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总β放射性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400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游离二氧化碳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侵蚀性二氧化碳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氧化还原电位</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粪大肠菌群（耐热大肠菌群）</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总大肠菌群</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大肠埃希氏菌（大肠菌群，大肠杆菌）</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39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细菌总数（菌落总数）</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嗜肺军团菌</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800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48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浮游植物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只做蓝绿藻计数</w:t>
            </w: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一</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水和废水</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蛔虫卵</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叶绿素a</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挥发酚（挥发酚类）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金属元素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第1项200，5项以内每增加一项加120，5项以上每增加一项加80，最高2000元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第1项300，5项以内每增加一项加200，5项以上每增加一项加150，最高3500元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半挥发性有机污染物含量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项以内每增加一项加</w:t>
            </w:r>
            <w:r>
              <w:rPr>
                <w:rFonts w:cs="宋体" w:asciiTheme="majorEastAsia" w:hAnsiTheme="majorEastAsia" w:eastAsiaTheme="majorEastAsia"/>
                <w:color w:val="222222"/>
                <w:spacing w:val="8"/>
                <w:kern w:val="0"/>
                <w:sz w:val="18"/>
                <w:szCs w:val="18"/>
              </w:rPr>
              <w:t>200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项以上每增加一项加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3500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农药类有机污染物含量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项以内每增加一项加</w:t>
            </w:r>
            <w:r>
              <w:rPr>
                <w:rFonts w:cs="宋体" w:asciiTheme="majorEastAsia" w:hAnsiTheme="majorEastAsia" w:eastAsiaTheme="majorEastAsia"/>
                <w:color w:val="222222"/>
                <w:spacing w:val="8"/>
                <w:kern w:val="0"/>
                <w:sz w:val="18"/>
                <w:szCs w:val="18"/>
              </w:rPr>
              <w:t>200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项以上每增加一项加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3500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其他类有机污染物含量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项以内每增加一项加</w:t>
            </w:r>
            <w:r>
              <w:rPr>
                <w:rFonts w:cs="宋体" w:asciiTheme="majorEastAsia" w:hAnsiTheme="majorEastAsia" w:eastAsiaTheme="majorEastAsia"/>
                <w:color w:val="222222"/>
                <w:spacing w:val="8"/>
                <w:kern w:val="0"/>
                <w:sz w:val="18"/>
                <w:szCs w:val="18"/>
              </w:rPr>
              <w:t>200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项以上每增加一项加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3500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甲醛</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丁基黄原酸</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微囊藻毒素（MC-RR、MC-LR、MC-YR）</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苯胺（类）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联苯胺</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烷基汞（包括甲基汞、乙基汞）</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石油烃</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四乙基铅</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二</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空气和废气</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林格曼黑度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烟尘（颗粒物）、烟气参数</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高于20mg/m3浓度</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烟尘（颗粒物）、烟气参数</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低于20mg/m3浓度</w:t>
            </w:r>
          </w:p>
          <w:p>
            <w:pPr>
              <w:widowControl/>
              <w:wordWrap w:val="0"/>
              <w:jc w:val="center"/>
              <w:rPr>
                <w:rFonts w:cs="宋体" w:asciiTheme="majorEastAsia" w:hAnsiTheme="majorEastAsia" w:eastAsiaTheme="majorEastAsia"/>
                <w:color w:val="222222"/>
                <w:spacing w:val="8"/>
                <w:kern w:val="0"/>
                <w:sz w:val="18"/>
                <w:szCs w:val="18"/>
              </w:rPr>
            </w:pPr>
          </w:p>
          <w:p>
            <w:pPr>
              <w:widowControl/>
              <w:wordWrap w:val="0"/>
              <w:jc w:val="center"/>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总悬浮颗粒物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日均值最高1000</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PM</w:t>
            </w:r>
            <w:r>
              <w:rPr>
                <w:rFonts w:hint="eastAsia" w:cs="宋体" w:asciiTheme="majorEastAsia" w:hAnsiTheme="majorEastAsia" w:eastAsiaTheme="majorEastAsia"/>
                <w:color w:val="222222"/>
                <w:spacing w:val="8"/>
                <w:kern w:val="0"/>
                <w:sz w:val="18"/>
                <w:szCs w:val="18"/>
                <w:vertAlign w:val="subscript"/>
              </w:rPr>
              <w:t>10</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日均值最高1000</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PM</w:t>
            </w:r>
            <w:r>
              <w:rPr>
                <w:rFonts w:hint="eastAsia" w:cs="宋体" w:asciiTheme="majorEastAsia" w:hAnsiTheme="majorEastAsia" w:eastAsiaTheme="majorEastAsia"/>
                <w:color w:val="222222"/>
                <w:spacing w:val="8"/>
                <w:kern w:val="0"/>
                <w:sz w:val="18"/>
                <w:szCs w:val="18"/>
                <w:vertAlign w:val="subscript"/>
              </w:rPr>
              <w:t>2.5</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日均值最高1000</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石棉尘</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沥青烟</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饮食业油烟</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二</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空气和废气</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光气</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氰化氢</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臭氧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一氧化碳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二氧化碳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氨、铵离子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一氧化氮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二氧化氮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氮氧化物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污染源</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氮氧化物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环境空气（小时均值）</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二氧化硫</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污染源</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二氧化硫</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环境空气（小时均值）</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硫酸盐(硫酸根)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亚硫酸根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硫酸雾</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硫酸盐化速率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800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硫化氢</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氟化物、氟离子、氟化氢</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氯化氢</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氯气</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铬酸雾</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铬(六价)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溴离子、亚硝酸根、硝酸根、磷酸根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第1项300，每增加一项加100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五氧化二磷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苯可溶物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氡</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甲醛</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苯并[a]芘</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TVOC</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lang w:eastAsia="zh-CN"/>
              </w:rPr>
              <w:t>室内</w:t>
            </w:r>
            <w:bookmarkStart w:id="0" w:name="_GoBack"/>
            <w:bookmarkEnd w:id="0"/>
            <w:r>
              <w:rPr>
                <w:rFonts w:hint="eastAsia" w:cs="宋体" w:asciiTheme="majorEastAsia" w:hAnsiTheme="majorEastAsia" w:eastAsiaTheme="majorEastAsia"/>
                <w:color w:val="222222"/>
                <w:spacing w:val="8"/>
                <w:kern w:val="0"/>
                <w:sz w:val="18"/>
                <w:szCs w:val="18"/>
              </w:rPr>
              <w:t>空气、环境空气</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总挥发性有机物（VOC</w:t>
            </w:r>
            <w:r>
              <w:rPr>
                <w:rFonts w:hint="eastAsia" w:cs="宋体" w:asciiTheme="majorEastAsia" w:hAnsiTheme="majorEastAsia" w:eastAsiaTheme="majorEastAsia"/>
                <w:color w:val="222222"/>
                <w:spacing w:val="8"/>
                <w:kern w:val="0"/>
                <w:sz w:val="18"/>
                <w:szCs w:val="18"/>
                <w:vertAlign w:val="subscript"/>
              </w:rPr>
              <w:t>S</w:t>
            </w:r>
            <w:r>
              <w:rPr>
                <w:rFonts w:hint="eastAsia" w:cs="宋体" w:asciiTheme="majorEastAsia" w:hAnsiTheme="majorEastAsia" w:eastAsiaTheme="majorEastAsia"/>
                <w:color w:val="222222"/>
                <w:spacing w:val="8"/>
                <w:kern w:val="0"/>
                <w:sz w:val="18"/>
                <w:szCs w:val="18"/>
              </w:rPr>
              <w:t>）</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污染源</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臭气浓度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空气和废气</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金属元素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第1项300，5项以内每增加一项加200，5项以上每增加一项加100，最高2500元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第1项300，每增加一项加150，最高3000元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半挥发性有机污染物含量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3000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农药类有机污染物含量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3000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其他类有机污染物含量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3000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二噁英类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样</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三</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土壤、沉积物、污泥</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pH</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干物质和水分</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电导率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容重</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氧化还原电位</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有机质（碳氮比、有机碳、有机物）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阳离子交换量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全硫</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有效硫</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有效硅</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最大吸湿量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土粒密度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盐基饱和度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碱化度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可交换酸度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水解性总酸度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石灰施用量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交换性盐基及盐基总量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水溶性硫酸盐和酸溶性硫酸盐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水溶性盐分</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机械组成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氟化物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氰化物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总氰化物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三</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土壤、沉积物、污泥</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总碱度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矿物油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有效钼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全氮（总氮）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氨氮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亚硝酸盐氮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硝酸盐氮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水解性氮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硝态氮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铵态氮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总磷（全磷）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有效磷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有效硼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细菌总数</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大肠菌群</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180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蛔虫卵</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混合液污泥浓度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脂肪酸</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总石油烃</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腐殖质</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400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大肠菌值（粪大肠菌群）</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蛔虫卵死亡率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放射性核素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400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元素全量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第1项200，每增加一项加150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元素有效态</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第1项250，5项以内每增加一项加200，5项以上每增加一项加150，最高3500元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三</w:t>
            </w:r>
          </w:p>
        </w:tc>
        <w:tc>
          <w:tcPr>
            <w:tcW w:w="15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土壤、沉积物、污泥</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半挥发性有机污染物含量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250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项以内每增加一项加</w:t>
            </w:r>
            <w:r>
              <w:rPr>
                <w:rFonts w:cs="宋体" w:asciiTheme="majorEastAsia" w:hAnsiTheme="majorEastAsia" w:eastAsiaTheme="majorEastAsia"/>
                <w:color w:val="222222"/>
                <w:spacing w:val="8"/>
                <w:kern w:val="0"/>
                <w:sz w:val="18"/>
                <w:szCs w:val="18"/>
              </w:rPr>
              <w:t>200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项以上每增加一项加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3500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三</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土壤、沉积物、污泥</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农药类有机污染物含量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250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项以内每增加一项加</w:t>
            </w:r>
            <w:r>
              <w:rPr>
                <w:rFonts w:cs="宋体" w:asciiTheme="majorEastAsia" w:hAnsiTheme="majorEastAsia" w:eastAsiaTheme="majorEastAsia"/>
                <w:color w:val="222222"/>
                <w:spacing w:val="8"/>
                <w:kern w:val="0"/>
                <w:sz w:val="18"/>
                <w:szCs w:val="18"/>
              </w:rPr>
              <w:t>200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项以上每增加一项加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3500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其他类有机污染物含量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250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项以内每增加一项加</w:t>
            </w:r>
            <w:r>
              <w:rPr>
                <w:rFonts w:cs="宋体" w:asciiTheme="majorEastAsia" w:hAnsiTheme="majorEastAsia" w:eastAsiaTheme="majorEastAsia"/>
                <w:color w:val="222222"/>
                <w:spacing w:val="8"/>
                <w:kern w:val="0"/>
                <w:sz w:val="18"/>
                <w:szCs w:val="18"/>
              </w:rPr>
              <w:t>200</w:t>
            </w:r>
            <w:r>
              <w:rPr>
                <w:rFonts w:hint="eastAsia" w:cs="宋体" w:asciiTheme="majorEastAsia" w:hAnsiTheme="majorEastAsia" w:eastAsiaTheme="majorEastAsia"/>
                <w:color w:val="222222"/>
                <w:spacing w:val="8"/>
                <w:kern w:val="0"/>
                <w:sz w:val="18"/>
                <w:szCs w:val="18"/>
              </w:rPr>
              <w:t>，</w:t>
            </w:r>
            <w:r>
              <w:rPr>
                <w:rFonts w:cs="宋体" w:asciiTheme="majorEastAsia" w:hAnsiTheme="majorEastAsia" w:eastAsiaTheme="majorEastAsia"/>
                <w:color w:val="222222"/>
                <w:spacing w:val="8"/>
                <w:kern w:val="0"/>
                <w:sz w:val="18"/>
                <w:szCs w:val="18"/>
              </w:rPr>
              <w:t>5</w:t>
            </w:r>
            <w:r>
              <w:rPr>
                <w:rFonts w:hint="eastAsia" w:cs="宋体" w:asciiTheme="majorEastAsia" w:hAnsiTheme="majorEastAsia" w:eastAsiaTheme="majorEastAsia"/>
                <w:color w:val="222222"/>
                <w:spacing w:val="8"/>
                <w:kern w:val="0"/>
                <w:sz w:val="18"/>
                <w:szCs w:val="18"/>
              </w:rPr>
              <w:t>项以上每增加一项加</w:t>
            </w:r>
            <w:r>
              <w:rPr>
                <w:rFonts w:cs="宋体" w:asciiTheme="majorEastAsia" w:hAnsiTheme="majorEastAsia" w:eastAsiaTheme="majorEastAsia"/>
                <w:color w:val="222222"/>
                <w:spacing w:val="8"/>
                <w:kern w:val="0"/>
                <w:sz w:val="18"/>
                <w:szCs w:val="18"/>
              </w:rPr>
              <w:t>150</w:t>
            </w:r>
            <w:r>
              <w:rPr>
                <w:rFonts w:hint="eastAsia" w:cs="宋体" w:asciiTheme="majorEastAsia" w:hAnsiTheme="majorEastAsia" w:eastAsiaTheme="majorEastAsia"/>
                <w:color w:val="222222"/>
                <w:spacing w:val="8"/>
                <w:kern w:val="0"/>
                <w:sz w:val="18"/>
                <w:szCs w:val="18"/>
              </w:rPr>
              <w:t>，最高</w:t>
            </w:r>
            <w:r>
              <w:rPr>
                <w:rFonts w:cs="宋体" w:asciiTheme="majorEastAsia" w:hAnsiTheme="majorEastAsia" w:eastAsiaTheme="majorEastAsia"/>
                <w:color w:val="222222"/>
                <w:spacing w:val="8"/>
                <w:kern w:val="0"/>
                <w:sz w:val="18"/>
                <w:szCs w:val="18"/>
              </w:rPr>
              <w:t>3500</w:t>
            </w:r>
            <w:r>
              <w:rPr>
                <w:rFonts w:hint="eastAsia" w:cs="宋体" w:asciiTheme="majorEastAsia" w:hAnsiTheme="majorEastAsia" w:eastAsiaTheme="majorEastAsia"/>
                <w:color w:val="222222"/>
                <w:spacing w:val="8"/>
                <w:kern w:val="0"/>
                <w:sz w:val="18"/>
                <w:szCs w:val="18"/>
              </w:rPr>
              <w:t>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四</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固体废物和危险废物</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前处理（浸出毒性-无机项目）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样</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前处理（浸出毒性-有机项目）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样</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含水率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四</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固体废物和危险废物</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有机质</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热酌减率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溴酸根、氯离子、亚硝酸根、溴离子、硝酸根、磷酸根、硫酸根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第1项250，每增加一项加150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氟化物、氟离子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氰化物、氰酸根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元素全量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第1项200，每增加一项加150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元素浸出量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第1项200，每增加一项加100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第1项300，每增加一项加200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半挥发性有机污染物含量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ind w:firstLine="315"/>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，每增加一项加</w:t>
            </w:r>
            <w:r>
              <w:rPr>
                <w:rFonts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农药类有机污染物含量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，每增加一项加</w:t>
            </w:r>
            <w:r>
              <w:rPr>
                <w:rFonts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其他类有机污染物含量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第</w:t>
            </w:r>
            <w:r>
              <w:rPr>
                <w:rFonts w:cs="宋体" w:asciiTheme="majorEastAsia" w:hAnsiTheme="majorEastAsia" w:eastAsiaTheme="majorEastAsia"/>
                <w:color w:val="222222"/>
                <w:spacing w:val="8"/>
                <w:kern w:val="0"/>
                <w:sz w:val="18"/>
                <w:szCs w:val="18"/>
              </w:rPr>
              <w:t>1</w:t>
            </w:r>
            <w:r>
              <w:rPr>
                <w:rFonts w:hint="eastAsia" w:cs="宋体" w:asciiTheme="majorEastAsia" w:hAnsiTheme="majorEastAsia" w:eastAsiaTheme="majorEastAsia"/>
                <w:color w:val="222222"/>
                <w:spacing w:val="8"/>
                <w:kern w:val="0"/>
                <w:sz w:val="18"/>
                <w:szCs w:val="18"/>
              </w:rPr>
              <w:t>项</w:t>
            </w:r>
            <w:r>
              <w:rPr>
                <w:rFonts w:cs="宋体" w:asciiTheme="majorEastAsia" w:hAnsiTheme="majorEastAsia" w:eastAsiaTheme="majorEastAsia"/>
                <w:color w:val="222222"/>
                <w:spacing w:val="8"/>
                <w:kern w:val="0"/>
                <w:sz w:val="18"/>
                <w:szCs w:val="18"/>
              </w:rPr>
              <w:t>300</w:t>
            </w:r>
            <w:r>
              <w:rPr>
                <w:rFonts w:hint="eastAsia" w:cs="宋体" w:asciiTheme="majorEastAsia" w:hAnsiTheme="majorEastAsia" w:eastAsiaTheme="majorEastAsia"/>
                <w:color w:val="222222"/>
                <w:spacing w:val="8"/>
                <w:kern w:val="0"/>
                <w:sz w:val="18"/>
                <w:szCs w:val="18"/>
              </w:rPr>
              <w:t>，每增加一项加</w:t>
            </w:r>
            <w:r>
              <w:rPr>
                <w:rFonts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热值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氰化物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烷基汞</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腐蚀性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易燃性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反应性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二噁英类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样</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五</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海水</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金属元素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油类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六六六（α-六六六、β-六六六、γ-六六六、δ-六六六）</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DDT（P，P，-DDE、O，P-DDT、P，P，-DDD、P，P，-DDT）</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多氯联苯</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800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狄氏剂</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活性硅酸盐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挥发性酚</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氰化物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透明度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阴离子表面活性剂</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嗅和味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水温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pH</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五</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海水</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悬浮物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氯化物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盐度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浑浊度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溶解氧</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化学需氧量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生化需氧量</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总有机碳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氨</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亚硝酸盐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硝酸盐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无机磷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活性磷酸盐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六</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海洋沉积物</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金属元素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油类</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1875"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hint="eastAsia"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666、DDT</w:t>
            </w:r>
          </w:p>
          <w:p>
            <w:pPr>
              <w:widowControl/>
              <w:wordWrap w:val="0"/>
              <w:rPr>
                <w:rFonts w:hint="eastAsia" w:cs="宋体" w:asciiTheme="majorEastAsia" w:hAnsiTheme="majorEastAsia" w:eastAsiaTheme="majorEastAsia"/>
                <w:color w:val="222222"/>
                <w:spacing w:val="8"/>
                <w:kern w:val="0"/>
                <w:sz w:val="18"/>
                <w:szCs w:val="18"/>
              </w:rPr>
            </w:pPr>
          </w:p>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（α-六六六、β-六六六、γ-六六六、δ-六六六、P,P,-DDE, O,P-DDT,  P,P,-DDD, P,P,-DDT</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多氯联苯</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800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狄氏剂</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350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硫化物</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160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有机碳</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含水率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氧化还原电位</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七</w:t>
            </w:r>
          </w:p>
        </w:tc>
        <w:tc>
          <w:tcPr>
            <w:tcW w:w="15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油气回收</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泄漏浓度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c>
          <w:tcPr>
            <w:tcW w:w="15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液阻、密闭性、气液比</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每个油站5台加油机以内4000元，每增加一台加油机加1000元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八</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噪声和振动</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噪声</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夜间加收300%</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频谱分析</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振动</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九</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电磁（电离）辐射</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工频电场强度、工频磁场强度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工频电场强度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九</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电磁（电离）辐射</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电场强度、磁场强度、功率密度</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300元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无线电干扰场强</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X、γ射线剂量率</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α、β表面污染</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点</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200元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十</w:t>
            </w:r>
          </w:p>
        </w:tc>
        <w:tc>
          <w:tcPr>
            <w:tcW w:w="1591"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自动监测设备验收比对监测</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pH值</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1500元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化学需氧量(CODCr)</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5000元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氨氮</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4000元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总磷</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烟尘、颗粒物\氧量、烟气流速、烟气温度、氮氧化物、二氧化硫</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10000元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烟尘、颗粒物低浓度排放加收6000元/台</w:t>
            </w: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金属元素</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6000元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1591" w:type="dxa"/>
            <w:vMerge w:val="continue"/>
            <w:tcBorders>
              <w:top w:val="nil"/>
              <w:left w:val="nil"/>
              <w:bottom w:val="single" w:color="auto" w:sz="6" w:space="0"/>
              <w:right w:val="single" w:color="auto" w:sz="6" w:space="0"/>
            </w:tcBorders>
            <w:shd w:val="clear" w:color="auto" w:fill="FFFFFF"/>
            <w:vAlign w:val="center"/>
          </w:tcPr>
          <w:p>
            <w:pPr>
              <w:widowControl/>
              <w:jc w:val="left"/>
              <w:rPr>
                <w:rFonts w:cs="宋体" w:asciiTheme="majorEastAsia" w:hAnsiTheme="majorEastAsia" w:eastAsiaTheme="majorEastAsia"/>
                <w:color w:val="222222"/>
                <w:spacing w:val="8"/>
                <w:kern w:val="0"/>
                <w:sz w:val="18"/>
                <w:szCs w:val="18"/>
              </w:rPr>
            </w:pP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挥发性有机物VOC</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台</w:t>
            </w: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8000元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r>
        <w:tblPrEx>
          <w:tblLayout w:type="fixed"/>
          <w:tblCellMar>
            <w:top w:w="0" w:type="dxa"/>
            <w:left w:w="0" w:type="dxa"/>
            <w:bottom w:w="0" w:type="dxa"/>
            <w:right w:w="0" w:type="dxa"/>
          </w:tblCellMar>
        </w:tblPrEx>
        <w:trPr>
          <w:trHeight w:val="240" w:hRule="atLeast"/>
        </w:trPr>
        <w:tc>
          <w:tcPr>
            <w:tcW w:w="71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十一</w:t>
            </w:r>
          </w:p>
        </w:tc>
        <w:tc>
          <w:tcPr>
            <w:tcW w:w="15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b/>
                <w:bCs/>
                <w:color w:val="222222"/>
                <w:spacing w:val="8"/>
                <w:kern w:val="0"/>
                <w:sz w:val="18"/>
                <w:szCs w:val="18"/>
              </w:rPr>
              <w:t>采样</w:t>
            </w:r>
          </w:p>
        </w:tc>
        <w:tc>
          <w:tcPr>
            <w:tcW w:w="21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交通费</w:t>
            </w:r>
          </w:p>
        </w:tc>
        <w:tc>
          <w:tcPr>
            <w:tcW w:w="11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c>
          <w:tcPr>
            <w:tcW w:w="18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cs="宋体" w:asciiTheme="majorEastAsia" w:hAnsiTheme="majorEastAsia" w:eastAsiaTheme="majorEastAsia"/>
                <w:color w:val="222222"/>
                <w:spacing w:val="8"/>
                <w:kern w:val="0"/>
                <w:sz w:val="18"/>
                <w:szCs w:val="18"/>
              </w:rPr>
            </w:pPr>
            <w:r>
              <w:rPr>
                <w:rFonts w:hint="eastAsia" w:cs="宋体" w:asciiTheme="majorEastAsia" w:hAnsiTheme="majorEastAsia" w:eastAsiaTheme="majorEastAsia"/>
                <w:color w:val="222222"/>
                <w:spacing w:val="8"/>
                <w:kern w:val="0"/>
                <w:sz w:val="18"/>
                <w:szCs w:val="18"/>
              </w:rPr>
              <w:t>每天1000元，半天500元</w:t>
            </w:r>
          </w:p>
        </w:tc>
        <w:tc>
          <w:tcPr>
            <w:tcW w:w="18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cs="宋体" w:asciiTheme="majorEastAsia" w:hAnsiTheme="majorEastAsia" w:eastAsiaTheme="majorEastAsia"/>
                <w:color w:val="222222"/>
                <w:spacing w:val="8"/>
                <w:kern w:val="0"/>
                <w:sz w:val="18"/>
                <w:szCs w:val="18"/>
              </w:rPr>
            </w:pPr>
          </w:p>
        </w:tc>
      </w:tr>
    </w:tbl>
    <w:p/>
    <w:p/>
    <w:p>
      <w:r>
        <w:rPr>
          <w:rFonts w:hint="eastAsia"/>
        </w:rPr>
        <w:t>来源：</w:t>
      </w:r>
      <w:r>
        <w:t>https://www.gdaem.org/news/12569-cn.html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90"/>
    <w:rsid w:val="00057449"/>
    <w:rsid w:val="00066620"/>
    <w:rsid w:val="00084819"/>
    <w:rsid w:val="00093039"/>
    <w:rsid w:val="000B1E79"/>
    <w:rsid w:val="000F4DA4"/>
    <w:rsid w:val="00131F29"/>
    <w:rsid w:val="00143C8A"/>
    <w:rsid w:val="00162300"/>
    <w:rsid w:val="00170568"/>
    <w:rsid w:val="00187744"/>
    <w:rsid w:val="001B56B9"/>
    <w:rsid w:val="001D637C"/>
    <w:rsid w:val="001E06E3"/>
    <w:rsid w:val="00207605"/>
    <w:rsid w:val="00242E43"/>
    <w:rsid w:val="002767EC"/>
    <w:rsid w:val="0028173C"/>
    <w:rsid w:val="002A380C"/>
    <w:rsid w:val="002A7B7B"/>
    <w:rsid w:val="002B0AC9"/>
    <w:rsid w:val="002C282D"/>
    <w:rsid w:val="002D6997"/>
    <w:rsid w:val="002E637D"/>
    <w:rsid w:val="002F7F3A"/>
    <w:rsid w:val="00317D89"/>
    <w:rsid w:val="00324F40"/>
    <w:rsid w:val="0034672D"/>
    <w:rsid w:val="00352353"/>
    <w:rsid w:val="003530B6"/>
    <w:rsid w:val="003761A1"/>
    <w:rsid w:val="003D5554"/>
    <w:rsid w:val="003D650F"/>
    <w:rsid w:val="003E5F41"/>
    <w:rsid w:val="004302E4"/>
    <w:rsid w:val="004359B0"/>
    <w:rsid w:val="0044448E"/>
    <w:rsid w:val="00451584"/>
    <w:rsid w:val="0046134B"/>
    <w:rsid w:val="004704D2"/>
    <w:rsid w:val="004F20A9"/>
    <w:rsid w:val="004F5D7D"/>
    <w:rsid w:val="0050320C"/>
    <w:rsid w:val="005326C4"/>
    <w:rsid w:val="0056245A"/>
    <w:rsid w:val="0056468D"/>
    <w:rsid w:val="00580E96"/>
    <w:rsid w:val="0058135E"/>
    <w:rsid w:val="005E321E"/>
    <w:rsid w:val="005F6F10"/>
    <w:rsid w:val="00615136"/>
    <w:rsid w:val="00630C91"/>
    <w:rsid w:val="00632402"/>
    <w:rsid w:val="00635485"/>
    <w:rsid w:val="00642D3D"/>
    <w:rsid w:val="00643DC4"/>
    <w:rsid w:val="00650FAB"/>
    <w:rsid w:val="00682A46"/>
    <w:rsid w:val="006A043F"/>
    <w:rsid w:val="006D678A"/>
    <w:rsid w:val="006E0699"/>
    <w:rsid w:val="006F1548"/>
    <w:rsid w:val="007046A4"/>
    <w:rsid w:val="00712248"/>
    <w:rsid w:val="00732C42"/>
    <w:rsid w:val="00772160"/>
    <w:rsid w:val="00777B97"/>
    <w:rsid w:val="0079713C"/>
    <w:rsid w:val="007A7A32"/>
    <w:rsid w:val="007C1DB4"/>
    <w:rsid w:val="007D70E7"/>
    <w:rsid w:val="00812A58"/>
    <w:rsid w:val="00813D32"/>
    <w:rsid w:val="008624E4"/>
    <w:rsid w:val="008E0AB0"/>
    <w:rsid w:val="00905C7C"/>
    <w:rsid w:val="00910FD3"/>
    <w:rsid w:val="009222EE"/>
    <w:rsid w:val="00963C38"/>
    <w:rsid w:val="009670C6"/>
    <w:rsid w:val="009728D0"/>
    <w:rsid w:val="009D0765"/>
    <w:rsid w:val="009E735A"/>
    <w:rsid w:val="00A040A1"/>
    <w:rsid w:val="00A13BF8"/>
    <w:rsid w:val="00A6065F"/>
    <w:rsid w:val="00A64394"/>
    <w:rsid w:val="00A72F89"/>
    <w:rsid w:val="00A83470"/>
    <w:rsid w:val="00A94459"/>
    <w:rsid w:val="00A97681"/>
    <w:rsid w:val="00AE52B3"/>
    <w:rsid w:val="00B6194D"/>
    <w:rsid w:val="00C063A3"/>
    <w:rsid w:val="00C34B27"/>
    <w:rsid w:val="00C72BD3"/>
    <w:rsid w:val="00C85C7D"/>
    <w:rsid w:val="00CA6F82"/>
    <w:rsid w:val="00CB2075"/>
    <w:rsid w:val="00CD6F01"/>
    <w:rsid w:val="00D06D5E"/>
    <w:rsid w:val="00D13ADB"/>
    <w:rsid w:val="00D87E8F"/>
    <w:rsid w:val="00DB0D2A"/>
    <w:rsid w:val="00DB4AF9"/>
    <w:rsid w:val="00DB6BB2"/>
    <w:rsid w:val="00DF17F8"/>
    <w:rsid w:val="00E347C2"/>
    <w:rsid w:val="00E4425B"/>
    <w:rsid w:val="00E62649"/>
    <w:rsid w:val="00E87947"/>
    <w:rsid w:val="00EF0290"/>
    <w:rsid w:val="00F205C4"/>
    <w:rsid w:val="00F67ECB"/>
    <w:rsid w:val="00F8795D"/>
    <w:rsid w:val="00FB2B51"/>
    <w:rsid w:val="00FD569A"/>
    <w:rsid w:val="00FE1769"/>
    <w:rsid w:val="28BD6BDD"/>
    <w:rsid w:val="2D191338"/>
    <w:rsid w:val="30BF593E"/>
    <w:rsid w:val="6665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11</Pages>
  <Words>3582</Words>
  <Characters>4442</Characters>
  <Lines>45</Lines>
  <Paragraphs>12</Paragraphs>
  <TotalTime>10</TotalTime>
  <ScaleCrop>false</ScaleCrop>
  <LinksUpToDate>false</LinksUpToDate>
  <CharactersWithSpaces>4446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2022-05-19T07:30:00Z</dcterms:created>
  <dc:creator>Administrator</dc:creator>
  <cp:lastModifiedBy>阳浩民</cp:lastModifiedBy>
  <dcterms:modified xsi:type="dcterms:W3CDTF">2024-11-26T08:01:30Z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B445EE0ED27542B4A18E0432370C25CA</vt:lpwstr>
  </property>
  <property fmtid="{D5CDD505-2E9C-101B-9397-08002B2CF9AE}" pid="4" name="ribbonExt">
    <vt:lpwstr>{"WPSExtOfficeTab":{"OnGetEnabled":false,"OnGetVisible":false}}</vt:lpwstr>
  </property>
</Properties>
</file>