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 w:eastAsia="黑体" w:cs="方正仿宋_GBK"/>
          <w:b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方正仿宋_GBK"/>
          <w:b w:val="0"/>
          <w:color w:val="auto"/>
          <w:sz w:val="32"/>
          <w:szCs w:val="32"/>
          <w:lang w:eastAsia="zh-CN"/>
        </w:rPr>
        <w:t>附件3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color w:val="auto"/>
          <w:sz w:val="44"/>
          <w:szCs w:val="44"/>
          <w:lang w:val="en-US" w:eastAsia="zh-CN"/>
        </w:rPr>
        <w:t>广东省省级广告产业园区评估工作制度</w:t>
      </w:r>
    </w:p>
    <w:bookmarkEnd w:id="0"/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黑体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第一条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为规范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我省省级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广告产业园区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认定考核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工作，根据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国家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市场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监管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总局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和省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政府相关文件</w:t>
      </w:r>
      <w:r>
        <w:rPr>
          <w:rFonts w:hint="eastAsia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《广东省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市场监督管理局省级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广告产业园区管理办法》（以下简称《</w:t>
      </w:r>
      <w:r>
        <w:rPr>
          <w:rFonts w:hint="eastAsia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管理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办法》），制定本制度。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黑体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第二条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省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市场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监管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局履行指导广告业发展职责，依照《</w:t>
      </w:r>
      <w:r>
        <w:rPr>
          <w:rFonts w:hint="eastAsia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管理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办法》有关规定组织开展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对省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级广告产业园区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的认定、考核评估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工作。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黑体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第三条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评估指标包括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认定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评估和考核评估。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认定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评估指标依据《</w:t>
      </w:r>
      <w:r>
        <w:rPr>
          <w:rFonts w:hint="eastAsia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管理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办法》第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八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条规定，考核评估指标依据《</w:t>
      </w:r>
      <w:r>
        <w:rPr>
          <w:rFonts w:hint="eastAsia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管理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办法》第十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条规定。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评估指标应当有利于客观评价广告产业园区发展水平，以及园区在促进当地广告产业发展、服务国家发展战略等方面的作用和潜力。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黑体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第四条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省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市场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监管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局根据园区申报或考核计划，制定工作方案，组建评估组，组织开展园区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认定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、考核评估。工作方案应当明确评估对象、专家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组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成、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考核评估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内容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。相关工作经费由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省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市场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监管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局承担。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eastAsia="黑体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第五条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认定或考核均应组建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评估组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成员不少于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人，由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省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市场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监管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局邀请相关部门、社会组织、广告业及关联行业专家和学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者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组成，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且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范围不限于本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省。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与评估对象有利害关系的专家在相应园区评估工作中应当提出回避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Times New Roman" w:hAnsi="Times New Roman" w:eastAsia="仿宋_GB2312" w:cs="方正仿宋_GBK"/>
          <w:b w:val="0"/>
          <w:color w:val="auto"/>
          <w:sz w:val="32"/>
          <w:szCs w:val="32"/>
          <w:u w:val="none"/>
          <w:lang w:eastAsia="zh-CN"/>
        </w:rPr>
        <w:t>评估对象认为专家与园区有利害关系的，可以向评估组提出回避申请并说明理由，评估组应及时询问被申请回避专家，有利害关系的专家应当回避。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黑体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第六条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评估组应对照评估指标对评估对象开展评估，认真审阅园区申报材料并开展实地考察，通过听取情况介绍、查阅文件资料、走访园区有关机构和具有代表性的企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、事业单位、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召开座谈会、发放调查问卷、个别谈话等多种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形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式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客观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全面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了解园区建设和运营情况。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黑体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第七条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评估组应出具评估意见，书面报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省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市场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监管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局。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省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市场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监管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局按照《办法》规定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，经局长办公会议审定后，将认定或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考核结果书面通知园区及园区所在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地地级以上市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市场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监管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50F65"/>
    <w:rsid w:val="4E250F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jc w:val="center"/>
      <w:outlineLvl w:val="0"/>
    </w:pPr>
    <w:rPr>
      <w:rFonts w:ascii="方正小标宋简体" w:hAnsi="Times New Roman" w:eastAsia="方正小标宋简体" w:cs="Times New Roman"/>
      <w:kern w:val="44"/>
      <w:sz w:val="3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2023-07-13T10:53:00Z</dcterms:created>
  <dc:creator>胡翌婧</dc:creator>
  <cp:lastModifiedBy>胡翌婧</cp:lastModifiedBy>
  <dcterms:modified xsi:type="dcterms:W3CDTF">2023-07-13T10:53:17Z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