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93253" w14:textId="77777777" w:rsidR="00B51884" w:rsidRPr="003E77D1" w:rsidRDefault="00B51884" w:rsidP="00B51884">
      <w:pPr>
        <w:spacing w:line="640" w:lineRule="exact"/>
        <w:ind w:firstLineChars="200" w:firstLine="720"/>
        <w:rPr>
          <w:rFonts w:ascii="仿宋_GB2312" w:eastAsia="仿宋_GB2312" w:hAnsi="仿宋" w:cs="仿宋_GB2312"/>
          <w:color w:val="000000" w:themeColor="text1"/>
          <w:sz w:val="36"/>
          <w:szCs w:val="36"/>
        </w:rPr>
      </w:pPr>
      <w:r w:rsidRPr="003E77D1">
        <w:rPr>
          <w:rFonts w:ascii="仿宋_GB2312" w:eastAsia="仿宋_GB2312" w:hAnsi="仿宋" w:cs="仿宋_GB2312" w:hint="eastAsia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DA5628" wp14:editId="2F27E67E">
            <wp:simplePos x="0" y="0"/>
            <wp:positionH relativeFrom="column">
              <wp:posOffset>0</wp:posOffset>
            </wp:positionH>
            <wp:positionV relativeFrom="paragraph">
              <wp:posOffset>2530475</wp:posOffset>
            </wp:positionV>
            <wp:extent cx="5334000" cy="304800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“.政务”和“.公益”是党政机关和事业单位专用中文顶级域名，具有唯一性、高度可识别性，以及由机构编制部门严格审核等特性，成为可以证明机构网络身份有效性的“网上身份证”。如：“国务院.政务”、“</w:t>
      </w:r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中央编办</w:t>
      </w: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.政务”、“北京理工大学.公益”、“中国科学院.公益”等。</w:t>
      </w:r>
    </w:p>
    <w:p w14:paraId="659C8825" w14:textId="77777777" w:rsidR="00B51884" w:rsidRPr="003E77D1" w:rsidRDefault="00B51884" w:rsidP="00B51884">
      <w:pPr>
        <w:spacing w:line="640" w:lineRule="exact"/>
        <w:ind w:firstLineChars="200" w:firstLine="720"/>
        <w:rPr>
          <w:rFonts w:ascii="仿宋_GB2312" w:eastAsia="仿宋_GB2312" w:hAnsi="仿宋" w:cs="仿宋_GB2312"/>
          <w:color w:val="000000" w:themeColor="text1"/>
          <w:sz w:val="36"/>
          <w:szCs w:val="36"/>
        </w:rPr>
      </w:pP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2013年12月13日，“.政务”和“.公益”顶级</w:t>
      </w:r>
      <w:proofErr w:type="gramStart"/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域申请</w:t>
      </w:r>
      <w:proofErr w:type="gramEnd"/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标书以高分通过互联网名称和数字地址分配机构（ICANN）评测，正式写入全球互联网域名根区，由</w:t>
      </w:r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中央编办事业发展中心</w:t>
      </w: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运行管理。</w:t>
      </w:r>
    </w:p>
    <w:p w14:paraId="411FE628" w14:textId="77777777" w:rsidR="00B51884" w:rsidRPr="00B9465F" w:rsidRDefault="00B51884" w:rsidP="00B51884">
      <w:pPr>
        <w:spacing w:line="640" w:lineRule="exact"/>
        <w:ind w:firstLineChars="200" w:firstLine="720"/>
        <w:rPr>
          <w:rFonts w:ascii="Ebrima" w:eastAsia="仿宋_GB2312" w:hAnsi="Ebrima" w:cs="仿宋_GB2312"/>
          <w:color w:val="000000" w:themeColor="text1"/>
          <w:sz w:val="36"/>
          <w:szCs w:val="36"/>
        </w:rPr>
      </w:pPr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中央编办事业发展中心</w:t>
      </w: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依托北京亦庄主运营中心、成都灾难恢复中心以及北京、上海、广州、成都、香港、洛杉矶的解析节点，实现与中国电信网、中国移动网、中国科技网、中国教育科研网等国内主要</w:t>
      </w: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lastRenderedPageBreak/>
        <w:t>Internet骨干网的公共互联，并通过国际出口实现与国际骨干网的顺畅联通，同时支持IPv4和IPv6网络。截至</w:t>
      </w:r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目前，</w:t>
      </w: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累计提供解析次数上百亿次，为全国100</w:t>
      </w:r>
      <w:r w:rsidRPr="002F2DD3">
        <w:rPr>
          <w:rFonts w:ascii="仿宋_GB2312" w:eastAsia="仿宋_GB2312" w:hAnsi="仿宋" w:cs="仿宋_GB2312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8C23ED3" wp14:editId="3EF0F055">
            <wp:simplePos x="0" y="0"/>
            <wp:positionH relativeFrom="column">
              <wp:posOffset>-95250</wp:posOffset>
            </wp:positionH>
            <wp:positionV relativeFrom="paragraph">
              <wp:posOffset>2562225</wp:posOffset>
            </wp:positionV>
            <wp:extent cx="5591810" cy="3790950"/>
            <wp:effectExtent l="0" t="0" r="8890" b="0"/>
            <wp:wrapTopAndBottom/>
            <wp:docPr id="1" name="图片 1" descr="C:\Users\anwg\Documents\Tencent Files\278426720\FileRecv\注册量图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wg\Documents\Tencent Files\278426720\FileRecv\注册量图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多万家党政机关</w:t>
      </w:r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和</w:t>
      </w: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事业单位提供域名解析技术服务。</w:t>
      </w:r>
      <w:bookmarkStart w:id="0" w:name="_Toc516843988"/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 xml:space="preserve">   </w:t>
      </w:r>
      <w:r w:rsidRPr="00CA3D65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“.政务”和“.公益”中文域名的特点</w:t>
      </w:r>
      <w:bookmarkEnd w:id="0"/>
      <w:r w:rsidRPr="00CA3D65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：</w:t>
      </w:r>
    </w:p>
    <w:p w14:paraId="7FCD69E3" w14:textId="77777777" w:rsidR="00B51884" w:rsidRPr="000345D9" w:rsidRDefault="00B51884" w:rsidP="00B51884">
      <w:pPr>
        <w:spacing w:line="640" w:lineRule="exact"/>
        <w:ind w:firstLineChars="200" w:firstLine="723"/>
        <w:rPr>
          <w:rFonts w:ascii="楷体" w:eastAsia="楷体" w:hAnsi="楷体" w:cs="仿宋_GB2312"/>
          <w:color w:val="000000" w:themeColor="text1"/>
          <w:sz w:val="36"/>
          <w:szCs w:val="36"/>
        </w:rPr>
      </w:pPr>
      <w:r>
        <w:rPr>
          <w:rFonts w:ascii="楷体" w:eastAsia="楷体" w:hAnsi="楷体" w:cs="Times New Roman" w:hint="eastAsia"/>
          <w:b/>
          <w:color w:val="000000" w:themeColor="text1"/>
          <w:sz w:val="36"/>
          <w:szCs w:val="36"/>
        </w:rPr>
        <w:t>（一）</w:t>
      </w:r>
      <w:r w:rsidRPr="000345D9">
        <w:rPr>
          <w:rFonts w:ascii="楷体" w:eastAsia="楷体" w:hAnsi="楷体" w:cs="仿宋_GB2312" w:hint="eastAsia"/>
          <w:b/>
          <w:bCs/>
          <w:color w:val="000000" w:themeColor="text1"/>
          <w:sz w:val="36"/>
          <w:szCs w:val="36"/>
        </w:rPr>
        <w:t>含义明确 便于记忆</w:t>
      </w:r>
    </w:p>
    <w:p w14:paraId="0664361C" w14:textId="77777777" w:rsidR="00B51884" w:rsidRPr="003E77D1" w:rsidRDefault="00B51884" w:rsidP="00B51884">
      <w:pPr>
        <w:spacing w:line="640" w:lineRule="exact"/>
        <w:ind w:firstLineChars="200" w:firstLine="720"/>
        <w:rPr>
          <w:rFonts w:ascii="仿宋_GB2312" w:eastAsia="仿宋_GB2312" w:hAnsi="仿宋" w:cs="仿宋_GB2312"/>
          <w:color w:val="000000" w:themeColor="text1"/>
          <w:sz w:val="36"/>
          <w:szCs w:val="36"/>
        </w:rPr>
      </w:pP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“.政务”和“.公益”中文域名符合国人的语言与文化习惯，能够清楚体现机构名称与类型， 一目了然、简单好记，有显著的识别特征。</w:t>
      </w:r>
    </w:p>
    <w:p w14:paraId="4D7C8166" w14:textId="77777777" w:rsidR="00B51884" w:rsidRPr="000345D9" w:rsidRDefault="00B51884" w:rsidP="00B51884">
      <w:pPr>
        <w:spacing w:line="640" w:lineRule="exact"/>
        <w:ind w:firstLineChars="200" w:firstLine="723"/>
        <w:rPr>
          <w:rFonts w:ascii="楷体" w:eastAsia="楷体" w:hAnsi="楷体" w:cs="仿宋_GB2312"/>
          <w:color w:val="000000" w:themeColor="text1"/>
          <w:sz w:val="36"/>
          <w:szCs w:val="36"/>
        </w:rPr>
      </w:pPr>
      <w:r>
        <w:rPr>
          <w:rFonts w:ascii="楷体" w:eastAsia="楷体" w:hAnsi="楷体" w:cs="Times New Roman" w:hint="eastAsia"/>
          <w:b/>
          <w:color w:val="000000" w:themeColor="text1"/>
          <w:sz w:val="36"/>
          <w:szCs w:val="36"/>
        </w:rPr>
        <w:t>（二）</w:t>
      </w:r>
      <w:r w:rsidRPr="000345D9">
        <w:rPr>
          <w:rFonts w:ascii="楷体" w:eastAsia="楷体" w:hAnsi="楷体" w:cs="仿宋_GB2312" w:hint="eastAsia"/>
          <w:b/>
          <w:bCs/>
          <w:color w:val="000000" w:themeColor="text1"/>
          <w:sz w:val="36"/>
          <w:szCs w:val="36"/>
        </w:rPr>
        <w:t>独一无二 防范假冒</w:t>
      </w:r>
    </w:p>
    <w:p w14:paraId="3C7D0CDB" w14:textId="77777777" w:rsidR="00B51884" w:rsidRPr="003E77D1" w:rsidRDefault="00B51884" w:rsidP="00B51884">
      <w:pPr>
        <w:spacing w:line="640" w:lineRule="exact"/>
        <w:ind w:firstLineChars="200" w:firstLine="720"/>
        <w:rPr>
          <w:rFonts w:ascii="仿宋_GB2312" w:eastAsia="仿宋_GB2312" w:hAnsi="仿宋" w:cs="仿宋_GB2312"/>
          <w:color w:val="000000" w:themeColor="text1"/>
          <w:sz w:val="36"/>
          <w:szCs w:val="36"/>
        </w:rPr>
      </w:pP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党政机关和事业单位需要经过机构编制部门的严格审核，才能获得独一无二的“网上身份证”。“网上</w:t>
      </w: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lastRenderedPageBreak/>
        <w:t>身份证”具备天然防伪功能，一旦在互联网上发现可疑机构的信息，通过比对</w:t>
      </w:r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即可</w:t>
      </w: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验证信息真伪。</w:t>
      </w:r>
    </w:p>
    <w:p w14:paraId="24630F7E" w14:textId="77777777" w:rsidR="00B51884" w:rsidRPr="000345D9" w:rsidRDefault="00B51884" w:rsidP="00B51884">
      <w:pPr>
        <w:spacing w:line="640" w:lineRule="exact"/>
        <w:ind w:firstLineChars="200" w:firstLine="723"/>
        <w:rPr>
          <w:rFonts w:ascii="楷体" w:eastAsia="楷体" w:hAnsi="楷体" w:cs="仿宋_GB2312"/>
          <w:color w:val="000000" w:themeColor="text1"/>
          <w:sz w:val="36"/>
          <w:szCs w:val="36"/>
        </w:rPr>
      </w:pPr>
      <w:r>
        <w:rPr>
          <w:rFonts w:ascii="楷体" w:eastAsia="楷体" w:hAnsi="楷体" w:cs="Times New Roman" w:hint="eastAsia"/>
          <w:b/>
          <w:color w:val="000000" w:themeColor="text1"/>
          <w:sz w:val="36"/>
          <w:szCs w:val="36"/>
        </w:rPr>
        <w:t>（三）</w:t>
      </w:r>
      <w:r w:rsidRPr="000345D9">
        <w:rPr>
          <w:rFonts w:ascii="楷体" w:eastAsia="楷体" w:hAnsi="楷体" w:cs="仿宋_GB2312" w:hint="eastAsia"/>
          <w:b/>
          <w:bCs/>
          <w:color w:val="000000" w:themeColor="text1"/>
          <w:sz w:val="36"/>
          <w:szCs w:val="36"/>
        </w:rPr>
        <w:t>统一管理 安全可靠</w:t>
      </w:r>
    </w:p>
    <w:p w14:paraId="606E3B95" w14:textId="18F53679" w:rsidR="00F20D20" w:rsidRPr="00B51884" w:rsidRDefault="00B51884" w:rsidP="00B51884">
      <w:pPr>
        <w:spacing w:line="640" w:lineRule="exact"/>
        <w:ind w:firstLineChars="200" w:firstLine="720"/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</w:pPr>
      <w:r w:rsidRPr="003E77D1"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为了确保党政机关和事业单位身份信息的安全，“网上身份证”由最了解其职能和真实性的机构编制部门统一管理，以确保网上身份信息的安全可靠</w:t>
      </w:r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</w:rPr>
        <w:t>。</w:t>
      </w:r>
      <w:bookmarkStart w:id="1" w:name="_GoBack"/>
      <w:bookmarkEnd w:id="1"/>
    </w:p>
    <w:sectPr w:rsidR="00F20D20" w:rsidRPr="00B5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40D3" w14:textId="77777777" w:rsidR="00AD07D3" w:rsidRDefault="00AD07D3" w:rsidP="00B51884">
      <w:r>
        <w:separator/>
      </w:r>
    </w:p>
  </w:endnote>
  <w:endnote w:type="continuationSeparator" w:id="0">
    <w:p w14:paraId="50768F79" w14:textId="77777777" w:rsidR="00AD07D3" w:rsidRDefault="00AD07D3" w:rsidP="00B5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5C28C" w14:textId="77777777" w:rsidR="00AD07D3" w:rsidRDefault="00AD07D3" w:rsidP="00B51884">
      <w:r>
        <w:separator/>
      </w:r>
    </w:p>
  </w:footnote>
  <w:footnote w:type="continuationSeparator" w:id="0">
    <w:p w14:paraId="4BB90F81" w14:textId="77777777" w:rsidR="00AD07D3" w:rsidRDefault="00AD07D3" w:rsidP="00B5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EC"/>
    <w:rsid w:val="00AD07D3"/>
    <w:rsid w:val="00B51884"/>
    <w:rsid w:val="00EF50EC"/>
    <w:rsid w:val="00F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0B1E3"/>
  <w15:chartTrackingRefBased/>
  <w15:docId w15:val="{A4D5E289-4660-49E6-B95D-2F8A24CE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18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18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安伟光</dc:creator>
  <cp:keywords/>
  <dc:description/>
  <cp:lastModifiedBy>安伟光</cp:lastModifiedBy>
  <cp:revision>2</cp:revision>
  <dcterms:created xsi:type="dcterms:W3CDTF">2018-09-06T08:15:00Z</dcterms:created>
  <dcterms:modified xsi:type="dcterms:W3CDTF">2018-09-06T08:15:00Z</dcterms:modified>
</cp:coreProperties>
</file>