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02" w:firstLineChars="200"/>
        <w:jc w:val="center"/>
        <w:rPr>
          <w:rFonts w:eastAsia="黑体"/>
          <w:b/>
          <w:bCs/>
          <w:sz w:val="30"/>
          <w:szCs w:val="30"/>
        </w:rPr>
      </w:pPr>
      <w:r>
        <w:rPr>
          <w:rFonts w:hint="eastAsia" w:eastAsia="黑体"/>
          <w:b/>
          <w:bCs/>
          <w:sz w:val="30"/>
          <w:szCs w:val="30"/>
        </w:rPr>
        <w:t>附件3：</w:t>
      </w:r>
      <w:r>
        <w:rPr>
          <w:rFonts w:eastAsia="黑体"/>
          <w:b/>
          <w:bCs/>
          <w:sz w:val="30"/>
          <w:szCs w:val="30"/>
        </w:rPr>
        <w:t>评标办法(</w:t>
      </w:r>
      <w:r>
        <w:rPr>
          <w:rFonts w:hint="eastAsia" w:eastAsia="黑体"/>
          <w:b/>
          <w:bCs/>
          <w:sz w:val="30"/>
          <w:szCs w:val="30"/>
        </w:rPr>
        <w:t>双信封的</w:t>
      </w:r>
      <w:r>
        <w:rPr>
          <w:rFonts w:eastAsia="黑体"/>
          <w:b/>
          <w:bCs/>
          <w:sz w:val="30"/>
          <w:szCs w:val="30"/>
        </w:rPr>
        <w:t>综合评</w:t>
      </w:r>
      <w:r>
        <w:rPr>
          <w:rFonts w:hint="eastAsia" w:eastAsia="黑体"/>
          <w:b/>
          <w:bCs/>
          <w:sz w:val="30"/>
          <w:szCs w:val="30"/>
          <w:lang w:eastAsia="zh-CN"/>
        </w:rPr>
        <w:t>分</w:t>
      </w:r>
      <w:r>
        <w:rPr>
          <w:rFonts w:eastAsia="黑体"/>
          <w:b/>
          <w:bCs/>
          <w:sz w:val="30"/>
          <w:szCs w:val="30"/>
        </w:rPr>
        <w:t>法)</w:t>
      </w:r>
    </w:p>
    <w:p>
      <w:pPr>
        <w:spacing w:line="440" w:lineRule="exact"/>
        <w:jc w:val="center"/>
        <w:rPr>
          <w:rFonts w:eastAsia="黑体"/>
          <w:sz w:val="20"/>
          <w:szCs w:val="20"/>
        </w:rPr>
      </w:pPr>
    </w:p>
    <w:p>
      <w:pPr>
        <w:spacing w:line="440" w:lineRule="exact"/>
        <w:rPr>
          <w:rFonts w:eastAsia="黑体"/>
          <w:szCs w:val="21"/>
        </w:rPr>
      </w:pPr>
      <w:r>
        <w:rPr>
          <w:rFonts w:eastAsia="黑体"/>
          <w:szCs w:val="21"/>
        </w:rPr>
        <w:t>评标办法前附表</w:t>
      </w:r>
    </w:p>
    <w:tbl>
      <w:tblPr>
        <w:tblStyle w:val="9"/>
        <w:tblW w:w="97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
        <w:gridCol w:w="26"/>
        <w:gridCol w:w="814"/>
        <w:gridCol w:w="425"/>
        <w:gridCol w:w="273"/>
        <w:gridCol w:w="1201"/>
        <w:gridCol w:w="1084"/>
        <w:gridCol w:w="905"/>
        <w:gridCol w:w="40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2237" w:type="dxa"/>
            <w:gridSpan w:val="4"/>
            <w:tcBorders>
              <w:top w:val="single" w:color="auto" w:sz="4" w:space="0"/>
              <w:bottom w:val="single" w:color="auto" w:sz="4" w:space="0"/>
              <w:right w:val="single" w:color="auto" w:sz="4" w:space="0"/>
            </w:tcBorders>
            <w:vAlign w:val="center"/>
          </w:tcPr>
          <w:p>
            <w:pPr>
              <w:spacing w:line="400" w:lineRule="atLeast"/>
              <w:jc w:val="center"/>
              <w:rPr>
                <w:b/>
                <w:szCs w:val="21"/>
              </w:rPr>
            </w:pPr>
            <w:r>
              <w:rPr>
                <w:b/>
                <w:szCs w:val="21"/>
              </w:rPr>
              <w:t>条款号</w:t>
            </w:r>
          </w:p>
        </w:tc>
        <w:tc>
          <w:tcPr>
            <w:tcW w:w="7522"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 w:type="dxa"/>
            <w:tcBorders>
              <w:top w:val="single" w:color="auto" w:sz="4" w:space="0"/>
              <w:bottom w:val="single" w:color="auto" w:sz="4" w:space="0"/>
              <w:right w:val="single" w:color="auto" w:sz="4" w:space="0"/>
            </w:tcBorders>
            <w:vAlign w:val="center"/>
          </w:tcPr>
          <w:p>
            <w:pPr>
              <w:spacing w:line="400" w:lineRule="atLeast"/>
              <w:jc w:val="center"/>
              <w:rPr>
                <w:szCs w:val="21"/>
              </w:rPr>
            </w:pPr>
            <w:r>
              <w:rPr>
                <w:szCs w:val="21"/>
              </w:rPr>
              <w:t>2.1.1</w:t>
            </w:r>
          </w:p>
          <w:p>
            <w:pPr>
              <w:spacing w:line="400" w:lineRule="atLeast"/>
              <w:jc w:val="center"/>
              <w:rPr>
                <w:szCs w:val="21"/>
              </w:rPr>
            </w:pPr>
            <w:r>
              <w:rPr>
                <w:szCs w:val="21"/>
              </w:rPr>
              <w:t>2.1.3</w:t>
            </w:r>
          </w:p>
        </w:tc>
        <w:tc>
          <w:tcPr>
            <w:tcW w:w="1265" w:type="dxa"/>
            <w:gridSpan w:val="3"/>
            <w:tcBorders>
              <w:top w:val="single" w:color="auto" w:sz="4" w:space="0"/>
              <w:bottom w:val="single" w:color="auto" w:sz="4" w:space="0"/>
              <w:right w:val="single" w:color="auto" w:sz="4" w:space="0"/>
            </w:tcBorders>
            <w:vAlign w:val="center"/>
          </w:tcPr>
          <w:p>
            <w:pPr>
              <w:spacing w:line="400" w:lineRule="atLeast"/>
              <w:jc w:val="center"/>
              <w:rPr>
                <w:szCs w:val="21"/>
              </w:rPr>
            </w:pPr>
            <w:r>
              <w:rPr>
                <w:szCs w:val="21"/>
              </w:rPr>
              <w:t>形式评审与响应性评审标准</w:t>
            </w:r>
          </w:p>
        </w:tc>
        <w:tc>
          <w:tcPr>
            <w:tcW w:w="7522" w:type="dxa"/>
            <w:gridSpan w:val="5"/>
            <w:tcBorders>
              <w:top w:val="single" w:color="auto" w:sz="4" w:space="0"/>
              <w:left w:val="single" w:color="auto" w:sz="4" w:space="0"/>
              <w:right w:val="single" w:color="auto" w:sz="4" w:space="0"/>
            </w:tcBorders>
            <w:vAlign w:val="center"/>
          </w:tcPr>
          <w:p>
            <w:pPr>
              <w:snapToGrid w:val="0"/>
              <w:spacing w:line="340" w:lineRule="exact"/>
              <w:ind w:right="113" w:firstLine="241" w:firstLineChars="100"/>
              <w:rPr>
                <w:rFonts w:ascii="宋体"/>
                <w:b/>
                <w:snapToGrid w:val="0"/>
                <w:sz w:val="24"/>
              </w:rPr>
            </w:pPr>
            <w:r>
              <w:rPr>
                <w:rFonts w:hint="eastAsia" w:ascii="宋体" w:hAnsi="宋体"/>
                <w:b/>
                <w:sz w:val="24"/>
              </w:rPr>
              <w:t>第一个信封（商务及技术文件）的评审：</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1</w:t>
            </w:r>
            <w:r>
              <w:rPr>
                <w:rFonts w:hint="eastAsia" w:ascii="宋体" w:hAnsi="宋体"/>
                <w:spacing w:val="-3"/>
                <w:sz w:val="24"/>
              </w:rPr>
              <w:t>）投标文件按照招标文件规定的格式、内容填写，字迹清晰可辨：</w:t>
            </w:r>
          </w:p>
          <w:p>
            <w:pPr>
              <w:spacing w:line="340" w:lineRule="exact"/>
              <w:ind w:left="113" w:right="113" w:firstLine="240" w:firstLineChars="100"/>
              <w:rPr>
                <w:sz w:val="24"/>
              </w:rPr>
            </w:pPr>
            <w:r>
              <w:rPr>
                <w:rFonts w:hint="eastAsia"/>
                <w:sz w:val="24"/>
              </w:rPr>
              <w:t>投标文件（第一个信封）组成齐全完整，内容均符合规定。</w:t>
            </w:r>
          </w:p>
          <w:p>
            <w:pPr>
              <w:spacing w:line="340" w:lineRule="exact"/>
              <w:ind w:left="113" w:right="113" w:firstLine="240" w:firstLineChars="100"/>
              <w:rPr>
                <w:sz w:val="24"/>
              </w:rPr>
            </w:pPr>
            <w:r>
              <w:rPr>
                <w:sz w:val="24"/>
              </w:rPr>
              <w:t>a.</w:t>
            </w:r>
            <w:r>
              <w:rPr>
                <w:rFonts w:hint="eastAsia"/>
                <w:sz w:val="24"/>
              </w:rPr>
              <w:t>投标函按招标文件规定填报了工期及工程质量目标；</w:t>
            </w:r>
          </w:p>
          <w:p>
            <w:pPr>
              <w:spacing w:line="340" w:lineRule="exact"/>
              <w:ind w:left="113" w:right="113" w:firstLine="240" w:firstLineChars="100"/>
              <w:rPr>
                <w:sz w:val="24"/>
              </w:rPr>
            </w:pPr>
            <w:r>
              <w:rPr>
                <w:sz w:val="24"/>
              </w:rPr>
              <w:t>b.</w:t>
            </w:r>
            <w:r>
              <w:rPr>
                <w:rFonts w:hint="eastAsia"/>
                <w:sz w:val="24"/>
              </w:rPr>
              <w:t>投标函附录的所有数据均符合招标文件规定；</w:t>
            </w:r>
          </w:p>
          <w:p>
            <w:pPr>
              <w:spacing w:line="340" w:lineRule="exact"/>
              <w:ind w:left="113" w:right="113" w:firstLine="240" w:firstLineChars="100"/>
              <w:rPr>
                <w:sz w:val="24"/>
              </w:rPr>
            </w:pPr>
            <w:r>
              <w:rPr>
                <w:sz w:val="24"/>
              </w:rPr>
              <w:t>c.</w:t>
            </w:r>
            <w:r>
              <w:rPr>
                <w:rFonts w:hint="eastAsia"/>
                <w:sz w:val="24"/>
              </w:rPr>
              <w:t>承诺函文字与招标文件规定一致，未进行修改和删减；</w:t>
            </w:r>
          </w:p>
          <w:p>
            <w:pPr>
              <w:spacing w:line="340" w:lineRule="exact"/>
              <w:ind w:left="113" w:right="113" w:firstLine="240" w:firstLineChars="100"/>
              <w:rPr>
                <w:sz w:val="24"/>
              </w:rPr>
            </w:pPr>
            <w:r>
              <w:rPr>
                <w:sz w:val="24"/>
              </w:rPr>
              <w:t>d.</w:t>
            </w:r>
            <w:r>
              <w:rPr>
                <w:rFonts w:hint="eastAsia"/>
                <w:sz w:val="24"/>
              </w:rPr>
              <w:t>按照招标文件规定的格式、内容编制了项目管理机构相关图表；</w:t>
            </w:r>
          </w:p>
          <w:p>
            <w:pPr>
              <w:spacing w:line="340" w:lineRule="exact"/>
              <w:ind w:left="113" w:right="113" w:firstLine="240" w:firstLineChars="100"/>
              <w:rPr>
                <w:sz w:val="24"/>
              </w:rPr>
            </w:pPr>
            <w:r>
              <w:rPr>
                <w:sz w:val="24"/>
              </w:rPr>
              <w:t>e.</w:t>
            </w:r>
            <w:r>
              <w:rPr>
                <w:rFonts w:hint="eastAsia"/>
                <w:sz w:val="24"/>
              </w:rPr>
              <w:t>投标文件（第一个信封）组成齐全完整，内容均按规定填写。</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2</w:t>
            </w:r>
            <w:r>
              <w:rPr>
                <w:rFonts w:hint="eastAsia" w:ascii="宋体" w:hAnsi="宋体"/>
                <w:spacing w:val="-3"/>
                <w:sz w:val="24"/>
              </w:rPr>
              <w:t>）投标文件上法定代表人或其授权代理人的签字、投标人的单位章盖章齐全，符合招标文件投标人须知</w:t>
            </w:r>
            <w:r>
              <w:rPr>
                <w:rFonts w:ascii="宋体" w:hAnsi="宋体"/>
                <w:spacing w:val="-3"/>
                <w:sz w:val="24"/>
              </w:rPr>
              <w:t>3.7.3</w:t>
            </w:r>
            <w:r>
              <w:rPr>
                <w:rFonts w:hint="eastAsia" w:ascii="宋体" w:hAnsi="宋体"/>
                <w:spacing w:val="-3"/>
                <w:sz w:val="24"/>
              </w:rPr>
              <w:t>的规定；</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3</w:t>
            </w:r>
            <w:r>
              <w:rPr>
                <w:rFonts w:hint="eastAsia" w:ascii="宋体" w:hAnsi="宋体"/>
                <w:spacing w:val="-3"/>
                <w:sz w:val="24"/>
              </w:rPr>
              <w:t>）</w:t>
            </w:r>
            <w:r>
              <w:rPr>
                <w:rFonts w:hint="eastAsia" w:ascii="宋体" w:hAnsi="宋体"/>
                <w:color w:val="000000"/>
                <w:sz w:val="24"/>
              </w:rPr>
              <w:t>投标人按照招标文件投标人须知</w:t>
            </w:r>
            <w:r>
              <w:rPr>
                <w:rFonts w:ascii="宋体" w:hAnsi="宋体"/>
                <w:color w:val="000000"/>
                <w:sz w:val="24"/>
              </w:rPr>
              <w:t>3.4.1</w:t>
            </w:r>
            <w:r>
              <w:rPr>
                <w:rFonts w:hint="eastAsia" w:ascii="宋体" w:hAnsi="宋体"/>
                <w:color w:val="000000"/>
                <w:sz w:val="24"/>
              </w:rPr>
              <w:t>的规定提供了项目投标保证金</w:t>
            </w:r>
            <w:r>
              <w:rPr>
                <w:rFonts w:hint="eastAsia" w:ascii="宋体" w:hAnsi="宋体"/>
                <w:spacing w:val="-3"/>
                <w:sz w:val="24"/>
              </w:rPr>
              <w:t>；</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4</w:t>
            </w:r>
            <w:r>
              <w:rPr>
                <w:rFonts w:hint="eastAsia" w:ascii="宋体" w:hAnsi="宋体"/>
                <w:spacing w:val="-3"/>
                <w:sz w:val="24"/>
              </w:rPr>
              <w:t>）投标人法定代表人的授权代理人，需提交附有法定代表人身份证明的授权委托书，并符合下列要求：</w:t>
            </w:r>
          </w:p>
          <w:p>
            <w:pPr>
              <w:spacing w:line="340" w:lineRule="exact"/>
              <w:ind w:right="113"/>
              <w:rPr>
                <w:rFonts w:ascii="宋体"/>
                <w:spacing w:val="-3"/>
                <w:sz w:val="24"/>
              </w:rPr>
            </w:pPr>
            <w:r>
              <w:rPr>
                <w:rFonts w:hint="eastAsia" w:ascii="宋体" w:hAnsi="宋体"/>
                <w:spacing w:val="-3"/>
                <w:sz w:val="24"/>
              </w:rPr>
              <w:t>授权人和被授权人均在授权书上签名，未使用印章、签名章或其他电子制版签名；</w:t>
            </w:r>
          </w:p>
          <w:p>
            <w:pPr>
              <w:spacing w:line="340" w:lineRule="exact"/>
              <w:ind w:right="113"/>
              <w:rPr>
                <w:rFonts w:ascii="宋体"/>
                <w:spacing w:val="-3"/>
                <w:sz w:val="24"/>
              </w:rPr>
            </w:pPr>
            <w:r>
              <w:rPr>
                <w:rFonts w:hint="eastAsia" w:ascii="宋体" w:hAnsi="宋体"/>
                <w:b/>
                <w:spacing w:val="-3"/>
                <w:sz w:val="24"/>
              </w:rPr>
              <w:t>或，</w:t>
            </w:r>
            <w:r>
              <w:rPr>
                <w:rFonts w:hint="eastAsia" w:ascii="宋体" w:hAnsi="宋体"/>
                <w:spacing w:val="-3"/>
                <w:sz w:val="24"/>
              </w:rPr>
              <w:t>（</w:t>
            </w:r>
            <w:r>
              <w:rPr>
                <w:rFonts w:ascii="宋体" w:hAnsi="宋体"/>
                <w:spacing w:val="-3"/>
                <w:sz w:val="24"/>
              </w:rPr>
              <w:t>4</w:t>
            </w:r>
            <w:r>
              <w:rPr>
                <w:rFonts w:hint="eastAsia" w:ascii="宋体" w:hAnsi="宋体"/>
                <w:spacing w:val="-3"/>
                <w:sz w:val="24"/>
              </w:rPr>
              <w:t>）投标人法定代表人若亲自签署投标文件的，提供了法定代表人身份证明，并符合下列要求：</w:t>
            </w:r>
          </w:p>
          <w:p>
            <w:pPr>
              <w:spacing w:line="340" w:lineRule="exact"/>
              <w:ind w:right="113"/>
              <w:rPr>
                <w:rFonts w:ascii="宋体"/>
                <w:spacing w:val="-3"/>
                <w:sz w:val="24"/>
              </w:rPr>
            </w:pPr>
            <w:r>
              <w:rPr>
                <w:rFonts w:hint="eastAsia" w:ascii="宋体" w:hAnsi="宋体"/>
                <w:spacing w:val="-3"/>
                <w:sz w:val="24"/>
              </w:rPr>
              <w:t>法定代表人在法定代表人身份证明上签名，未使用印章、签名章或其他电子制版签名；</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5</w:t>
            </w:r>
            <w:r>
              <w:rPr>
                <w:rFonts w:hint="eastAsia" w:ascii="宋体" w:hAnsi="宋体"/>
                <w:spacing w:val="-3"/>
                <w:sz w:val="24"/>
              </w:rPr>
              <w:t>）同一标段的同一投标人没有提交两个以上不同的投标文件，但招标文件要求提交备选投标的除外。</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6</w:t>
            </w:r>
            <w:r>
              <w:rPr>
                <w:rFonts w:hint="eastAsia" w:ascii="宋体" w:hAnsi="宋体"/>
                <w:spacing w:val="-3"/>
                <w:sz w:val="24"/>
              </w:rPr>
              <w:t>）投标文件载明的招标项目完成期限未超过招标文件规定的时限。</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7</w:t>
            </w:r>
            <w:r>
              <w:rPr>
                <w:rFonts w:hint="eastAsia" w:ascii="宋体" w:hAnsi="宋体"/>
                <w:spacing w:val="-3"/>
                <w:sz w:val="24"/>
              </w:rPr>
              <w:t>）投标文件正、副本份数符合第二章“投标人须知”第</w:t>
            </w:r>
            <w:r>
              <w:rPr>
                <w:rFonts w:ascii="宋体" w:hAnsi="宋体"/>
                <w:spacing w:val="-3"/>
                <w:sz w:val="24"/>
              </w:rPr>
              <w:t>3.7.4</w:t>
            </w:r>
            <w:r>
              <w:rPr>
                <w:rFonts w:hint="eastAsia" w:ascii="宋体" w:hAnsi="宋体"/>
                <w:spacing w:val="-3"/>
                <w:sz w:val="24"/>
              </w:rPr>
              <w:t>项规定。</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8</w:t>
            </w:r>
            <w:r>
              <w:rPr>
                <w:rFonts w:hint="eastAsia" w:ascii="宋体" w:hAnsi="宋体"/>
                <w:spacing w:val="-3"/>
                <w:sz w:val="24"/>
              </w:rPr>
              <w:t>）权利义务符合招标文件规定：</w:t>
            </w:r>
          </w:p>
          <w:p>
            <w:pPr>
              <w:spacing w:line="340" w:lineRule="exact"/>
              <w:ind w:left="113" w:right="113" w:firstLine="240" w:firstLineChars="100"/>
              <w:rPr>
                <w:sz w:val="24"/>
              </w:rPr>
            </w:pPr>
            <w:r>
              <w:rPr>
                <w:sz w:val="24"/>
              </w:rPr>
              <w:t>a.</w:t>
            </w:r>
            <w:r>
              <w:rPr>
                <w:rFonts w:hint="eastAsia"/>
                <w:sz w:val="24"/>
              </w:rPr>
              <w:t>投标人应接受招标文件规定的风险划分原则，未提出新的风险划分办法；</w:t>
            </w:r>
          </w:p>
          <w:p>
            <w:pPr>
              <w:spacing w:line="340" w:lineRule="exact"/>
              <w:ind w:left="113" w:right="113" w:firstLine="240" w:firstLineChars="100"/>
              <w:rPr>
                <w:sz w:val="24"/>
              </w:rPr>
            </w:pPr>
            <w:r>
              <w:rPr>
                <w:sz w:val="24"/>
              </w:rPr>
              <w:t>b.</w:t>
            </w:r>
            <w:r>
              <w:rPr>
                <w:rFonts w:hint="eastAsia"/>
                <w:sz w:val="24"/>
              </w:rPr>
              <w:t>投标人未增加发包人的责任范围，或减少投标人义务；</w:t>
            </w:r>
          </w:p>
          <w:p>
            <w:pPr>
              <w:spacing w:line="340" w:lineRule="exact"/>
              <w:ind w:left="113" w:right="113" w:firstLine="240" w:firstLineChars="100"/>
              <w:rPr>
                <w:sz w:val="24"/>
              </w:rPr>
            </w:pPr>
            <w:r>
              <w:rPr>
                <w:sz w:val="24"/>
              </w:rPr>
              <w:t>c.</w:t>
            </w:r>
            <w:r>
              <w:rPr>
                <w:rFonts w:hint="eastAsia"/>
                <w:sz w:val="24"/>
              </w:rPr>
              <w:t>投标人未提出不同的工程验收、计量、支付办法；</w:t>
            </w:r>
          </w:p>
          <w:p>
            <w:pPr>
              <w:spacing w:line="340" w:lineRule="exact"/>
              <w:ind w:left="113" w:right="113" w:firstLine="240" w:firstLineChars="100"/>
              <w:rPr>
                <w:sz w:val="24"/>
              </w:rPr>
            </w:pPr>
            <w:r>
              <w:rPr>
                <w:sz w:val="24"/>
              </w:rPr>
              <w:t>d.</w:t>
            </w:r>
            <w:r>
              <w:rPr>
                <w:rFonts w:hint="eastAsia"/>
                <w:sz w:val="24"/>
              </w:rPr>
              <w:t>投标人对合同纠纷、事故处理办法未提出异议；</w:t>
            </w:r>
          </w:p>
          <w:p>
            <w:pPr>
              <w:spacing w:line="340" w:lineRule="exact"/>
              <w:ind w:left="113" w:right="113" w:firstLine="240" w:firstLineChars="100"/>
              <w:rPr>
                <w:sz w:val="24"/>
              </w:rPr>
            </w:pPr>
            <w:r>
              <w:rPr>
                <w:sz w:val="24"/>
              </w:rPr>
              <w:t>e.</w:t>
            </w:r>
            <w:r>
              <w:rPr>
                <w:rFonts w:hint="eastAsia"/>
                <w:sz w:val="24"/>
              </w:rPr>
              <w:t>投标人在投标活动中无欺诈行为；</w:t>
            </w:r>
          </w:p>
          <w:p>
            <w:pPr>
              <w:spacing w:line="340" w:lineRule="exact"/>
              <w:ind w:left="113" w:right="113" w:firstLine="240" w:firstLineChars="100"/>
              <w:rPr>
                <w:color w:val="auto"/>
                <w:sz w:val="24"/>
              </w:rPr>
            </w:pPr>
            <w:r>
              <w:rPr>
                <w:color w:val="auto"/>
                <w:sz w:val="24"/>
              </w:rPr>
              <w:t>f.</w:t>
            </w:r>
            <w:r>
              <w:rPr>
                <w:rFonts w:hint="eastAsia"/>
                <w:color w:val="auto"/>
                <w:sz w:val="24"/>
              </w:rPr>
              <w:t>投标人未对合同条款有重要保留；</w:t>
            </w:r>
          </w:p>
          <w:p>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both"/>
              <w:textAlignment w:val="auto"/>
              <w:outlineLvl w:val="9"/>
              <w:rPr>
                <w:rFonts w:hint="eastAsia"/>
                <w:color w:val="auto"/>
                <w:sz w:val="24"/>
              </w:rPr>
            </w:pPr>
            <w:r>
              <w:rPr>
                <w:color w:val="auto"/>
                <w:sz w:val="24"/>
              </w:rPr>
              <w:t>g.</w:t>
            </w:r>
            <w:r>
              <w:rPr>
                <w:rFonts w:hint="eastAsia"/>
                <w:color w:val="auto"/>
                <w:sz w:val="24"/>
              </w:rPr>
              <w:t>投标人编制的施工组织设计、关键工程技术方案可行，质量标准、进度、安全符合要求。承诺的质量检验标准不低于招标文件或国家强制性标准要求。</w:t>
            </w:r>
          </w:p>
          <w:p>
            <w:pPr>
              <w:keepNext w:val="0"/>
              <w:keepLines w:val="0"/>
              <w:pageBreakBefore w:val="0"/>
              <w:widowControl w:val="0"/>
              <w:kinsoku/>
              <w:wordWrap/>
              <w:overflowPunct/>
              <w:topLinePunct w:val="0"/>
              <w:autoSpaceDE/>
              <w:autoSpaceDN/>
              <w:bidi w:val="0"/>
              <w:adjustRightInd/>
              <w:snapToGrid/>
              <w:spacing w:line="420" w:lineRule="exact"/>
              <w:ind w:right="113"/>
              <w:jc w:val="both"/>
              <w:textAlignment w:val="auto"/>
              <w:outlineLvl w:val="9"/>
              <w:rPr>
                <w:rFonts w:ascii="宋体"/>
                <w:color w:val="auto"/>
                <w:spacing w:val="-3"/>
                <w:sz w:val="24"/>
              </w:rPr>
            </w:pPr>
            <w:r>
              <w:rPr>
                <w:rFonts w:hint="eastAsia" w:ascii="宋体" w:hAnsi="宋体"/>
                <w:color w:val="auto"/>
                <w:spacing w:val="-3"/>
                <w:sz w:val="24"/>
              </w:rPr>
              <w:t>（</w:t>
            </w:r>
            <w:r>
              <w:rPr>
                <w:rFonts w:ascii="宋体" w:hAnsi="宋体"/>
                <w:color w:val="auto"/>
                <w:spacing w:val="-3"/>
                <w:sz w:val="24"/>
              </w:rPr>
              <w:t>9</w:t>
            </w:r>
            <w:r>
              <w:rPr>
                <w:rFonts w:hint="eastAsia" w:ascii="宋体" w:hAnsi="宋体"/>
                <w:color w:val="auto"/>
                <w:spacing w:val="-3"/>
                <w:sz w:val="24"/>
              </w:rPr>
              <w:t>）投标文件第一个信封（商务及技术文件）未出现有关投标报价的内容。</w:t>
            </w:r>
          </w:p>
          <w:p>
            <w:pPr>
              <w:keepNext w:val="0"/>
              <w:keepLines w:val="0"/>
              <w:pageBreakBefore w:val="0"/>
              <w:widowControl w:val="0"/>
              <w:kinsoku/>
              <w:wordWrap/>
              <w:overflowPunct/>
              <w:topLinePunct w:val="0"/>
              <w:autoSpaceDE/>
              <w:autoSpaceDN/>
              <w:bidi w:val="0"/>
              <w:adjustRightInd/>
              <w:snapToGrid/>
              <w:spacing w:line="420" w:lineRule="exact"/>
              <w:ind w:right="113"/>
              <w:jc w:val="both"/>
              <w:textAlignment w:val="auto"/>
              <w:outlineLvl w:val="9"/>
              <w:rPr>
                <w:rFonts w:ascii="宋体" w:hAnsi="宋体"/>
                <w:color w:val="auto"/>
                <w:spacing w:val="-3"/>
                <w:sz w:val="24"/>
              </w:rPr>
            </w:pPr>
            <w:r>
              <w:rPr>
                <w:rFonts w:hint="eastAsia" w:ascii="宋体" w:hAnsi="宋体"/>
                <w:color w:val="auto"/>
                <w:spacing w:val="-3"/>
                <w:sz w:val="24"/>
              </w:rPr>
              <w:t>（</w:t>
            </w:r>
            <w:r>
              <w:rPr>
                <w:rFonts w:ascii="宋体" w:hAnsi="宋体"/>
                <w:color w:val="auto"/>
                <w:spacing w:val="-3"/>
                <w:sz w:val="24"/>
              </w:rPr>
              <w:t>10</w:t>
            </w:r>
            <w:r>
              <w:rPr>
                <w:rFonts w:hint="eastAsia" w:ascii="宋体" w:hAnsi="宋体"/>
                <w:color w:val="auto"/>
                <w:spacing w:val="-3"/>
                <w:sz w:val="24"/>
              </w:rPr>
              <w:t>）投标人至投标文件递交截止日， 没有被国家住建部、交通运输部、广东省交通运输厅通报批评且取消投标资格或信用等级降低为D级等情况之一的。</w:t>
            </w:r>
          </w:p>
          <w:p>
            <w:pPr>
              <w:keepNext w:val="0"/>
              <w:keepLines w:val="0"/>
              <w:pageBreakBefore w:val="0"/>
              <w:widowControl w:val="0"/>
              <w:kinsoku/>
              <w:wordWrap/>
              <w:overflowPunct/>
              <w:topLinePunct w:val="0"/>
              <w:autoSpaceDE/>
              <w:autoSpaceDN/>
              <w:bidi w:val="0"/>
              <w:adjustRightInd/>
              <w:snapToGrid/>
              <w:spacing w:line="420" w:lineRule="exact"/>
              <w:ind w:right="113"/>
              <w:jc w:val="both"/>
              <w:textAlignment w:val="auto"/>
              <w:outlineLvl w:val="9"/>
              <w:rPr>
                <w:rFonts w:ascii="宋体"/>
                <w:spacing w:val="-3"/>
                <w:sz w:val="24"/>
              </w:rPr>
            </w:pPr>
            <w:r>
              <w:rPr>
                <w:rFonts w:hint="eastAsia" w:ascii="宋体" w:hAnsi="宋体"/>
                <w:color w:val="auto"/>
                <w:spacing w:val="-3"/>
                <w:sz w:val="24"/>
              </w:rPr>
              <w:t>（11）至投标文件递交截止日，投标人提供法定代</w:t>
            </w:r>
            <w:r>
              <w:rPr>
                <w:rFonts w:hint="eastAsia" w:ascii="宋体" w:hAnsi="宋体"/>
                <w:spacing w:val="-3"/>
                <w:sz w:val="24"/>
              </w:rPr>
              <w:t>表人、拟委任的项目经理（含备选）、项目总工（含备选）近三年均没有因行贿犯罪而被人民法院判决、裁定生效的行为的查询记录有效。</w:t>
            </w:r>
          </w:p>
          <w:p>
            <w:pPr>
              <w:keepNext w:val="0"/>
              <w:keepLines w:val="0"/>
              <w:pageBreakBefore w:val="0"/>
              <w:widowControl w:val="0"/>
              <w:kinsoku/>
              <w:wordWrap/>
              <w:overflowPunct/>
              <w:topLinePunct w:val="0"/>
              <w:autoSpaceDE/>
              <w:autoSpaceDN/>
              <w:bidi w:val="0"/>
              <w:adjustRightInd/>
              <w:snapToGrid/>
              <w:spacing w:line="420" w:lineRule="exact"/>
              <w:ind w:right="113"/>
              <w:jc w:val="both"/>
              <w:textAlignment w:val="auto"/>
              <w:outlineLvl w:val="9"/>
              <w:rPr>
                <w:rFonts w:ascii="宋体"/>
                <w:spacing w:val="-3"/>
                <w:sz w:val="24"/>
              </w:rPr>
            </w:pPr>
            <w:r>
              <w:rPr>
                <w:rFonts w:hint="eastAsia" w:ascii="宋体" w:hAnsi="宋体"/>
                <w:spacing w:val="-3"/>
                <w:sz w:val="24"/>
              </w:rPr>
              <w:t>（</w:t>
            </w:r>
            <w:r>
              <w:rPr>
                <w:rFonts w:ascii="宋体" w:hAnsi="宋体"/>
                <w:spacing w:val="-3"/>
                <w:sz w:val="24"/>
              </w:rPr>
              <w:t>1</w:t>
            </w:r>
            <w:r>
              <w:rPr>
                <w:rFonts w:hint="eastAsia" w:ascii="宋体" w:hAnsi="宋体"/>
                <w:spacing w:val="-3"/>
                <w:sz w:val="24"/>
              </w:rPr>
              <w:t>2）投标文件未附有招标人不能接受的条件。</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ascii="宋体"/>
                <w:b/>
                <w:color w:val="000000"/>
                <w:sz w:val="24"/>
              </w:rPr>
            </w:pPr>
            <w:r>
              <w:rPr>
                <w:rFonts w:hint="eastAsia" w:ascii="宋体" w:hAnsi="宋体"/>
                <w:b/>
                <w:color w:val="000000"/>
                <w:sz w:val="24"/>
              </w:rPr>
              <w:t>第二个信封（报价文件）的评审：</w:t>
            </w:r>
          </w:p>
          <w:p>
            <w:pPr>
              <w:keepNext w:val="0"/>
              <w:keepLines w:val="0"/>
              <w:pageBreakBefore w:val="0"/>
              <w:widowControl w:val="0"/>
              <w:kinsoku/>
              <w:wordWrap/>
              <w:overflowPunct/>
              <w:topLinePunct w:val="0"/>
              <w:autoSpaceDE/>
              <w:autoSpaceDN/>
              <w:bidi w:val="0"/>
              <w:adjustRightInd/>
              <w:snapToGrid/>
              <w:spacing w:line="420" w:lineRule="exact"/>
              <w:ind w:right="113"/>
              <w:jc w:val="both"/>
              <w:textAlignment w:val="auto"/>
              <w:outlineLvl w:val="9"/>
              <w:rPr>
                <w:rFonts w:ascii="宋体"/>
                <w:spacing w:val="-3"/>
                <w:sz w:val="24"/>
              </w:rPr>
            </w:pPr>
            <w:r>
              <w:rPr>
                <w:rFonts w:hint="eastAsia" w:ascii="宋体" w:hAnsi="宋体"/>
                <w:spacing w:val="-3"/>
                <w:sz w:val="24"/>
              </w:rPr>
              <w:t>（</w:t>
            </w:r>
            <w:r>
              <w:rPr>
                <w:rFonts w:ascii="宋体" w:hAnsi="宋体"/>
                <w:spacing w:val="-3"/>
                <w:sz w:val="24"/>
              </w:rPr>
              <w:t>1</w:t>
            </w:r>
            <w:r>
              <w:rPr>
                <w:rFonts w:hint="eastAsia" w:ascii="宋体" w:hAnsi="宋体"/>
                <w:spacing w:val="-3"/>
                <w:sz w:val="24"/>
              </w:rPr>
              <w:t>）投标文件按照招标文件规定的格式、内容填写，字迹清晰可辨：</w:t>
            </w:r>
          </w:p>
          <w:p>
            <w:pPr>
              <w:keepNext w:val="0"/>
              <w:keepLines w:val="0"/>
              <w:pageBreakBefore w:val="0"/>
              <w:widowControl w:val="0"/>
              <w:kinsoku/>
              <w:wordWrap/>
              <w:overflowPunct/>
              <w:topLinePunct w:val="0"/>
              <w:autoSpaceDE/>
              <w:autoSpaceDN/>
              <w:bidi w:val="0"/>
              <w:adjustRightInd/>
              <w:snapToGrid/>
              <w:spacing w:line="420" w:lineRule="exact"/>
              <w:ind w:left="113" w:right="113" w:firstLine="240" w:firstLineChars="100"/>
              <w:jc w:val="both"/>
              <w:textAlignment w:val="auto"/>
              <w:outlineLvl w:val="9"/>
              <w:rPr>
                <w:sz w:val="24"/>
              </w:rPr>
            </w:pPr>
            <w:r>
              <w:rPr>
                <w:sz w:val="24"/>
              </w:rPr>
              <w:t>a.</w:t>
            </w:r>
            <w:r>
              <w:rPr>
                <w:rFonts w:hint="eastAsia"/>
                <w:sz w:val="24"/>
              </w:rPr>
              <w:t>报价函按招标文件规定填报了投标报价；</w:t>
            </w:r>
          </w:p>
          <w:p>
            <w:pPr>
              <w:keepNext w:val="0"/>
              <w:keepLines w:val="0"/>
              <w:pageBreakBefore w:val="0"/>
              <w:widowControl w:val="0"/>
              <w:kinsoku/>
              <w:wordWrap/>
              <w:overflowPunct/>
              <w:topLinePunct w:val="0"/>
              <w:autoSpaceDE/>
              <w:autoSpaceDN/>
              <w:bidi w:val="0"/>
              <w:adjustRightInd/>
              <w:snapToGrid/>
              <w:spacing w:line="420" w:lineRule="exact"/>
              <w:ind w:left="113" w:right="113" w:firstLine="240" w:firstLineChars="100"/>
              <w:jc w:val="both"/>
              <w:textAlignment w:val="auto"/>
              <w:outlineLvl w:val="9"/>
              <w:rPr>
                <w:sz w:val="24"/>
              </w:rPr>
            </w:pPr>
            <w:r>
              <w:rPr>
                <w:sz w:val="24"/>
              </w:rPr>
              <w:t xml:space="preserve">b. </w:t>
            </w:r>
            <w:r>
              <w:rPr>
                <w:rFonts w:hint="eastAsia"/>
                <w:sz w:val="24"/>
              </w:rPr>
              <w:t>已标价工程量清单及清单说明文字与招标文件规定一致，未进行修改和删减；</w:t>
            </w:r>
          </w:p>
          <w:p>
            <w:pPr>
              <w:keepNext w:val="0"/>
              <w:keepLines w:val="0"/>
              <w:pageBreakBefore w:val="0"/>
              <w:widowControl w:val="0"/>
              <w:kinsoku/>
              <w:wordWrap/>
              <w:overflowPunct/>
              <w:topLinePunct w:val="0"/>
              <w:autoSpaceDE/>
              <w:autoSpaceDN/>
              <w:bidi w:val="0"/>
              <w:adjustRightInd/>
              <w:snapToGrid/>
              <w:spacing w:line="420" w:lineRule="exact"/>
              <w:ind w:left="113" w:right="113" w:firstLine="240" w:firstLineChars="100"/>
              <w:jc w:val="both"/>
              <w:textAlignment w:val="auto"/>
              <w:outlineLvl w:val="9"/>
              <w:rPr>
                <w:sz w:val="24"/>
              </w:rPr>
            </w:pPr>
            <w:r>
              <w:rPr>
                <w:sz w:val="24"/>
              </w:rPr>
              <w:t>c.</w:t>
            </w:r>
            <w:r>
              <w:rPr>
                <w:rFonts w:hint="eastAsia"/>
                <w:sz w:val="24"/>
              </w:rPr>
              <w:t>投标文件第二个信封（报价文件）组成齐全完整，内容均按规定填写。</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right="113"/>
              <w:jc w:val="both"/>
              <w:textAlignment w:val="auto"/>
              <w:outlineLvl w:val="9"/>
              <w:rPr>
                <w:rFonts w:ascii="宋体"/>
                <w:color w:val="auto"/>
                <w:spacing w:val="-3"/>
                <w:sz w:val="24"/>
              </w:rPr>
            </w:pPr>
            <w:r>
              <w:rPr>
                <w:rFonts w:hint="eastAsia" w:ascii="宋体" w:hAnsi="宋体"/>
                <w:color w:val="auto"/>
                <w:spacing w:val="-3"/>
                <w:sz w:val="24"/>
              </w:rPr>
              <w:t>投标文件上法定代表人或其授权代理人的签字、投标人的单位章盖章齐全，符合招标文件投标人须知</w:t>
            </w:r>
            <w:r>
              <w:rPr>
                <w:rFonts w:ascii="宋体" w:hAnsi="宋体"/>
                <w:color w:val="auto"/>
                <w:spacing w:val="-3"/>
                <w:sz w:val="24"/>
              </w:rPr>
              <w:t>3.7.3</w:t>
            </w:r>
            <w:r>
              <w:rPr>
                <w:rFonts w:hint="eastAsia" w:ascii="宋体" w:hAnsi="宋体"/>
                <w:color w:val="auto"/>
                <w:spacing w:val="-3"/>
                <w:sz w:val="24"/>
              </w:rPr>
              <w:t>的规定。</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right="113"/>
              <w:jc w:val="both"/>
              <w:textAlignment w:val="auto"/>
              <w:outlineLvl w:val="9"/>
              <w:rPr>
                <w:rFonts w:ascii="宋体"/>
                <w:color w:val="auto"/>
                <w:spacing w:val="-3"/>
                <w:sz w:val="24"/>
              </w:rPr>
            </w:pPr>
            <w:r>
              <w:rPr>
                <w:rFonts w:hint="eastAsia" w:ascii="宋体" w:hAnsi="宋体"/>
                <w:color w:val="auto"/>
                <w:spacing w:val="-3"/>
                <w:sz w:val="24"/>
              </w:rPr>
              <w:t>投标人若填写工程量固化清单，填写完毕的工程量固化清单未对工程量固化清单电子文件中的数据、格式和运算定义进行修改。</w:t>
            </w:r>
          </w:p>
          <w:p>
            <w:pPr>
              <w:keepNext w:val="0"/>
              <w:keepLines w:val="0"/>
              <w:pageBreakBefore w:val="0"/>
              <w:widowControl w:val="0"/>
              <w:kinsoku/>
              <w:wordWrap/>
              <w:overflowPunct/>
              <w:topLinePunct w:val="0"/>
              <w:autoSpaceDE/>
              <w:autoSpaceDN/>
              <w:bidi w:val="0"/>
              <w:adjustRightInd/>
              <w:snapToGrid/>
              <w:spacing w:line="420" w:lineRule="exact"/>
              <w:ind w:right="113"/>
              <w:jc w:val="both"/>
              <w:textAlignment w:val="auto"/>
              <w:outlineLvl w:val="9"/>
              <w:rPr>
                <w:rFonts w:ascii="宋体"/>
                <w:color w:val="auto"/>
                <w:spacing w:val="-3"/>
                <w:sz w:val="24"/>
              </w:rPr>
            </w:pPr>
            <w:r>
              <w:rPr>
                <w:rFonts w:hint="eastAsia" w:ascii="宋体" w:hAnsi="宋体"/>
                <w:color w:val="auto"/>
                <w:spacing w:val="-3"/>
                <w:sz w:val="24"/>
              </w:rPr>
              <w:t>（</w:t>
            </w:r>
            <w:r>
              <w:rPr>
                <w:rFonts w:ascii="宋体" w:hAnsi="宋体"/>
                <w:color w:val="auto"/>
                <w:spacing w:val="-3"/>
                <w:sz w:val="24"/>
              </w:rPr>
              <w:t>4</w:t>
            </w:r>
            <w:r>
              <w:rPr>
                <w:rFonts w:hint="eastAsia" w:ascii="宋体" w:hAnsi="宋体"/>
                <w:color w:val="auto"/>
                <w:spacing w:val="-3"/>
                <w:sz w:val="24"/>
              </w:rPr>
              <w:t>）同一标段的同一投标人没有提交两个以上不同的投标报价，但招标文件要求提交备选投标的除外。</w:t>
            </w:r>
          </w:p>
          <w:p>
            <w:pPr>
              <w:keepNext w:val="0"/>
              <w:keepLines w:val="0"/>
              <w:pageBreakBefore w:val="0"/>
              <w:widowControl w:val="0"/>
              <w:kinsoku/>
              <w:wordWrap/>
              <w:overflowPunct/>
              <w:topLinePunct w:val="0"/>
              <w:autoSpaceDE/>
              <w:autoSpaceDN/>
              <w:bidi w:val="0"/>
              <w:adjustRightInd/>
              <w:snapToGrid/>
              <w:spacing w:line="420" w:lineRule="exact"/>
              <w:ind w:right="113"/>
              <w:jc w:val="both"/>
              <w:textAlignment w:val="auto"/>
              <w:outlineLvl w:val="9"/>
              <w:rPr>
                <w:rFonts w:ascii="宋体"/>
                <w:color w:val="auto"/>
                <w:spacing w:val="-3"/>
                <w:sz w:val="24"/>
              </w:rPr>
            </w:pPr>
            <w:r>
              <w:rPr>
                <w:rFonts w:hint="eastAsia" w:ascii="宋体" w:hAnsi="宋体"/>
                <w:color w:val="auto"/>
                <w:spacing w:val="-3"/>
                <w:sz w:val="24"/>
              </w:rPr>
              <w:t>（</w:t>
            </w:r>
            <w:r>
              <w:rPr>
                <w:rFonts w:ascii="宋体" w:hAnsi="宋体"/>
                <w:color w:val="auto"/>
                <w:spacing w:val="-3"/>
                <w:sz w:val="24"/>
              </w:rPr>
              <w:t>5</w:t>
            </w:r>
            <w:r>
              <w:rPr>
                <w:rFonts w:hint="eastAsia" w:ascii="宋体" w:hAnsi="宋体"/>
                <w:color w:val="auto"/>
                <w:spacing w:val="-3"/>
                <w:sz w:val="24"/>
              </w:rPr>
              <w:t>）投标人若提交调价函，调价函符合招标文件要求</w:t>
            </w:r>
            <w:r>
              <w:rPr>
                <w:rFonts w:ascii="宋体" w:hAnsi="宋体"/>
                <w:color w:val="auto"/>
                <w:spacing w:val="-3"/>
                <w:sz w:val="24"/>
              </w:rPr>
              <w:t>(</w:t>
            </w:r>
            <w:r>
              <w:rPr>
                <w:rFonts w:hint="eastAsia" w:ascii="宋体" w:hAnsi="宋体"/>
                <w:color w:val="auto"/>
                <w:spacing w:val="-3"/>
                <w:sz w:val="24"/>
              </w:rPr>
              <w:t>若需</w:t>
            </w:r>
            <w:r>
              <w:rPr>
                <w:rFonts w:ascii="宋体" w:hAnsi="宋体"/>
                <w:color w:val="auto"/>
                <w:spacing w:val="-3"/>
                <w:sz w:val="24"/>
              </w:rPr>
              <w:t>)</w:t>
            </w:r>
            <w:r>
              <w:rPr>
                <w:rFonts w:hint="eastAsia" w:ascii="宋体" w:hAnsi="宋体"/>
                <w:color w:val="auto"/>
                <w:spacing w:val="-3"/>
                <w:sz w:val="24"/>
              </w:rPr>
              <w:t>。</w:t>
            </w:r>
          </w:p>
          <w:p>
            <w:pPr>
              <w:keepNext w:val="0"/>
              <w:keepLines w:val="0"/>
              <w:pageBreakBefore w:val="0"/>
              <w:widowControl w:val="0"/>
              <w:kinsoku/>
              <w:wordWrap/>
              <w:overflowPunct/>
              <w:topLinePunct w:val="0"/>
              <w:autoSpaceDE/>
              <w:autoSpaceDN/>
              <w:bidi w:val="0"/>
              <w:adjustRightInd/>
              <w:snapToGrid/>
              <w:spacing w:line="420" w:lineRule="exact"/>
              <w:ind w:right="113"/>
              <w:jc w:val="both"/>
              <w:textAlignment w:val="auto"/>
              <w:outlineLvl w:val="9"/>
              <w:rPr>
                <w:rFonts w:ascii="宋体"/>
                <w:color w:val="auto"/>
                <w:spacing w:val="-3"/>
                <w:sz w:val="24"/>
              </w:rPr>
            </w:pPr>
            <w:r>
              <w:rPr>
                <w:rFonts w:hint="eastAsia" w:ascii="宋体" w:hAnsi="宋体"/>
                <w:color w:val="auto"/>
                <w:spacing w:val="-3"/>
                <w:sz w:val="24"/>
              </w:rPr>
              <w:t>（</w:t>
            </w:r>
            <w:r>
              <w:rPr>
                <w:rFonts w:ascii="宋体" w:hAnsi="宋体"/>
                <w:color w:val="auto"/>
                <w:spacing w:val="-3"/>
                <w:sz w:val="24"/>
              </w:rPr>
              <w:t>6</w:t>
            </w:r>
            <w:r>
              <w:rPr>
                <w:rFonts w:hint="eastAsia" w:ascii="宋体" w:hAnsi="宋体"/>
                <w:color w:val="auto"/>
                <w:spacing w:val="-3"/>
                <w:sz w:val="24"/>
              </w:rPr>
              <w:t>）评标价不大于招标人最高投标限价。</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color w:val="0000FF"/>
                <w:sz w:val="24"/>
              </w:rPr>
            </w:pPr>
            <w:r>
              <w:rPr>
                <w:rFonts w:hint="eastAsia" w:ascii="宋体" w:hAnsi="宋体"/>
                <w:color w:val="auto"/>
                <w:spacing w:val="-3"/>
                <w:sz w:val="24"/>
              </w:rPr>
              <w:t>（</w:t>
            </w:r>
            <w:r>
              <w:rPr>
                <w:rFonts w:ascii="宋体" w:hAnsi="宋体"/>
                <w:color w:val="auto"/>
                <w:spacing w:val="-3"/>
                <w:sz w:val="24"/>
              </w:rPr>
              <w:t>7</w:t>
            </w:r>
            <w:r>
              <w:rPr>
                <w:rFonts w:hint="eastAsia" w:ascii="宋体" w:hAnsi="宋体"/>
                <w:color w:val="auto"/>
                <w:spacing w:val="-3"/>
                <w:sz w:val="24"/>
              </w:rPr>
              <w:t>）投标文件正、副本份数符合第二章“投标人须知”</w:t>
            </w:r>
            <w:r>
              <w:rPr>
                <w:rFonts w:hint="eastAsia" w:ascii="宋体" w:hAnsi="宋体"/>
                <w:spacing w:val="-3"/>
                <w:sz w:val="24"/>
              </w:rPr>
              <w:t>第</w:t>
            </w:r>
            <w:r>
              <w:rPr>
                <w:rFonts w:ascii="宋体" w:hAnsi="宋体"/>
                <w:spacing w:val="-3"/>
                <w:sz w:val="24"/>
              </w:rPr>
              <w:t>3.7.4</w:t>
            </w:r>
            <w:r>
              <w:rPr>
                <w:rFonts w:hint="eastAsia" w:ascii="宋体" w:hAnsi="宋体"/>
                <w:spacing w:val="-3"/>
                <w:sz w:val="24"/>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06" w:hRule="atLeast"/>
        </w:trPr>
        <w:tc>
          <w:tcPr>
            <w:tcW w:w="972" w:type="dxa"/>
            <w:tcBorders>
              <w:top w:val="single" w:color="auto" w:sz="4" w:space="0"/>
              <w:right w:val="single" w:color="auto" w:sz="4" w:space="0"/>
            </w:tcBorders>
            <w:vAlign w:val="center"/>
          </w:tcPr>
          <w:p>
            <w:pPr>
              <w:spacing w:line="400" w:lineRule="atLeast"/>
              <w:jc w:val="center"/>
              <w:rPr>
                <w:szCs w:val="21"/>
              </w:rPr>
            </w:pPr>
            <w:r>
              <w:rPr>
                <w:szCs w:val="21"/>
              </w:rPr>
              <w:t>2.1.2</w:t>
            </w:r>
          </w:p>
        </w:tc>
        <w:tc>
          <w:tcPr>
            <w:tcW w:w="1265" w:type="dxa"/>
            <w:gridSpan w:val="3"/>
            <w:tcBorders>
              <w:top w:val="single" w:color="auto" w:sz="4" w:space="0"/>
              <w:right w:val="single" w:color="auto" w:sz="4" w:space="0"/>
            </w:tcBorders>
            <w:vAlign w:val="center"/>
          </w:tcPr>
          <w:p>
            <w:pPr>
              <w:spacing w:line="400" w:lineRule="atLeast"/>
              <w:jc w:val="center"/>
              <w:rPr>
                <w:szCs w:val="21"/>
              </w:rPr>
            </w:pPr>
            <w:r>
              <w:rPr>
                <w:szCs w:val="21"/>
              </w:rPr>
              <w:t>资格评审标准</w:t>
            </w:r>
          </w:p>
        </w:tc>
        <w:tc>
          <w:tcPr>
            <w:tcW w:w="7522" w:type="dxa"/>
            <w:gridSpan w:val="5"/>
            <w:tcBorders>
              <w:top w:val="single" w:color="auto" w:sz="4" w:space="0"/>
              <w:left w:val="single" w:color="auto" w:sz="4" w:space="0"/>
              <w:right w:val="single" w:color="auto" w:sz="4" w:space="0"/>
            </w:tcBorders>
            <w:vAlign w:val="center"/>
          </w:tcPr>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1</w:t>
            </w:r>
            <w:r>
              <w:rPr>
                <w:rFonts w:hint="eastAsia" w:ascii="宋体" w:hAnsi="宋体"/>
                <w:spacing w:val="-3"/>
                <w:sz w:val="24"/>
              </w:rPr>
              <w:t>）投标人具备有效的营业执照、资质证书和安全生产许可证和基本账户开户许可证；</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2</w:t>
            </w:r>
            <w:r>
              <w:rPr>
                <w:rFonts w:hint="eastAsia" w:ascii="宋体" w:hAnsi="宋体"/>
                <w:spacing w:val="-3"/>
                <w:sz w:val="24"/>
              </w:rPr>
              <w:t>）投标人的资质等级符合招标文件规定；</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3</w:t>
            </w:r>
            <w:r>
              <w:rPr>
                <w:rFonts w:hint="eastAsia" w:ascii="宋体" w:hAnsi="宋体"/>
                <w:spacing w:val="-3"/>
                <w:sz w:val="24"/>
              </w:rPr>
              <w:t>）投标人的财务状况符合招标文件规定；</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4</w:t>
            </w:r>
            <w:r>
              <w:rPr>
                <w:rFonts w:hint="eastAsia" w:ascii="宋体" w:hAnsi="宋体"/>
                <w:spacing w:val="-3"/>
                <w:sz w:val="24"/>
              </w:rPr>
              <w:t>）投标人的类似项目业绩符合招标文件规定；</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5</w:t>
            </w:r>
            <w:r>
              <w:rPr>
                <w:rFonts w:hint="eastAsia" w:ascii="宋体" w:hAnsi="宋体"/>
                <w:spacing w:val="-3"/>
                <w:sz w:val="24"/>
              </w:rPr>
              <w:t>）投标人的信誉符合招标文件规定；</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6</w:t>
            </w:r>
            <w:r>
              <w:rPr>
                <w:rFonts w:hint="eastAsia" w:ascii="宋体" w:hAnsi="宋体"/>
                <w:spacing w:val="-3"/>
                <w:sz w:val="24"/>
              </w:rPr>
              <w:t>）投标人的项目经理（包括备选人）和项目总工（包括备选人）资格符合招标文件规定；</w:t>
            </w:r>
          </w:p>
          <w:p>
            <w:pPr>
              <w:spacing w:line="340" w:lineRule="exact"/>
              <w:ind w:right="113"/>
              <w:rPr>
                <w:rFonts w:ascii="宋体"/>
                <w:spacing w:val="-3"/>
                <w:sz w:val="24"/>
              </w:rPr>
            </w:pPr>
            <w:r>
              <w:rPr>
                <w:rFonts w:hint="eastAsia" w:ascii="宋体" w:hAnsi="宋体"/>
                <w:spacing w:val="-3"/>
                <w:sz w:val="24"/>
              </w:rPr>
              <w:t>（</w:t>
            </w:r>
            <w:r>
              <w:rPr>
                <w:rFonts w:ascii="宋体" w:hAnsi="宋体"/>
                <w:spacing w:val="-3"/>
                <w:sz w:val="24"/>
              </w:rPr>
              <w:t>7</w:t>
            </w:r>
            <w:r>
              <w:rPr>
                <w:rFonts w:hint="eastAsia" w:ascii="宋体" w:hAnsi="宋体"/>
                <w:spacing w:val="-3"/>
                <w:sz w:val="24"/>
              </w:rPr>
              <w:t>）投标人的其他要求符合招标文件规定；</w:t>
            </w:r>
          </w:p>
          <w:p>
            <w:pPr>
              <w:spacing w:line="380" w:lineRule="atLeast"/>
              <w:rPr>
                <w:szCs w:val="21"/>
              </w:rPr>
            </w:pPr>
            <w:r>
              <w:rPr>
                <w:rFonts w:hint="eastAsia" w:ascii="宋体" w:hAnsi="宋体"/>
                <w:spacing w:val="-3"/>
                <w:sz w:val="24"/>
              </w:rPr>
              <w:t>（</w:t>
            </w:r>
            <w:r>
              <w:rPr>
                <w:rFonts w:ascii="宋体" w:hAnsi="宋体"/>
                <w:spacing w:val="-3"/>
                <w:sz w:val="24"/>
              </w:rPr>
              <w:t>8</w:t>
            </w:r>
            <w:r>
              <w:rPr>
                <w:rFonts w:hint="eastAsia" w:ascii="宋体" w:hAnsi="宋体"/>
                <w:spacing w:val="-3"/>
                <w:sz w:val="24"/>
              </w:rPr>
              <w:t>）投标人不存在第二章</w:t>
            </w:r>
            <w:r>
              <w:rPr>
                <w:rFonts w:hint="eastAsia" w:ascii="宋体"/>
                <w:spacing w:val="-3"/>
                <w:sz w:val="24"/>
              </w:rPr>
              <w:t>“</w:t>
            </w:r>
            <w:r>
              <w:rPr>
                <w:rFonts w:hint="eastAsia" w:ascii="宋体" w:hAnsi="宋体"/>
                <w:spacing w:val="-3"/>
                <w:sz w:val="24"/>
              </w:rPr>
              <w:t>投标人须知</w:t>
            </w:r>
            <w:r>
              <w:rPr>
                <w:rFonts w:hint="eastAsia" w:ascii="宋体"/>
                <w:spacing w:val="-3"/>
                <w:sz w:val="24"/>
              </w:rPr>
              <w:t>”</w:t>
            </w:r>
            <w:r>
              <w:rPr>
                <w:rFonts w:hint="eastAsia" w:ascii="宋体" w:hAnsi="宋体"/>
                <w:spacing w:val="-3"/>
                <w:sz w:val="24"/>
              </w:rPr>
              <w:t>第</w:t>
            </w:r>
            <w:r>
              <w:rPr>
                <w:rFonts w:ascii="宋体" w:hAnsi="宋体"/>
                <w:spacing w:val="-3"/>
                <w:sz w:val="24"/>
              </w:rPr>
              <w:t>1.4.3</w:t>
            </w:r>
            <w:r>
              <w:rPr>
                <w:rFonts w:hint="eastAsia" w:ascii="宋体" w:hAnsi="宋体"/>
                <w:spacing w:val="-3"/>
                <w:sz w:val="24"/>
              </w:rPr>
              <w:t>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 w:type="dxa"/>
            <w:tcBorders>
              <w:top w:val="single" w:color="auto" w:sz="4" w:space="0"/>
              <w:right w:val="single" w:color="auto" w:sz="4" w:space="0"/>
            </w:tcBorders>
            <w:vAlign w:val="center"/>
          </w:tcPr>
          <w:p>
            <w:pPr>
              <w:spacing w:line="400" w:lineRule="atLeast"/>
              <w:jc w:val="center"/>
              <w:rPr>
                <w:color w:val="auto"/>
                <w:szCs w:val="21"/>
              </w:rPr>
            </w:pPr>
            <w:r>
              <w:rPr>
                <w:color w:val="auto"/>
                <w:szCs w:val="21"/>
              </w:rPr>
              <w:t>2.2.1</w:t>
            </w:r>
          </w:p>
        </w:tc>
        <w:tc>
          <w:tcPr>
            <w:tcW w:w="1265" w:type="dxa"/>
            <w:gridSpan w:val="3"/>
            <w:tcBorders>
              <w:top w:val="single" w:color="auto" w:sz="4" w:space="0"/>
              <w:right w:val="single" w:color="auto" w:sz="4" w:space="0"/>
            </w:tcBorders>
            <w:vAlign w:val="center"/>
          </w:tcPr>
          <w:p>
            <w:pPr>
              <w:spacing w:line="400" w:lineRule="atLeast"/>
              <w:jc w:val="center"/>
              <w:rPr>
                <w:color w:val="auto"/>
                <w:szCs w:val="21"/>
              </w:rPr>
            </w:pPr>
            <w:r>
              <w:rPr>
                <w:color w:val="auto"/>
                <w:szCs w:val="21"/>
              </w:rPr>
              <w:t>分值构成</w:t>
            </w:r>
          </w:p>
          <w:p>
            <w:pPr>
              <w:spacing w:line="400" w:lineRule="atLeast"/>
              <w:jc w:val="center"/>
              <w:rPr>
                <w:color w:val="auto"/>
                <w:szCs w:val="21"/>
              </w:rPr>
            </w:pPr>
            <w:r>
              <w:rPr>
                <w:color w:val="auto"/>
                <w:szCs w:val="21"/>
              </w:rPr>
              <w:t>(总分100分)</w:t>
            </w:r>
          </w:p>
        </w:tc>
        <w:tc>
          <w:tcPr>
            <w:tcW w:w="7522" w:type="dxa"/>
            <w:gridSpan w:val="5"/>
            <w:tcBorders>
              <w:top w:val="single" w:color="auto" w:sz="4" w:space="0"/>
              <w:left w:val="single" w:color="auto" w:sz="4" w:space="0"/>
              <w:right w:val="single" w:color="auto" w:sz="4" w:space="0"/>
            </w:tcBorders>
            <w:vAlign w:val="center"/>
          </w:tcPr>
          <w:p>
            <w:pPr>
              <w:spacing w:line="360" w:lineRule="atLeast"/>
              <w:rPr>
                <w:color w:val="auto"/>
                <w:szCs w:val="21"/>
                <w:u w:val="double"/>
              </w:rPr>
            </w:pPr>
            <w:r>
              <w:rPr>
                <w:rFonts w:hint="eastAsia"/>
                <w:color w:val="auto"/>
                <w:szCs w:val="21"/>
                <w:u w:val="double"/>
              </w:rPr>
              <w:t>第一信封商务技术文件的分值：</w:t>
            </w:r>
          </w:p>
          <w:p>
            <w:pPr>
              <w:spacing w:line="360" w:lineRule="atLeast"/>
              <w:rPr>
                <w:color w:val="auto"/>
                <w:szCs w:val="21"/>
                <w:u w:val="double"/>
              </w:rPr>
            </w:pPr>
            <w:r>
              <w:rPr>
                <w:color w:val="auto"/>
                <w:szCs w:val="21"/>
                <w:u w:val="double"/>
              </w:rPr>
              <w:t>施工组织设计</w:t>
            </w:r>
            <w:r>
              <w:rPr>
                <w:rFonts w:hint="eastAsia"/>
                <w:color w:val="auto"/>
                <w:szCs w:val="21"/>
                <w:u w:val="double"/>
              </w:rPr>
              <w:t>（A）</w:t>
            </w:r>
            <w:r>
              <w:rPr>
                <w:color w:val="auto"/>
                <w:szCs w:val="21"/>
                <w:u w:val="double"/>
              </w:rPr>
              <w:t>：</w:t>
            </w:r>
            <w:r>
              <w:rPr>
                <w:rFonts w:hint="eastAsia"/>
                <w:color w:val="auto"/>
                <w:szCs w:val="21"/>
                <w:u w:val="double"/>
              </w:rPr>
              <w:t xml:space="preserve"> </w:t>
            </w:r>
            <w:r>
              <w:rPr>
                <w:rFonts w:hint="eastAsia"/>
                <w:color w:val="auto"/>
                <w:szCs w:val="21"/>
                <w:u w:val="double"/>
                <w:lang w:val="en-US" w:eastAsia="zh-CN"/>
              </w:rPr>
              <w:t>7</w:t>
            </w:r>
            <w:r>
              <w:rPr>
                <w:rFonts w:hint="eastAsia"/>
                <w:color w:val="auto"/>
                <w:szCs w:val="21"/>
                <w:u w:val="double"/>
              </w:rPr>
              <w:t>分</w:t>
            </w:r>
          </w:p>
          <w:p>
            <w:pPr>
              <w:spacing w:line="360" w:lineRule="atLeast"/>
              <w:rPr>
                <w:color w:val="auto"/>
                <w:szCs w:val="21"/>
                <w:u w:val="double"/>
              </w:rPr>
            </w:pPr>
            <w:r>
              <w:rPr>
                <w:color w:val="auto"/>
                <w:szCs w:val="21"/>
                <w:u w:val="double"/>
              </w:rPr>
              <w:t>项目管理机构</w:t>
            </w:r>
            <w:r>
              <w:rPr>
                <w:rFonts w:hint="eastAsia"/>
                <w:color w:val="auto"/>
                <w:szCs w:val="21"/>
                <w:u w:val="double"/>
              </w:rPr>
              <w:t xml:space="preserve"> (B)</w:t>
            </w:r>
            <w:r>
              <w:rPr>
                <w:color w:val="auto"/>
                <w:szCs w:val="21"/>
                <w:u w:val="double"/>
              </w:rPr>
              <w:t>：</w:t>
            </w:r>
            <w:r>
              <w:rPr>
                <w:rFonts w:hint="eastAsia"/>
                <w:color w:val="auto"/>
                <w:szCs w:val="21"/>
                <w:u w:val="double"/>
              </w:rPr>
              <w:t xml:space="preserve">   0     分</w:t>
            </w:r>
          </w:p>
          <w:p>
            <w:pPr>
              <w:spacing w:line="360" w:lineRule="atLeast"/>
              <w:rPr>
                <w:color w:val="auto"/>
                <w:szCs w:val="21"/>
                <w:u w:val="double"/>
              </w:rPr>
            </w:pPr>
            <w:r>
              <w:rPr>
                <w:color w:val="auto"/>
                <w:szCs w:val="21"/>
                <w:u w:val="double"/>
              </w:rPr>
              <w:t>其他因素</w:t>
            </w:r>
            <w:r>
              <w:rPr>
                <w:rFonts w:hint="eastAsia"/>
                <w:color w:val="auto"/>
                <w:szCs w:val="21"/>
                <w:u w:val="double"/>
              </w:rPr>
              <w:t xml:space="preserve"> (D)</w:t>
            </w:r>
          </w:p>
          <w:p>
            <w:pPr>
              <w:spacing w:line="360" w:lineRule="atLeast"/>
              <w:rPr>
                <w:color w:val="auto"/>
                <w:szCs w:val="21"/>
                <w:u w:val="double"/>
              </w:rPr>
            </w:pPr>
            <w:r>
              <w:rPr>
                <w:color w:val="auto"/>
                <w:szCs w:val="21"/>
                <w:u w:val="double"/>
              </w:rPr>
              <w:t>财务能力：</w:t>
            </w:r>
            <w:r>
              <w:rPr>
                <w:rFonts w:hint="eastAsia"/>
                <w:color w:val="auto"/>
                <w:szCs w:val="21"/>
                <w:u w:val="double"/>
              </w:rPr>
              <w:t xml:space="preserve"> </w:t>
            </w:r>
            <w:r>
              <w:rPr>
                <w:rFonts w:hint="eastAsia"/>
                <w:color w:val="auto"/>
                <w:szCs w:val="21"/>
                <w:u w:val="double"/>
                <w:lang w:val="en-US" w:eastAsia="zh-CN"/>
              </w:rPr>
              <w:t>1</w:t>
            </w:r>
            <w:r>
              <w:rPr>
                <w:color w:val="auto"/>
                <w:szCs w:val="21"/>
                <w:u w:val="double"/>
              </w:rPr>
              <w:t>分</w:t>
            </w:r>
          </w:p>
          <w:p>
            <w:pPr>
              <w:spacing w:line="360" w:lineRule="atLeast"/>
              <w:rPr>
                <w:color w:val="auto"/>
                <w:szCs w:val="21"/>
                <w:u w:val="double"/>
              </w:rPr>
            </w:pPr>
            <w:r>
              <w:rPr>
                <w:rFonts w:hint="eastAsia"/>
                <w:color w:val="auto"/>
                <w:szCs w:val="21"/>
                <w:u w:val="double"/>
              </w:rPr>
              <w:t xml:space="preserve">业    </w:t>
            </w:r>
            <w:r>
              <w:rPr>
                <w:color w:val="auto"/>
                <w:szCs w:val="21"/>
                <w:u w:val="double"/>
              </w:rPr>
              <w:t>绩：</w:t>
            </w:r>
            <w:r>
              <w:rPr>
                <w:rFonts w:hint="eastAsia"/>
                <w:color w:val="auto"/>
                <w:szCs w:val="21"/>
                <w:u w:val="double"/>
              </w:rPr>
              <w:t xml:space="preserve"> </w:t>
            </w:r>
            <w:r>
              <w:rPr>
                <w:rFonts w:hint="eastAsia"/>
                <w:color w:val="auto"/>
                <w:szCs w:val="21"/>
                <w:u w:val="double"/>
                <w:lang w:val="en-US" w:eastAsia="zh-CN"/>
              </w:rPr>
              <w:t>2</w:t>
            </w:r>
            <w:r>
              <w:rPr>
                <w:color w:val="auto"/>
                <w:szCs w:val="21"/>
                <w:u w:val="double"/>
              </w:rPr>
              <w:t>分</w:t>
            </w:r>
          </w:p>
          <w:p>
            <w:pPr>
              <w:spacing w:line="360" w:lineRule="atLeast"/>
              <w:rPr>
                <w:color w:val="auto"/>
                <w:szCs w:val="21"/>
                <w:u w:val="double"/>
              </w:rPr>
            </w:pPr>
            <w:r>
              <w:rPr>
                <w:color w:val="auto"/>
                <w:szCs w:val="21"/>
                <w:u w:val="double"/>
              </w:rPr>
              <w:t>履约信誉：</w:t>
            </w:r>
            <w:r>
              <w:rPr>
                <w:rFonts w:hint="eastAsia"/>
                <w:color w:val="auto"/>
                <w:szCs w:val="21"/>
                <w:u w:val="double"/>
              </w:rPr>
              <w:t>10分</w:t>
            </w:r>
          </w:p>
          <w:p>
            <w:pPr>
              <w:spacing w:line="360" w:lineRule="atLeast"/>
              <w:rPr>
                <w:color w:val="auto"/>
                <w:szCs w:val="21"/>
                <w:u w:val="double"/>
              </w:rPr>
            </w:pPr>
            <w:r>
              <w:rPr>
                <w:rFonts w:hint="eastAsia"/>
                <w:color w:val="auto"/>
                <w:szCs w:val="21"/>
                <w:u w:val="double"/>
              </w:rPr>
              <w:t>机械设备    0    分</w:t>
            </w:r>
          </w:p>
          <w:p>
            <w:pPr>
              <w:spacing w:line="360" w:lineRule="atLeast"/>
              <w:rPr>
                <w:color w:val="auto"/>
                <w:szCs w:val="21"/>
                <w:u w:val="double"/>
              </w:rPr>
            </w:pPr>
            <w:r>
              <w:rPr>
                <w:rFonts w:hint="eastAsia"/>
                <w:color w:val="auto"/>
                <w:szCs w:val="21"/>
                <w:u w:val="double"/>
              </w:rPr>
              <w:t>第二信封报价（评标价）的分值(C)：</w:t>
            </w:r>
          </w:p>
          <w:p>
            <w:pPr>
              <w:spacing w:line="360" w:lineRule="atLeast"/>
              <w:rPr>
                <w:rFonts w:ascii="隶书" w:eastAsia="隶书"/>
                <w:color w:val="auto"/>
                <w:szCs w:val="21"/>
                <w:u w:val="double"/>
              </w:rPr>
            </w:pPr>
            <w:r>
              <w:rPr>
                <w:color w:val="auto"/>
                <w:szCs w:val="21"/>
                <w:u w:val="double"/>
              </w:rPr>
              <w:t>评标价：</w:t>
            </w:r>
            <w:r>
              <w:rPr>
                <w:rFonts w:hint="eastAsia" w:ascii="宋体" w:hAnsi="宋体"/>
                <w:color w:val="auto"/>
                <w:szCs w:val="21"/>
                <w:u w:val="double"/>
              </w:rPr>
              <w:t xml:space="preserve">   </w:t>
            </w:r>
            <w:r>
              <w:rPr>
                <w:rFonts w:hint="eastAsia" w:ascii="宋体" w:hAnsi="宋体"/>
                <w:color w:val="auto"/>
                <w:szCs w:val="21"/>
                <w:u w:val="double"/>
                <w:lang w:val="en-US" w:eastAsia="zh-CN"/>
              </w:rPr>
              <w:t>80</w:t>
            </w:r>
            <w:r>
              <w:rPr>
                <w:rFonts w:hint="eastAsia" w:ascii="隶书" w:eastAsia="隶书"/>
                <w:color w:val="auto"/>
                <w:szCs w:val="21"/>
                <w:u w:val="double"/>
              </w:rPr>
              <w:t xml:space="preserve"> 分</w:t>
            </w:r>
            <w:r>
              <w:rPr>
                <w:rFonts w:hint="eastAsia" w:ascii="隶书" w:eastAsia="隶书"/>
                <w:color w:val="auto"/>
                <w:szCs w:val="21"/>
                <w:u w:val="doub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 w:type="dxa"/>
            <w:tcBorders>
              <w:top w:val="single" w:color="auto" w:sz="4" w:space="0"/>
              <w:right w:val="single" w:color="auto" w:sz="4" w:space="0"/>
            </w:tcBorders>
            <w:vAlign w:val="center"/>
          </w:tcPr>
          <w:p>
            <w:pPr>
              <w:spacing w:line="400" w:lineRule="atLeast"/>
              <w:jc w:val="center"/>
              <w:rPr>
                <w:szCs w:val="21"/>
              </w:rPr>
            </w:pPr>
            <w:r>
              <w:rPr>
                <w:szCs w:val="21"/>
              </w:rPr>
              <w:t>2.2.2</w:t>
            </w:r>
          </w:p>
        </w:tc>
        <w:tc>
          <w:tcPr>
            <w:tcW w:w="1265" w:type="dxa"/>
            <w:gridSpan w:val="3"/>
            <w:tcBorders>
              <w:top w:val="single" w:color="auto" w:sz="4" w:space="0"/>
              <w:right w:val="single" w:color="auto" w:sz="4" w:space="0"/>
            </w:tcBorders>
            <w:vAlign w:val="center"/>
          </w:tcPr>
          <w:p>
            <w:pPr>
              <w:spacing w:line="400" w:lineRule="atLeast"/>
              <w:jc w:val="center"/>
              <w:rPr>
                <w:b/>
                <w:szCs w:val="21"/>
              </w:rPr>
            </w:pPr>
            <w:r>
              <w:rPr>
                <w:szCs w:val="21"/>
              </w:rPr>
              <w:t>评标基准价计算方法</w:t>
            </w:r>
          </w:p>
        </w:tc>
        <w:tc>
          <w:tcPr>
            <w:tcW w:w="7522" w:type="dxa"/>
            <w:gridSpan w:val="5"/>
            <w:tcBorders>
              <w:top w:val="single" w:color="auto" w:sz="4" w:space="0"/>
              <w:left w:val="single" w:color="auto" w:sz="4" w:space="0"/>
              <w:right w:val="single" w:color="auto" w:sz="4" w:space="0"/>
            </w:tcBorders>
            <w:vAlign w:val="center"/>
          </w:tcPr>
          <w:p>
            <w:pPr>
              <w:spacing w:line="400" w:lineRule="exact"/>
              <w:rPr>
                <w:color w:val="000000"/>
                <w:sz w:val="24"/>
              </w:rPr>
            </w:pPr>
            <w:r>
              <w:rPr>
                <w:rFonts w:hint="eastAsia"/>
                <w:color w:val="000000"/>
                <w:sz w:val="24"/>
              </w:rPr>
              <w:t>评标基准价的计算：</w:t>
            </w:r>
          </w:p>
          <w:p>
            <w:pPr>
              <w:spacing w:line="400" w:lineRule="exact"/>
              <w:rPr>
                <w:rFonts w:ascii="宋体"/>
                <w:color w:val="000000"/>
                <w:sz w:val="24"/>
              </w:rPr>
            </w:pPr>
            <w:r>
              <w:rPr>
                <w:rFonts w:ascii="宋体" w:hAnsi="宋体"/>
                <w:b/>
                <w:bCs/>
                <w:color w:val="000000"/>
                <w:sz w:val="24"/>
              </w:rPr>
              <w:t xml:space="preserve">(1) </w:t>
            </w:r>
            <w:r>
              <w:rPr>
                <w:rFonts w:hint="eastAsia" w:ascii="宋体" w:hAnsi="宋体"/>
                <w:b/>
                <w:bCs/>
                <w:color w:val="000000"/>
                <w:sz w:val="24"/>
              </w:rPr>
              <w:t>评标价的确定</w:t>
            </w:r>
            <w:r>
              <w:rPr>
                <w:rFonts w:hint="eastAsia" w:ascii="宋体" w:hAnsi="宋体"/>
                <w:color w:val="000000"/>
                <w:sz w:val="24"/>
              </w:rPr>
              <w:t>：</w:t>
            </w:r>
          </w:p>
          <w:p>
            <w:pPr>
              <w:spacing w:line="400" w:lineRule="exact"/>
              <w:rPr>
                <w:rFonts w:ascii="宋体"/>
                <w:color w:val="000000"/>
                <w:sz w:val="24"/>
              </w:rPr>
            </w:pPr>
            <w:r>
              <w:rPr>
                <w:rFonts w:hint="eastAsia" w:ascii="宋体" w:hAnsi="宋体"/>
                <w:color w:val="000000"/>
                <w:sz w:val="24"/>
              </w:rPr>
              <w:t>评标价</w:t>
            </w:r>
            <w:r>
              <w:rPr>
                <w:rFonts w:ascii="宋体" w:hAnsi="宋体"/>
                <w:color w:val="000000"/>
                <w:sz w:val="24"/>
              </w:rPr>
              <w:t>=</w:t>
            </w:r>
            <w:r>
              <w:rPr>
                <w:rFonts w:hint="eastAsia" w:ascii="宋体" w:hAnsi="宋体"/>
                <w:color w:val="000000"/>
                <w:sz w:val="24"/>
              </w:rPr>
              <w:t>投标函文字报价</w:t>
            </w:r>
          </w:p>
          <w:p>
            <w:pPr>
              <w:spacing w:line="400" w:lineRule="exact"/>
              <w:rPr>
                <w:rFonts w:ascii="宋体"/>
                <w:b/>
                <w:bCs/>
                <w:color w:val="000000"/>
                <w:sz w:val="24"/>
              </w:rPr>
            </w:pPr>
            <w:r>
              <w:rPr>
                <w:rFonts w:hint="eastAsia" w:ascii="宋体" w:hAnsi="宋体"/>
                <w:b/>
                <w:bCs/>
                <w:color w:val="000000"/>
                <w:sz w:val="24"/>
              </w:rPr>
              <w:t>（</w:t>
            </w:r>
            <w:r>
              <w:rPr>
                <w:rFonts w:ascii="宋体" w:hAnsi="宋体"/>
                <w:b/>
                <w:bCs/>
                <w:color w:val="000000"/>
                <w:sz w:val="24"/>
              </w:rPr>
              <w:t>2</w:t>
            </w:r>
            <w:r>
              <w:rPr>
                <w:rFonts w:hint="eastAsia" w:ascii="宋体" w:hAnsi="宋体"/>
                <w:b/>
                <w:bCs/>
                <w:color w:val="000000"/>
                <w:sz w:val="24"/>
              </w:rPr>
              <w:t>）招标人最高投标限价的确定</w:t>
            </w:r>
          </w:p>
          <w:p>
            <w:pPr>
              <w:spacing w:line="400" w:lineRule="exact"/>
              <w:rPr>
                <w:rFonts w:ascii="宋体"/>
                <w:color w:val="000000"/>
                <w:sz w:val="24"/>
                <w:highlight w:val="yellow"/>
              </w:rPr>
            </w:pPr>
            <w:r>
              <w:rPr>
                <w:rFonts w:ascii="宋体" w:hAnsi="宋体"/>
                <w:color w:val="000000"/>
                <w:sz w:val="24"/>
              </w:rPr>
              <w:t xml:space="preserve">    </w:t>
            </w:r>
            <w:r>
              <w:rPr>
                <w:rFonts w:hint="eastAsia" w:ascii="宋体" w:hAnsi="宋体"/>
                <w:color w:val="000000"/>
                <w:sz w:val="24"/>
              </w:rPr>
              <w:t>下浮率在开标前在开标现场采取采取摇珠方式确定。摇珠操作办法如下：</w:t>
            </w:r>
          </w:p>
          <w:p>
            <w:pPr>
              <w:spacing w:line="400" w:lineRule="exact"/>
              <w:rPr>
                <w:rFonts w:ascii="宋体"/>
                <w:color w:val="auto"/>
                <w:sz w:val="24"/>
                <w:highlight w:val="yellow"/>
              </w:rPr>
            </w:pPr>
            <w:r>
              <w:rPr>
                <w:rFonts w:ascii="宋体" w:hAnsi="宋体"/>
                <w:color w:val="000000"/>
                <w:sz w:val="24"/>
              </w:rPr>
              <w:t xml:space="preserve">  </w:t>
            </w:r>
            <w:r>
              <w:rPr>
                <w:rFonts w:ascii="宋体" w:hAnsi="宋体"/>
                <w:color w:val="auto"/>
                <w:sz w:val="24"/>
              </w:rPr>
              <w:t xml:space="preserve">  </w:t>
            </w:r>
            <w:r>
              <w:rPr>
                <w:rFonts w:hint="eastAsia" w:ascii="宋体" w:hAnsi="宋体"/>
                <w:color w:val="auto"/>
                <w:sz w:val="24"/>
              </w:rPr>
              <w:t>在下浮率摇珠范围内，以</w:t>
            </w:r>
            <w:r>
              <w:rPr>
                <w:rFonts w:ascii="宋体" w:hAnsi="宋体"/>
                <w:color w:val="auto"/>
                <w:sz w:val="24"/>
              </w:rPr>
              <w:t>0.1%</w:t>
            </w:r>
            <w:r>
              <w:rPr>
                <w:rFonts w:hint="eastAsia" w:ascii="宋体" w:hAnsi="宋体"/>
                <w:color w:val="auto"/>
                <w:sz w:val="24"/>
              </w:rPr>
              <w:t>为一档次增序确定摇珠号码，不少于</w:t>
            </w:r>
            <w:r>
              <w:rPr>
                <w:rFonts w:ascii="宋体" w:hAnsi="宋体"/>
                <w:color w:val="auto"/>
                <w:sz w:val="24"/>
              </w:rPr>
              <w:t>21</w:t>
            </w:r>
            <w:r>
              <w:rPr>
                <w:rFonts w:hint="eastAsia" w:ascii="宋体" w:hAnsi="宋体"/>
                <w:color w:val="auto"/>
                <w:sz w:val="24"/>
              </w:rPr>
              <w:t>个球，一次性摇出</w:t>
            </w:r>
            <w:r>
              <w:rPr>
                <w:rFonts w:ascii="宋体" w:hAnsi="宋体"/>
                <w:color w:val="auto"/>
                <w:sz w:val="24"/>
              </w:rPr>
              <w:t>3</w:t>
            </w:r>
            <w:r>
              <w:rPr>
                <w:rFonts w:hint="eastAsia" w:ascii="宋体" w:hAnsi="宋体"/>
                <w:color w:val="auto"/>
                <w:sz w:val="24"/>
              </w:rPr>
              <w:t>个球，摇出</w:t>
            </w:r>
            <w:r>
              <w:rPr>
                <w:rFonts w:ascii="宋体" w:hAnsi="宋体"/>
                <w:color w:val="auto"/>
                <w:sz w:val="24"/>
              </w:rPr>
              <w:t xml:space="preserve"> 3 </w:t>
            </w:r>
            <w:r>
              <w:rPr>
                <w:rFonts w:hint="eastAsia" w:ascii="宋体" w:hAnsi="宋体"/>
                <w:color w:val="auto"/>
                <w:sz w:val="24"/>
              </w:rPr>
              <w:t>个球对应的下浮率的平均值即为本标段招标的下浮率。（注：下浮率摇珠浮动区间为</w:t>
            </w:r>
            <w:r>
              <w:rPr>
                <w:rFonts w:hint="eastAsia" w:ascii="宋体" w:hAnsi="宋体"/>
                <w:color w:val="auto"/>
                <w:sz w:val="24"/>
                <w:lang w:val="en-US" w:eastAsia="zh-CN"/>
              </w:rPr>
              <w:t>0</w:t>
            </w:r>
            <w:r>
              <w:rPr>
                <w:rFonts w:hint="eastAsia" w:ascii="宋体" w:hAnsi="宋体"/>
                <w:color w:val="auto"/>
                <w:sz w:val="24"/>
              </w:rPr>
              <w:t>-2%，三个下浮率的平均值四舍五入取整到</w:t>
            </w:r>
            <w:r>
              <w:rPr>
                <w:rFonts w:ascii="宋体" w:hAnsi="宋体"/>
                <w:color w:val="auto"/>
                <w:sz w:val="24"/>
              </w:rPr>
              <w:t xml:space="preserve"> 0.001</w:t>
            </w:r>
            <w:r>
              <w:rPr>
                <w:rFonts w:hint="eastAsia" w:ascii="宋体" w:hAnsi="宋体"/>
                <w:color w:val="auto"/>
                <w:sz w:val="24"/>
              </w:rPr>
              <w:t>％），即为本标段招标的下浮率。</w:t>
            </w:r>
          </w:p>
          <w:p>
            <w:pPr>
              <w:spacing w:line="400" w:lineRule="exact"/>
              <w:rPr>
                <w:rFonts w:ascii="宋体"/>
                <w:color w:val="auto"/>
                <w:sz w:val="24"/>
              </w:rPr>
            </w:pPr>
            <w:r>
              <w:rPr>
                <w:rFonts w:ascii="宋体" w:hAnsi="宋体"/>
                <w:color w:val="auto"/>
                <w:sz w:val="24"/>
              </w:rPr>
              <w:t xml:space="preserve">  </w:t>
            </w:r>
            <w:r>
              <w:rPr>
                <w:rFonts w:hint="eastAsia" w:ascii="宋体" w:hAnsi="宋体"/>
                <w:color w:val="auto"/>
                <w:sz w:val="24"/>
              </w:rPr>
              <w:t>招标人最高投标限价＝招标人控制价×（</w:t>
            </w:r>
            <w:r>
              <w:rPr>
                <w:rFonts w:ascii="宋体" w:hAnsi="宋体"/>
                <w:color w:val="auto"/>
                <w:sz w:val="24"/>
              </w:rPr>
              <w:t>1-</w:t>
            </w:r>
            <w:r>
              <w:rPr>
                <w:rFonts w:hint="eastAsia" w:ascii="宋体" w:hAnsi="宋体"/>
                <w:color w:val="auto"/>
                <w:sz w:val="24"/>
              </w:rPr>
              <w:t>下浮率）</w:t>
            </w:r>
          </w:p>
          <w:p>
            <w:pPr>
              <w:spacing w:line="400" w:lineRule="exact"/>
              <w:rPr>
                <w:rFonts w:ascii="宋体"/>
                <w:b/>
                <w:bCs/>
                <w:color w:val="auto"/>
                <w:sz w:val="24"/>
              </w:rPr>
            </w:pPr>
            <w:r>
              <w:rPr>
                <w:rFonts w:ascii="宋体" w:hAnsi="宋体"/>
                <w:b/>
                <w:bCs/>
                <w:color w:val="auto"/>
                <w:sz w:val="24"/>
              </w:rPr>
              <w:t>(3)</w:t>
            </w:r>
            <w:r>
              <w:rPr>
                <w:rFonts w:hint="eastAsia" w:ascii="宋体" w:hAnsi="宋体"/>
                <w:b/>
                <w:bCs/>
                <w:color w:val="auto"/>
                <w:sz w:val="24"/>
              </w:rPr>
              <w:t>有效评标价范围：</w:t>
            </w:r>
          </w:p>
          <w:p>
            <w:pPr>
              <w:spacing w:line="400" w:lineRule="exact"/>
              <w:ind w:firstLine="480"/>
              <w:rPr>
                <w:rFonts w:ascii="宋体"/>
                <w:color w:val="000000"/>
                <w:sz w:val="24"/>
              </w:rPr>
            </w:pPr>
            <w:r>
              <w:rPr>
                <w:rFonts w:hint="eastAsia" w:ascii="宋体" w:hAnsi="宋体"/>
                <w:color w:val="000000"/>
                <w:sz w:val="24"/>
              </w:rPr>
              <w:t>有效评标价范围为：不大于招标人最高投标限价的评标价为有效评标价。大于招标人最高投标限价的评标价，将否决其投标。</w:t>
            </w:r>
          </w:p>
          <w:p>
            <w:pPr>
              <w:spacing w:line="400" w:lineRule="exact"/>
              <w:rPr>
                <w:rFonts w:ascii="宋体"/>
                <w:b/>
                <w:bCs/>
                <w:color w:val="000000"/>
                <w:sz w:val="24"/>
              </w:rPr>
            </w:pPr>
            <w:r>
              <w:rPr>
                <w:rFonts w:hint="eastAsia" w:ascii="宋体" w:hAnsi="宋体"/>
                <w:b/>
                <w:bCs/>
                <w:color w:val="000000"/>
                <w:sz w:val="24"/>
              </w:rPr>
              <w:t>（</w:t>
            </w:r>
            <w:r>
              <w:rPr>
                <w:rFonts w:ascii="宋体" w:hAnsi="宋体"/>
                <w:b/>
                <w:bCs/>
                <w:color w:val="000000"/>
                <w:sz w:val="24"/>
              </w:rPr>
              <w:t>4</w:t>
            </w:r>
            <w:r>
              <w:rPr>
                <w:rFonts w:hint="eastAsia" w:ascii="宋体" w:hAnsi="宋体"/>
                <w:b/>
                <w:bCs/>
                <w:color w:val="000000"/>
                <w:sz w:val="24"/>
              </w:rPr>
              <w:t>）确定参与评标基准价计算的评标价平均值计算：</w:t>
            </w:r>
          </w:p>
          <w:p>
            <w:pPr>
              <w:spacing w:line="400" w:lineRule="exact"/>
              <w:rPr>
                <w:rFonts w:ascii="宋体"/>
                <w:color w:val="000000"/>
                <w:sz w:val="24"/>
              </w:rPr>
            </w:pPr>
            <w:r>
              <w:rPr>
                <w:rFonts w:ascii="宋体" w:hAnsi="宋体"/>
                <w:color w:val="000000"/>
                <w:sz w:val="24"/>
              </w:rPr>
              <w:t xml:space="preserve"> </w:t>
            </w:r>
            <w:r>
              <w:rPr>
                <w:rFonts w:hint="eastAsia" w:ascii="宋体" w:hAnsi="宋体"/>
                <w:color w:val="000000"/>
                <w:sz w:val="24"/>
              </w:rPr>
              <w:t>①参与评标基准价计算的评标价的范围：招标人最高投标限价的</w:t>
            </w:r>
            <w:r>
              <w:rPr>
                <w:rFonts w:ascii="宋体" w:hAnsi="宋体"/>
                <w:color w:val="000000"/>
                <w:sz w:val="24"/>
              </w:rPr>
              <w:t>85%</w:t>
            </w:r>
            <w:r>
              <w:rPr>
                <w:rFonts w:hint="eastAsia" w:ascii="宋体" w:hAnsi="宋体"/>
                <w:color w:val="000000"/>
                <w:sz w:val="24"/>
              </w:rPr>
              <w:t>≤参与评标基准价计算的评标价≤招标人最高投标限价的</w:t>
            </w:r>
            <w:r>
              <w:rPr>
                <w:rFonts w:ascii="宋体" w:hAnsi="宋体"/>
                <w:color w:val="000000"/>
                <w:sz w:val="24"/>
              </w:rPr>
              <w:t>100%</w:t>
            </w:r>
            <w:r>
              <w:rPr>
                <w:rFonts w:hint="eastAsia" w:ascii="宋体" w:hAnsi="宋体"/>
                <w:color w:val="000000"/>
                <w:sz w:val="24"/>
              </w:rPr>
              <w:t>，小于招标人最高投标限价的</w:t>
            </w:r>
            <w:r>
              <w:rPr>
                <w:rFonts w:ascii="宋体" w:hAnsi="宋体"/>
                <w:color w:val="000000"/>
                <w:sz w:val="24"/>
              </w:rPr>
              <w:t>85%</w:t>
            </w:r>
            <w:r>
              <w:rPr>
                <w:rFonts w:hint="eastAsia" w:ascii="宋体" w:hAnsi="宋体"/>
                <w:color w:val="000000"/>
                <w:sz w:val="24"/>
              </w:rPr>
              <w:t>的评标价不参与评标基准价的计算，但仍参与评标价的得分计算。</w:t>
            </w:r>
          </w:p>
          <w:p>
            <w:pPr>
              <w:spacing w:line="400" w:lineRule="exact"/>
              <w:rPr>
                <w:rFonts w:ascii="宋体"/>
                <w:color w:val="000000"/>
                <w:sz w:val="24"/>
              </w:rPr>
            </w:pPr>
            <w:r>
              <w:rPr>
                <w:rFonts w:ascii="宋体" w:hAnsi="宋体"/>
                <w:color w:val="000000"/>
                <w:sz w:val="24"/>
              </w:rPr>
              <w:t xml:space="preserve"> </w:t>
            </w:r>
            <w:r>
              <w:rPr>
                <w:rFonts w:hint="eastAsia" w:ascii="宋体" w:hAnsi="宋体"/>
                <w:color w:val="000000"/>
                <w:sz w:val="24"/>
              </w:rPr>
              <w:t>②参与评标基准价的评标价平均值计算：除按第二章“投标人须知”第</w:t>
            </w:r>
            <w:r>
              <w:rPr>
                <w:rFonts w:ascii="宋体" w:hAnsi="宋体"/>
                <w:color w:val="000000"/>
                <w:sz w:val="24"/>
              </w:rPr>
              <w:t>5.2.2</w:t>
            </w:r>
            <w:r>
              <w:rPr>
                <w:rFonts w:hint="eastAsia" w:ascii="宋体" w:hAnsi="宋体"/>
                <w:color w:val="000000"/>
                <w:sz w:val="24"/>
              </w:rPr>
              <w:t>项规定开标现场被宣布否决其投标的投标报价之外，在上述确定的参与评标基准价计算的评标价中去掉一个最高值和一个最低值后的算术平均值即为参与评标基准价计算的有效评标价平均值（如果参与评标价平均值计算的有效投标人少于</w:t>
            </w:r>
            <w:r>
              <w:rPr>
                <w:rFonts w:ascii="宋体" w:hAnsi="宋体"/>
                <w:color w:val="000000"/>
                <w:sz w:val="24"/>
              </w:rPr>
              <w:t>5</w:t>
            </w:r>
            <w:r>
              <w:rPr>
                <w:rFonts w:hint="eastAsia" w:ascii="宋体" w:hAnsi="宋体"/>
                <w:color w:val="000000"/>
                <w:sz w:val="24"/>
              </w:rPr>
              <w:t>家时，则计算上述平均值时不去掉最高值和最低值）。</w:t>
            </w:r>
          </w:p>
          <w:p>
            <w:pPr>
              <w:spacing w:line="400" w:lineRule="exact"/>
              <w:ind w:firstLine="480" w:firstLineChars="200"/>
              <w:rPr>
                <w:rFonts w:ascii="宋体"/>
                <w:color w:val="000000"/>
                <w:sz w:val="24"/>
              </w:rPr>
            </w:pPr>
            <w:r>
              <w:rPr>
                <w:rFonts w:hint="eastAsia" w:ascii="宋体" w:hAnsi="宋体"/>
                <w:color w:val="000000"/>
                <w:sz w:val="24"/>
              </w:rPr>
              <w:t>若投标人的评标价均小于招标人最高投标限价的</w:t>
            </w:r>
            <w:r>
              <w:rPr>
                <w:rFonts w:ascii="宋体" w:hAnsi="宋体"/>
                <w:color w:val="000000"/>
                <w:sz w:val="24"/>
              </w:rPr>
              <w:t>85%</w:t>
            </w:r>
            <w:r>
              <w:rPr>
                <w:rFonts w:hint="eastAsia" w:ascii="宋体" w:hAnsi="宋体"/>
                <w:color w:val="000000"/>
                <w:sz w:val="24"/>
              </w:rPr>
              <w:t>时，则以招标人最高投标限价的</w:t>
            </w:r>
            <w:r>
              <w:rPr>
                <w:rFonts w:ascii="宋体" w:hAnsi="宋体"/>
                <w:color w:val="000000"/>
                <w:sz w:val="24"/>
              </w:rPr>
              <w:t>85%</w:t>
            </w:r>
            <w:r>
              <w:rPr>
                <w:rFonts w:hint="eastAsia" w:ascii="宋体" w:hAnsi="宋体"/>
                <w:color w:val="000000"/>
                <w:sz w:val="24"/>
              </w:rPr>
              <w:t>为评标基准价，同时应对投标报价小于</w:t>
            </w:r>
            <w:r>
              <w:rPr>
                <w:rFonts w:ascii="宋体" w:hAnsi="宋体"/>
                <w:color w:val="000000"/>
                <w:sz w:val="24"/>
              </w:rPr>
              <w:t>85%</w:t>
            </w:r>
            <w:r>
              <w:rPr>
                <w:rFonts w:hint="eastAsia" w:ascii="宋体" w:hAnsi="宋体"/>
                <w:color w:val="000000"/>
                <w:sz w:val="24"/>
              </w:rPr>
              <w:t>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pPr>
              <w:spacing w:line="400" w:lineRule="exact"/>
              <w:ind w:firstLine="480" w:firstLineChars="200"/>
              <w:rPr>
                <w:rFonts w:ascii="宋体"/>
                <w:color w:val="000000"/>
                <w:sz w:val="24"/>
              </w:rPr>
            </w:pPr>
            <w:r>
              <w:rPr>
                <w:rFonts w:hint="eastAsia" w:ascii="宋体" w:hAnsi="宋体"/>
                <w:color w:val="000000"/>
                <w:sz w:val="24"/>
              </w:rPr>
              <w:t>即使某投标文件第二信封未通过形式评审与响应性评审，如其报价处于参与评标基准价计算的评标价的有效范围内，其评标价仍应参与有效评标价平均值的计算。</w:t>
            </w:r>
          </w:p>
          <w:p>
            <w:pPr>
              <w:spacing w:line="400" w:lineRule="exact"/>
              <w:rPr>
                <w:rFonts w:ascii="宋体"/>
                <w:b/>
                <w:bCs/>
                <w:color w:val="000000"/>
                <w:sz w:val="24"/>
              </w:rPr>
            </w:pPr>
            <w:r>
              <w:rPr>
                <w:rFonts w:hint="eastAsia" w:ascii="宋体" w:hAnsi="宋体"/>
                <w:b/>
                <w:bCs/>
                <w:color w:val="000000"/>
                <w:sz w:val="24"/>
              </w:rPr>
              <w:t>（</w:t>
            </w:r>
            <w:r>
              <w:rPr>
                <w:rFonts w:ascii="宋体" w:hAnsi="宋体"/>
                <w:b/>
                <w:bCs/>
                <w:color w:val="000000"/>
                <w:sz w:val="24"/>
              </w:rPr>
              <w:t>5</w:t>
            </w:r>
            <w:r>
              <w:rPr>
                <w:rFonts w:hint="eastAsia" w:ascii="宋体" w:hAnsi="宋体"/>
                <w:b/>
                <w:bCs/>
                <w:color w:val="000000"/>
                <w:sz w:val="24"/>
              </w:rPr>
              <w:t>）评标基准价的确定：</w:t>
            </w:r>
          </w:p>
          <w:p>
            <w:pPr>
              <w:spacing w:line="400" w:lineRule="exact"/>
              <w:rPr>
                <w:rFonts w:ascii="宋体"/>
                <w:color w:val="auto"/>
                <w:sz w:val="24"/>
              </w:rPr>
            </w:pPr>
            <w:r>
              <w:rPr>
                <w:rFonts w:ascii="宋体" w:hAnsi="宋体"/>
                <w:color w:val="000000"/>
                <w:sz w:val="24"/>
              </w:rPr>
              <w:t xml:space="preserve"> M</w:t>
            </w:r>
            <w:r>
              <w:rPr>
                <w:rFonts w:hint="eastAsia" w:ascii="宋体" w:hAnsi="宋体"/>
                <w:color w:val="000000"/>
                <w:sz w:val="24"/>
              </w:rPr>
              <w:t>×招标人最高投标限价</w:t>
            </w:r>
            <w:r>
              <w:rPr>
                <w:rFonts w:ascii="宋体" w:hAnsi="宋体"/>
                <w:color w:val="000000"/>
                <w:sz w:val="24"/>
              </w:rPr>
              <w:t>+N</w:t>
            </w:r>
            <w:r>
              <w:rPr>
                <w:rFonts w:hint="eastAsia" w:ascii="宋体" w:hAnsi="宋体"/>
                <w:color w:val="000000"/>
                <w:sz w:val="24"/>
              </w:rPr>
              <w:t>×参与评标基准价计算的有效评标价的平均</w:t>
            </w:r>
            <w:r>
              <w:rPr>
                <w:rFonts w:hint="eastAsia" w:ascii="宋体" w:hAnsi="宋体"/>
                <w:color w:val="auto"/>
                <w:sz w:val="24"/>
              </w:rPr>
              <w:t>值（</w:t>
            </w:r>
            <w:r>
              <w:rPr>
                <w:rFonts w:ascii="宋体" w:hAnsi="宋体"/>
                <w:color w:val="auto"/>
                <w:sz w:val="24"/>
              </w:rPr>
              <w:t>M</w:t>
            </w:r>
            <w:r>
              <w:rPr>
                <w:rFonts w:hint="eastAsia" w:ascii="宋体" w:hAnsi="宋体"/>
                <w:color w:val="auto"/>
                <w:sz w:val="24"/>
              </w:rPr>
              <w:t>选</w:t>
            </w:r>
            <w:r>
              <w:rPr>
                <w:rFonts w:ascii="宋体" w:hAnsi="宋体"/>
                <w:color w:val="auto"/>
                <w:sz w:val="24"/>
              </w:rPr>
              <w:t>0.</w:t>
            </w:r>
            <w:r>
              <w:rPr>
                <w:rFonts w:hint="eastAsia" w:ascii="宋体" w:hAnsi="宋体"/>
                <w:color w:val="auto"/>
                <w:sz w:val="24"/>
              </w:rPr>
              <w:t>5，</w:t>
            </w:r>
            <w:r>
              <w:rPr>
                <w:rFonts w:ascii="宋体" w:hAnsi="宋体"/>
                <w:color w:val="auto"/>
                <w:sz w:val="24"/>
              </w:rPr>
              <w:t>N</w:t>
            </w:r>
            <w:r>
              <w:rPr>
                <w:rFonts w:hint="eastAsia" w:ascii="宋体" w:hAnsi="宋体"/>
                <w:color w:val="auto"/>
                <w:sz w:val="24"/>
              </w:rPr>
              <w:t>选</w:t>
            </w:r>
            <w:r>
              <w:rPr>
                <w:rFonts w:ascii="宋体" w:hAnsi="宋体"/>
                <w:color w:val="auto"/>
                <w:sz w:val="24"/>
              </w:rPr>
              <w:t>0.</w:t>
            </w:r>
            <w:r>
              <w:rPr>
                <w:rFonts w:hint="eastAsia" w:ascii="宋体" w:hAnsi="宋体"/>
                <w:color w:val="auto"/>
                <w:sz w:val="24"/>
              </w:rPr>
              <w:t>5）。</w:t>
            </w:r>
          </w:p>
          <w:p>
            <w:pPr>
              <w:spacing w:line="360" w:lineRule="atLeast"/>
              <w:rPr>
                <w:szCs w:val="21"/>
              </w:rPr>
            </w:pPr>
            <w:r>
              <w:rPr>
                <w:rFonts w:hint="eastAsia" w:ascii="宋体" w:hAnsi="宋体"/>
                <w:color w:val="000000"/>
                <w:sz w:val="24"/>
              </w:rPr>
              <w:t>备注</w:t>
            </w:r>
            <w:r>
              <w:rPr>
                <w:rFonts w:ascii="宋体" w:hAnsi="宋体"/>
                <w:color w:val="000000"/>
                <w:sz w:val="24"/>
              </w:rPr>
              <w:t>:</w:t>
            </w:r>
            <w:r>
              <w:rPr>
                <w:rFonts w:hint="eastAsia" w:ascii="宋体" w:hAnsi="宋体"/>
                <w:color w:val="000000"/>
                <w:sz w:val="24"/>
              </w:rPr>
              <w:t>评标基准价四舍五入至个位整数元。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0" w:hRule="atLeast"/>
        </w:trPr>
        <w:tc>
          <w:tcPr>
            <w:tcW w:w="972" w:type="dxa"/>
            <w:tcBorders>
              <w:top w:val="single" w:color="auto" w:sz="4" w:space="0"/>
              <w:right w:val="single" w:color="auto" w:sz="4" w:space="0"/>
            </w:tcBorders>
            <w:vAlign w:val="center"/>
          </w:tcPr>
          <w:p>
            <w:pPr>
              <w:spacing w:line="400" w:lineRule="atLeast"/>
              <w:jc w:val="center"/>
              <w:rPr>
                <w:szCs w:val="21"/>
              </w:rPr>
            </w:pPr>
            <w:r>
              <w:rPr>
                <w:szCs w:val="21"/>
              </w:rPr>
              <w:t>2.2.3</w:t>
            </w:r>
          </w:p>
        </w:tc>
        <w:tc>
          <w:tcPr>
            <w:tcW w:w="1265" w:type="dxa"/>
            <w:gridSpan w:val="3"/>
            <w:tcBorders>
              <w:top w:val="single" w:color="auto" w:sz="4" w:space="0"/>
              <w:right w:val="single" w:color="auto" w:sz="4" w:space="0"/>
            </w:tcBorders>
            <w:vAlign w:val="center"/>
          </w:tcPr>
          <w:p>
            <w:pPr>
              <w:spacing w:line="400" w:lineRule="atLeast"/>
              <w:jc w:val="center"/>
              <w:rPr>
                <w:szCs w:val="21"/>
              </w:rPr>
            </w:pPr>
            <w:r>
              <w:rPr>
                <w:szCs w:val="21"/>
              </w:rPr>
              <w:t>评标价的偏差率计算公式</w:t>
            </w:r>
          </w:p>
        </w:tc>
        <w:tc>
          <w:tcPr>
            <w:tcW w:w="7522" w:type="dxa"/>
            <w:gridSpan w:val="5"/>
            <w:tcBorders>
              <w:top w:val="single" w:color="auto" w:sz="4" w:space="0"/>
              <w:left w:val="single" w:color="auto" w:sz="4" w:space="0"/>
              <w:right w:val="single" w:color="auto" w:sz="4" w:space="0"/>
            </w:tcBorders>
            <w:vAlign w:val="center"/>
          </w:tcPr>
          <w:p>
            <w:pPr>
              <w:spacing w:line="360" w:lineRule="atLeast"/>
              <w:rPr>
                <w:szCs w:val="21"/>
              </w:rPr>
            </w:pPr>
            <w:r>
              <w:rPr>
                <w:szCs w:val="21"/>
              </w:rPr>
              <w:t>偏差率=100% ×(投标人评标价－评标基准价)/评标基准价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700" w:type="dxa"/>
            <w:gridSpan w:val="8"/>
          </w:tcPr>
          <w:p>
            <w:pPr>
              <w:spacing w:line="420" w:lineRule="atLeast"/>
              <w:jc w:val="center"/>
              <w:rPr>
                <w:szCs w:val="21"/>
              </w:rPr>
            </w:pPr>
            <w:r>
              <w:rPr>
                <w:szCs w:val="21"/>
              </w:rPr>
              <w:t>评分因素与权重分值</w:t>
            </w:r>
          </w:p>
        </w:tc>
        <w:tc>
          <w:tcPr>
            <w:tcW w:w="4059" w:type="dxa"/>
            <w:vMerge w:val="restart"/>
            <w:vAlign w:val="center"/>
          </w:tcPr>
          <w:p>
            <w:pPr>
              <w:spacing w:line="420" w:lineRule="atLeast"/>
              <w:jc w:val="center"/>
              <w:rPr>
                <w:szCs w:val="21"/>
              </w:rPr>
            </w:pPr>
            <w:r>
              <w:rPr>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98" w:type="dxa"/>
            <w:gridSpan w:val="2"/>
            <w:vAlign w:val="center"/>
          </w:tcPr>
          <w:p>
            <w:pPr>
              <w:spacing w:line="420" w:lineRule="atLeast"/>
              <w:jc w:val="center"/>
              <w:rPr>
                <w:rFonts w:ascii="宋体" w:hAnsi="宋体"/>
                <w:szCs w:val="21"/>
              </w:rPr>
            </w:pPr>
            <w:r>
              <w:rPr>
                <w:rFonts w:ascii="宋体" w:hAnsi="宋体"/>
                <w:szCs w:val="21"/>
              </w:rPr>
              <w:t>条款号</w:t>
            </w:r>
          </w:p>
        </w:tc>
        <w:tc>
          <w:tcPr>
            <w:tcW w:w="1512" w:type="dxa"/>
            <w:gridSpan w:val="3"/>
            <w:vAlign w:val="center"/>
          </w:tcPr>
          <w:p>
            <w:pPr>
              <w:spacing w:line="420" w:lineRule="atLeast"/>
              <w:jc w:val="center"/>
              <w:rPr>
                <w:rFonts w:ascii="宋体" w:hAnsi="宋体"/>
                <w:szCs w:val="21"/>
              </w:rPr>
            </w:pPr>
            <w:r>
              <w:rPr>
                <w:rFonts w:ascii="宋体" w:hAnsi="宋体"/>
                <w:szCs w:val="21"/>
              </w:rPr>
              <w:t>评分因素</w:t>
            </w:r>
          </w:p>
        </w:tc>
        <w:tc>
          <w:tcPr>
            <w:tcW w:w="1201" w:type="dxa"/>
            <w:vAlign w:val="center"/>
          </w:tcPr>
          <w:p>
            <w:pPr>
              <w:spacing w:line="420" w:lineRule="atLeast"/>
              <w:jc w:val="center"/>
              <w:rPr>
                <w:rFonts w:ascii="宋体" w:hAnsi="宋体"/>
                <w:szCs w:val="21"/>
              </w:rPr>
            </w:pPr>
            <w:r>
              <w:rPr>
                <w:rFonts w:ascii="宋体" w:hAnsi="宋体"/>
                <w:szCs w:val="21"/>
              </w:rPr>
              <w:t>评分因素权重分值</w:t>
            </w:r>
          </w:p>
        </w:tc>
        <w:tc>
          <w:tcPr>
            <w:tcW w:w="1084" w:type="dxa"/>
            <w:vAlign w:val="center"/>
          </w:tcPr>
          <w:p>
            <w:pPr>
              <w:spacing w:line="420" w:lineRule="atLeast"/>
              <w:jc w:val="center"/>
              <w:rPr>
                <w:rFonts w:ascii="宋体" w:hAnsi="宋体"/>
                <w:szCs w:val="21"/>
              </w:rPr>
            </w:pPr>
            <w:r>
              <w:rPr>
                <w:rFonts w:ascii="宋体" w:hAnsi="宋体"/>
                <w:szCs w:val="21"/>
              </w:rPr>
              <w:t>各评分因素细分项</w:t>
            </w:r>
          </w:p>
        </w:tc>
        <w:tc>
          <w:tcPr>
            <w:tcW w:w="905" w:type="dxa"/>
            <w:vAlign w:val="center"/>
          </w:tcPr>
          <w:p>
            <w:pPr>
              <w:spacing w:line="420" w:lineRule="atLeast"/>
              <w:jc w:val="center"/>
              <w:rPr>
                <w:rFonts w:ascii="宋体" w:hAnsi="宋体"/>
                <w:szCs w:val="21"/>
              </w:rPr>
            </w:pPr>
            <w:r>
              <w:rPr>
                <w:rFonts w:ascii="宋体" w:hAnsi="宋体"/>
                <w:szCs w:val="21"/>
              </w:rPr>
              <w:t>分值</w:t>
            </w:r>
          </w:p>
        </w:tc>
        <w:tc>
          <w:tcPr>
            <w:tcW w:w="4059" w:type="dxa"/>
            <w:vMerge w:val="continue"/>
          </w:tcPr>
          <w:p>
            <w:pPr>
              <w:spacing w:line="4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gridSpan w:val="2"/>
            <w:vMerge w:val="restart"/>
            <w:vAlign w:val="center"/>
          </w:tcPr>
          <w:p>
            <w:pPr>
              <w:spacing w:line="420" w:lineRule="atLeast"/>
              <w:jc w:val="center"/>
              <w:rPr>
                <w:sz w:val="24"/>
                <w:szCs w:val="24"/>
              </w:rPr>
            </w:pPr>
            <w:r>
              <w:rPr>
                <w:sz w:val="24"/>
                <w:szCs w:val="24"/>
              </w:rPr>
              <w:t>2.2.4(</w:t>
            </w:r>
            <w:r>
              <w:rPr>
                <w:rFonts w:hint="eastAsia"/>
                <w:sz w:val="24"/>
                <w:szCs w:val="24"/>
              </w:rPr>
              <w:t>1</w:t>
            </w:r>
            <w:r>
              <w:rPr>
                <w:sz w:val="24"/>
                <w:szCs w:val="24"/>
              </w:rPr>
              <w:t>)</w:t>
            </w:r>
          </w:p>
        </w:tc>
        <w:tc>
          <w:tcPr>
            <w:tcW w:w="1512" w:type="dxa"/>
            <w:gridSpan w:val="3"/>
            <w:vMerge w:val="restart"/>
            <w:vAlign w:val="center"/>
          </w:tcPr>
          <w:p>
            <w:pPr>
              <w:spacing w:line="420" w:lineRule="atLeast"/>
              <w:jc w:val="center"/>
              <w:rPr>
                <w:sz w:val="24"/>
                <w:szCs w:val="24"/>
              </w:rPr>
            </w:pPr>
            <w:r>
              <w:rPr>
                <w:rFonts w:hint="eastAsia"/>
                <w:sz w:val="24"/>
                <w:szCs w:val="24"/>
              </w:rPr>
              <w:t>施工组织设计</w:t>
            </w:r>
          </w:p>
        </w:tc>
        <w:tc>
          <w:tcPr>
            <w:tcW w:w="1201" w:type="dxa"/>
            <w:vMerge w:val="restart"/>
            <w:vAlign w:val="center"/>
          </w:tcPr>
          <w:p>
            <w:pPr>
              <w:spacing w:line="420" w:lineRule="atLeast"/>
              <w:jc w:val="center"/>
              <w:rPr>
                <w:sz w:val="24"/>
                <w:szCs w:val="24"/>
              </w:rPr>
            </w:pPr>
            <w:r>
              <w:rPr>
                <w:rFonts w:hint="eastAsia" w:eastAsia="隶书"/>
                <w:sz w:val="24"/>
                <w:szCs w:val="24"/>
                <w:u w:val="single"/>
                <w:lang w:val="en-US" w:eastAsia="zh-CN"/>
              </w:rPr>
              <w:t>7</w:t>
            </w:r>
            <w:r>
              <w:rPr>
                <w:rFonts w:eastAsia="隶书"/>
                <w:sz w:val="24"/>
                <w:szCs w:val="24"/>
              </w:rPr>
              <w:t>分</w:t>
            </w:r>
          </w:p>
        </w:tc>
        <w:tc>
          <w:tcPr>
            <w:tcW w:w="1084" w:type="dxa"/>
            <w:vAlign w:val="center"/>
          </w:tcPr>
          <w:p>
            <w:pPr>
              <w:spacing w:line="420" w:lineRule="atLeast"/>
              <w:rPr>
                <w:rFonts w:ascii="宋体" w:hAnsi="宋体"/>
                <w:sz w:val="24"/>
                <w:szCs w:val="24"/>
              </w:rPr>
            </w:pPr>
            <w:r>
              <w:rPr>
                <w:rFonts w:hint="eastAsia" w:ascii="宋体" w:hAnsi="宋体"/>
                <w:sz w:val="24"/>
                <w:szCs w:val="24"/>
              </w:rPr>
              <w:t>工期保证体系及保证措施</w:t>
            </w:r>
          </w:p>
        </w:tc>
        <w:tc>
          <w:tcPr>
            <w:tcW w:w="905" w:type="dxa"/>
            <w:vAlign w:val="center"/>
          </w:tcPr>
          <w:p>
            <w:pPr>
              <w:spacing w:line="420" w:lineRule="atLeas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分</w:t>
            </w:r>
          </w:p>
        </w:tc>
        <w:tc>
          <w:tcPr>
            <w:tcW w:w="4059" w:type="dxa"/>
            <w:vAlign w:val="center"/>
          </w:tcPr>
          <w:p>
            <w:pPr>
              <w:keepNext w:val="0"/>
              <w:keepLines w:val="0"/>
              <w:pageBreakBefore w:val="0"/>
              <w:widowControl w:val="0"/>
              <w:tabs>
                <w:tab w:val="left" w:pos="380"/>
                <w:tab w:val="left" w:pos="840"/>
                <w:tab w:val="left" w:pos="1260"/>
              </w:tabs>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1、进度</w:t>
            </w:r>
            <w:r>
              <w:rPr>
                <w:rFonts w:ascii="宋体" w:hAnsi="宋体"/>
                <w:sz w:val="24"/>
                <w:szCs w:val="24"/>
              </w:rPr>
              <w:t>控制措施得当，对</w:t>
            </w:r>
            <w:r>
              <w:rPr>
                <w:rFonts w:hint="eastAsia" w:ascii="宋体" w:hAnsi="宋体"/>
                <w:sz w:val="24"/>
                <w:szCs w:val="24"/>
              </w:rPr>
              <w:t>本项目的工期重要性理解特别透彻，对地形地貌特征、</w:t>
            </w:r>
            <w:r>
              <w:rPr>
                <w:rFonts w:ascii="宋体" w:hAnsi="宋体"/>
                <w:sz w:val="24"/>
                <w:szCs w:val="24"/>
              </w:rPr>
              <w:t>重点工序、天气、关键设备故障、</w:t>
            </w:r>
            <w:r>
              <w:rPr>
                <w:rFonts w:hint="eastAsia" w:ascii="宋体" w:hAnsi="宋体"/>
                <w:sz w:val="24"/>
                <w:szCs w:val="24"/>
              </w:rPr>
              <w:t>与</w:t>
            </w:r>
            <w:r>
              <w:rPr>
                <w:rFonts w:ascii="宋体" w:hAnsi="宋体"/>
                <w:sz w:val="24"/>
                <w:szCs w:val="24"/>
              </w:rPr>
              <w:t>其他承包人衔接、社会环境等问题有切实可行的应</w:t>
            </w:r>
            <w:r>
              <w:rPr>
                <w:rFonts w:hint="eastAsia" w:ascii="宋体" w:hAnsi="宋体"/>
                <w:sz w:val="24"/>
                <w:szCs w:val="24"/>
              </w:rPr>
              <w:t>对或应</w:t>
            </w:r>
            <w:r>
              <w:rPr>
                <w:rFonts w:ascii="宋体" w:hAnsi="宋体"/>
                <w:sz w:val="24"/>
                <w:szCs w:val="24"/>
              </w:rPr>
              <w:t>急方案，计划</w:t>
            </w:r>
            <w:r>
              <w:rPr>
                <w:rFonts w:hint="eastAsia" w:ascii="宋体" w:hAnsi="宋体"/>
                <w:sz w:val="24"/>
                <w:szCs w:val="24"/>
              </w:rPr>
              <w:t>科学合理</w:t>
            </w:r>
            <w:r>
              <w:rPr>
                <w:rFonts w:ascii="宋体" w:hAnsi="宋体"/>
                <w:sz w:val="24"/>
                <w:szCs w:val="24"/>
              </w:rPr>
              <w:t>，</w:t>
            </w:r>
            <w:r>
              <w:rPr>
                <w:rFonts w:hint="eastAsia" w:ascii="宋体" w:hAnsi="宋体"/>
                <w:sz w:val="24"/>
                <w:szCs w:val="24"/>
              </w:rPr>
              <w:t>可操作性</w:t>
            </w:r>
            <w:r>
              <w:rPr>
                <w:rFonts w:ascii="宋体" w:hAnsi="宋体"/>
                <w:sz w:val="24"/>
                <w:szCs w:val="24"/>
              </w:rPr>
              <w:t>高，得</w:t>
            </w:r>
            <w:r>
              <w:rPr>
                <w:rFonts w:hint="eastAsia" w:ascii="宋体" w:hAnsi="宋体"/>
                <w:sz w:val="24"/>
                <w:szCs w:val="24"/>
                <w:lang w:val="en-US" w:eastAsia="zh-CN"/>
              </w:rPr>
              <w:t>2</w:t>
            </w:r>
            <w:r>
              <w:rPr>
                <w:rFonts w:hint="eastAsia" w:ascii="宋体" w:hAnsi="宋体"/>
                <w:sz w:val="24"/>
                <w:szCs w:val="24"/>
              </w:rPr>
              <w:t>分；</w:t>
            </w:r>
          </w:p>
          <w:p>
            <w:pPr>
              <w:keepNext w:val="0"/>
              <w:keepLines w:val="0"/>
              <w:pageBreakBefore w:val="0"/>
              <w:widowControl w:val="0"/>
              <w:tabs>
                <w:tab w:val="left" w:pos="380"/>
                <w:tab w:val="left" w:pos="840"/>
                <w:tab w:val="left" w:pos="1260"/>
              </w:tabs>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2、工期保证体系及保证措施基本可行，内容较为充实、全面的，得1.2～</w:t>
            </w:r>
            <w:r>
              <w:rPr>
                <w:rFonts w:hint="eastAsia" w:ascii="宋体" w:hAnsi="宋体"/>
                <w:sz w:val="24"/>
                <w:szCs w:val="24"/>
                <w:lang w:val="en-US" w:eastAsia="zh-CN"/>
              </w:rPr>
              <w:t>2</w:t>
            </w:r>
            <w:r>
              <w:rPr>
                <w:rFonts w:hint="eastAsia" w:ascii="宋体" w:hAnsi="宋体"/>
                <w:sz w:val="24"/>
                <w:szCs w:val="24"/>
              </w:rPr>
              <w:t>分；</w:t>
            </w:r>
          </w:p>
          <w:p>
            <w:pPr>
              <w:keepNext w:val="0"/>
              <w:keepLines w:val="0"/>
              <w:pageBreakBefore w:val="0"/>
              <w:widowControl w:val="0"/>
              <w:tabs>
                <w:tab w:val="left" w:pos="380"/>
                <w:tab w:val="left" w:pos="840"/>
                <w:tab w:val="left" w:pos="1260"/>
              </w:tabs>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3、一般但不被评定为不响应的,起评分</w:t>
            </w:r>
            <w:r>
              <w:rPr>
                <w:rFonts w:hint="eastAsia" w:ascii="宋体" w:hAnsi="宋体"/>
                <w:sz w:val="24"/>
                <w:szCs w:val="24"/>
                <w:lang w:val="en-US" w:eastAsia="zh-CN"/>
              </w:rPr>
              <w:t>1.2</w:t>
            </w:r>
            <w:r>
              <w:rPr>
                <w:rFonts w:ascii="宋体" w:hAnsi="宋体"/>
                <w:sz w:val="24"/>
                <w:szCs w:val="24"/>
              </w:rPr>
              <w:t>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gridSpan w:val="2"/>
            <w:vMerge w:val="continue"/>
            <w:vAlign w:val="center"/>
          </w:tcPr>
          <w:p>
            <w:pPr>
              <w:spacing w:line="420" w:lineRule="atLeast"/>
              <w:jc w:val="center"/>
              <w:rPr>
                <w:sz w:val="24"/>
                <w:szCs w:val="24"/>
              </w:rPr>
            </w:pPr>
          </w:p>
        </w:tc>
        <w:tc>
          <w:tcPr>
            <w:tcW w:w="1512" w:type="dxa"/>
            <w:gridSpan w:val="3"/>
            <w:vMerge w:val="continue"/>
            <w:vAlign w:val="center"/>
          </w:tcPr>
          <w:p>
            <w:pPr>
              <w:spacing w:line="420" w:lineRule="atLeast"/>
              <w:jc w:val="center"/>
              <w:rPr>
                <w:sz w:val="24"/>
                <w:szCs w:val="24"/>
              </w:rPr>
            </w:pPr>
          </w:p>
        </w:tc>
        <w:tc>
          <w:tcPr>
            <w:tcW w:w="1201" w:type="dxa"/>
            <w:vMerge w:val="continue"/>
            <w:vAlign w:val="center"/>
          </w:tcPr>
          <w:p>
            <w:pPr>
              <w:spacing w:line="420" w:lineRule="atLeast"/>
              <w:jc w:val="center"/>
              <w:rPr>
                <w:sz w:val="24"/>
                <w:szCs w:val="24"/>
              </w:rPr>
            </w:pPr>
          </w:p>
        </w:tc>
        <w:tc>
          <w:tcPr>
            <w:tcW w:w="1084" w:type="dxa"/>
            <w:vAlign w:val="center"/>
          </w:tcPr>
          <w:p>
            <w:pPr>
              <w:spacing w:line="420" w:lineRule="atLeast"/>
              <w:rPr>
                <w:rFonts w:ascii="宋体" w:hAnsi="宋体"/>
                <w:sz w:val="24"/>
                <w:szCs w:val="24"/>
              </w:rPr>
            </w:pPr>
            <w:r>
              <w:rPr>
                <w:rFonts w:hint="eastAsia" w:ascii="宋体" w:hAnsi="宋体"/>
                <w:sz w:val="24"/>
                <w:szCs w:val="24"/>
              </w:rPr>
              <w:t>质量、安全保证体系及保证措施</w:t>
            </w:r>
          </w:p>
        </w:tc>
        <w:tc>
          <w:tcPr>
            <w:tcW w:w="905" w:type="dxa"/>
            <w:vAlign w:val="center"/>
          </w:tcPr>
          <w:p>
            <w:pPr>
              <w:spacing w:line="420" w:lineRule="atLeas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分</w:t>
            </w:r>
          </w:p>
        </w:tc>
        <w:tc>
          <w:tcPr>
            <w:tcW w:w="4059" w:type="dxa"/>
            <w:vAlign w:val="center"/>
          </w:tcPr>
          <w:p>
            <w:pPr>
              <w:keepNext w:val="0"/>
              <w:keepLines w:val="0"/>
              <w:pageBreakBefore w:val="0"/>
              <w:widowControl w:val="0"/>
              <w:tabs>
                <w:tab w:val="left" w:pos="1260"/>
              </w:tabs>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1、对本项目质量及安全控制有透彻的认识，对施工过程中可能发生的各种质量和安全问题有深刻的认识和合理的预见，并有相应的应对措施，应对措施应科学、充分，能有效处理各种突发问题的，得</w:t>
            </w:r>
            <w:r>
              <w:rPr>
                <w:rFonts w:hint="eastAsia" w:ascii="宋体" w:hAnsi="宋体"/>
                <w:sz w:val="24"/>
                <w:szCs w:val="24"/>
                <w:lang w:val="en-US" w:eastAsia="zh-CN"/>
              </w:rPr>
              <w:t>3</w:t>
            </w:r>
            <w:r>
              <w:rPr>
                <w:rFonts w:hint="eastAsia" w:ascii="宋体" w:hAnsi="宋体"/>
                <w:sz w:val="24"/>
                <w:szCs w:val="24"/>
              </w:rPr>
              <w:t>分；</w:t>
            </w:r>
          </w:p>
          <w:p>
            <w:pPr>
              <w:keepNext w:val="0"/>
              <w:keepLines w:val="0"/>
              <w:pageBreakBefore w:val="0"/>
              <w:widowControl w:val="0"/>
              <w:tabs>
                <w:tab w:val="left" w:pos="1260"/>
              </w:tabs>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2、对本项目质量及安全控制有一定的认识，基本能合理的预见施工过程中可能发生的各种质量和安全问题，并有相应的应对措施，应对措施较为科学、充分，基本能有效处理各种质量和安全问题的，得1.</w:t>
            </w: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3、一般但不被评定为不响应的,起评分1.</w:t>
            </w:r>
            <w:r>
              <w:rPr>
                <w:rFonts w:hint="eastAsia" w:ascii="宋体" w:hAnsi="宋体"/>
                <w:sz w:val="24"/>
                <w:szCs w:val="24"/>
                <w:lang w:val="en-US" w:eastAsia="zh-CN"/>
              </w:rPr>
              <w:t>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gridSpan w:val="2"/>
            <w:vMerge w:val="continue"/>
            <w:vAlign w:val="center"/>
          </w:tcPr>
          <w:p>
            <w:pPr>
              <w:spacing w:line="420" w:lineRule="atLeast"/>
              <w:jc w:val="center"/>
              <w:rPr>
                <w:sz w:val="24"/>
                <w:szCs w:val="24"/>
              </w:rPr>
            </w:pPr>
          </w:p>
        </w:tc>
        <w:tc>
          <w:tcPr>
            <w:tcW w:w="1512" w:type="dxa"/>
            <w:gridSpan w:val="3"/>
            <w:vMerge w:val="continue"/>
            <w:vAlign w:val="center"/>
          </w:tcPr>
          <w:p>
            <w:pPr>
              <w:spacing w:line="420" w:lineRule="atLeast"/>
              <w:jc w:val="center"/>
              <w:rPr>
                <w:sz w:val="24"/>
                <w:szCs w:val="24"/>
              </w:rPr>
            </w:pPr>
          </w:p>
        </w:tc>
        <w:tc>
          <w:tcPr>
            <w:tcW w:w="1201" w:type="dxa"/>
            <w:vMerge w:val="continue"/>
            <w:vAlign w:val="center"/>
          </w:tcPr>
          <w:p>
            <w:pPr>
              <w:spacing w:line="420" w:lineRule="atLeast"/>
              <w:jc w:val="center"/>
              <w:rPr>
                <w:sz w:val="24"/>
                <w:szCs w:val="24"/>
              </w:rPr>
            </w:pPr>
          </w:p>
        </w:tc>
        <w:tc>
          <w:tcPr>
            <w:tcW w:w="1084" w:type="dxa"/>
            <w:vAlign w:val="center"/>
          </w:tcPr>
          <w:p>
            <w:pPr>
              <w:spacing w:line="420" w:lineRule="atLeast"/>
              <w:rPr>
                <w:rFonts w:ascii="宋体" w:hAnsi="宋体"/>
                <w:sz w:val="24"/>
                <w:szCs w:val="24"/>
              </w:rPr>
            </w:pPr>
            <w:r>
              <w:rPr>
                <w:rFonts w:hint="eastAsia" w:ascii="宋体" w:hAnsi="宋体"/>
                <w:sz w:val="24"/>
                <w:szCs w:val="24"/>
              </w:rPr>
              <w:t>环境保护、文明施工保证体系及措施</w:t>
            </w:r>
          </w:p>
        </w:tc>
        <w:tc>
          <w:tcPr>
            <w:tcW w:w="905" w:type="dxa"/>
            <w:vAlign w:val="center"/>
          </w:tcPr>
          <w:p>
            <w:pPr>
              <w:spacing w:line="420" w:lineRule="atLeas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分</w:t>
            </w:r>
          </w:p>
        </w:tc>
        <w:tc>
          <w:tcPr>
            <w:tcW w:w="4059" w:type="dxa"/>
            <w:vAlign w:val="center"/>
          </w:tcPr>
          <w:p>
            <w:pPr>
              <w:keepNext w:val="0"/>
              <w:keepLines w:val="0"/>
              <w:pageBreakBefore w:val="0"/>
              <w:widowControl w:val="0"/>
              <w:tabs>
                <w:tab w:val="left" w:pos="1260"/>
              </w:tabs>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1、对本项目的环保及文明施工等工作有独到的见解，能制定科学的措施，施工做到符合环保的要求，对文明施工有相应的措施，能创造良好的施工环境的，得</w:t>
            </w:r>
            <w:r>
              <w:rPr>
                <w:rFonts w:hint="eastAsia" w:ascii="宋体" w:hAnsi="宋体"/>
                <w:sz w:val="24"/>
                <w:szCs w:val="24"/>
                <w:lang w:val="en-US" w:eastAsia="zh-CN"/>
              </w:rPr>
              <w:t>2</w:t>
            </w:r>
            <w:r>
              <w:rPr>
                <w:rFonts w:hint="eastAsia" w:ascii="宋体" w:hAnsi="宋体"/>
                <w:sz w:val="24"/>
                <w:szCs w:val="24"/>
              </w:rPr>
              <w:t>分；</w:t>
            </w:r>
          </w:p>
          <w:p>
            <w:pPr>
              <w:keepNext w:val="0"/>
              <w:keepLines w:val="0"/>
              <w:pageBreakBefore w:val="0"/>
              <w:widowControl w:val="0"/>
              <w:tabs>
                <w:tab w:val="left" w:pos="1260"/>
              </w:tabs>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2、对工程环保及文明施工等工作制定有相关的措施，基本能满足本项目环保及文明施工的要求的，得1.2～</w:t>
            </w:r>
            <w:r>
              <w:rPr>
                <w:rFonts w:hint="eastAsia" w:ascii="宋体" w:hAnsi="宋体"/>
                <w:sz w:val="24"/>
                <w:szCs w:val="24"/>
                <w:lang w:val="en-US" w:eastAsia="zh-CN"/>
              </w:rPr>
              <w:t>2</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both"/>
              <w:textAlignment w:val="auto"/>
              <w:outlineLvl w:val="9"/>
              <w:rPr>
                <w:rFonts w:hint="eastAsia" w:ascii="宋体" w:hAnsi="宋体"/>
                <w:sz w:val="24"/>
                <w:szCs w:val="24"/>
              </w:rPr>
            </w:pPr>
            <w:r>
              <w:rPr>
                <w:rFonts w:hint="eastAsia" w:ascii="宋体" w:hAnsi="宋体"/>
                <w:sz w:val="24"/>
                <w:szCs w:val="24"/>
              </w:rPr>
              <w:t>3、一般但不被评定为不响应的,起评分</w:t>
            </w:r>
            <w:r>
              <w:rPr>
                <w:rFonts w:hint="eastAsia" w:ascii="宋体" w:hAnsi="宋体"/>
                <w:sz w:val="24"/>
                <w:szCs w:val="24"/>
                <w:lang w:val="en-US" w:eastAsia="zh-CN"/>
              </w:rPr>
              <w:t>1.2</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both"/>
              <w:textAlignment w:val="auto"/>
              <w:outlineLvl w:val="9"/>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both"/>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8" w:type="dxa"/>
            <w:gridSpan w:val="2"/>
            <w:vAlign w:val="center"/>
          </w:tcPr>
          <w:p>
            <w:pPr>
              <w:spacing w:line="420" w:lineRule="atLeast"/>
              <w:jc w:val="center"/>
              <w:rPr>
                <w:sz w:val="24"/>
                <w:szCs w:val="24"/>
              </w:rPr>
            </w:pPr>
            <w:r>
              <w:rPr>
                <w:sz w:val="24"/>
                <w:szCs w:val="24"/>
              </w:rPr>
              <w:t>2.2.4(3)</w:t>
            </w:r>
          </w:p>
        </w:tc>
        <w:tc>
          <w:tcPr>
            <w:tcW w:w="1512" w:type="dxa"/>
            <w:gridSpan w:val="3"/>
            <w:vAlign w:val="center"/>
          </w:tcPr>
          <w:p>
            <w:pPr>
              <w:spacing w:line="420" w:lineRule="atLeast"/>
              <w:jc w:val="center"/>
              <w:rPr>
                <w:sz w:val="24"/>
                <w:szCs w:val="24"/>
              </w:rPr>
            </w:pPr>
            <w:r>
              <w:rPr>
                <w:sz w:val="24"/>
                <w:szCs w:val="24"/>
              </w:rPr>
              <w:t>评标价</w:t>
            </w:r>
          </w:p>
        </w:tc>
        <w:tc>
          <w:tcPr>
            <w:tcW w:w="1201" w:type="dxa"/>
            <w:vAlign w:val="center"/>
          </w:tcPr>
          <w:p>
            <w:pPr>
              <w:spacing w:line="420" w:lineRule="atLeast"/>
              <w:rPr>
                <w:rFonts w:eastAsia="隶书"/>
                <w:sz w:val="24"/>
                <w:szCs w:val="24"/>
              </w:rPr>
            </w:pPr>
            <w:r>
              <w:rPr>
                <w:rFonts w:hint="eastAsia" w:eastAsia="隶书"/>
                <w:sz w:val="24"/>
                <w:szCs w:val="24"/>
                <w:u w:val="single"/>
                <w:lang w:val="en-US" w:eastAsia="zh-CN"/>
              </w:rPr>
              <w:t>80</w:t>
            </w:r>
            <w:r>
              <w:rPr>
                <w:rFonts w:eastAsia="隶书"/>
                <w:sz w:val="24"/>
                <w:szCs w:val="24"/>
              </w:rPr>
              <w:t>分</w:t>
            </w:r>
          </w:p>
        </w:tc>
        <w:tc>
          <w:tcPr>
            <w:tcW w:w="6048" w:type="dxa"/>
            <w:gridSpan w:val="3"/>
          </w:tcPr>
          <w:p>
            <w:pPr>
              <w:spacing w:line="400" w:lineRule="atLeast"/>
              <w:rPr>
                <w:rFonts w:ascii="宋体" w:hAnsi="宋体"/>
                <w:sz w:val="24"/>
                <w:szCs w:val="24"/>
              </w:rPr>
            </w:pPr>
            <w:r>
              <w:rPr>
                <w:rFonts w:ascii="宋体" w:hAnsi="宋体"/>
                <w:sz w:val="24"/>
                <w:szCs w:val="24"/>
              </w:rPr>
              <w:t>评标价得分计算公式示例：</w:t>
            </w:r>
          </w:p>
          <w:p>
            <w:pPr>
              <w:spacing w:line="400" w:lineRule="atLeast"/>
              <w:rPr>
                <w:rFonts w:ascii="宋体" w:hAnsi="宋体"/>
                <w:sz w:val="24"/>
                <w:szCs w:val="24"/>
              </w:rPr>
            </w:pPr>
            <w:r>
              <w:rPr>
                <w:rFonts w:ascii="宋体" w:hAnsi="宋体"/>
                <w:sz w:val="24"/>
                <w:szCs w:val="24"/>
              </w:rPr>
              <w:t xml:space="preserve">(1)如果投标人的评标价&gt;评标基准价，则评标价得分＝F－偏差率×100× </w:t>
            </w:r>
            <w:r>
              <w:rPr>
                <w:rFonts w:hint="eastAsia" w:ascii="宋体" w:hAnsi="宋体"/>
                <w:sz w:val="24"/>
                <w:szCs w:val="24"/>
              </w:rPr>
              <w:t>D1</w:t>
            </w:r>
            <w:r>
              <w:rPr>
                <w:rFonts w:ascii="宋体" w:hAnsi="宋体"/>
                <w:sz w:val="24"/>
                <w:szCs w:val="24"/>
              </w:rPr>
              <w:t>；</w:t>
            </w:r>
            <w:r>
              <w:rPr>
                <w:rFonts w:hint="eastAsia" w:ascii="宋体" w:hAnsi="宋体"/>
                <w:sz w:val="24"/>
                <w:szCs w:val="24"/>
              </w:rPr>
              <w:t>D1取 1 ；</w:t>
            </w:r>
          </w:p>
          <w:p>
            <w:pPr>
              <w:spacing w:line="400" w:lineRule="atLeast"/>
              <w:rPr>
                <w:rFonts w:ascii="宋体" w:hAnsi="宋体"/>
                <w:sz w:val="24"/>
                <w:szCs w:val="24"/>
              </w:rPr>
            </w:pPr>
            <w:r>
              <w:rPr>
                <w:rFonts w:ascii="宋体" w:hAnsi="宋体"/>
                <w:sz w:val="24"/>
                <w:szCs w:val="24"/>
              </w:rPr>
              <w:t>(2)如果投标人的评标价≤评标基准价，则评标价得分＝F＋偏差率× 100×</w:t>
            </w:r>
            <w:r>
              <w:rPr>
                <w:rFonts w:hint="eastAsia" w:ascii="宋体" w:hAnsi="宋体"/>
                <w:sz w:val="24"/>
                <w:szCs w:val="24"/>
              </w:rPr>
              <w:t>D2；D2＝0.5。</w:t>
            </w:r>
          </w:p>
          <w:p>
            <w:pPr>
              <w:spacing w:line="420" w:lineRule="atLeast"/>
              <w:rPr>
                <w:rFonts w:ascii="宋体" w:hAnsi="宋体"/>
                <w:sz w:val="24"/>
                <w:szCs w:val="24"/>
              </w:rPr>
            </w:pPr>
            <w:r>
              <w:rPr>
                <w:rFonts w:hint="eastAsia" w:ascii="宋体" w:hAnsi="宋体"/>
                <w:sz w:val="24"/>
                <w:szCs w:val="24"/>
              </w:rPr>
              <w:t>注：评标价得分四舍五入至小数点后两位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98" w:type="dxa"/>
            <w:gridSpan w:val="2"/>
            <w:vMerge w:val="restart"/>
            <w:vAlign w:val="center"/>
          </w:tcPr>
          <w:p>
            <w:pPr>
              <w:spacing w:line="420" w:lineRule="atLeast"/>
              <w:jc w:val="center"/>
              <w:rPr>
                <w:rFonts w:eastAsia="隶书"/>
                <w:sz w:val="24"/>
                <w:szCs w:val="24"/>
              </w:rPr>
            </w:pPr>
            <w:r>
              <w:rPr>
                <w:sz w:val="24"/>
                <w:szCs w:val="24"/>
              </w:rPr>
              <w:t>2.2.4(</w:t>
            </w:r>
            <w:r>
              <w:rPr>
                <w:rFonts w:hint="eastAsia"/>
                <w:sz w:val="24"/>
                <w:szCs w:val="24"/>
                <w:lang w:val="en-US" w:eastAsia="zh-CN"/>
              </w:rPr>
              <w:t>4</w:t>
            </w:r>
            <w:r>
              <w:rPr>
                <w:sz w:val="24"/>
                <w:szCs w:val="24"/>
              </w:rPr>
              <w:t>)</w:t>
            </w:r>
          </w:p>
        </w:tc>
        <w:tc>
          <w:tcPr>
            <w:tcW w:w="814" w:type="dxa"/>
            <w:vMerge w:val="restart"/>
            <w:vAlign w:val="center"/>
          </w:tcPr>
          <w:p>
            <w:pPr>
              <w:spacing w:line="420" w:lineRule="atLeast"/>
              <w:jc w:val="center"/>
              <w:rPr>
                <w:rFonts w:hint="eastAsia" w:eastAsia="隶书"/>
                <w:sz w:val="24"/>
                <w:szCs w:val="24"/>
                <w:lang w:eastAsia="zh-CN"/>
              </w:rPr>
            </w:pPr>
            <w:r>
              <w:rPr>
                <w:rFonts w:hint="eastAsia" w:eastAsia="隶书"/>
                <w:sz w:val="24"/>
                <w:szCs w:val="24"/>
                <w:lang w:eastAsia="zh-CN"/>
              </w:rPr>
              <w:t>其他因素</w:t>
            </w:r>
          </w:p>
        </w:tc>
        <w:tc>
          <w:tcPr>
            <w:tcW w:w="698" w:type="dxa"/>
            <w:gridSpan w:val="2"/>
            <w:vMerge w:val="restart"/>
            <w:vAlign w:val="center"/>
          </w:tcPr>
          <w:p>
            <w:pPr>
              <w:spacing w:line="420" w:lineRule="atLeast"/>
              <w:jc w:val="center"/>
              <w:rPr>
                <w:sz w:val="24"/>
                <w:szCs w:val="24"/>
              </w:rPr>
            </w:pPr>
            <w:r>
              <w:rPr>
                <w:rFonts w:hint="eastAsia"/>
                <w:sz w:val="24"/>
                <w:szCs w:val="24"/>
              </w:rPr>
              <w:t>财务能力</w:t>
            </w:r>
          </w:p>
          <w:p>
            <w:pPr>
              <w:spacing w:line="420" w:lineRule="atLeast"/>
              <w:jc w:val="center"/>
              <w:rPr>
                <w:sz w:val="24"/>
                <w:szCs w:val="24"/>
              </w:rPr>
            </w:pPr>
          </w:p>
        </w:tc>
        <w:tc>
          <w:tcPr>
            <w:tcW w:w="1201" w:type="dxa"/>
            <w:vMerge w:val="restart"/>
            <w:vAlign w:val="center"/>
          </w:tcPr>
          <w:p>
            <w:pPr>
              <w:spacing w:line="420" w:lineRule="atLeast"/>
              <w:jc w:val="center"/>
              <w:rPr>
                <w:sz w:val="24"/>
                <w:szCs w:val="24"/>
              </w:rPr>
            </w:pPr>
            <w:r>
              <w:rPr>
                <w:rFonts w:hint="eastAsia"/>
                <w:sz w:val="24"/>
                <w:szCs w:val="24"/>
                <w:lang w:val="en-US" w:eastAsia="zh-CN"/>
              </w:rPr>
              <w:t>1</w:t>
            </w:r>
            <w:r>
              <w:rPr>
                <w:rFonts w:hint="eastAsia"/>
                <w:sz w:val="24"/>
                <w:szCs w:val="24"/>
              </w:rPr>
              <w:t>分</w:t>
            </w:r>
          </w:p>
        </w:tc>
        <w:tc>
          <w:tcPr>
            <w:tcW w:w="6048" w:type="dxa"/>
            <w:gridSpan w:val="3"/>
          </w:tcPr>
          <w:p>
            <w:pPr>
              <w:spacing w:line="420" w:lineRule="atLeast"/>
              <w:jc w:val="left"/>
              <w:rPr>
                <w:rFonts w:hint="eastAsia" w:eastAsia="宋体"/>
                <w:sz w:val="24"/>
                <w:szCs w:val="24"/>
                <w:lang w:eastAsia="zh-CN"/>
              </w:rPr>
            </w:pPr>
            <w:r>
              <w:rPr>
                <w:rFonts w:hint="eastAsia"/>
                <w:sz w:val="24"/>
                <w:szCs w:val="24"/>
                <w:lang w:eastAsia="zh-CN"/>
              </w:rPr>
              <w:t>（</w:t>
            </w:r>
            <w:r>
              <w:rPr>
                <w:rFonts w:hint="eastAsia"/>
                <w:sz w:val="24"/>
                <w:szCs w:val="24"/>
                <w:lang w:val="en-US" w:eastAsia="zh-CN"/>
              </w:rPr>
              <w:t>1）在满足资格审查条件的最低要求时，得0.6分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gridSpan w:val="2"/>
            <w:vMerge w:val="continue"/>
            <w:vAlign w:val="center"/>
          </w:tcPr>
          <w:p>
            <w:pPr>
              <w:spacing w:line="420" w:lineRule="atLeast"/>
              <w:jc w:val="center"/>
              <w:rPr>
                <w:rFonts w:eastAsia="隶书"/>
                <w:sz w:val="24"/>
                <w:szCs w:val="24"/>
              </w:rPr>
            </w:pPr>
          </w:p>
        </w:tc>
        <w:tc>
          <w:tcPr>
            <w:tcW w:w="814" w:type="dxa"/>
            <w:vMerge w:val="continue"/>
            <w:vAlign w:val="center"/>
          </w:tcPr>
          <w:p>
            <w:pPr>
              <w:spacing w:line="420" w:lineRule="atLeast"/>
              <w:jc w:val="center"/>
              <w:rPr>
                <w:rFonts w:eastAsia="隶书"/>
                <w:sz w:val="24"/>
                <w:szCs w:val="24"/>
              </w:rPr>
            </w:pPr>
          </w:p>
        </w:tc>
        <w:tc>
          <w:tcPr>
            <w:tcW w:w="698" w:type="dxa"/>
            <w:gridSpan w:val="2"/>
            <w:vMerge w:val="continue"/>
            <w:vAlign w:val="center"/>
          </w:tcPr>
          <w:p>
            <w:pPr>
              <w:spacing w:line="420" w:lineRule="atLeast"/>
              <w:jc w:val="center"/>
              <w:rPr>
                <w:sz w:val="24"/>
                <w:szCs w:val="24"/>
              </w:rPr>
            </w:pPr>
          </w:p>
        </w:tc>
        <w:tc>
          <w:tcPr>
            <w:tcW w:w="1201" w:type="dxa"/>
            <w:vMerge w:val="continue"/>
            <w:vAlign w:val="center"/>
          </w:tcPr>
          <w:p>
            <w:pPr>
              <w:spacing w:line="420" w:lineRule="atLeast"/>
              <w:jc w:val="center"/>
              <w:rPr>
                <w:sz w:val="24"/>
                <w:szCs w:val="24"/>
              </w:rPr>
            </w:pPr>
          </w:p>
        </w:tc>
        <w:tc>
          <w:tcPr>
            <w:tcW w:w="6048" w:type="dxa"/>
            <w:gridSpan w:val="3"/>
          </w:tcPr>
          <w:p>
            <w:pPr>
              <w:spacing w:line="420" w:lineRule="atLeast"/>
              <w:jc w:val="left"/>
              <w:rPr>
                <w:rFonts w:hint="eastAsia" w:eastAsia="宋体"/>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营运资本在</w:t>
            </w:r>
            <w:r>
              <w:rPr>
                <w:rFonts w:hint="eastAsia"/>
                <w:sz w:val="24"/>
                <w:szCs w:val="24"/>
                <w:lang w:val="en-US" w:eastAsia="zh-CN"/>
              </w:rPr>
              <w:t>3亿元基础上，每增加1亿元加0.01分，最高加分不超过0.2分。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gridSpan w:val="2"/>
            <w:vMerge w:val="continue"/>
            <w:vAlign w:val="center"/>
          </w:tcPr>
          <w:p>
            <w:pPr>
              <w:spacing w:line="420" w:lineRule="atLeast"/>
              <w:jc w:val="center"/>
              <w:rPr>
                <w:rFonts w:eastAsia="隶书"/>
                <w:sz w:val="24"/>
                <w:szCs w:val="24"/>
              </w:rPr>
            </w:pPr>
          </w:p>
        </w:tc>
        <w:tc>
          <w:tcPr>
            <w:tcW w:w="814" w:type="dxa"/>
            <w:vMerge w:val="continue"/>
            <w:vAlign w:val="center"/>
          </w:tcPr>
          <w:p>
            <w:pPr>
              <w:spacing w:line="420" w:lineRule="atLeast"/>
              <w:jc w:val="center"/>
              <w:rPr>
                <w:rFonts w:eastAsia="隶书"/>
                <w:sz w:val="24"/>
                <w:szCs w:val="24"/>
              </w:rPr>
            </w:pPr>
          </w:p>
        </w:tc>
        <w:tc>
          <w:tcPr>
            <w:tcW w:w="698" w:type="dxa"/>
            <w:gridSpan w:val="2"/>
            <w:vMerge w:val="continue"/>
            <w:vAlign w:val="center"/>
          </w:tcPr>
          <w:p>
            <w:pPr>
              <w:spacing w:line="420" w:lineRule="atLeast"/>
              <w:jc w:val="center"/>
              <w:rPr>
                <w:sz w:val="24"/>
                <w:szCs w:val="24"/>
              </w:rPr>
            </w:pPr>
          </w:p>
        </w:tc>
        <w:tc>
          <w:tcPr>
            <w:tcW w:w="1201" w:type="dxa"/>
            <w:vMerge w:val="continue"/>
            <w:vAlign w:val="center"/>
          </w:tcPr>
          <w:p>
            <w:pPr>
              <w:spacing w:line="420" w:lineRule="atLeast"/>
              <w:jc w:val="center"/>
              <w:rPr>
                <w:sz w:val="24"/>
                <w:szCs w:val="24"/>
              </w:rPr>
            </w:pPr>
          </w:p>
        </w:tc>
        <w:tc>
          <w:tcPr>
            <w:tcW w:w="6048" w:type="dxa"/>
            <w:gridSpan w:val="3"/>
          </w:tcPr>
          <w:p>
            <w:pPr>
              <w:spacing w:line="420" w:lineRule="atLeast"/>
              <w:jc w:val="left"/>
              <w:rPr>
                <w:rFonts w:hint="eastAsia" w:eastAsia="宋体"/>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近三年年均完成营业总收入在10亿元基础上，每增加20亿元，加0.05分，最高加分不超过0.2分。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8" w:type="dxa"/>
            <w:gridSpan w:val="2"/>
            <w:vMerge w:val="continue"/>
            <w:vAlign w:val="center"/>
          </w:tcPr>
          <w:p>
            <w:pPr>
              <w:spacing w:line="420" w:lineRule="atLeast"/>
              <w:jc w:val="center"/>
              <w:rPr>
                <w:rFonts w:eastAsia="隶书"/>
                <w:sz w:val="24"/>
                <w:szCs w:val="24"/>
              </w:rPr>
            </w:pPr>
          </w:p>
        </w:tc>
        <w:tc>
          <w:tcPr>
            <w:tcW w:w="814" w:type="dxa"/>
            <w:vMerge w:val="continue"/>
            <w:vAlign w:val="center"/>
          </w:tcPr>
          <w:p>
            <w:pPr>
              <w:spacing w:line="420" w:lineRule="atLeast"/>
              <w:jc w:val="center"/>
              <w:rPr>
                <w:rFonts w:eastAsia="隶书"/>
                <w:sz w:val="24"/>
                <w:szCs w:val="24"/>
              </w:rPr>
            </w:pPr>
          </w:p>
        </w:tc>
        <w:tc>
          <w:tcPr>
            <w:tcW w:w="698" w:type="dxa"/>
            <w:gridSpan w:val="2"/>
            <w:vAlign w:val="center"/>
          </w:tcPr>
          <w:p>
            <w:pPr>
              <w:spacing w:line="420" w:lineRule="atLeast"/>
              <w:ind w:left="-105" w:leftChars="-50" w:right="-105" w:rightChars="-50"/>
              <w:jc w:val="center"/>
              <w:rPr>
                <w:sz w:val="24"/>
                <w:szCs w:val="24"/>
              </w:rPr>
            </w:pPr>
            <w:r>
              <w:rPr>
                <w:sz w:val="24"/>
                <w:szCs w:val="24"/>
              </w:rPr>
              <w:t>业绩</w:t>
            </w:r>
          </w:p>
        </w:tc>
        <w:tc>
          <w:tcPr>
            <w:tcW w:w="1201" w:type="dxa"/>
            <w:vAlign w:val="center"/>
          </w:tcPr>
          <w:p>
            <w:pPr>
              <w:spacing w:line="420" w:lineRule="atLeast"/>
              <w:ind w:firstLine="120" w:firstLineChars="50"/>
              <w:rPr>
                <w:sz w:val="24"/>
                <w:szCs w:val="24"/>
              </w:rPr>
            </w:pPr>
            <w:r>
              <w:rPr>
                <w:rFonts w:hint="eastAsia"/>
                <w:sz w:val="24"/>
                <w:szCs w:val="24"/>
                <w:lang w:val="en-US" w:eastAsia="zh-CN"/>
              </w:rPr>
              <w:t>2</w:t>
            </w:r>
            <w:r>
              <w:rPr>
                <w:sz w:val="24"/>
                <w:szCs w:val="24"/>
              </w:rPr>
              <w:t>分</w:t>
            </w:r>
          </w:p>
        </w:tc>
        <w:tc>
          <w:tcPr>
            <w:tcW w:w="6048" w:type="dxa"/>
            <w:gridSpan w:val="3"/>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sz w:val="24"/>
                <w:szCs w:val="24"/>
              </w:rPr>
            </w:pPr>
            <w:r>
              <w:rPr>
                <w:rFonts w:hint="eastAsia"/>
                <w:sz w:val="24"/>
                <w:szCs w:val="24"/>
              </w:rPr>
              <w:t>业绩满足资格审查最低要求的</w:t>
            </w:r>
            <w:r>
              <w:rPr>
                <w:rFonts w:hint="eastAsia"/>
                <w:sz w:val="24"/>
                <w:szCs w:val="24"/>
                <w:lang w:eastAsia="zh-CN"/>
              </w:rPr>
              <w:t>基础上</w:t>
            </w:r>
            <w:r>
              <w:rPr>
                <w:rFonts w:hint="eastAsia"/>
                <w:sz w:val="24"/>
                <w:szCs w:val="24"/>
              </w:rPr>
              <w:t>得</w:t>
            </w:r>
            <w:r>
              <w:rPr>
                <w:rFonts w:hint="eastAsia"/>
                <w:sz w:val="24"/>
                <w:szCs w:val="24"/>
                <w:lang w:val="en-US" w:eastAsia="zh-CN"/>
              </w:rPr>
              <w:t>1.2</w:t>
            </w:r>
            <w:r>
              <w:rPr>
                <w:rFonts w:hint="eastAsia"/>
                <w:sz w:val="24"/>
                <w:szCs w:val="24"/>
              </w:rPr>
              <w:t>分；</w:t>
            </w:r>
            <w:r>
              <w:rPr>
                <w:rFonts w:hint="eastAsia"/>
                <w:sz w:val="24"/>
                <w:szCs w:val="24"/>
                <w:lang w:eastAsia="zh-CN"/>
              </w:rPr>
              <w:t>近五年内，成功地完成以下类似工程：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eastAsia="zh-CN"/>
              </w:rPr>
              <w:t>（</w:t>
            </w:r>
            <w:r>
              <w:rPr>
                <w:rFonts w:hint="eastAsia"/>
                <w:sz w:val="24"/>
                <w:szCs w:val="24"/>
                <w:lang w:val="en-US" w:eastAsia="zh-CN"/>
              </w:rPr>
              <w:t>1）80公里</w:t>
            </w:r>
            <w:r>
              <w:rPr>
                <w:rFonts w:hint="eastAsia"/>
                <w:sz w:val="24"/>
                <w:szCs w:val="24"/>
              </w:rPr>
              <w:t>二级以上</w:t>
            </w:r>
            <w:r>
              <w:rPr>
                <w:rFonts w:hint="eastAsia"/>
                <w:sz w:val="24"/>
                <w:szCs w:val="24"/>
                <w:lang w:eastAsia="zh-CN"/>
              </w:rPr>
              <w:t>（含二级）</w:t>
            </w:r>
            <w:r>
              <w:rPr>
                <w:rFonts w:hint="eastAsia"/>
                <w:sz w:val="24"/>
                <w:szCs w:val="24"/>
              </w:rPr>
              <w:t>公路工程（新建或改、扩建）施工业绩。</w:t>
            </w:r>
            <w:r>
              <w:rPr>
                <w:rFonts w:hint="eastAsia"/>
                <w:sz w:val="24"/>
                <w:szCs w:val="24"/>
                <w:lang w:eastAsia="zh-CN"/>
              </w:rPr>
              <w:t>在此基础上，每超过</w:t>
            </w:r>
            <w:r>
              <w:rPr>
                <w:rFonts w:hint="eastAsia"/>
                <w:sz w:val="24"/>
                <w:szCs w:val="24"/>
                <w:lang w:val="en-US" w:eastAsia="zh-CN"/>
              </w:rPr>
              <w:t>20公里，加0.1分，最高加分不超过0.3分。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sz w:val="24"/>
                <w:szCs w:val="24"/>
              </w:rPr>
            </w:pPr>
            <w:r>
              <w:rPr>
                <w:rFonts w:hint="eastAsia"/>
                <w:sz w:val="24"/>
                <w:szCs w:val="24"/>
                <w:lang w:eastAsia="zh-CN"/>
              </w:rPr>
              <w:t>（</w:t>
            </w:r>
            <w:r>
              <w:rPr>
                <w:rFonts w:hint="eastAsia"/>
                <w:sz w:val="24"/>
                <w:szCs w:val="24"/>
                <w:lang w:val="en-US" w:eastAsia="zh-CN"/>
              </w:rPr>
              <w:t>2）</w:t>
            </w:r>
            <w:r>
              <w:rPr>
                <w:rFonts w:hint="eastAsia" w:asciiTheme="majorEastAsia" w:hAnsiTheme="majorEastAsia" w:eastAsiaTheme="majorEastAsia" w:cstheme="majorEastAsia"/>
                <w:color w:val="000000"/>
                <w:sz w:val="24"/>
                <w:szCs w:val="24"/>
                <w:highlight w:val="none"/>
                <w:lang w:eastAsia="zh-CN"/>
              </w:rPr>
              <w:t>累计</w:t>
            </w:r>
            <w:r>
              <w:rPr>
                <w:rFonts w:hint="eastAsia" w:asciiTheme="majorEastAsia" w:hAnsiTheme="majorEastAsia" w:eastAsiaTheme="majorEastAsia" w:cstheme="majorEastAsia"/>
                <w:color w:val="000000"/>
                <w:sz w:val="24"/>
                <w:szCs w:val="24"/>
                <w:highlight w:val="none"/>
                <w:lang w:val="en-US" w:eastAsia="zh-CN"/>
              </w:rPr>
              <w:t>500米以上（含500米）新建桥梁施工业绩。在此基础上，每增加500米（尾数不计）新建桥梁施工业绩的，加0.1分，最高加分不超过0.5分。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5" w:hRule="atLeast"/>
        </w:trPr>
        <w:tc>
          <w:tcPr>
            <w:tcW w:w="998" w:type="dxa"/>
            <w:gridSpan w:val="2"/>
            <w:vMerge w:val="continue"/>
            <w:vAlign w:val="center"/>
          </w:tcPr>
          <w:p>
            <w:pPr>
              <w:spacing w:line="420" w:lineRule="atLeast"/>
              <w:jc w:val="center"/>
              <w:rPr>
                <w:rFonts w:eastAsia="隶书"/>
                <w:sz w:val="24"/>
                <w:szCs w:val="24"/>
              </w:rPr>
            </w:pPr>
          </w:p>
        </w:tc>
        <w:tc>
          <w:tcPr>
            <w:tcW w:w="814" w:type="dxa"/>
            <w:vMerge w:val="continue"/>
            <w:vAlign w:val="center"/>
          </w:tcPr>
          <w:p>
            <w:pPr>
              <w:spacing w:line="420" w:lineRule="atLeast"/>
              <w:jc w:val="center"/>
              <w:rPr>
                <w:rFonts w:eastAsia="隶书"/>
                <w:sz w:val="24"/>
                <w:szCs w:val="24"/>
              </w:rPr>
            </w:pPr>
          </w:p>
        </w:tc>
        <w:tc>
          <w:tcPr>
            <w:tcW w:w="698" w:type="dxa"/>
            <w:gridSpan w:val="2"/>
            <w:vAlign w:val="center"/>
          </w:tcPr>
          <w:p>
            <w:pPr>
              <w:spacing w:line="420" w:lineRule="atLeast"/>
              <w:ind w:left="-105" w:leftChars="-50" w:right="-105" w:rightChars="-50"/>
              <w:jc w:val="center"/>
              <w:rPr>
                <w:sz w:val="24"/>
                <w:szCs w:val="24"/>
              </w:rPr>
            </w:pPr>
            <w:r>
              <w:rPr>
                <w:sz w:val="24"/>
                <w:szCs w:val="24"/>
              </w:rPr>
              <w:t>履约信誉</w:t>
            </w:r>
            <w:r>
              <w:rPr>
                <w:rStyle w:val="8"/>
                <w:sz w:val="24"/>
                <w:szCs w:val="24"/>
              </w:rPr>
              <w:footnoteReference w:id="0"/>
            </w:r>
          </w:p>
        </w:tc>
        <w:tc>
          <w:tcPr>
            <w:tcW w:w="1201" w:type="dxa"/>
            <w:vAlign w:val="center"/>
          </w:tcPr>
          <w:p>
            <w:pPr>
              <w:spacing w:line="420" w:lineRule="atLeast"/>
              <w:jc w:val="center"/>
              <w:rPr>
                <w:rFonts w:hint="eastAsia"/>
                <w:sz w:val="24"/>
                <w:szCs w:val="24"/>
                <w:lang w:val="en-US" w:eastAsia="zh-CN"/>
              </w:rPr>
            </w:pPr>
            <w:r>
              <w:rPr>
                <w:rFonts w:hint="eastAsia"/>
                <w:sz w:val="24"/>
                <w:szCs w:val="24"/>
              </w:rPr>
              <w:t>10</w:t>
            </w:r>
            <w:r>
              <w:rPr>
                <w:sz w:val="24"/>
                <w:szCs w:val="24"/>
              </w:rPr>
              <w:t>分</w:t>
            </w:r>
          </w:p>
        </w:tc>
        <w:tc>
          <w:tcPr>
            <w:tcW w:w="6048" w:type="dxa"/>
            <w:gridSpan w:val="3"/>
          </w:tcPr>
          <w:p>
            <w:pPr>
              <w:keepNext w:val="0"/>
              <w:keepLines w:val="0"/>
              <w:pageBreakBefore w:val="0"/>
              <w:widowControl w:val="0"/>
              <w:kinsoku/>
              <w:wordWrap/>
              <w:overflowPunct/>
              <w:topLinePunct w:val="0"/>
              <w:autoSpaceDE/>
              <w:autoSpaceDN/>
              <w:bidi w:val="0"/>
              <w:adjustRightInd/>
              <w:snapToGrid/>
              <w:spacing w:line="300" w:lineRule="exact"/>
              <w:ind w:left="0" w:leftChars="0" w:firstLine="120" w:firstLineChars="50"/>
              <w:jc w:val="both"/>
              <w:textAlignment w:val="auto"/>
              <w:rPr>
                <w:sz w:val="24"/>
                <w:szCs w:val="24"/>
              </w:rPr>
            </w:pPr>
            <w:r>
              <w:rPr>
                <w:rFonts w:hint="eastAsia"/>
                <w:sz w:val="24"/>
                <w:szCs w:val="24"/>
              </w:rPr>
              <w:t>1. 信用等级分值（5分）</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600" w:firstLineChars="250"/>
              <w:jc w:val="both"/>
              <w:textAlignment w:val="auto"/>
              <w:rPr>
                <w:sz w:val="24"/>
                <w:szCs w:val="24"/>
              </w:rPr>
            </w:pPr>
            <w:r>
              <w:rPr>
                <w:rFonts w:hint="eastAsia"/>
                <w:sz w:val="24"/>
                <w:szCs w:val="24"/>
              </w:rPr>
              <w:t>AA、A、B、C级单位的信用等级分得分分别为5.00、4.75、4.45、3.65分。</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126" w:rightChars="60"/>
              <w:jc w:val="both"/>
              <w:textAlignment w:val="auto"/>
              <w:rPr>
                <w:rFonts w:ascii="Times New Roman" w:hAnsi="Times New Roman"/>
                <w:sz w:val="24"/>
                <w:szCs w:val="24"/>
              </w:rPr>
            </w:pPr>
            <w:r>
              <w:rPr>
                <w:rFonts w:hint="eastAsia" w:ascii="Times New Roman" w:hAnsi="Times New Roman"/>
                <w:sz w:val="24"/>
                <w:szCs w:val="24"/>
              </w:rPr>
              <w:t>注：①上述信用等级指的是广东省交通运输厅最新一年度的信用评价。如无广东省最新一年度信用等级而上一年度有广东省信用等级的，则其原信用等级可延续一年。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sz w:val="24"/>
                <w:szCs w:val="24"/>
              </w:rPr>
            </w:pPr>
            <w:r>
              <w:rPr>
                <w:rFonts w:hint="eastAsia" w:ascii="Times New Roman" w:hAnsi="Times New Roman"/>
                <w:sz w:val="24"/>
                <w:szCs w:val="24"/>
              </w:rPr>
              <w:t>②信用等级延续1年后任无信用等级的，按照初次进入我省确定，原则上按B级对待，但下列情况除外：最新一年度的全国综合评价结果为C级或D级的，则按最新一年度的全国综合评价结果等级对待;或最新一年度的全国综合评价结果未被评为C级或D级的，但在我省原评价等级为D级的，则按C级对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sz w:val="24"/>
                <w:szCs w:val="24"/>
              </w:rPr>
            </w:pPr>
            <w:r>
              <w:rPr>
                <w:rFonts w:hint="eastAsia" w:ascii="Times New Roman" w:hAnsi="Times New Roman"/>
                <w:sz w:val="24"/>
                <w:szCs w:val="24"/>
              </w:rPr>
              <w:t>③AA、A级单位是指使用广东省信用评价等级申请承诺书的单位。提交申请承诺书未使用AA、A时，在评标过程中，AA级信用等级企业按A级对待、A级信用等级企业按B级对待（注：属于资格预审项目的，以资格预审申请文件的为准。当出现跨年度信用等级时，以</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outlineLvl w:val="9"/>
              <w:rPr>
                <w:rFonts w:ascii="Times New Roman" w:hAnsi="Times New Roman"/>
                <w:sz w:val="24"/>
                <w:szCs w:val="24"/>
              </w:rPr>
            </w:pPr>
            <w:r>
              <w:rPr>
                <w:rFonts w:hint="eastAsia" w:ascii="Times New Roman" w:hAnsi="Times New Roman"/>
                <w:sz w:val="24"/>
                <w:szCs w:val="24"/>
              </w:rPr>
              <w:t>投标人资格预审时申请使用信用等级与投标文件递交日时的信用等级作比较，按“就低原则”认定等级，即降低等级的按低等级认定、升高等级的仍维持资审时的申请等级）。</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outlineLvl w:val="9"/>
              <w:rPr>
                <w:rFonts w:ascii="Times New Roman" w:hAnsi="Times New Roman"/>
                <w:sz w:val="24"/>
                <w:szCs w:val="24"/>
              </w:rPr>
            </w:pPr>
            <w:r>
              <w:rPr>
                <w:rFonts w:hint="eastAsia" w:ascii="Times New Roman" w:hAnsi="Times New Roman"/>
                <w:sz w:val="24"/>
                <w:szCs w:val="24"/>
              </w:rPr>
              <w:t>2. 履约情况（5分）</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Times New Roman" w:hAnsi="Times New Roman"/>
                <w:sz w:val="24"/>
                <w:szCs w:val="24"/>
              </w:rPr>
            </w:pPr>
            <w:r>
              <w:rPr>
                <w:rFonts w:hint="eastAsia" w:ascii="Times New Roman" w:hAnsi="Times New Roman"/>
                <w:sz w:val="24"/>
                <w:szCs w:val="24"/>
              </w:rPr>
              <w:t>若没出现下述情形得满分；</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Times New Roman" w:hAnsi="Times New Roman"/>
                <w:sz w:val="24"/>
                <w:szCs w:val="24"/>
              </w:rPr>
            </w:pPr>
            <w:r>
              <w:rPr>
                <w:rFonts w:hint="eastAsia" w:ascii="Times New Roman" w:hAnsi="Times New Roman"/>
                <w:sz w:val="24"/>
                <w:szCs w:val="24"/>
              </w:rPr>
              <w:t>若自 2016年 10  月 1  日至</w:t>
            </w:r>
            <w:r>
              <w:rPr>
                <w:rFonts w:hint="eastAsia" w:ascii="Times New Roman" w:hAnsi="Times New Roman"/>
                <w:sz w:val="24"/>
                <w:szCs w:val="24"/>
                <w:lang w:eastAsia="zh-CN"/>
              </w:rPr>
              <w:t>投标</w:t>
            </w:r>
            <w:r>
              <w:rPr>
                <w:rFonts w:hint="eastAsia" w:ascii="Times New Roman" w:hAnsi="Times New Roman"/>
                <w:sz w:val="24"/>
                <w:szCs w:val="24"/>
              </w:rPr>
              <w:t>文件递交截止日止（原则上1个年度内），因工程质量、安全或履约问题等原因，所承担合同工程项目被：</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9" w:firstLineChars="4"/>
              <w:jc w:val="both"/>
              <w:textAlignment w:val="auto"/>
              <w:outlineLvl w:val="9"/>
              <w:rPr>
                <w:rFonts w:ascii="Times New Roman" w:hAnsi="Times New Roman"/>
                <w:sz w:val="24"/>
                <w:szCs w:val="24"/>
              </w:rPr>
            </w:pPr>
            <w:r>
              <w:rPr>
                <w:rFonts w:hint="eastAsia" w:ascii="Times New Roman" w:hAnsi="Times New Roman"/>
                <w:sz w:val="24"/>
                <w:szCs w:val="24"/>
              </w:rPr>
              <w:t>（1）交通运输部通报批评一次的，扣5分；</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9" w:firstLineChars="4"/>
              <w:jc w:val="both"/>
              <w:textAlignment w:val="auto"/>
              <w:outlineLvl w:val="9"/>
              <w:rPr>
                <w:rFonts w:ascii="Times New Roman" w:hAnsi="Times New Roman"/>
                <w:sz w:val="24"/>
                <w:szCs w:val="24"/>
              </w:rPr>
            </w:pPr>
            <w:r>
              <w:rPr>
                <w:rFonts w:hint="eastAsia" w:ascii="Times New Roman" w:hAnsi="Times New Roman"/>
                <w:sz w:val="24"/>
                <w:szCs w:val="24"/>
              </w:rPr>
              <w:t>（2）广东省交通运输厅通报批评一次的，扣4分；</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9" w:firstLineChars="4"/>
              <w:jc w:val="both"/>
              <w:textAlignment w:val="auto"/>
              <w:outlineLvl w:val="9"/>
              <w:rPr>
                <w:rFonts w:ascii="Times New Roman" w:hAnsi="Times New Roman"/>
                <w:sz w:val="24"/>
                <w:szCs w:val="24"/>
              </w:rPr>
            </w:pPr>
            <w:r>
              <w:rPr>
                <w:rFonts w:hint="eastAsia" w:ascii="Times New Roman" w:hAnsi="Times New Roman"/>
                <w:sz w:val="24"/>
                <w:szCs w:val="24"/>
              </w:rPr>
              <w:t>同一事项同时被多个部门通报批评或处罚只按最高的扣分计算1次。如果扣完本项分值，可以从总分中扣。</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sz w:val="24"/>
                <w:szCs w:val="24"/>
              </w:rPr>
            </w:pPr>
          </w:p>
        </w:tc>
      </w:tr>
    </w:tbl>
    <w:p>
      <w:pPr>
        <w:rPr>
          <w:vanish/>
        </w:rPr>
      </w:pPr>
    </w:p>
    <w:p>
      <w:pPr>
        <w:rPr>
          <w:vanish/>
        </w:rPr>
      </w:pPr>
    </w:p>
    <w:tbl>
      <w:tblPr>
        <w:tblStyle w:val="9"/>
        <w:tblpPr w:leftFromText="180" w:rightFromText="180" w:vertAnchor="text" w:horzAnchor="page" w:tblpX="1346" w:tblpY="3892"/>
        <w:tblOverlap w:val="never"/>
        <w:tblW w:w="954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350"/>
        <w:gridCol w:w="81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9540" w:type="dxa"/>
            <w:gridSpan w:val="2"/>
            <w:tcBorders>
              <w:top w:val="single" w:color="000000" w:sz="12" w:space="0"/>
            </w:tcBorders>
            <w:vAlign w:val="center"/>
          </w:tcPr>
          <w:p>
            <w:pPr>
              <w:rPr>
                <w:rFonts w:ascii="宋体"/>
                <w:b/>
                <w:color w:val="auto"/>
                <w:sz w:val="24"/>
              </w:rPr>
            </w:pPr>
            <w:r>
              <w:rPr>
                <w:rFonts w:hint="eastAsia" w:ascii="宋体" w:hAnsi="宋体"/>
                <w:b/>
                <w:color w:val="auto"/>
                <w:sz w:val="24"/>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70" w:hRule="atLeast"/>
        </w:trPr>
        <w:tc>
          <w:tcPr>
            <w:tcW w:w="1350" w:type="dxa"/>
            <w:vAlign w:val="center"/>
          </w:tcPr>
          <w:p>
            <w:pPr>
              <w:jc w:val="center"/>
              <w:rPr>
                <w:color w:val="auto"/>
                <w:sz w:val="24"/>
              </w:rPr>
            </w:pPr>
            <w:r>
              <w:rPr>
                <w:rFonts w:hint="eastAsia" w:ascii="宋体" w:hAnsi="宋体"/>
                <w:b/>
                <w:color w:val="auto"/>
                <w:sz w:val="24"/>
              </w:rPr>
              <w:t>条款号</w:t>
            </w:r>
          </w:p>
        </w:tc>
        <w:tc>
          <w:tcPr>
            <w:tcW w:w="8190" w:type="dxa"/>
            <w:vAlign w:val="center"/>
          </w:tcPr>
          <w:p>
            <w:pPr>
              <w:ind w:left="239"/>
              <w:jc w:val="center"/>
              <w:rPr>
                <w:rFonts w:ascii="宋体"/>
                <w:b/>
                <w:color w:val="auto"/>
                <w:sz w:val="24"/>
              </w:rPr>
            </w:pPr>
            <w:r>
              <w:rPr>
                <w:rFonts w:hint="eastAsia" w:ascii="宋体" w:hAnsi="宋体"/>
                <w:b/>
                <w:color w:val="auto"/>
                <w:sz w:val="24"/>
              </w:rPr>
              <w:t>补充或修改的内容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713" w:hRule="atLeast"/>
        </w:trPr>
        <w:tc>
          <w:tcPr>
            <w:tcW w:w="1350" w:type="dxa"/>
            <w:vAlign w:val="center"/>
          </w:tcPr>
          <w:p>
            <w:pPr>
              <w:jc w:val="center"/>
              <w:rPr>
                <w:rFonts w:ascii="宋体"/>
                <w:b/>
                <w:color w:val="auto"/>
                <w:sz w:val="24"/>
              </w:rPr>
            </w:pPr>
            <w:r>
              <w:rPr>
                <w:rFonts w:ascii="宋体" w:hAnsi="宋体"/>
                <w:b/>
                <w:color w:val="auto"/>
                <w:sz w:val="24"/>
              </w:rPr>
              <w:t>1</w:t>
            </w:r>
          </w:p>
        </w:tc>
        <w:tc>
          <w:tcPr>
            <w:tcW w:w="8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239" w:right="0" w:rightChars="0" w:firstLine="0" w:firstLineChars="0"/>
              <w:jc w:val="both"/>
              <w:textAlignment w:val="auto"/>
              <w:outlineLvl w:val="9"/>
              <w:rPr>
                <w:rFonts w:ascii="宋体"/>
                <w:color w:val="auto"/>
                <w:sz w:val="24"/>
              </w:rPr>
            </w:pPr>
            <w:r>
              <w:rPr>
                <w:rFonts w:hint="eastAsia" w:ascii="宋体" w:hAnsi="宋体"/>
                <w:color w:val="auto"/>
                <w:sz w:val="24"/>
              </w:rPr>
              <w:t>将评标办法范本原文第</w:t>
            </w:r>
            <w:r>
              <w:rPr>
                <w:rFonts w:ascii="宋体" w:hAnsi="宋体"/>
                <w:color w:val="auto"/>
                <w:sz w:val="24"/>
              </w:rPr>
              <w:t>l</w:t>
            </w:r>
            <w:r>
              <w:rPr>
                <w:rFonts w:hint="eastAsia" w:ascii="宋体" w:hAnsi="宋体"/>
                <w:color w:val="auto"/>
                <w:sz w:val="24"/>
              </w:rPr>
              <w:t>条“评标方法</w:t>
            </w:r>
            <w:r>
              <w:rPr>
                <w:rFonts w:ascii="宋体" w:hAnsi="宋体"/>
                <w:color w:val="auto"/>
                <w:sz w:val="24"/>
              </w:rPr>
              <w:t>"</w:t>
            </w:r>
            <w:r>
              <w:rPr>
                <w:rFonts w:hint="eastAsia" w:ascii="宋体" w:hAnsi="宋体"/>
                <w:color w:val="auto"/>
                <w:sz w:val="24"/>
              </w:rPr>
              <w:t>改为“评标方法、组织及工作程序”，并且原文内容修改如下：</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1.1</w:t>
            </w:r>
            <w:r>
              <w:rPr>
                <w:rFonts w:hint="eastAsia" w:ascii="宋体" w:hAnsi="宋体"/>
                <w:color w:val="auto"/>
                <w:sz w:val="24"/>
              </w:rPr>
              <w:t>评标方法</w:t>
            </w:r>
          </w:p>
          <w:p>
            <w:pPr>
              <w:keepNext w:val="0"/>
              <w:keepLines w:val="0"/>
              <w:pageBreakBefore w:val="0"/>
              <w:widowControl w:val="0"/>
              <w:kinsoku/>
              <w:wordWrap/>
              <w:overflowPunct/>
              <w:topLinePunct w:val="0"/>
              <w:autoSpaceDE/>
              <w:autoSpaceDN/>
              <w:bidi w:val="0"/>
              <w:adjustRightInd/>
              <w:snapToGrid/>
              <w:spacing w:line="360" w:lineRule="exact"/>
              <w:ind w:left="239" w:right="0" w:rightChars="0" w:firstLine="0" w:firstLineChars="0"/>
              <w:jc w:val="both"/>
              <w:textAlignment w:val="auto"/>
              <w:outlineLvl w:val="9"/>
              <w:rPr>
                <w:rFonts w:ascii="宋体"/>
                <w:color w:val="auto"/>
                <w:sz w:val="24"/>
              </w:rPr>
            </w:pPr>
            <w:r>
              <w:rPr>
                <w:rFonts w:hint="eastAsia" w:ascii="宋体" w:hAnsi="宋体"/>
                <w:color w:val="auto"/>
                <w:sz w:val="24"/>
              </w:rPr>
              <w:t>本次评标采用双信封的综合评分</w:t>
            </w:r>
            <w:r>
              <w:rPr>
                <w:rFonts w:hint="eastAsia" w:ascii="宋体" w:hAnsi="宋体" w:cs="宋体"/>
                <w:color w:val="auto"/>
                <w:kern w:val="0"/>
                <w:sz w:val="24"/>
              </w:rPr>
              <w:t>法</w:t>
            </w:r>
            <w:r>
              <w:rPr>
                <w:rFonts w:hint="eastAsia" w:ascii="宋体" w:hAnsi="宋体"/>
                <w:color w:val="auto"/>
                <w:sz w:val="24"/>
              </w:rPr>
              <w:t>。评标委员会对满足招标文件实质性要求的投标文件，按照本章第</w:t>
            </w:r>
            <w:r>
              <w:rPr>
                <w:rFonts w:ascii="宋体" w:hAnsi="宋体"/>
                <w:color w:val="auto"/>
                <w:sz w:val="24"/>
              </w:rPr>
              <w:t>2.2</w:t>
            </w:r>
            <w:r>
              <w:rPr>
                <w:rFonts w:hint="eastAsia" w:ascii="宋体" w:hAnsi="宋体"/>
                <w:color w:val="auto"/>
                <w:sz w:val="24"/>
              </w:rPr>
              <w:t>款规定的评分标准进行打分</w:t>
            </w:r>
            <w:r>
              <w:rPr>
                <w:rFonts w:ascii="宋体"/>
                <w:color w:val="auto"/>
                <w:sz w:val="24"/>
              </w:rPr>
              <w:t>,</w:t>
            </w:r>
            <w:r>
              <w:rPr>
                <w:rFonts w:hint="eastAsia" w:ascii="宋体" w:hAnsi="宋体"/>
                <w:color w:val="auto"/>
                <w:sz w:val="24"/>
              </w:rPr>
              <w:t>并按得分由高到低顺序推荐中标候选人</w:t>
            </w:r>
            <w:r>
              <w:rPr>
                <w:rFonts w:ascii="宋体"/>
                <w:color w:val="auto"/>
                <w:sz w:val="24"/>
              </w:rPr>
              <w:t>,</w:t>
            </w:r>
            <w:r>
              <w:rPr>
                <w:rFonts w:hint="eastAsia" w:ascii="宋体" w:hAnsi="宋体"/>
                <w:color w:val="auto"/>
                <w:sz w:val="24"/>
              </w:rPr>
              <w:t>但投标报价低于其成本的除外。</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1.2</w:t>
            </w:r>
            <w:r>
              <w:rPr>
                <w:rFonts w:hint="eastAsia" w:ascii="宋体" w:hAnsi="宋体"/>
                <w:color w:val="auto"/>
                <w:sz w:val="24"/>
              </w:rPr>
              <w:t>评标组织</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1.2.1</w:t>
            </w:r>
            <w:r>
              <w:rPr>
                <w:rFonts w:hint="eastAsia" w:ascii="宋体" w:hAnsi="宋体"/>
                <w:color w:val="auto"/>
                <w:sz w:val="24"/>
              </w:rPr>
              <w:t>协助工作组</w:t>
            </w:r>
          </w:p>
          <w:p>
            <w:pPr>
              <w:keepNext w:val="0"/>
              <w:keepLines w:val="0"/>
              <w:pageBreakBefore w:val="0"/>
              <w:widowControl w:val="0"/>
              <w:kinsoku/>
              <w:wordWrap/>
              <w:overflowPunct/>
              <w:topLinePunct w:val="0"/>
              <w:autoSpaceDE/>
              <w:autoSpaceDN/>
              <w:bidi w:val="0"/>
              <w:adjustRightInd/>
              <w:snapToGrid/>
              <w:spacing w:line="360" w:lineRule="exact"/>
              <w:ind w:left="239" w:right="0" w:rightChars="0" w:firstLine="0" w:firstLineChars="0"/>
              <w:jc w:val="both"/>
              <w:textAlignment w:val="auto"/>
              <w:outlineLvl w:val="9"/>
              <w:rPr>
                <w:rFonts w:ascii="宋体"/>
                <w:color w:val="auto"/>
                <w:sz w:val="24"/>
              </w:rPr>
            </w:pPr>
            <w:r>
              <w:rPr>
                <w:rFonts w:hint="eastAsia" w:ascii="宋体" w:hAnsi="宋体"/>
                <w:color w:val="auto"/>
                <w:sz w:val="24"/>
              </w:rPr>
              <w:t>招标人可在评标工作开始前成立协助工作组，选派熟悉招标工作、政治素质高的人员组成，协助评标委员会工作。协助工作组人员的具体数量由招标人视评标工作量确定。</w:t>
            </w:r>
            <w:r>
              <w:rPr>
                <w:rFonts w:ascii="宋体" w:hAnsi="宋体"/>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39" w:right="0" w:rightChars="0" w:firstLine="0" w:firstLineChars="0"/>
              <w:jc w:val="both"/>
              <w:textAlignment w:val="auto"/>
              <w:outlineLvl w:val="9"/>
              <w:rPr>
                <w:rFonts w:ascii="宋体"/>
                <w:color w:val="auto"/>
                <w:sz w:val="24"/>
              </w:rPr>
            </w:pPr>
            <w:r>
              <w:rPr>
                <w:rFonts w:hint="eastAsia" w:ascii="宋体" w:hAnsi="宋体"/>
                <w:color w:val="auto"/>
                <w:sz w:val="24"/>
              </w:rPr>
              <w:t>招标人可以协助评标委员会开展下列工作并提供相关信息：</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 xml:space="preserve"> (1)</w:t>
            </w:r>
            <w:r>
              <w:rPr>
                <w:rFonts w:hint="eastAsia" w:ascii="宋体" w:hAnsi="宋体"/>
                <w:color w:val="auto"/>
                <w:sz w:val="24"/>
              </w:rPr>
              <w:t>根据招标文件，编制评标使用的相应表格；</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 xml:space="preserve"> (2)</w:t>
            </w:r>
            <w:r>
              <w:rPr>
                <w:rFonts w:hint="eastAsia" w:ascii="宋体" w:hAnsi="宋体"/>
                <w:color w:val="auto"/>
                <w:sz w:val="24"/>
              </w:rPr>
              <w:t>对所有投标报价进行算术性校核</w:t>
            </w:r>
            <w:r>
              <w:rPr>
                <w:rFonts w:ascii="宋体" w:hAnsi="宋体"/>
                <w:color w:val="auto"/>
                <w:sz w:val="24"/>
              </w:rPr>
              <w:t>(</w:t>
            </w:r>
            <w:r>
              <w:rPr>
                <w:rFonts w:hint="eastAsia" w:ascii="宋体" w:hAnsi="宋体"/>
                <w:color w:val="auto"/>
                <w:sz w:val="24"/>
              </w:rPr>
              <w:t>如采用固化工程量清单，本步骤省略</w:t>
            </w:r>
            <w:r>
              <w:rPr>
                <w:rFonts w:ascii="宋体" w:hAnsi="宋体"/>
                <w:color w:val="auto"/>
                <w:sz w:val="24"/>
              </w:rPr>
              <w:t>)</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 xml:space="preserve"> (3)</w:t>
            </w:r>
            <w:r>
              <w:rPr>
                <w:rFonts w:hint="eastAsia" w:ascii="宋体" w:hAnsi="宋体"/>
                <w:color w:val="auto"/>
                <w:sz w:val="24"/>
              </w:rPr>
              <w:t>以评标标准和方法为依据，列出投标文件相对于招标文件的所有偏差并进行归类汇总；</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 xml:space="preserve"> (4)</w:t>
            </w:r>
            <w:r>
              <w:rPr>
                <w:rFonts w:hint="eastAsia" w:ascii="宋体" w:hAnsi="宋体"/>
                <w:color w:val="auto"/>
                <w:sz w:val="24"/>
              </w:rPr>
              <w:t>查询公路建设市场信用信息管理系统，对投标人的资质、业绩、主要人员资历和目前在岗情况、信用等级进行核实。</w:t>
            </w:r>
          </w:p>
          <w:p>
            <w:pPr>
              <w:keepNext w:val="0"/>
              <w:keepLines w:val="0"/>
              <w:pageBreakBefore w:val="0"/>
              <w:widowControl w:val="0"/>
              <w:kinsoku/>
              <w:wordWrap/>
              <w:overflowPunct/>
              <w:topLinePunct w:val="0"/>
              <w:autoSpaceDE/>
              <w:autoSpaceDN/>
              <w:bidi w:val="0"/>
              <w:adjustRightInd/>
              <w:snapToGrid/>
              <w:spacing w:line="360" w:lineRule="exact"/>
              <w:ind w:left="113" w:right="0" w:rightChars="0" w:firstLine="0" w:firstLineChars="0"/>
              <w:jc w:val="both"/>
              <w:textAlignment w:val="auto"/>
              <w:outlineLvl w:val="9"/>
              <w:rPr>
                <w:rFonts w:ascii="宋体"/>
                <w:color w:val="auto"/>
                <w:sz w:val="24"/>
              </w:rPr>
            </w:pPr>
            <w:r>
              <w:rPr>
                <w:rFonts w:hint="eastAsia" w:ascii="宋体" w:hAnsi="宋体"/>
                <w:color w:val="auto"/>
                <w:sz w:val="24"/>
              </w:rPr>
              <w:t>招标人不得对投标文件作出任何评价，不得故意遗漏或者片面摘录，不得在评标委员会对所有偏差定性之前透露存有偏差的投标人名称。</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1.2.2</w:t>
            </w:r>
            <w:r>
              <w:rPr>
                <w:rFonts w:hint="eastAsia" w:ascii="宋体" w:hAnsi="宋体"/>
                <w:color w:val="auto"/>
                <w:sz w:val="24"/>
              </w:rPr>
              <w:t>评标委员会</w:t>
            </w:r>
          </w:p>
          <w:p>
            <w:pPr>
              <w:keepNext w:val="0"/>
              <w:keepLines w:val="0"/>
              <w:pageBreakBefore w:val="0"/>
              <w:widowControl w:val="0"/>
              <w:kinsoku/>
              <w:wordWrap/>
              <w:overflowPunct/>
              <w:topLinePunct w:val="0"/>
              <w:autoSpaceDE/>
              <w:autoSpaceDN/>
              <w:bidi w:val="0"/>
              <w:adjustRightInd/>
              <w:snapToGrid/>
              <w:spacing w:line="360" w:lineRule="exact"/>
              <w:ind w:left="239" w:right="0" w:rightChars="0" w:firstLine="0" w:firstLineChars="0"/>
              <w:jc w:val="both"/>
              <w:textAlignment w:val="auto"/>
              <w:outlineLvl w:val="9"/>
              <w:rPr>
                <w:rFonts w:ascii="宋体"/>
                <w:color w:val="auto"/>
                <w:sz w:val="24"/>
              </w:rPr>
            </w:pPr>
            <w:r>
              <w:rPr>
                <w:rFonts w:hint="eastAsia" w:ascii="宋体" w:hAnsi="宋体"/>
                <w:color w:val="auto"/>
                <w:sz w:val="24"/>
              </w:rPr>
              <w:t>评标委员会由招标人按国家、广东省等有关规定依法组建。评标委员人数为9人。评标委员会的主要工作内容包括：</w:t>
            </w:r>
          </w:p>
          <w:p>
            <w:pPr>
              <w:keepNext w:val="0"/>
              <w:keepLines w:val="0"/>
              <w:pageBreakBefore w:val="0"/>
              <w:widowControl w:val="0"/>
              <w:kinsoku/>
              <w:wordWrap/>
              <w:overflowPunct/>
              <w:topLinePunct w:val="0"/>
              <w:autoSpaceDE/>
              <w:autoSpaceDN/>
              <w:bidi w:val="0"/>
              <w:adjustRightInd/>
              <w:snapToGrid/>
              <w:spacing w:line="360" w:lineRule="exact"/>
              <w:ind w:left="239" w:right="0" w:rightChars="0" w:firstLine="0" w:firstLineChars="0"/>
              <w:jc w:val="both"/>
              <w:textAlignment w:val="auto"/>
              <w:outlineLvl w:val="9"/>
              <w:rPr>
                <w:rFonts w:ascii="宋体"/>
                <w:color w:val="auto"/>
                <w:sz w:val="24"/>
              </w:rPr>
            </w:pPr>
            <w:r>
              <w:rPr>
                <w:rFonts w:ascii="宋体" w:hAnsi="宋体"/>
                <w:color w:val="auto"/>
                <w:sz w:val="24"/>
              </w:rPr>
              <w:t>(1)</w:t>
            </w:r>
            <w:r>
              <w:rPr>
                <w:rFonts w:hint="eastAsia" w:ascii="宋体" w:hAnsi="宋体"/>
                <w:color w:val="auto"/>
                <w:sz w:val="24"/>
              </w:rPr>
              <w:t>评标委员会开始评标工作之前，首先听取招标人、协助工作组关于工程情况和辅助工作的说明，并认真研读招标文件，获取评标所需的重要信息和数据；</w:t>
            </w:r>
          </w:p>
          <w:p>
            <w:pPr>
              <w:keepNext w:val="0"/>
              <w:keepLines w:val="0"/>
              <w:pageBreakBefore w:val="0"/>
              <w:widowControl w:val="0"/>
              <w:kinsoku/>
              <w:wordWrap/>
              <w:overflowPunct/>
              <w:topLinePunct w:val="0"/>
              <w:autoSpaceDE/>
              <w:autoSpaceDN/>
              <w:bidi w:val="0"/>
              <w:adjustRightInd/>
              <w:snapToGrid/>
              <w:spacing w:line="360" w:lineRule="exact"/>
              <w:ind w:left="240" w:right="0" w:rightChars="0" w:firstLine="0" w:firstLineChars="0"/>
              <w:jc w:val="both"/>
              <w:textAlignment w:val="auto"/>
              <w:outlineLvl w:val="9"/>
              <w:rPr>
                <w:rFonts w:ascii="宋体"/>
                <w:color w:val="auto"/>
                <w:sz w:val="24"/>
              </w:rPr>
            </w:pPr>
            <w:r>
              <w:rPr>
                <w:rFonts w:ascii="宋体" w:hAnsi="宋体"/>
                <w:color w:val="auto"/>
                <w:sz w:val="24"/>
              </w:rPr>
              <w:t>(2)</w:t>
            </w:r>
            <w:r>
              <w:rPr>
                <w:rFonts w:hint="eastAsia" w:ascii="宋体" w:hAnsi="宋体"/>
                <w:color w:val="auto"/>
                <w:sz w:val="24"/>
              </w:rPr>
              <w:t>对协助工作组提供的评标工作用表和评标内容进行核查；</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 xml:space="preserve">  (3)</w:t>
            </w:r>
            <w:r>
              <w:rPr>
                <w:rFonts w:hint="eastAsia" w:ascii="宋体" w:hAnsi="宋体"/>
                <w:color w:val="auto"/>
                <w:sz w:val="24"/>
              </w:rPr>
              <w:t>按照以下</w:t>
            </w:r>
            <w:r>
              <w:rPr>
                <w:rFonts w:ascii="宋体" w:hAnsi="宋体"/>
                <w:color w:val="auto"/>
                <w:sz w:val="24"/>
              </w:rPr>
              <w:t>1.3</w:t>
            </w:r>
            <w:r>
              <w:rPr>
                <w:rFonts w:hint="eastAsia" w:ascii="宋体" w:hAnsi="宋体"/>
                <w:color w:val="auto"/>
                <w:sz w:val="24"/>
              </w:rPr>
              <w:t>款程序进行各项评审工作。</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1.3</w:t>
            </w:r>
            <w:r>
              <w:rPr>
                <w:rFonts w:hint="eastAsia" w:ascii="宋体" w:hAnsi="宋体"/>
                <w:color w:val="auto"/>
                <w:sz w:val="24"/>
              </w:rPr>
              <w:t>评审工作程序</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hint="eastAsia" w:ascii="宋体" w:hAnsi="宋体"/>
                <w:color w:val="auto"/>
                <w:sz w:val="24"/>
              </w:rPr>
              <w:t>评标委员会将按以下程序开展评标工作：</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b/>
                <w:bCs/>
                <w:color w:val="auto"/>
                <w:sz w:val="24"/>
              </w:rPr>
            </w:pPr>
            <w:r>
              <w:rPr>
                <w:rFonts w:hint="eastAsia" w:ascii="宋体" w:hAnsi="宋体"/>
                <w:b/>
                <w:bCs/>
                <w:color w:val="auto"/>
                <w:sz w:val="24"/>
              </w:rPr>
              <w:t>（一）第一信封（商务及技术文件）的评审：</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1</w:t>
            </w:r>
            <w:r>
              <w:rPr>
                <w:rFonts w:hint="eastAsia" w:ascii="宋体" w:hAnsi="宋体"/>
                <w:color w:val="auto"/>
                <w:sz w:val="24"/>
              </w:rPr>
              <w:t>、初步评审：包括对投标文件进行形式评审与响应性评审、资格评审</w:t>
            </w:r>
            <w:r>
              <w:rPr>
                <w:rFonts w:ascii="宋体" w:hAnsi="宋体"/>
                <w:color w:val="auto"/>
                <w:sz w:val="24"/>
              </w:rPr>
              <w:t>(</w:t>
            </w:r>
            <w:r>
              <w:rPr>
                <w:rFonts w:hint="eastAsia" w:ascii="宋体" w:hAnsi="宋体"/>
                <w:color w:val="auto"/>
                <w:sz w:val="24"/>
              </w:rPr>
              <w:t>适用于资格后审</w:t>
            </w:r>
            <w:r>
              <w:rPr>
                <w:rFonts w:ascii="宋体" w:hAnsi="宋体"/>
                <w:color w:val="auto"/>
                <w:sz w:val="24"/>
              </w:rPr>
              <w:t>)</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2</w:t>
            </w:r>
            <w:r>
              <w:rPr>
                <w:rFonts w:hint="eastAsia" w:ascii="宋体" w:hAnsi="宋体"/>
                <w:color w:val="auto"/>
                <w:sz w:val="24"/>
              </w:rPr>
              <w:t>、详细评审：评标委员会首先对通过初步评审的投标文件第一个信封（商务及技术文件）进行详细评审，对投标人的施工组织设计、项目管理机构、其他部分等因素分别评审打分。</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3</w:t>
            </w:r>
            <w:r>
              <w:rPr>
                <w:rFonts w:hint="eastAsia" w:ascii="宋体" w:hAnsi="宋体"/>
                <w:color w:val="auto"/>
                <w:sz w:val="24"/>
              </w:rPr>
              <w:t>、对投标文件进行必要的澄清和说明（如有）。</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b/>
                <w:bCs/>
                <w:color w:val="auto"/>
                <w:sz w:val="24"/>
              </w:rPr>
            </w:pPr>
            <w:r>
              <w:rPr>
                <w:rFonts w:hint="eastAsia" w:ascii="宋体" w:hAnsi="宋体"/>
                <w:b/>
                <w:bCs/>
                <w:color w:val="auto"/>
                <w:sz w:val="24"/>
              </w:rPr>
              <w:t>（二）第二信封（报价文件）的评审：</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1</w:t>
            </w:r>
            <w:r>
              <w:rPr>
                <w:rFonts w:hint="eastAsia" w:ascii="宋体" w:hAnsi="宋体"/>
                <w:color w:val="auto"/>
                <w:sz w:val="24"/>
              </w:rPr>
              <w:t>、初步评审：只有投标文件第一个信封（商务及技术文件）通过初步评审的投标人才能继续参加第二个信封报价文件的评审。对第一个信封不通过初步评审的投标人的第二信封及不能继续参加第二个信封报价文件的初步评审的投标人第二信封直接退回，不再开启内存信封。评标委员会对投标人的施工组织设计、项目管理机构、其他部分等因素分别评审打分后，在相关人员在场的情况下，进行公开开标，拆启投标人的第二个信封（报价文件），对其进行初步评审。</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2</w:t>
            </w:r>
            <w:r>
              <w:rPr>
                <w:rFonts w:hint="eastAsia" w:ascii="宋体" w:hAnsi="宋体"/>
                <w:color w:val="auto"/>
                <w:sz w:val="24"/>
              </w:rPr>
              <w:t>、计算评标基准价及评标价得分，报价算术性修正（如采用固化工程量清单，本步骤省略）；</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3</w:t>
            </w:r>
            <w:r>
              <w:rPr>
                <w:rFonts w:hint="eastAsia" w:ascii="宋体" w:hAnsi="宋体"/>
                <w:color w:val="auto"/>
                <w:sz w:val="24"/>
              </w:rPr>
              <w:t>、对投标文件进行必要的澄清和说明（如有）。</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b/>
                <w:bCs/>
                <w:color w:val="auto"/>
                <w:sz w:val="24"/>
              </w:rPr>
            </w:pPr>
            <w:r>
              <w:rPr>
                <w:rFonts w:hint="eastAsia" w:ascii="宋体" w:hAnsi="宋体"/>
                <w:b/>
                <w:bCs/>
                <w:color w:val="auto"/>
                <w:sz w:val="24"/>
              </w:rPr>
              <w:t>（三）综合评分，提出评标意见。</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hint="eastAsia" w:ascii="宋体" w:hAnsi="宋体"/>
                <w:color w:val="auto"/>
                <w:sz w:val="24"/>
              </w:rPr>
              <w:t>（四）根据《中华人民共和国招标投标法实施条例》第三十九条、第四十条、第四十一条的有关规定，对在评标过程中发现的投标人与投标人之间、投标人与招标人之间存在的串通投标的情形进行评审和认定。</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b/>
                <w:color w:val="auto"/>
                <w:sz w:val="24"/>
              </w:rPr>
            </w:pPr>
            <w:r>
              <w:rPr>
                <w:rFonts w:hint="eastAsia" w:ascii="宋体" w:hAnsi="宋体"/>
                <w:color w:val="auto"/>
                <w:sz w:val="24"/>
              </w:rPr>
              <w:t>（五）按评标办法规定推荐中标候选人，编写评标报告。</w:t>
            </w:r>
            <w:r>
              <w:rPr>
                <w:rFonts w:ascii="宋体" w:hAnsi="宋体"/>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160" w:hRule="atLeast"/>
        </w:trPr>
        <w:tc>
          <w:tcPr>
            <w:tcW w:w="1350" w:type="dxa"/>
            <w:vAlign w:val="center"/>
          </w:tcPr>
          <w:p>
            <w:pPr>
              <w:ind w:left="113"/>
              <w:jc w:val="center"/>
              <w:rPr>
                <w:color w:val="auto"/>
                <w:sz w:val="24"/>
              </w:rPr>
            </w:pPr>
            <w:r>
              <w:rPr>
                <w:color w:val="auto"/>
                <w:sz w:val="24"/>
              </w:rPr>
              <w:t>3.1.3</w:t>
            </w:r>
          </w:p>
        </w:tc>
        <w:tc>
          <w:tcPr>
            <w:tcW w:w="8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hint="eastAsia" w:ascii="宋体" w:hAnsi="宋体"/>
                <w:color w:val="auto"/>
                <w:sz w:val="24"/>
              </w:rPr>
              <w:t>将评标办法范本原文第</w:t>
            </w:r>
            <w:r>
              <w:rPr>
                <w:rFonts w:ascii="宋体" w:hAnsi="宋体"/>
                <w:color w:val="auto"/>
                <w:sz w:val="24"/>
              </w:rPr>
              <w:t>3.1.3</w:t>
            </w:r>
            <w:r>
              <w:rPr>
                <w:rFonts w:hint="eastAsia" w:ascii="宋体" w:hAnsi="宋体"/>
                <w:color w:val="auto"/>
                <w:sz w:val="24"/>
              </w:rPr>
              <w:t>款第</w:t>
            </w:r>
            <w:r>
              <w:rPr>
                <w:rFonts w:ascii="宋体" w:hAnsi="宋体"/>
                <w:color w:val="auto"/>
                <w:sz w:val="24"/>
              </w:rPr>
              <w:t>(2)</w:t>
            </w:r>
            <w:r>
              <w:rPr>
                <w:rFonts w:hint="eastAsia" w:ascii="宋体" w:hAnsi="宋体"/>
                <w:color w:val="auto"/>
                <w:sz w:val="24"/>
              </w:rPr>
              <w:t>、</w:t>
            </w:r>
            <w:r>
              <w:rPr>
                <w:rFonts w:ascii="宋体" w:hAnsi="宋体"/>
                <w:color w:val="auto"/>
                <w:sz w:val="24"/>
              </w:rPr>
              <w:t>(3)</w:t>
            </w:r>
            <w:r>
              <w:rPr>
                <w:rFonts w:hint="eastAsia" w:ascii="宋体" w:hAnsi="宋体"/>
                <w:color w:val="auto"/>
                <w:sz w:val="24"/>
              </w:rPr>
              <w:t>、</w:t>
            </w:r>
            <w:r>
              <w:rPr>
                <w:rFonts w:ascii="宋体" w:hAnsi="宋体"/>
                <w:color w:val="auto"/>
                <w:sz w:val="24"/>
              </w:rPr>
              <w:t>(4)</w:t>
            </w:r>
            <w:r>
              <w:rPr>
                <w:rFonts w:hint="eastAsia" w:ascii="宋体" w:hAnsi="宋体"/>
                <w:color w:val="auto"/>
                <w:sz w:val="24"/>
              </w:rPr>
              <w:t>条修改为：</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(2)</w:t>
            </w:r>
            <w:r>
              <w:rPr>
                <w:rFonts w:hint="eastAsia" w:ascii="宋体" w:hAnsi="宋体"/>
                <w:color w:val="auto"/>
                <w:sz w:val="24"/>
              </w:rPr>
              <w:t>总价金额与依据单价计算出的结果不一致的，在保证投标总价不变的前提下予以合理调整单价。</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(3)</w:t>
            </w:r>
            <w:r>
              <w:rPr>
                <w:rFonts w:hint="eastAsia" w:ascii="宋体" w:hAnsi="宋体"/>
                <w:color w:val="auto"/>
                <w:sz w:val="24"/>
              </w:rPr>
              <w:t>当单价与数量相乘不等于合价时，应以标出的合价为准，同时对单价予以修正；</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both"/>
              <w:textAlignment w:val="auto"/>
              <w:outlineLvl w:val="9"/>
              <w:rPr>
                <w:rFonts w:ascii="宋体"/>
                <w:color w:val="auto"/>
                <w:sz w:val="24"/>
              </w:rPr>
            </w:pPr>
            <w:r>
              <w:rPr>
                <w:rFonts w:ascii="宋体" w:hAnsi="宋体"/>
                <w:color w:val="auto"/>
                <w:sz w:val="24"/>
              </w:rPr>
              <w:t>(4)</w:t>
            </w:r>
            <w:r>
              <w:rPr>
                <w:rFonts w:hint="eastAsia" w:ascii="宋体" w:hAnsi="宋体"/>
                <w:color w:val="auto"/>
                <w:sz w:val="24"/>
              </w:rPr>
              <w:t>当各子目的合价累计不等于总价时，应以总价不变的前提下，修正各子目合价。</w:t>
            </w:r>
          </w:p>
          <w:p>
            <w:pPr>
              <w:keepNext w:val="0"/>
              <w:keepLines w:val="0"/>
              <w:pageBreakBefore w:val="0"/>
              <w:widowControl w:val="0"/>
              <w:kinsoku/>
              <w:wordWrap/>
              <w:overflowPunct/>
              <w:topLinePunct w:val="0"/>
              <w:autoSpaceDE/>
              <w:autoSpaceDN/>
              <w:bidi w:val="0"/>
              <w:adjustRightInd/>
              <w:snapToGrid/>
              <w:spacing w:line="360" w:lineRule="exact"/>
              <w:ind w:left="113" w:right="0" w:rightChars="0" w:firstLine="0" w:firstLineChars="0"/>
              <w:jc w:val="both"/>
              <w:textAlignment w:val="auto"/>
              <w:outlineLvl w:val="9"/>
              <w:rPr>
                <w:rFonts w:ascii="宋体"/>
                <w:color w:val="auto"/>
                <w:sz w:val="24"/>
              </w:rPr>
            </w:pPr>
            <w:r>
              <w:rPr>
                <w:rFonts w:ascii="宋体" w:hAnsi="宋体"/>
                <w:color w:val="auto"/>
                <w:sz w:val="24"/>
              </w:rPr>
              <w:t xml:space="preserve">  </w:t>
            </w:r>
            <w:r>
              <w:rPr>
                <w:rFonts w:hint="eastAsia" w:ascii="宋体" w:hAnsi="宋体"/>
                <w:color w:val="auto"/>
                <w:sz w:val="24"/>
              </w:rPr>
              <w:t>如采用固化工程量清单报价，</w:t>
            </w:r>
            <w:r>
              <w:rPr>
                <w:rFonts w:ascii="宋体" w:hAnsi="宋体"/>
                <w:color w:val="auto"/>
                <w:sz w:val="24"/>
              </w:rPr>
              <w:t>3.1.3—3.1.6</w:t>
            </w:r>
            <w:r>
              <w:rPr>
                <w:rFonts w:hint="eastAsia" w:ascii="宋体" w:hAnsi="宋体"/>
                <w:color w:val="auto"/>
                <w:sz w:val="24"/>
              </w:rPr>
              <w:t>条款不适用。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160" w:hRule="atLeast"/>
        </w:trPr>
        <w:tc>
          <w:tcPr>
            <w:tcW w:w="1350" w:type="dxa"/>
            <w:vAlign w:val="center"/>
          </w:tcPr>
          <w:p>
            <w:pPr>
              <w:ind w:left="113"/>
              <w:jc w:val="center"/>
              <w:rPr>
                <w:color w:val="auto"/>
                <w:sz w:val="24"/>
              </w:rPr>
            </w:pPr>
            <w:r>
              <w:rPr>
                <w:color w:val="auto"/>
                <w:sz w:val="24"/>
              </w:rPr>
              <w:t>3.2.3</w:t>
            </w:r>
          </w:p>
        </w:tc>
        <w:tc>
          <w:tcPr>
            <w:tcW w:w="8190" w:type="dxa"/>
            <w:vAlign w:val="center"/>
          </w:tcPr>
          <w:p>
            <w:pPr>
              <w:ind w:left="113"/>
              <w:rPr>
                <w:rFonts w:ascii="宋体"/>
                <w:color w:val="auto"/>
                <w:sz w:val="24"/>
              </w:rPr>
            </w:pPr>
            <w:r>
              <w:rPr>
                <w:rFonts w:hint="eastAsia" w:ascii="宋体" w:hAnsi="宋体"/>
                <w:color w:val="auto"/>
                <w:sz w:val="24"/>
              </w:rPr>
              <w:t>将评标办法范本原文第</w:t>
            </w:r>
            <w:r>
              <w:rPr>
                <w:rFonts w:ascii="宋体" w:hAnsi="宋体"/>
                <w:color w:val="auto"/>
                <w:sz w:val="24"/>
              </w:rPr>
              <w:t xml:space="preserve"> 3.2.3 </w:t>
            </w:r>
            <w:r>
              <w:rPr>
                <w:rFonts w:hint="eastAsia" w:ascii="宋体" w:hAnsi="宋体"/>
                <w:color w:val="auto"/>
                <w:sz w:val="24"/>
              </w:rPr>
              <w:t>款细化如下：</w:t>
            </w:r>
          </w:p>
          <w:p>
            <w:pPr>
              <w:ind w:left="113"/>
              <w:rPr>
                <w:rFonts w:ascii="宋体"/>
                <w:color w:val="auto"/>
                <w:sz w:val="24"/>
              </w:rPr>
            </w:pPr>
            <w:r>
              <w:rPr>
                <w:rFonts w:hint="eastAsia" w:ascii="宋体" w:hAnsi="宋体"/>
                <w:color w:val="auto"/>
                <w:sz w:val="24"/>
              </w:rPr>
              <w:t>投标人得分</w:t>
            </w:r>
            <w:r>
              <w:rPr>
                <w:rFonts w:ascii="宋体" w:hAnsi="宋体"/>
                <w:color w:val="auto"/>
                <w:sz w:val="24"/>
              </w:rPr>
              <w:t>=A+B+C+D</w:t>
            </w:r>
            <w:r>
              <w:rPr>
                <w:rFonts w:hint="eastAsia" w:ascii="宋体" w:hAnsi="宋体"/>
                <w:color w:val="auto"/>
                <w:sz w:val="24"/>
              </w:rPr>
              <w:t>。</w:t>
            </w:r>
          </w:p>
          <w:p>
            <w:pPr>
              <w:ind w:left="113"/>
              <w:rPr>
                <w:rFonts w:ascii="宋体"/>
                <w:color w:val="auto"/>
                <w:sz w:val="24"/>
              </w:rPr>
            </w:pPr>
            <w:r>
              <w:rPr>
                <w:rFonts w:hint="eastAsia" w:ascii="宋体" w:hAnsi="宋体"/>
                <w:color w:val="auto"/>
                <w:sz w:val="24"/>
              </w:rPr>
              <w:t>除报价得分外，履约信誉得分外，投标文件各单项得分均不应低于其权重分的</w:t>
            </w:r>
            <w:r>
              <w:rPr>
                <w:rFonts w:ascii="宋体" w:hAnsi="宋体"/>
                <w:color w:val="auto"/>
                <w:sz w:val="24"/>
              </w:rPr>
              <w:t>60%</w:t>
            </w:r>
            <w:r>
              <w:rPr>
                <w:rFonts w:hint="eastAsia" w:ascii="宋体" w:hAnsi="宋体"/>
                <w:color w:val="auto"/>
                <w:sz w:val="24"/>
              </w:rPr>
              <w:t>，评分低于权重分值</w:t>
            </w:r>
            <w:r>
              <w:rPr>
                <w:rFonts w:ascii="宋体" w:hAnsi="宋体"/>
                <w:color w:val="auto"/>
                <w:sz w:val="24"/>
              </w:rPr>
              <w:t>60%</w:t>
            </w:r>
            <w:r>
              <w:rPr>
                <w:rFonts w:hint="eastAsia" w:ascii="宋体" w:hAnsi="宋体"/>
                <w:color w:val="auto"/>
                <w:sz w:val="24"/>
              </w:rPr>
              <w:t>的，评标委员会成员应当在评标报告中作出说明。计算投标人技术得分时</w:t>
            </w:r>
            <w:r>
              <w:rPr>
                <w:rFonts w:ascii="宋体" w:hAnsi="宋体"/>
                <w:color w:val="auto"/>
                <w:sz w:val="24"/>
              </w:rPr>
              <w:t>:</w:t>
            </w:r>
            <w:r>
              <w:rPr>
                <w:rFonts w:hint="eastAsia" w:ascii="宋体" w:hAnsi="宋体"/>
                <w:color w:val="auto"/>
                <w:sz w:val="24"/>
              </w:rPr>
              <w:t>首先在评委技术评分中，对差值最大的评委评分进行取舍（当不多于两位评委评分差值最大时均取消其评委评分，当多于两位评分差值均最大时，不取消任一评委评分），再对各评分因素细分项中取消一个最高、一个最低分后计算算术平均值的和为投标人的最终技术得分，平均值计算四舍五入保留小数点后三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392" w:hRule="atLeast"/>
        </w:trPr>
        <w:tc>
          <w:tcPr>
            <w:tcW w:w="1350" w:type="dxa"/>
            <w:vAlign w:val="center"/>
          </w:tcPr>
          <w:p>
            <w:pPr>
              <w:ind w:left="113"/>
              <w:jc w:val="center"/>
              <w:rPr>
                <w:color w:val="auto"/>
                <w:sz w:val="24"/>
              </w:rPr>
            </w:pPr>
            <w:r>
              <w:rPr>
                <w:color w:val="auto"/>
                <w:sz w:val="24"/>
              </w:rPr>
              <w:t>3.3.1</w:t>
            </w:r>
          </w:p>
        </w:tc>
        <w:tc>
          <w:tcPr>
            <w:tcW w:w="819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Times New Roman" w:hAnsi="Times New Roman" w:eastAsia="Times New Roman"/>
                <w:color w:val="auto"/>
                <w:sz w:val="24"/>
                <w:szCs w:val="24"/>
              </w:rPr>
            </w:pPr>
            <w:r>
              <w:rPr>
                <w:rFonts w:ascii="新宋体" w:hAnsi="新宋体" w:eastAsia="新宋体"/>
                <w:color w:val="auto"/>
                <w:sz w:val="24"/>
                <w:szCs w:val="24"/>
              </w:rPr>
              <w:t xml:space="preserve">将评标办法范本原文第 </w:t>
            </w:r>
            <w:r>
              <w:rPr>
                <w:rFonts w:ascii="Courier New" w:hAnsi="Courier New" w:eastAsia="Courier New"/>
                <w:color w:val="auto"/>
                <w:sz w:val="24"/>
                <w:szCs w:val="24"/>
              </w:rPr>
              <w:t>3.3.1</w:t>
            </w:r>
            <w:r>
              <w:rPr>
                <w:rFonts w:ascii="新宋体" w:hAnsi="新宋体" w:eastAsia="新宋体"/>
                <w:color w:val="auto"/>
                <w:sz w:val="24"/>
                <w:szCs w:val="24"/>
              </w:rPr>
              <w:t xml:space="preserve"> 款修改为：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Times New Roman" w:hAnsi="Times New Roman" w:eastAsia="Times New Roman"/>
                <w:color w:val="auto"/>
                <w:sz w:val="24"/>
                <w:szCs w:val="24"/>
              </w:rPr>
            </w:pPr>
            <w:r>
              <w:rPr>
                <w:rFonts w:ascii="Courier New" w:hAnsi="Courier New" w:eastAsia="Courier New"/>
                <w:color w:val="auto"/>
                <w:sz w:val="24"/>
                <w:szCs w:val="24"/>
              </w:rPr>
              <w:t xml:space="preserve">3.3.1 </w:t>
            </w:r>
            <w:r>
              <w:rPr>
                <w:rFonts w:ascii="新宋体" w:hAnsi="新宋体" w:eastAsia="新宋体"/>
                <w:color w:val="auto"/>
                <w:sz w:val="24"/>
                <w:szCs w:val="24"/>
              </w:rPr>
              <w:t>在评标过程中，评标委员会可以书面形式要求投标人对所提交投标文件中不明确的内容进行书面澄清或说明，或者对细微偏差进行补正。评标委员会不接受投标人主动提出的澄清、说明。</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Times New Roman" w:hAnsi="Times New Roman" w:eastAsia="Times New Roman"/>
                <w:color w:val="auto"/>
                <w:sz w:val="24"/>
                <w:szCs w:val="24"/>
              </w:rPr>
            </w:pPr>
            <w:r>
              <w:rPr>
                <w:rFonts w:ascii="Courier New" w:hAnsi="Courier New" w:eastAsia="Courier New"/>
                <w:color w:val="auto"/>
                <w:sz w:val="24"/>
                <w:szCs w:val="24"/>
              </w:rPr>
              <w:t xml:space="preserve">(1) </w:t>
            </w:r>
            <w:r>
              <w:rPr>
                <w:rFonts w:ascii="新宋体" w:hAnsi="新宋体" w:eastAsia="新宋体"/>
                <w:color w:val="auto"/>
                <w:sz w:val="24"/>
                <w:szCs w:val="24"/>
              </w:rPr>
              <w:t>投标文件中的下列偏差为细微偏差：（采用固化工程量清单，则</w:t>
            </w:r>
            <w:r>
              <w:rPr>
                <w:rFonts w:ascii="Courier New" w:hAnsi="Courier New" w:eastAsia="Courier New"/>
                <w:color w:val="auto"/>
                <w:sz w:val="24"/>
                <w:szCs w:val="24"/>
              </w:rPr>
              <w:t xml:space="preserve"> a</w:t>
            </w:r>
            <w:r>
              <w:rPr>
                <w:rFonts w:ascii="新宋体" w:hAnsi="新宋体" w:eastAsia="新宋体"/>
                <w:color w:val="auto"/>
                <w:sz w:val="24"/>
                <w:szCs w:val="24"/>
              </w:rPr>
              <w:t>－</w:t>
            </w:r>
            <w:r>
              <w:rPr>
                <w:rFonts w:ascii="Courier New" w:hAnsi="Courier New" w:eastAsia="Courier New"/>
                <w:color w:val="auto"/>
                <w:sz w:val="24"/>
                <w:szCs w:val="24"/>
              </w:rPr>
              <w:t>d</w:t>
            </w:r>
            <w:r>
              <w:rPr>
                <w:rFonts w:ascii="新宋体" w:hAnsi="新宋体" w:eastAsia="新宋体"/>
                <w:color w:val="auto"/>
                <w:sz w:val="24"/>
                <w:szCs w:val="24"/>
              </w:rPr>
              <w:t>步骤省略）：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Times New Roman" w:hAnsi="Times New Roman" w:eastAsia="Times New Roman"/>
                <w:color w:val="auto"/>
                <w:sz w:val="24"/>
                <w:szCs w:val="24"/>
              </w:rPr>
            </w:pPr>
            <w:r>
              <w:rPr>
                <w:rFonts w:ascii="Courier New" w:hAnsi="Courier New" w:eastAsia="Courier New"/>
                <w:color w:val="auto"/>
                <w:sz w:val="24"/>
                <w:szCs w:val="24"/>
              </w:rPr>
              <w:t>a</w:t>
            </w:r>
            <w:r>
              <w:rPr>
                <w:rFonts w:ascii="新宋体" w:hAnsi="新宋体" w:eastAsia="新宋体"/>
                <w:color w:val="auto"/>
                <w:sz w:val="24"/>
                <w:szCs w:val="24"/>
              </w:rPr>
              <w:t>、在算术性复核中发现的算术性差错：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Times New Roman" w:hAnsi="Times New Roman" w:eastAsia="Times New Roman"/>
                <w:color w:val="auto"/>
                <w:sz w:val="24"/>
                <w:szCs w:val="24"/>
              </w:rPr>
            </w:pPr>
            <w:r>
              <w:rPr>
                <w:rFonts w:ascii="Courier New" w:hAnsi="Courier New" w:eastAsia="Courier New"/>
                <w:color w:val="auto"/>
                <w:sz w:val="24"/>
                <w:szCs w:val="24"/>
              </w:rPr>
              <w:t>b</w:t>
            </w:r>
            <w:r>
              <w:rPr>
                <w:rFonts w:ascii="新宋体" w:hAnsi="新宋体" w:eastAsia="新宋体"/>
                <w:color w:val="auto"/>
                <w:sz w:val="24"/>
                <w:szCs w:val="24"/>
              </w:rPr>
              <w:t>、在招标人给定的工程量清单中漏报了某个工程细目的单价和合价；</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Times New Roman" w:hAnsi="Times New Roman" w:eastAsia="Times New Roman"/>
                <w:color w:val="auto"/>
                <w:sz w:val="24"/>
                <w:szCs w:val="24"/>
              </w:rPr>
            </w:pPr>
            <w:r>
              <w:rPr>
                <w:rFonts w:ascii="Courier New" w:hAnsi="Courier New" w:eastAsia="Courier New"/>
                <w:color w:val="auto"/>
                <w:sz w:val="24"/>
                <w:szCs w:val="24"/>
              </w:rPr>
              <w:t>c</w:t>
            </w:r>
            <w:r>
              <w:rPr>
                <w:rFonts w:ascii="新宋体" w:hAnsi="新宋体" w:eastAsia="新宋体"/>
                <w:color w:val="auto"/>
                <w:sz w:val="24"/>
                <w:szCs w:val="24"/>
              </w:rPr>
              <w:t>、在招标人给定的工程量清单中多报了某个工程细目的单价和合价或所报单价增加或减少了报价范围；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新宋体" w:hAnsi="新宋体" w:eastAsia="新宋体"/>
                <w:color w:val="auto"/>
                <w:sz w:val="24"/>
                <w:szCs w:val="24"/>
              </w:rPr>
            </w:pPr>
            <w:r>
              <w:rPr>
                <w:rFonts w:ascii="Courier New" w:hAnsi="Courier New" w:eastAsia="Courier New"/>
                <w:color w:val="auto"/>
                <w:sz w:val="24"/>
                <w:szCs w:val="24"/>
              </w:rPr>
              <w:t>d</w:t>
            </w:r>
            <w:r>
              <w:rPr>
                <w:rFonts w:ascii="新宋体" w:hAnsi="新宋体" w:eastAsia="新宋体"/>
                <w:color w:val="auto"/>
                <w:sz w:val="24"/>
                <w:szCs w:val="24"/>
              </w:rPr>
              <w:t>、在招标人给定的工程量清单中修改了某些支付号的工程数量；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Times New Roman" w:hAnsi="Times New Roman" w:eastAsia="Times New Roman"/>
                <w:color w:val="auto"/>
                <w:sz w:val="24"/>
                <w:szCs w:val="24"/>
                <w:vertAlign w:val="subscript"/>
              </w:rPr>
            </w:pPr>
            <w:r>
              <w:rPr>
                <w:rFonts w:ascii="Courier New" w:hAnsi="Courier New" w:eastAsia="Courier New"/>
                <w:color w:val="auto"/>
                <w:sz w:val="24"/>
                <w:szCs w:val="24"/>
              </w:rPr>
              <w:t>e</w:t>
            </w:r>
            <w:r>
              <w:rPr>
                <w:rFonts w:ascii="新宋体" w:hAnsi="新宋体" w:eastAsia="新宋体"/>
                <w:color w:val="auto"/>
                <w:sz w:val="24"/>
                <w:szCs w:val="24"/>
              </w:rPr>
              <w:t>、施工组织设计（不含关键工程技术方案）不够完善。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Times New Roman" w:hAnsi="Times New Roman" w:eastAsia="Times New Roman"/>
                <w:color w:val="auto"/>
                <w:sz w:val="24"/>
                <w:szCs w:val="24"/>
              </w:rPr>
            </w:pPr>
            <w:r>
              <w:rPr>
                <w:rFonts w:ascii="新宋体" w:hAnsi="新宋体" w:eastAsia="新宋体"/>
                <w:color w:val="auto"/>
                <w:sz w:val="24"/>
                <w:szCs w:val="24"/>
              </w:rPr>
              <w:t>（</w:t>
            </w:r>
            <w:r>
              <w:rPr>
                <w:rFonts w:ascii="Courier New" w:hAnsi="Courier New" w:eastAsia="Courier New"/>
                <w:color w:val="auto"/>
                <w:sz w:val="24"/>
                <w:szCs w:val="24"/>
              </w:rPr>
              <w:t>2</w:t>
            </w:r>
            <w:r>
              <w:rPr>
                <w:rFonts w:ascii="新宋体" w:hAnsi="新宋体" w:eastAsia="新宋体"/>
                <w:color w:val="auto"/>
                <w:sz w:val="24"/>
                <w:szCs w:val="24"/>
              </w:rPr>
              <w:t xml:space="preserve">）评标委员会对投标文件中的细微偏差按如下规定处理：（采用固化工程量清单，则 </w:t>
            </w:r>
            <w:r>
              <w:rPr>
                <w:rFonts w:ascii="Courier New" w:hAnsi="Courier New" w:eastAsia="Courier New"/>
                <w:color w:val="auto"/>
                <w:sz w:val="24"/>
                <w:szCs w:val="24"/>
              </w:rPr>
              <w:t>a</w:t>
            </w:r>
            <w:r>
              <w:rPr>
                <w:rFonts w:ascii="新宋体" w:hAnsi="新宋体" w:eastAsia="新宋体"/>
                <w:color w:val="auto"/>
                <w:sz w:val="24"/>
                <w:szCs w:val="24"/>
              </w:rPr>
              <w:t>－</w:t>
            </w:r>
            <w:r>
              <w:rPr>
                <w:rFonts w:ascii="Courier New" w:hAnsi="Courier New" w:eastAsia="Courier New"/>
                <w:color w:val="auto"/>
                <w:sz w:val="24"/>
                <w:szCs w:val="24"/>
              </w:rPr>
              <w:t>d</w:t>
            </w:r>
            <w:r>
              <w:rPr>
                <w:rFonts w:ascii="新宋体" w:hAnsi="新宋体" w:eastAsia="新宋体"/>
                <w:color w:val="auto"/>
                <w:sz w:val="24"/>
                <w:szCs w:val="24"/>
              </w:rPr>
              <w:t xml:space="preserve"> 步骤省略）：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Times New Roman" w:hAnsi="Times New Roman" w:eastAsia="Times New Roman"/>
                <w:color w:val="auto"/>
                <w:sz w:val="24"/>
                <w:szCs w:val="24"/>
              </w:rPr>
            </w:pPr>
            <w:r>
              <w:rPr>
                <w:rFonts w:ascii="Courier New" w:hAnsi="Courier New" w:eastAsia="Courier New"/>
                <w:color w:val="auto"/>
                <w:sz w:val="24"/>
                <w:szCs w:val="24"/>
              </w:rPr>
              <w:t>a</w:t>
            </w:r>
            <w:r>
              <w:rPr>
                <w:rFonts w:ascii="新宋体" w:hAnsi="新宋体" w:eastAsia="新宋体"/>
                <w:color w:val="auto"/>
                <w:sz w:val="24"/>
                <w:szCs w:val="24"/>
              </w:rPr>
              <w:t>、按本评标办法的规定对算术性错误予以修正；</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新宋体" w:hAnsi="新宋体" w:eastAsia="新宋体"/>
                <w:color w:val="auto"/>
                <w:sz w:val="24"/>
                <w:szCs w:val="24"/>
              </w:rPr>
            </w:pPr>
            <w:r>
              <w:rPr>
                <w:rFonts w:ascii="Courier New" w:hAnsi="Courier New" w:eastAsia="Courier New"/>
                <w:color w:val="auto"/>
                <w:sz w:val="24"/>
                <w:szCs w:val="24"/>
              </w:rPr>
              <w:t>b</w:t>
            </w:r>
            <w:r>
              <w:rPr>
                <w:rFonts w:ascii="新宋体" w:hAnsi="新宋体" w:eastAsia="新宋体"/>
                <w:color w:val="auto"/>
                <w:sz w:val="24"/>
                <w:szCs w:val="24"/>
              </w:rPr>
              <w:t>、对于漏报的工程细目单价和合价或单价和合价减少的报价内容视为已含入其它工程细目的单价和合价之中；</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Times New Roman" w:hAnsi="Times New Roman" w:eastAsia="Times New Roman"/>
                <w:color w:val="auto"/>
                <w:sz w:val="24"/>
                <w:szCs w:val="24"/>
              </w:rPr>
            </w:pPr>
            <w:r>
              <w:rPr>
                <w:rFonts w:ascii="Courier New" w:hAnsi="Courier New" w:eastAsia="Courier New"/>
                <w:color w:val="auto"/>
                <w:sz w:val="24"/>
                <w:szCs w:val="24"/>
              </w:rPr>
              <w:t>c</w:t>
            </w:r>
            <w:r>
              <w:rPr>
                <w:rFonts w:ascii="新宋体" w:hAnsi="新宋体" w:eastAsia="新宋体"/>
                <w:color w:val="auto"/>
                <w:sz w:val="24"/>
                <w:szCs w:val="24"/>
              </w:rPr>
              <w:t>、在保证投标总价不变的前提下，对于多报的工程细目报价或工程细目报价中增加的部分报价从投标报价中予以扣除，并对其它细目作相应的平衡性调整；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新宋体" w:hAnsi="新宋体" w:eastAsia="新宋体"/>
                <w:color w:val="auto"/>
                <w:sz w:val="24"/>
                <w:szCs w:val="24"/>
              </w:rPr>
            </w:pPr>
            <w:r>
              <w:rPr>
                <w:rFonts w:ascii="Courier New" w:hAnsi="Courier New" w:eastAsia="Courier New"/>
                <w:color w:val="auto"/>
                <w:sz w:val="24"/>
                <w:szCs w:val="24"/>
              </w:rPr>
              <w:t>d</w:t>
            </w:r>
            <w:r>
              <w:rPr>
                <w:rFonts w:ascii="新宋体" w:hAnsi="新宋体" w:eastAsia="新宋体"/>
                <w:color w:val="auto"/>
                <w:sz w:val="24"/>
                <w:szCs w:val="24"/>
              </w:rPr>
              <w:t>、在保证投标总价不变的前提下，对与给定工程量清单数量不符的工程数量进行更正，并对其它细目作相应的平衡性调整。</w:t>
            </w:r>
          </w:p>
          <w:p>
            <w:pPr>
              <w:rPr>
                <w:rFonts w:ascii="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02" w:hRule="atLeast"/>
        </w:trPr>
        <w:tc>
          <w:tcPr>
            <w:tcW w:w="1350" w:type="dxa"/>
            <w:vAlign w:val="center"/>
          </w:tcPr>
          <w:p>
            <w:pPr>
              <w:ind w:left="113"/>
              <w:jc w:val="center"/>
              <w:rPr>
                <w:color w:val="auto"/>
                <w:sz w:val="24"/>
              </w:rPr>
            </w:pPr>
            <w:r>
              <w:rPr>
                <w:color w:val="auto"/>
                <w:sz w:val="24"/>
              </w:rPr>
              <w:t>3.5</w:t>
            </w:r>
          </w:p>
        </w:tc>
        <w:tc>
          <w:tcPr>
            <w:tcW w:w="8190" w:type="dxa"/>
            <w:vAlign w:val="center"/>
          </w:tcPr>
          <w:p>
            <w:pPr>
              <w:rPr>
                <w:rFonts w:ascii="宋体"/>
                <w:color w:val="auto"/>
                <w:sz w:val="24"/>
              </w:rPr>
            </w:pPr>
            <w:r>
              <w:rPr>
                <w:rFonts w:hint="eastAsia" w:ascii="宋体" w:hAnsi="宋体"/>
                <w:color w:val="auto"/>
                <w:sz w:val="24"/>
              </w:rPr>
              <w:t>增加</w:t>
            </w:r>
            <w:r>
              <w:rPr>
                <w:rFonts w:ascii="宋体" w:hAnsi="宋体"/>
                <w:color w:val="auto"/>
                <w:sz w:val="24"/>
              </w:rPr>
              <w:t>3.5</w:t>
            </w:r>
            <w:r>
              <w:rPr>
                <w:rFonts w:hint="eastAsia" w:ascii="宋体" w:hAnsi="宋体"/>
                <w:color w:val="auto"/>
                <w:sz w:val="24"/>
              </w:rPr>
              <w:t>款“定标原则”：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宋体"/>
                <w:color w:val="auto"/>
                <w:sz w:val="24"/>
              </w:rPr>
            </w:pPr>
            <w:r>
              <w:rPr>
                <w:rFonts w:ascii="宋体" w:hAnsi="宋体"/>
                <w:color w:val="auto"/>
                <w:sz w:val="24"/>
              </w:rPr>
              <w:t>3.5.1</w:t>
            </w:r>
            <w:r>
              <w:rPr>
                <w:rFonts w:hint="eastAsia" w:ascii="宋体" w:hAnsi="宋体"/>
                <w:color w:val="auto"/>
                <w:sz w:val="24"/>
              </w:rPr>
              <w:t>按上述评审办法的综合得分从高到低进行排名，如果综合得分相同，以投标报价较低的投标人排名优先。当一家以上投标人综合得分相等且评标价也相等时，若各投标人工程量清单细目单价也相同，视为串标</w:t>
            </w:r>
            <w:r>
              <w:rPr>
                <w:rFonts w:ascii="宋体" w:hAnsi="宋体"/>
                <w:color w:val="auto"/>
                <w:sz w:val="24"/>
              </w:rPr>
              <w:t>(</w:t>
            </w:r>
            <w:r>
              <w:rPr>
                <w:rFonts w:hint="eastAsia" w:ascii="宋体" w:hAnsi="宋体"/>
                <w:color w:val="auto"/>
                <w:sz w:val="24"/>
              </w:rPr>
              <w:t>一个合同段仅一个工作细目报价的除外），应否决其投标；若各投标人工程量清单细目单价不尽相同，由评标委员会按照以下顺序确定其名次：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w:t>
            </w:r>
            <w:r>
              <w:rPr>
                <w:rFonts w:hint="eastAsia" w:ascii="宋体" w:hAnsi="宋体"/>
                <w:color w:val="auto"/>
                <w:sz w:val="24"/>
                <w:lang w:eastAsia="zh-CN"/>
              </w:rPr>
              <w:t>招标人可采用</w:t>
            </w:r>
            <w:r>
              <w:rPr>
                <w:rFonts w:hint="eastAsia" w:ascii="宋体" w:hAnsi="宋体"/>
                <w:color w:val="auto"/>
                <w:sz w:val="24"/>
              </w:rPr>
              <w:t>被广东省</w:t>
            </w:r>
            <w:r>
              <w:rPr>
                <w:rFonts w:hint="eastAsia" w:ascii="宋体" w:hAnsi="宋体"/>
                <w:color w:val="auto"/>
                <w:sz w:val="24"/>
                <w:lang w:eastAsia="zh-CN"/>
              </w:rPr>
              <w:t>级交通</w:t>
            </w:r>
            <w:r>
              <w:rPr>
                <w:rFonts w:hint="eastAsia" w:ascii="宋体" w:hAnsi="宋体"/>
                <w:color w:val="auto"/>
                <w:sz w:val="24"/>
              </w:rPr>
              <w:t>交通运输厅评为较高信用等级的投标人优先（对于信用等级为</w:t>
            </w:r>
            <w:r>
              <w:rPr>
                <w:rFonts w:ascii="宋体" w:hAnsi="宋体"/>
                <w:color w:val="auto"/>
                <w:sz w:val="24"/>
              </w:rPr>
              <w:t>AA</w:t>
            </w:r>
            <w:r>
              <w:rPr>
                <w:rFonts w:hint="eastAsia" w:ascii="宋体" w:hAnsi="宋体"/>
                <w:color w:val="auto"/>
                <w:sz w:val="24"/>
              </w:rPr>
              <w:t>、</w:t>
            </w:r>
            <w:r>
              <w:rPr>
                <w:rFonts w:ascii="宋体" w:hAnsi="宋体"/>
                <w:color w:val="auto"/>
                <w:sz w:val="24"/>
              </w:rPr>
              <w:t>A</w:t>
            </w:r>
            <w:r>
              <w:rPr>
                <w:rFonts w:hint="eastAsia" w:ascii="宋体" w:hAnsi="宋体"/>
                <w:color w:val="auto"/>
                <w:sz w:val="24"/>
              </w:rPr>
              <w:t>的企业在递交投标文件时应按要求提交使用广东省信用评价等级申请承诺书，否则，</w:t>
            </w:r>
            <w:r>
              <w:rPr>
                <w:rFonts w:ascii="宋体" w:hAnsi="宋体"/>
                <w:color w:val="auto"/>
                <w:sz w:val="24"/>
              </w:rPr>
              <w:t xml:space="preserve"> AA</w:t>
            </w:r>
            <w:r>
              <w:rPr>
                <w:rFonts w:hint="eastAsia" w:ascii="宋体" w:hAnsi="宋体"/>
                <w:color w:val="auto"/>
                <w:sz w:val="24"/>
              </w:rPr>
              <w:t>级信用等级企业按</w:t>
            </w:r>
            <w:r>
              <w:rPr>
                <w:rFonts w:ascii="宋体" w:hAnsi="宋体"/>
                <w:color w:val="auto"/>
                <w:sz w:val="24"/>
              </w:rPr>
              <w:t>A</w:t>
            </w:r>
            <w:r>
              <w:rPr>
                <w:rFonts w:hint="eastAsia" w:ascii="宋体" w:hAnsi="宋体"/>
                <w:color w:val="auto"/>
                <w:sz w:val="24"/>
              </w:rPr>
              <w:t>级对待，</w:t>
            </w:r>
            <w:r>
              <w:rPr>
                <w:rFonts w:ascii="宋体" w:hAnsi="宋体"/>
                <w:color w:val="auto"/>
                <w:sz w:val="24"/>
              </w:rPr>
              <w:t>A</w:t>
            </w:r>
            <w:r>
              <w:rPr>
                <w:rFonts w:hint="eastAsia" w:ascii="宋体" w:hAnsi="宋体"/>
                <w:color w:val="auto"/>
                <w:sz w:val="24"/>
              </w:rPr>
              <w:t>级信用等级企业按</w:t>
            </w:r>
            <w:r>
              <w:rPr>
                <w:rFonts w:ascii="宋体" w:hAnsi="宋体"/>
                <w:color w:val="auto"/>
                <w:sz w:val="24"/>
              </w:rPr>
              <w:t>B</w:t>
            </w:r>
            <w:r>
              <w:rPr>
                <w:rFonts w:hint="eastAsia" w:ascii="宋体" w:hAnsi="宋体"/>
                <w:color w:val="auto"/>
                <w:sz w:val="24"/>
              </w:rPr>
              <w:t>级对待。）；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imes New Roman" w:hAnsi="Times New Roman"/>
                <w:sz w:val="24"/>
                <w:szCs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w:t>
            </w:r>
            <w:r>
              <w:rPr>
                <w:rFonts w:hint="eastAsia" w:ascii="Times New Roman" w:hAnsi="Times New Roman"/>
                <w:sz w:val="24"/>
                <w:szCs w:val="24"/>
              </w:rPr>
              <w:t xml:space="preserve"> 由评标委员会视企业净资产、投标人技术能力、施工方案等情况经评议后，投票确定其名次；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ascii="宋体"/>
                <w:color w:val="auto"/>
                <w:sz w:val="24"/>
              </w:rPr>
            </w:pPr>
            <w:r>
              <w:rPr>
                <w:rFonts w:ascii="宋体" w:hAnsi="宋体"/>
                <w:color w:val="auto"/>
                <w:sz w:val="24"/>
              </w:rPr>
              <w:t>3.5.2</w:t>
            </w:r>
            <w:r>
              <w:rPr>
                <w:rFonts w:hint="eastAsia" w:ascii="宋体" w:hAnsi="宋体"/>
                <w:color w:val="auto"/>
                <w:sz w:val="24"/>
              </w:rPr>
              <w:t>按照上述第</w:t>
            </w:r>
            <w:r>
              <w:rPr>
                <w:rFonts w:ascii="宋体" w:hAnsi="宋体"/>
                <w:color w:val="auto"/>
                <w:sz w:val="24"/>
              </w:rPr>
              <w:t>3.5.1</w:t>
            </w:r>
            <w:r>
              <w:rPr>
                <w:rFonts w:hint="eastAsia" w:ascii="宋体" w:hAnsi="宋体"/>
                <w:color w:val="auto"/>
                <w:sz w:val="24"/>
              </w:rPr>
              <w:t>款原则，按排名次序推荐出</w:t>
            </w:r>
            <w:r>
              <w:rPr>
                <w:rFonts w:ascii="宋体" w:hAnsi="宋体"/>
                <w:color w:val="auto"/>
                <w:sz w:val="24"/>
              </w:rPr>
              <w:t>3</w:t>
            </w:r>
            <w:r>
              <w:rPr>
                <w:rFonts w:hint="eastAsia" w:ascii="宋体" w:hAnsi="宋体"/>
                <w:color w:val="auto"/>
                <w:sz w:val="24"/>
              </w:rPr>
              <w:t>名中标候选人。</w:t>
            </w:r>
          </w:p>
          <w:p>
            <w:pPr>
              <w:pStyle w:val="3"/>
              <w:keepNext w:val="0"/>
              <w:keepLines w:val="0"/>
              <w:pageBreakBefore w:val="0"/>
              <w:widowControl w:val="0"/>
              <w:kinsoku/>
              <w:wordWrap/>
              <w:overflowPunct/>
              <w:topLinePunct w:val="0"/>
              <w:autoSpaceDE/>
              <w:autoSpaceDN/>
              <w:bidi w:val="0"/>
              <w:adjustRightInd w:val="0"/>
              <w:snapToGrid w:val="0"/>
              <w:spacing w:line="360" w:lineRule="exact"/>
              <w:ind w:left="44" w:leftChars="21" w:right="0" w:rightChars="0" w:firstLine="494" w:firstLineChars="206"/>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3.5.3通过第一信封商务文件和技术文件评审的投标人少于3 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keepNext w:val="0"/>
              <w:keepLines w:val="0"/>
              <w:pageBreakBefore w:val="0"/>
              <w:widowControl w:val="0"/>
              <w:kinsoku/>
              <w:wordWrap/>
              <w:overflowPunct/>
              <w:topLinePunct w:val="0"/>
              <w:autoSpaceDE/>
              <w:autoSpaceDN/>
              <w:bidi w:val="0"/>
              <w:spacing w:line="360" w:lineRule="exact"/>
              <w:ind w:right="0" w:rightChars="0" w:firstLine="432" w:firstLineChars="1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3.5.4通过第一信封商务文件和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w:t>
            </w:r>
          </w:p>
          <w:p>
            <w:pPr>
              <w:keepNext w:val="0"/>
              <w:keepLines w:val="0"/>
              <w:pageBreakBefore w:val="0"/>
              <w:widowControl w:val="0"/>
              <w:kinsoku/>
              <w:wordWrap/>
              <w:overflowPunct/>
              <w:topLinePunct w:val="0"/>
              <w:autoSpaceDE/>
              <w:autoSpaceDN/>
              <w:bidi w:val="0"/>
              <w:spacing w:line="360" w:lineRule="exact"/>
              <w:ind w:right="0" w:rightChars="0" w:firstLine="432" w:firstLineChars="1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3.5.5如果发生无法确定推荐中标候选人的其它意外情况，评标委员会可建议招标人重新组织招标。</w:t>
            </w:r>
          </w:p>
          <w:p>
            <w:pPr>
              <w:rPr>
                <w:rFonts w:ascii="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33" w:hRule="atLeast"/>
        </w:trPr>
        <w:tc>
          <w:tcPr>
            <w:tcW w:w="1350" w:type="dxa"/>
            <w:tcBorders>
              <w:bottom w:val="single" w:color="000000" w:sz="12" w:space="0"/>
            </w:tcBorders>
          </w:tcPr>
          <w:p>
            <w:pPr>
              <w:rPr>
                <w:rFonts w:ascii="宋体"/>
                <w:b/>
                <w:color w:val="auto"/>
                <w:sz w:val="24"/>
              </w:rPr>
            </w:pPr>
          </w:p>
        </w:tc>
        <w:tc>
          <w:tcPr>
            <w:tcW w:w="8190" w:type="dxa"/>
            <w:tcBorders>
              <w:bottom w:val="single" w:color="000000" w:sz="12" w:space="0"/>
            </w:tcBorders>
          </w:tcPr>
          <w:p>
            <w:pPr>
              <w:rPr>
                <w:rFonts w:ascii="宋体"/>
                <w:b/>
                <w:color w:val="auto"/>
                <w:sz w:val="24"/>
              </w:rPr>
            </w:pPr>
            <w:r>
              <w:rPr>
                <w:rFonts w:hint="eastAsia" w:ascii="宋体" w:hAnsi="宋体"/>
                <w:b/>
                <w:color w:val="auto"/>
                <w:sz w:val="24"/>
              </w:rPr>
              <w:t>备注：“评标办法”</w:t>
            </w:r>
            <w:r>
              <w:rPr>
                <w:rFonts w:ascii="宋体" w:hAnsi="宋体"/>
                <w:b/>
                <w:color w:val="auto"/>
                <w:sz w:val="24"/>
              </w:rPr>
              <w:t xml:space="preserve"> </w:t>
            </w:r>
            <w:r>
              <w:rPr>
                <w:rFonts w:hint="eastAsia" w:ascii="宋体" w:hAnsi="宋体"/>
                <w:b/>
                <w:color w:val="auto"/>
                <w:sz w:val="24"/>
              </w:rPr>
              <w:t>前附表是“评标办法”正文的响应内容的补充、细化，投标人应结合“评标办法”正文和“评标办法”</w:t>
            </w:r>
            <w:r>
              <w:rPr>
                <w:rFonts w:ascii="宋体" w:hAnsi="宋体"/>
                <w:b/>
                <w:color w:val="auto"/>
                <w:sz w:val="24"/>
              </w:rPr>
              <w:t xml:space="preserve"> </w:t>
            </w:r>
            <w:r>
              <w:rPr>
                <w:rFonts w:hint="eastAsia" w:ascii="宋体" w:hAnsi="宋体"/>
                <w:b/>
                <w:color w:val="auto"/>
                <w:sz w:val="24"/>
              </w:rPr>
              <w:t>前附表两部分内容仔细阅读“评标办法”。</w:t>
            </w:r>
          </w:p>
        </w:tc>
      </w:tr>
    </w:tbl>
    <w:p/>
    <w:p>
      <w:pPr>
        <w:rPr>
          <w:sz w:val="24"/>
        </w:rPr>
      </w:pPr>
      <w:r>
        <w:br w:type="page"/>
      </w:r>
      <w:bookmarkStart w:id="0" w:name="_Toc490073643"/>
      <w:bookmarkStart w:id="1" w:name="_Toc485740392"/>
      <w:r>
        <w:rPr>
          <w:sz w:val="24"/>
        </w:rPr>
        <w:t xml:space="preserve">                                                                                                                                                                                 1. </w:t>
      </w:r>
      <w:r>
        <w:rPr>
          <w:rFonts w:hint="eastAsia"/>
          <w:sz w:val="24"/>
        </w:rPr>
        <w:t>评标方法</w:t>
      </w:r>
      <w:bookmarkEnd w:id="0"/>
      <w:bookmarkEnd w:id="1"/>
    </w:p>
    <w:p>
      <w:pPr>
        <w:spacing w:line="440" w:lineRule="exact"/>
        <w:ind w:firstLine="480" w:firstLineChars="200"/>
        <w:rPr>
          <w:rFonts w:ascii="宋体"/>
          <w:sz w:val="24"/>
        </w:rPr>
      </w:pPr>
      <w:bookmarkStart w:id="2" w:name="_Toc453057086"/>
      <w:bookmarkStart w:id="3" w:name="_Toc451261276"/>
      <w:bookmarkStart w:id="4" w:name="_Toc485740393"/>
      <w:r>
        <w:rPr>
          <w:rFonts w:hint="eastAsia" w:ascii="宋体" w:hAnsi="宋体"/>
          <w:sz w:val="24"/>
        </w:rPr>
        <w:t>本次评标采用</w:t>
      </w:r>
      <w:r>
        <w:rPr>
          <w:rFonts w:hint="eastAsia" w:ascii="宋体" w:hAnsi="宋体"/>
          <w:sz w:val="24"/>
          <w:lang w:eastAsia="zh-CN"/>
        </w:rPr>
        <w:t>双信封的</w:t>
      </w:r>
      <w:r>
        <w:rPr>
          <w:rFonts w:hint="eastAsia" w:ascii="宋体" w:hAnsi="宋体"/>
          <w:sz w:val="24"/>
        </w:rPr>
        <w:t>综合评分法。评标委员会对满足招标文件实质要求的投标文件，根据本章第</w:t>
      </w:r>
      <w:r>
        <w:rPr>
          <w:rFonts w:ascii="宋体" w:hAnsi="宋体"/>
          <w:sz w:val="24"/>
        </w:rPr>
        <w:t>2.2</w:t>
      </w:r>
      <w:r>
        <w:rPr>
          <w:rFonts w:hint="eastAsia" w:ascii="宋体" w:hAnsi="宋体"/>
          <w:sz w:val="24"/>
        </w:rPr>
        <w:t>款规定的评分标准进行打分，并按得分由高到低顺序推荐中标候选人，但投标报价低于其成本的除外。综合评分相等时，以投标报价低的优先；投标报价也相等的，招标人可采用被招标项目所在地省级交通主管部门评为较高信用等级的投标人或</w:t>
      </w:r>
      <w:r>
        <w:rPr>
          <w:rFonts w:hint="eastAsia" w:ascii="宋体" w:hAnsi="宋体"/>
          <w:sz w:val="24"/>
          <w:lang w:eastAsia="zh-CN"/>
        </w:rPr>
        <w:t>其他方法确定第一中标人候选人</w:t>
      </w:r>
      <w:r>
        <w:rPr>
          <w:rFonts w:hint="eastAsia" w:ascii="宋体" w:hAnsi="宋体"/>
          <w:sz w:val="24"/>
        </w:rPr>
        <w:t>。</w:t>
      </w:r>
    </w:p>
    <w:p>
      <w:pPr>
        <w:pStyle w:val="2"/>
        <w:spacing w:before="120" w:beforeLines="50" w:after="0" w:line="420" w:lineRule="exact"/>
        <w:rPr>
          <w:sz w:val="24"/>
          <w:szCs w:val="24"/>
        </w:rPr>
      </w:pPr>
      <w:bookmarkStart w:id="5" w:name="_Toc490073644"/>
      <w:r>
        <w:rPr>
          <w:sz w:val="24"/>
          <w:szCs w:val="24"/>
        </w:rPr>
        <w:t xml:space="preserve">2. </w:t>
      </w:r>
      <w:r>
        <w:rPr>
          <w:rFonts w:hint="eastAsia"/>
          <w:sz w:val="24"/>
          <w:szCs w:val="24"/>
        </w:rPr>
        <w:t>评审标准</w:t>
      </w:r>
      <w:bookmarkEnd w:id="2"/>
      <w:bookmarkEnd w:id="3"/>
      <w:bookmarkEnd w:id="4"/>
      <w:bookmarkEnd w:id="5"/>
      <w:bookmarkStart w:id="22" w:name="_GoBack"/>
      <w:bookmarkEnd w:id="22"/>
    </w:p>
    <w:p>
      <w:pPr>
        <w:pStyle w:val="2"/>
        <w:spacing w:before="0" w:after="0" w:line="420" w:lineRule="exact"/>
        <w:rPr>
          <w:sz w:val="24"/>
          <w:szCs w:val="24"/>
        </w:rPr>
      </w:pPr>
      <w:bookmarkStart w:id="6" w:name="_Toc451261277"/>
      <w:bookmarkStart w:id="7" w:name="_Toc490073645"/>
      <w:bookmarkStart w:id="8" w:name="_Toc485740394"/>
      <w:bookmarkStart w:id="9" w:name="_Toc453057087"/>
      <w:r>
        <w:rPr>
          <w:sz w:val="24"/>
          <w:szCs w:val="24"/>
        </w:rPr>
        <w:t xml:space="preserve">2.1 </w:t>
      </w:r>
      <w:r>
        <w:rPr>
          <w:rFonts w:hint="eastAsia"/>
          <w:sz w:val="24"/>
          <w:szCs w:val="24"/>
        </w:rPr>
        <w:t>初步评审标准</w:t>
      </w:r>
      <w:bookmarkEnd w:id="6"/>
      <w:bookmarkEnd w:id="7"/>
      <w:bookmarkEnd w:id="8"/>
      <w:bookmarkEnd w:id="9"/>
    </w:p>
    <w:p>
      <w:pPr>
        <w:spacing w:line="420" w:lineRule="exact"/>
        <w:ind w:firstLine="480" w:firstLineChars="200"/>
        <w:rPr>
          <w:sz w:val="24"/>
        </w:rPr>
      </w:pPr>
      <w:r>
        <w:rPr>
          <w:sz w:val="24"/>
        </w:rPr>
        <w:t xml:space="preserve">2.1.1 </w:t>
      </w:r>
      <w:r>
        <w:rPr>
          <w:rFonts w:hint="eastAsia"/>
          <w:sz w:val="24"/>
        </w:rPr>
        <w:t>形式评审标准：见评标办法前附表。</w:t>
      </w:r>
    </w:p>
    <w:p>
      <w:pPr>
        <w:spacing w:line="420" w:lineRule="exact"/>
        <w:ind w:firstLine="480" w:firstLineChars="200"/>
        <w:rPr>
          <w:sz w:val="24"/>
        </w:rPr>
      </w:pPr>
      <w:r>
        <w:rPr>
          <w:sz w:val="24"/>
        </w:rPr>
        <w:t xml:space="preserve">2.1.2 </w:t>
      </w:r>
      <w:r>
        <w:rPr>
          <w:rFonts w:hint="eastAsia"/>
          <w:sz w:val="24"/>
        </w:rPr>
        <w:t>资格评审标准：见评标办法前附表（适用于未进行资格预审的）。</w:t>
      </w:r>
    </w:p>
    <w:p>
      <w:pPr>
        <w:spacing w:line="420" w:lineRule="exact"/>
        <w:ind w:firstLine="480" w:firstLineChars="200"/>
        <w:rPr>
          <w:sz w:val="24"/>
        </w:rPr>
      </w:pPr>
      <w:r>
        <w:rPr>
          <w:sz w:val="24"/>
        </w:rPr>
        <w:t xml:space="preserve">2.1.3 </w:t>
      </w:r>
      <w:r>
        <w:rPr>
          <w:rFonts w:hint="eastAsia"/>
          <w:sz w:val="24"/>
        </w:rPr>
        <w:t>响应性评审标准：见评标办法前附表。</w:t>
      </w:r>
    </w:p>
    <w:p>
      <w:pPr>
        <w:pStyle w:val="2"/>
        <w:spacing w:before="0" w:after="0" w:line="420" w:lineRule="exact"/>
        <w:rPr>
          <w:sz w:val="24"/>
          <w:szCs w:val="24"/>
        </w:rPr>
      </w:pPr>
      <w:bookmarkStart w:id="10" w:name="_Toc490073646"/>
      <w:bookmarkStart w:id="11" w:name="_Toc485740395"/>
      <w:r>
        <w:rPr>
          <w:sz w:val="24"/>
          <w:szCs w:val="24"/>
        </w:rPr>
        <w:t xml:space="preserve">2.2 </w:t>
      </w:r>
      <w:r>
        <w:rPr>
          <w:rFonts w:hint="eastAsia"/>
          <w:sz w:val="24"/>
          <w:szCs w:val="24"/>
        </w:rPr>
        <w:t>分值构成与评分标准</w:t>
      </w:r>
      <w:bookmarkEnd w:id="10"/>
      <w:bookmarkEnd w:id="11"/>
    </w:p>
    <w:p>
      <w:pPr>
        <w:spacing w:line="420" w:lineRule="exact"/>
        <w:ind w:firstLine="480" w:firstLineChars="200"/>
        <w:rPr>
          <w:sz w:val="24"/>
        </w:rPr>
      </w:pPr>
      <w:r>
        <w:rPr>
          <w:sz w:val="24"/>
        </w:rPr>
        <w:t xml:space="preserve">2.2.1 </w:t>
      </w:r>
      <w:r>
        <w:rPr>
          <w:rFonts w:hint="eastAsia"/>
          <w:sz w:val="24"/>
        </w:rPr>
        <w:t>分值构成</w:t>
      </w:r>
    </w:p>
    <w:p>
      <w:pPr>
        <w:spacing w:line="42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）施工组织设计：见评标办法前附表；</w:t>
      </w:r>
    </w:p>
    <w:p>
      <w:pPr>
        <w:spacing w:line="42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）项目管理机构：见评标办法前附表；</w:t>
      </w:r>
    </w:p>
    <w:p>
      <w:pPr>
        <w:spacing w:line="42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）投标报价：见评标办法前附表；</w:t>
      </w:r>
    </w:p>
    <w:p>
      <w:pPr>
        <w:spacing w:line="42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）其他评分因素：见评标办法前附表。</w:t>
      </w:r>
    </w:p>
    <w:p>
      <w:pPr>
        <w:spacing w:line="420" w:lineRule="exact"/>
        <w:ind w:firstLine="480" w:firstLineChars="200"/>
        <w:rPr>
          <w:sz w:val="24"/>
        </w:rPr>
      </w:pPr>
      <w:r>
        <w:rPr>
          <w:sz w:val="24"/>
        </w:rPr>
        <w:t>2.2.2</w:t>
      </w:r>
      <w:r>
        <w:rPr>
          <w:rFonts w:hint="eastAsia" w:ascii="宋体" w:hAnsi="宋体"/>
          <w:sz w:val="24"/>
        </w:rPr>
        <w:t>评标基准价</w:t>
      </w:r>
      <w:r>
        <w:rPr>
          <w:rFonts w:hint="eastAsia"/>
          <w:sz w:val="24"/>
        </w:rPr>
        <w:t>计算</w:t>
      </w:r>
    </w:p>
    <w:p>
      <w:pPr>
        <w:spacing w:line="420" w:lineRule="exact"/>
        <w:ind w:firstLine="480" w:firstLineChars="200"/>
        <w:rPr>
          <w:sz w:val="24"/>
        </w:rPr>
      </w:pPr>
      <w:r>
        <w:rPr>
          <w:rFonts w:hint="eastAsia" w:ascii="宋体" w:hAnsi="宋体"/>
          <w:sz w:val="24"/>
        </w:rPr>
        <w:t>评标基准价</w:t>
      </w:r>
      <w:r>
        <w:rPr>
          <w:rFonts w:hint="eastAsia"/>
          <w:sz w:val="24"/>
        </w:rPr>
        <w:t>计算方法：见评标办法前附表。</w:t>
      </w:r>
    </w:p>
    <w:p>
      <w:pPr>
        <w:spacing w:line="420" w:lineRule="exact"/>
        <w:ind w:firstLine="480" w:firstLineChars="200"/>
        <w:rPr>
          <w:sz w:val="24"/>
        </w:rPr>
      </w:pPr>
      <w:r>
        <w:rPr>
          <w:sz w:val="24"/>
        </w:rPr>
        <w:t xml:space="preserve">2.2.3  </w:t>
      </w:r>
      <w:r>
        <w:rPr>
          <w:rFonts w:hint="eastAsia"/>
          <w:sz w:val="24"/>
        </w:rPr>
        <w:t>投标报价的偏差率计算</w:t>
      </w:r>
    </w:p>
    <w:p>
      <w:pPr>
        <w:spacing w:line="420" w:lineRule="exact"/>
        <w:ind w:firstLine="480" w:firstLineChars="200"/>
        <w:rPr>
          <w:sz w:val="24"/>
        </w:rPr>
      </w:pPr>
      <w:r>
        <w:rPr>
          <w:rFonts w:hint="eastAsia"/>
          <w:sz w:val="24"/>
        </w:rPr>
        <w:t>投标报价的偏差率计算公式：见评标办法前附表。</w:t>
      </w:r>
    </w:p>
    <w:p>
      <w:pPr>
        <w:spacing w:line="420" w:lineRule="exact"/>
        <w:ind w:firstLine="480" w:firstLineChars="200"/>
        <w:rPr>
          <w:sz w:val="24"/>
        </w:rPr>
      </w:pPr>
      <w:r>
        <w:rPr>
          <w:sz w:val="24"/>
        </w:rPr>
        <w:t xml:space="preserve">2.2.4  </w:t>
      </w:r>
      <w:r>
        <w:rPr>
          <w:rFonts w:hint="eastAsia"/>
          <w:sz w:val="24"/>
        </w:rPr>
        <w:t>评分标准</w:t>
      </w:r>
    </w:p>
    <w:p>
      <w:pPr>
        <w:spacing w:line="420" w:lineRule="exact"/>
        <w:ind w:firstLine="480" w:firstLineChars="200"/>
        <w:rPr>
          <w:sz w:val="24"/>
        </w:rPr>
      </w:pPr>
      <w:r>
        <w:rPr>
          <w:rFonts w:hint="eastAsia"/>
          <w:sz w:val="24"/>
        </w:rPr>
        <w:t>（</w:t>
      </w:r>
      <w:r>
        <w:rPr>
          <w:sz w:val="24"/>
        </w:rPr>
        <w:t>1</w:t>
      </w:r>
      <w:r>
        <w:rPr>
          <w:rFonts w:hint="eastAsia"/>
          <w:sz w:val="24"/>
        </w:rPr>
        <w:t>）施工组织设计评分标准：见评标办法前附表；</w:t>
      </w:r>
    </w:p>
    <w:p>
      <w:pPr>
        <w:spacing w:line="420" w:lineRule="exact"/>
        <w:ind w:firstLine="480" w:firstLineChars="200"/>
        <w:rPr>
          <w:sz w:val="24"/>
        </w:rPr>
      </w:pPr>
      <w:r>
        <w:rPr>
          <w:rFonts w:hint="eastAsia"/>
          <w:sz w:val="24"/>
        </w:rPr>
        <w:t>（</w:t>
      </w:r>
      <w:r>
        <w:rPr>
          <w:sz w:val="24"/>
        </w:rPr>
        <w:t>2</w:t>
      </w:r>
      <w:r>
        <w:rPr>
          <w:rFonts w:hint="eastAsia"/>
          <w:sz w:val="24"/>
        </w:rPr>
        <w:t>）项目管理机构评分标准：见评标办法前附表；</w:t>
      </w:r>
    </w:p>
    <w:p>
      <w:pPr>
        <w:spacing w:line="420" w:lineRule="exact"/>
        <w:ind w:firstLine="480" w:firstLineChars="200"/>
        <w:rPr>
          <w:sz w:val="24"/>
        </w:rPr>
      </w:pPr>
      <w:r>
        <w:rPr>
          <w:rFonts w:hint="eastAsia"/>
          <w:sz w:val="24"/>
        </w:rPr>
        <w:t>（</w:t>
      </w:r>
      <w:r>
        <w:rPr>
          <w:sz w:val="24"/>
        </w:rPr>
        <w:t>3</w:t>
      </w:r>
      <w:r>
        <w:rPr>
          <w:rFonts w:hint="eastAsia"/>
          <w:sz w:val="24"/>
        </w:rPr>
        <w:t>）投标报价评分标准：见评标办法前附表；</w:t>
      </w:r>
    </w:p>
    <w:p>
      <w:pPr>
        <w:spacing w:line="420" w:lineRule="exact"/>
        <w:ind w:firstLine="480" w:firstLineChars="200"/>
        <w:rPr>
          <w:sz w:val="24"/>
        </w:rPr>
      </w:pPr>
      <w:r>
        <w:rPr>
          <w:rFonts w:hint="eastAsia"/>
          <w:sz w:val="24"/>
        </w:rPr>
        <w:t>（</w:t>
      </w:r>
      <w:r>
        <w:rPr>
          <w:sz w:val="24"/>
        </w:rPr>
        <w:t>4</w:t>
      </w:r>
      <w:r>
        <w:rPr>
          <w:rFonts w:hint="eastAsia"/>
          <w:sz w:val="24"/>
        </w:rPr>
        <w:t>）其他因素评分标准：见评标办法前附表。</w:t>
      </w:r>
    </w:p>
    <w:p>
      <w:pPr>
        <w:pStyle w:val="2"/>
        <w:spacing w:before="0" w:after="0" w:line="420" w:lineRule="exact"/>
        <w:rPr>
          <w:sz w:val="24"/>
          <w:szCs w:val="24"/>
        </w:rPr>
      </w:pPr>
      <w:bookmarkStart w:id="12" w:name="_Toc490073647"/>
      <w:bookmarkStart w:id="13" w:name="_Toc485740396"/>
      <w:r>
        <w:rPr>
          <w:sz w:val="24"/>
          <w:szCs w:val="24"/>
        </w:rPr>
        <w:t xml:space="preserve">3. </w:t>
      </w:r>
      <w:r>
        <w:rPr>
          <w:rFonts w:hint="eastAsia"/>
          <w:sz w:val="24"/>
          <w:szCs w:val="24"/>
        </w:rPr>
        <w:t>评标程序</w:t>
      </w:r>
      <w:bookmarkEnd w:id="12"/>
      <w:bookmarkEnd w:id="13"/>
    </w:p>
    <w:p>
      <w:pPr>
        <w:pStyle w:val="2"/>
        <w:spacing w:before="0" w:after="0" w:line="420" w:lineRule="exact"/>
        <w:rPr>
          <w:sz w:val="24"/>
          <w:szCs w:val="24"/>
        </w:rPr>
      </w:pPr>
      <w:bookmarkStart w:id="14" w:name="_Toc485740397"/>
      <w:bookmarkStart w:id="15" w:name="_Toc490073648"/>
      <w:r>
        <w:rPr>
          <w:sz w:val="24"/>
          <w:szCs w:val="24"/>
        </w:rPr>
        <w:t xml:space="preserve">3.1 </w:t>
      </w:r>
      <w:r>
        <w:rPr>
          <w:rFonts w:hint="eastAsia"/>
          <w:sz w:val="24"/>
          <w:szCs w:val="24"/>
        </w:rPr>
        <w:t>初步评审</w:t>
      </w:r>
      <w:bookmarkEnd w:id="14"/>
      <w:bookmarkEnd w:id="15"/>
    </w:p>
    <w:p>
      <w:pPr>
        <w:spacing w:line="420" w:lineRule="exact"/>
        <w:ind w:firstLine="480" w:firstLineChars="200"/>
        <w:rPr>
          <w:color w:val="000000"/>
          <w:sz w:val="24"/>
        </w:rPr>
      </w:pPr>
      <w:r>
        <w:rPr>
          <w:sz w:val="24"/>
        </w:rPr>
        <w:t>3.1.1</w:t>
      </w:r>
      <w:r>
        <w:rPr>
          <w:rFonts w:hint="eastAsia" w:ascii="宋体" w:hAnsi="宋体"/>
          <w:color w:val="000000"/>
          <w:sz w:val="24"/>
        </w:rPr>
        <w:t>评标委员会可以要求投标人提交第二章“投标人须知”第</w:t>
      </w:r>
      <w:r>
        <w:rPr>
          <w:rFonts w:ascii="宋体" w:hAnsi="宋体"/>
          <w:color w:val="000000"/>
          <w:sz w:val="24"/>
        </w:rPr>
        <w:t>3.5.1</w:t>
      </w:r>
      <w:r>
        <w:rPr>
          <w:rFonts w:hint="eastAsia" w:ascii="宋体" w:hAnsi="宋体"/>
          <w:color w:val="000000"/>
          <w:sz w:val="24"/>
        </w:rPr>
        <w:t>项至第</w:t>
      </w:r>
      <w:r>
        <w:rPr>
          <w:rFonts w:ascii="宋体" w:hAnsi="宋体"/>
          <w:color w:val="000000"/>
          <w:sz w:val="24"/>
        </w:rPr>
        <w:t>3.5.5</w:t>
      </w:r>
      <w:r>
        <w:rPr>
          <w:rFonts w:hint="eastAsia" w:ascii="宋体" w:hAnsi="宋体"/>
          <w:color w:val="000000"/>
          <w:sz w:val="24"/>
        </w:rPr>
        <w:t>项规定的有关证明和证件的原件，以便核验。评标委员会依据本章第</w:t>
      </w:r>
      <w:r>
        <w:rPr>
          <w:rFonts w:ascii="宋体" w:hAnsi="宋体"/>
          <w:color w:val="000000"/>
          <w:sz w:val="24"/>
        </w:rPr>
        <w:t>2.1</w:t>
      </w:r>
      <w:r>
        <w:rPr>
          <w:rFonts w:hint="eastAsia" w:ascii="宋体" w:hAnsi="宋体"/>
          <w:color w:val="000000"/>
          <w:sz w:val="24"/>
        </w:rPr>
        <w:t>款规定的标准对投标文件进行初步评审。有一项不符合评审标准的，作废标处理。（适用于未进行资格预审的）</w:t>
      </w:r>
    </w:p>
    <w:p>
      <w:pPr>
        <w:spacing w:line="420" w:lineRule="exact"/>
        <w:ind w:firstLine="480" w:firstLineChars="200"/>
        <w:rPr>
          <w:sz w:val="24"/>
        </w:rPr>
      </w:pPr>
      <w:r>
        <w:rPr>
          <w:sz w:val="24"/>
        </w:rPr>
        <w:t xml:space="preserve">3.1.2  </w:t>
      </w:r>
      <w:r>
        <w:rPr>
          <w:rFonts w:hint="eastAsia"/>
          <w:sz w:val="24"/>
        </w:rPr>
        <w:t>投标人有以下情形之一的，其投标作废标处理：</w:t>
      </w:r>
    </w:p>
    <w:p>
      <w:pPr>
        <w:spacing w:line="420" w:lineRule="exact"/>
        <w:ind w:firstLine="480" w:firstLineChars="200"/>
        <w:rPr>
          <w:rFonts w:ascii="宋体"/>
          <w:sz w:val="24"/>
        </w:rPr>
      </w:pPr>
      <w:r>
        <w:rPr>
          <w:rFonts w:hint="eastAsia" w:ascii="宋体" w:hAnsi="宋体"/>
          <w:sz w:val="24"/>
        </w:rPr>
        <w:t>（</w:t>
      </w:r>
      <w:r>
        <w:rPr>
          <w:sz w:val="24"/>
        </w:rPr>
        <w:t>1</w:t>
      </w:r>
      <w:r>
        <w:rPr>
          <w:rFonts w:hint="eastAsia" w:ascii="宋体" w:hAnsi="宋体"/>
          <w:sz w:val="24"/>
        </w:rPr>
        <w:t>）第二章“投标人须知”第</w:t>
      </w:r>
      <w:r>
        <w:rPr>
          <w:rFonts w:ascii="宋体" w:hAnsi="宋体"/>
          <w:sz w:val="24"/>
        </w:rPr>
        <w:t>1.4.3</w:t>
      </w:r>
      <w:r>
        <w:rPr>
          <w:rFonts w:hint="eastAsia" w:ascii="宋体" w:hAnsi="宋体"/>
          <w:sz w:val="24"/>
        </w:rPr>
        <w:t>项规定的任何一种情形的；</w:t>
      </w:r>
    </w:p>
    <w:p>
      <w:pPr>
        <w:spacing w:line="420" w:lineRule="exact"/>
        <w:ind w:firstLine="480" w:firstLineChars="200"/>
        <w:rPr>
          <w:sz w:val="24"/>
        </w:rPr>
      </w:pPr>
      <w:r>
        <w:rPr>
          <w:rFonts w:hint="eastAsia"/>
          <w:sz w:val="24"/>
        </w:rPr>
        <w:t>（</w:t>
      </w:r>
      <w:r>
        <w:rPr>
          <w:sz w:val="24"/>
        </w:rPr>
        <w:t>2</w:t>
      </w:r>
      <w:r>
        <w:rPr>
          <w:rFonts w:hint="eastAsia"/>
          <w:sz w:val="24"/>
        </w:rPr>
        <w:t>）串通投标或弄虚作假或有其他违法行为的；</w:t>
      </w:r>
    </w:p>
    <w:p>
      <w:pPr>
        <w:spacing w:line="420" w:lineRule="exact"/>
        <w:ind w:firstLine="480" w:firstLineChars="200"/>
        <w:rPr>
          <w:sz w:val="24"/>
        </w:rPr>
      </w:pPr>
      <w:r>
        <w:rPr>
          <w:rFonts w:hint="eastAsia"/>
          <w:sz w:val="24"/>
        </w:rPr>
        <w:t>（</w:t>
      </w:r>
      <w:r>
        <w:rPr>
          <w:sz w:val="24"/>
        </w:rPr>
        <w:t>3</w:t>
      </w:r>
      <w:r>
        <w:rPr>
          <w:rFonts w:hint="eastAsia"/>
          <w:sz w:val="24"/>
        </w:rPr>
        <w:t>）不按评标委员会要求澄清、说明或补正的。</w:t>
      </w:r>
    </w:p>
    <w:p>
      <w:pPr>
        <w:spacing w:line="420" w:lineRule="exact"/>
        <w:ind w:firstLine="480" w:firstLineChars="200"/>
        <w:rPr>
          <w:sz w:val="24"/>
        </w:rPr>
      </w:pPr>
      <w:r>
        <w:rPr>
          <w:sz w:val="24"/>
        </w:rPr>
        <w:t xml:space="preserve">3.1.3 </w:t>
      </w:r>
      <w:r>
        <w:rPr>
          <w:rFonts w:hint="eastAsia"/>
          <w:sz w:val="24"/>
        </w:rPr>
        <w:t>投标报价有算术错误的，评标委员会按以下原则对投标报价进行修正，修正的价格经投标人书面确认后具有约束力。投标人不接受修正价格的，其投标作废标处理</w:t>
      </w:r>
      <w:r>
        <w:rPr>
          <w:rFonts w:hint="eastAsia"/>
          <w:sz w:val="24"/>
          <w:lang w:eastAsia="zh-CN"/>
        </w:rPr>
        <w:t>，并没收其投标担保</w:t>
      </w:r>
      <w:r>
        <w:rPr>
          <w:rFonts w:hint="eastAsia"/>
          <w:sz w:val="24"/>
        </w:rPr>
        <w:t>。</w:t>
      </w:r>
    </w:p>
    <w:p>
      <w:pPr>
        <w:spacing w:line="420" w:lineRule="exact"/>
        <w:ind w:firstLine="480" w:firstLineChars="200"/>
        <w:rPr>
          <w:sz w:val="24"/>
        </w:rPr>
      </w:pPr>
      <w:r>
        <w:rPr>
          <w:rFonts w:hint="eastAsia"/>
          <w:sz w:val="24"/>
        </w:rPr>
        <w:t>（</w:t>
      </w:r>
      <w:r>
        <w:rPr>
          <w:sz w:val="24"/>
        </w:rPr>
        <w:t>1</w:t>
      </w:r>
      <w:r>
        <w:rPr>
          <w:rFonts w:hint="eastAsia"/>
          <w:sz w:val="24"/>
        </w:rPr>
        <w:t>）投标文件中的大写金额与小写金额不一致的，以大写金额为准；</w:t>
      </w:r>
    </w:p>
    <w:p>
      <w:pPr>
        <w:spacing w:line="420" w:lineRule="exact"/>
        <w:ind w:firstLine="480" w:firstLineChars="200"/>
        <w:rPr>
          <w:sz w:val="24"/>
        </w:rPr>
      </w:pPr>
      <w:r>
        <w:rPr>
          <w:rFonts w:hint="eastAsia"/>
          <w:sz w:val="24"/>
        </w:rPr>
        <w:t>（</w:t>
      </w:r>
      <w:r>
        <w:rPr>
          <w:sz w:val="24"/>
        </w:rPr>
        <w:t>2</w:t>
      </w:r>
      <w:r>
        <w:rPr>
          <w:rFonts w:hint="eastAsia"/>
          <w:sz w:val="24"/>
        </w:rPr>
        <w:t>）总价金额与依据单价计算出的结果不一致的，以单价金额为准修正总价，但单价金额小数点有明显错误的除外；</w:t>
      </w:r>
    </w:p>
    <w:p>
      <w:pPr>
        <w:spacing w:line="420" w:lineRule="exact"/>
        <w:ind w:firstLine="480" w:firstLineChars="200"/>
        <w:rPr>
          <w:sz w:val="24"/>
        </w:rPr>
      </w:pPr>
      <w:r>
        <w:rPr>
          <w:rFonts w:hint="eastAsia"/>
          <w:sz w:val="24"/>
        </w:rPr>
        <w:t>（</w:t>
      </w:r>
      <w:r>
        <w:rPr>
          <w:sz w:val="24"/>
        </w:rPr>
        <w:t>3</w:t>
      </w:r>
      <w:r>
        <w:rPr>
          <w:rFonts w:hint="eastAsia"/>
          <w:sz w:val="24"/>
        </w:rPr>
        <w:t>）当单价与数量相乘不等于合价时，以单价计算为准，如果单价有明显的小数点位置差错，应以标出的合价为准，同时对单价予以修正；</w:t>
      </w:r>
    </w:p>
    <w:p>
      <w:pPr>
        <w:spacing w:line="420" w:lineRule="exact"/>
        <w:ind w:firstLine="480" w:firstLineChars="200"/>
        <w:rPr>
          <w:spacing w:val="-2"/>
          <w:sz w:val="24"/>
        </w:rPr>
      </w:pPr>
      <w:r>
        <w:rPr>
          <w:rFonts w:hint="eastAsia"/>
          <w:sz w:val="24"/>
        </w:rPr>
        <w:t>（</w:t>
      </w:r>
      <w:r>
        <w:rPr>
          <w:sz w:val="24"/>
        </w:rPr>
        <w:t>4</w:t>
      </w:r>
      <w:r>
        <w:rPr>
          <w:rFonts w:hint="eastAsia"/>
          <w:sz w:val="24"/>
        </w:rPr>
        <w:t>）</w:t>
      </w:r>
      <w:r>
        <w:rPr>
          <w:rFonts w:hint="eastAsia"/>
          <w:spacing w:val="-2"/>
          <w:sz w:val="24"/>
        </w:rPr>
        <w:t>当各子目的合价累计不等于总价时，应以各子目合价累计数为准，修正总价。</w:t>
      </w:r>
    </w:p>
    <w:p>
      <w:pPr>
        <w:spacing w:line="420" w:lineRule="exact"/>
        <w:ind w:firstLine="480" w:firstLineChars="200"/>
        <w:rPr>
          <w:sz w:val="24"/>
        </w:rPr>
      </w:pPr>
      <w:r>
        <w:rPr>
          <w:sz w:val="24"/>
        </w:rPr>
        <w:t xml:space="preserve">3.1.4 </w:t>
      </w:r>
      <w:r>
        <w:rPr>
          <w:rFonts w:hint="eastAsia"/>
          <w:sz w:val="24"/>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420" w:lineRule="exact"/>
        <w:ind w:firstLine="480" w:firstLineChars="200"/>
        <w:rPr>
          <w:sz w:val="24"/>
        </w:rPr>
      </w:pPr>
      <w:r>
        <w:rPr>
          <w:rFonts w:hint="eastAsia"/>
          <w:sz w:val="24"/>
        </w:rPr>
        <w:t>（</w:t>
      </w:r>
      <w:r>
        <w:rPr>
          <w:sz w:val="24"/>
        </w:rPr>
        <w:t>1</w:t>
      </w:r>
      <w:r>
        <w:rPr>
          <w:rFonts w:hint="eastAsia"/>
          <w:sz w:val="2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20" w:lineRule="exact"/>
        <w:ind w:firstLine="480" w:firstLineChars="200"/>
        <w:rPr>
          <w:sz w:val="24"/>
        </w:rPr>
      </w:pPr>
      <w:r>
        <w:rPr>
          <w:rFonts w:hint="eastAsia"/>
          <w:sz w:val="24"/>
        </w:rPr>
        <w:t>（</w:t>
      </w:r>
      <w:r>
        <w:rPr>
          <w:sz w:val="24"/>
        </w:rPr>
        <w:t>2</w:t>
      </w:r>
      <w:r>
        <w:rPr>
          <w:rFonts w:hint="eastAsia"/>
          <w:sz w:val="2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420" w:lineRule="exact"/>
        <w:ind w:firstLine="480" w:firstLineChars="200"/>
        <w:rPr>
          <w:sz w:val="24"/>
        </w:rPr>
      </w:pPr>
      <w:r>
        <w:rPr>
          <w:rFonts w:hint="eastAsia"/>
          <w:sz w:val="24"/>
        </w:rPr>
        <w:t>（</w:t>
      </w:r>
      <w:r>
        <w:rPr>
          <w:sz w:val="24"/>
        </w:rPr>
        <w:t>3</w:t>
      </w:r>
      <w:r>
        <w:rPr>
          <w:rFonts w:hint="eastAsia"/>
          <w:sz w:val="24"/>
        </w:rPr>
        <w:t>）当单价与数量的乘积与合价（金额）虽然一致，但投标人修改了该子目的工程数量，则其合价按招标人给定的工程数量乘以投标人所报单价予以修正。</w:t>
      </w:r>
    </w:p>
    <w:p>
      <w:pPr>
        <w:spacing w:line="420" w:lineRule="exact"/>
        <w:ind w:firstLine="480" w:firstLineChars="200"/>
        <w:rPr>
          <w:spacing w:val="-6"/>
          <w:sz w:val="24"/>
        </w:rPr>
      </w:pPr>
      <w:r>
        <w:rPr>
          <w:sz w:val="24"/>
        </w:rPr>
        <w:t xml:space="preserve">3.1.5 </w:t>
      </w:r>
      <w:r>
        <w:rPr>
          <w:rFonts w:hint="eastAsia"/>
          <w:spacing w:val="-6"/>
          <w:sz w:val="24"/>
        </w:rPr>
        <w:t>修正后的最终投标报价若超过投标控制价上限（如有），投标人的投标文件作废标处理。</w:t>
      </w:r>
    </w:p>
    <w:p>
      <w:pPr>
        <w:spacing w:line="420" w:lineRule="exact"/>
        <w:ind w:firstLine="480" w:firstLineChars="200"/>
        <w:rPr>
          <w:color w:val="000000"/>
        </w:rPr>
      </w:pPr>
      <w:r>
        <w:rPr>
          <w:color w:val="000000"/>
          <w:sz w:val="24"/>
        </w:rPr>
        <w:t xml:space="preserve">3.1.6 </w:t>
      </w:r>
      <w:r>
        <w:rPr>
          <w:rFonts w:hint="eastAsia"/>
          <w:color w:val="000000"/>
          <w:sz w:val="24"/>
        </w:rPr>
        <w:t>修正后的最终投标报价仅作为签订合同的一个依据，不参与评标价得分的计算。</w:t>
      </w:r>
    </w:p>
    <w:p>
      <w:pPr>
        <w:pStyle w:val="2"/>
        <w:spacing w:before="0" w:after="0" w:line="420" w:lineRule="exact"/>
        <w:rPr>
          <w:sz w:val="24"/>
          <w:szCs w:val="24"/>
        </w:rPr>
      </w:pPr>
      <w:bookmarkStart w:id="16" w:name="_Toc490073649"/>
      <w:bookmarkStart w:id="17" w:name="_Toc485740398"/>
      <w:r>
        <w:rPr>
          <w:sz w:val="24"/>
          <w:szCs w:val="24"/>
        </w:rPr>
        <w:t xml:space="preserve">3.2  </w:t>
      </w:r>
      <w:r>
        <w:rPr>
          <w:rFonts w:hint="eastAsia"/>
          <w:sz w:val="24"/>
          <w:szCs w:val="24"/>
        </w:rPr>
        <w:t>详细评审</w:t>
      </w:r>
      <w:bookmarkEnd w:id="16"/>
      <w:bookmarkEnd w:id="17"/>
    </w:p>
    <w:p>
      <w:pPr>
        <w:spacing w:line="440" w:lineRule="exact"/>
        <w:ind w:firstLine="480" w:firstLineChars="200"/>
        <w:rPr>
          <w:color w:val="000000"/>
          <w:sz w:val="24"/>
        </w:rPr>
      </w:pPr>
      <w:bookmarkStart w:id="18" w:name="_Toc485740399"/>
      <w:r>
        <w:rPr>
          <w:color w:val="000000"/>
          <w:sz w:val="24"/>
        </w:rPr>
        <w:t>3.2.1</w:t>
      </w:r>
      <w:r>
        <w:rPr>
          <w:rFonts w:hint="eastAsia"/>
          <w:color w:val="000000"/>
          <w:sz w:val="24"/>
        </w:rPr>
        <w:t>评标委员会按本章第</w:t>
      </w:r>
      <w:r>
        <w:rPr>
          <w:color w:val="000000"/>
          <w:sz w:val="24"/>
        </w:rPr>
        <w:t>2.2</w:t>
      </w:r>
      <w:r>
        <w:rPr>
          <w:rFonts w:hint="eastAsia"/>
          <w:color w:val="000000"/>
          <w:sz w:val="24"/>
        </w:rPr>
        <w:t>款规定的量化因素和分值进行打分，并计算出综合评估得分。</w:t>
      </w:r>
    </w:p>
    <w:p>
      <w:pPr>
        <w:spacing w:line="44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）按本章第</w:t>
      </w:r>
      <w:r>
        <w:rPr>
          <w:color w:val="000000"/>
          <w:sz w:val="24"/>
        </w:rPr>
        <w:t xml:space="preserve"> 2.2.4</w:t>
      </w:r>
      <w:r>
        <w:rPr>
          <w:rFonts w:hint="eastAsia"/>
          <w:color w:val="000000"/>
          <w:sz w:val="24"/>
        </w:rPr>
        <w:t>（</w:t>
      </w:r>
      <w:r>
        <w:rPr>
          <w:color w:val="000000"/>
          <w:sz w:val="24"/>
        </w:rPr>
        <w:t>1</w:t>
      </w:r>
      <w:r>
        <w:rPr>
          <w:rFonts w:hint="eastAsia"/>
          <w:color w:val="000000"/>
          <w:sz w:val="24"/>
        </w:rPr>
        <w:t>）目规定的评审因素和分值对施工组织设计计算出得分</w:t>
      </w:r>
      <w:r>
        <w:rPr>
          <w:color w:val="000000"/>
          <w:sz w:val="24"/>
        </w:rPr>
        <w:t xml:space="preserve"> A</w:t>
      </w:r>
      <w:r>
        <w:rPr>
          <w:rFonts w:hint="eastAsia"/>
          <w:color w:val="000000"/>
          <w:sz w:val="24"/>
        </w:rPr>
        <w:t>；</w:t>
      </w:r>
    </w:p>
    <w:p>
      <w:pPr>
        <w:spacing w:line="44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）按本章第</w:t>
      </w:r>
      <w:r>
        <w:rPr>
          <w:color w:val="000000"/>
          <w:sz w:val="24"/>
        </w:rPr>
        <w:t>2.2.4</w:t>
      </w:r>
      <w:r>
        <w:rPr>
          <w:rFonts w:hint="eastAsia"/>
          <w:color w:val="000000"/>
          <w:sz w:val="24"/>
        </w:rPr>
        <w:t>（</w:t>
      </w:r>
      <w:r>
        <w:rPr>
          <w:color w:val="000000"/>
          <w:sz w:val="24"/>
        </w:rPr>
        <w:t>2</w:t>
      </w:r>
      <w:r>
        <w:rPr>
          <w:rFonts w:hint="eastAsia"/>
          <w:color w:val="000000"/>
          <w:sz w:val="24"/>
        </w:rPr>
        <w:t>）目规定的评审因素和分值对项目管理机构计算出得分</w:t>
      </w:r>
      <w:r>
        <w:rPr>
          <w:color w:val="000000"/>
          <w:sz w:val="24"/>
        </w:rPr>
        <w:t>B</w:t>
      </w:r>
      <w:r>
        <w:rPr>
          <w:rFonts w:hint="eastAsia"/>
          <w:color w:val="000000"/>
          <w:sz w:val="24"/>
        </w:rPr>
        <w:t>；</w:t>
      </w:r>
    </w:p>
    <w:p>
      <w:pPr>
        <w:spacing w:line="44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）按本章第</w:t>
      </w:r>
      <w:r>
        <w:rPr>
          <w:color w:val="000000"/>
          <w:sz w:val="24"/>
        </w:rPr>
        <w:t>2.2.4</w:t>
      </w:r>
      <w:r>
        <w:rPr>
          <w:rFonts w:hint="eastAsia"/>
          <w:color w:val="000000"/>
          <w:sz w:val="24"/>
        </w:rPr>
        <w:t>（</w:t>
      </w:r>
      <w:r>
        <w:rPr>
          <w:color w:val="000000"/>
          <w:sz w:val="24"/>
        </w:rPr>
        <w:t>3</w:t>
      </w:r>
      <w:r>
        <w:rPr>
          <w:rFonts w:hint="eastAsia"/>
          <w:color w:val="000000"/>
          <w:sz w:val="24"/>
        </w:rPr>
        <w:t>）目规定的评审因素和分值对投标报价计算出得分</w:t>
      </w:r>
      <w:r>
        <w:rPr>
          <w:color w:val="000000"/>
          <w:sz w:val="24"/>
        </w:rPr>
        <w:t>C</w:t>
      </w:r>
      <w:r>
        <w:rPr>
          <w:rFonts w:hint="eastAsia"/>
          <w:color w:val="000000"/>
          <w:sz w:val="24"/>
        </w:rPr>
        <w:t>；</w:t>
      </w:r>
    </w:p>
    <w:p>
      <w:pPr>
        <w:spacing w:line="44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）按本章第</w:t>
      </w:r>
      <w:r>
        <w:rPr>
          <w:color w:val="000000"/>
          <w:sz w:val="24"/>
        </w:rPr>
        <w:t xml:space="preserve"> 2.2.4</w:t>
      </w:r>
      <w:r>
        <w:rPr>
          <w:rFonts w:hint="eastAsia"/>
          <w:color w:val="000000"/>
          <w:sz w:val="24"/>
        </w:rPr>
        <w:t>（</w:t>
      </w:r>
      <w:r>
        <w:rPr>
          <w:color w:val="000000"/>
          <w:sz w:val="24"/>
        </w:rPr>
        <w:t>4</w:t>
      </w:r>
      <w:r>
        <w:rPr>
          <w:rFonts w:hint="eastAsia"/>
          <w:color w:val="000000"/>
          <w:sz w:val="24"/>
        </w:rPr>
        <w:t>）目规定的评审因素和分值对其他部分计算出得分</w:t>
      </w:r>
      <w:r>
        <w:rPr>
          <w:color w:val="000000"/>
          <w:sz w:val="24"/>
        </w:rPr>
        <w:t>D</w:t>
      </w:r>
      <w:r>
        <w:rPr>
          <w:rFonts w:hint="eastAsia"/>
          <w:color w:val="000000"/>
          <w:sz w:val="24"/>
        </w:rPr>
        <w:t>。</w:t>
      </w:r>
    </w:p>
    <w:p>
      <w:pPr>
        <w:spacing w:line="420" w:lineRule="exact"/>
        <w:ind w:firstLine="480" w:firstLineChars="200"/>
        <w:rPr>
          <w:rFonts w:ascii="宋体"/>
          <w:color w:val="000000"/>
          <w:sz w:val="24"/>
        </w:rPr>
      </w:pPr>
      <w:r>
        <w:rPr>
          <w:color w:val="000000"/>
          <w:sz w:val="24"/>
        </w:rPr>
        <w:t>3.2.2</w:t>
      </w:r>
      <w:r>
        <w:rPr>
          <w:rFonts w:hint="eastAsia" w:ascii="宋体" w:hAnsi="宋体"/>
          <w:color w:val="000000"/>
          <w:sz w:val="24"/>
        </w:rPr>
        <w:t>评分分值计算保留小数点后两位，小数点后第三位“四舍五入”。</w:t>
      </w:r>
    </w:p>
    <w:p>
      <w:pPr>
        <w:spacing w:line="420" w:lineRule="exact"/>
        <w:ind w:firstLine="480" w:firstLineChars="200"/>
        <w:rPr>
          <w:rFonts w:ascii="宋体"/>
          <w:color w:val="000000"/>
          <w:sz w:val="24"/>
        </w:rPr>
      </w:pPr>
      <w:r>
        <w:rPr>
          <w:color w:val="000000"/>
          <w:sz w:val="24"/>
        </w:rPr>
        <w:t xml:space="preserve">3.2.3 </w:t>
      </w:r>
      <w:r>
        <w:rPr>
          <w:rFonts w:hint="eastAsia" w:ascii="宋体" w:hAnsi="宋体"/>
          <w:color w:val="000000"/>
          <w:sz w:val="24"/>
        </w:rPr>
        <w:t>投标人得分</w:t>
      </w:r>
      <w:r>
        <w:rPr>
          <w:rFonts w:ascii="宋体" w:hAnsi="宋体"/>
          <w:color w:val="000000"/>
          <w:sz w:val="24"/>
        </w:rPr>
        <w:t>=A+B+C+D</w:t>
      </w:r>
      <w:r>
        <w:rPr>
          <w:rFonts w:hint="eastAsia" w:ascii="宋体" w:hAnsi="宋体"/>
          <w:color w:val="000000"/>
          <w:sz w:val="24"/>
        </w:rPr>
        <w:t>。</w:t>
      </w:r>
    </w:p>
    <w:p>
      <w:pPr>
        <w:spacing w:line="420" w:lineRule="exact"/>
        <w:ind w:firstLine="480" w:firstLineChars="200"/>
        <w:rPr>
          <w:rFonts w:ascii="宋体"/>
          <w:color w:val="000000"/>
          <w:sz w:val="24"/>
        </w:rPr>
      </w:pPr>
      <w:r>
        <w:rPr>
          <w:color w:val="000000"/>
          <w:sz w:val="24"/>
        </w:rPr>
        <w:t xml:space="preserve">3.2.4 </w:t>
      </w:r>
      <w:r>
        <w:rPr>
          <w:rFonts w:hint="eastAsia" w:ascii="宋体" w:hAnsi="宋体"/>
          <w:color w:val="000000"/>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2"/>
        <w:spacing w:before="0" w:after="0" w:line="420" w:lineRule="exact"/>
        <w:rPr>
          <w:sz w:val="24"/>
          <w:szCs w:val="24"/>
        </w:rPr>
      </w:pPr>
      <w:bookmarkStart w:id="19" w:name="_Toc490073650"/>
      <w:r>
        <w:rPr>
          <w:sz w:val="24"/>
          <w:szCs w:val="24"/>
        </w:rPr>
        <w:t xml:space="preserve">3.3  </w:t>
      </w:r>
      <w:r>
        <w:rPr>
          <w:rFonts w:hint="eastAsia"/>
          <w:sz w:val="24"/>
          <w:szCs w:val="24"/>
        </w:rPr>
        <w:t>投标文件的澄清和补正</w:t>
      </w:r>
      <w:bookmarkEnd w:id="18"/>
      <w:bookmarkEnd w:id="19"/>
    </w:p>
    <w:p>
      <w:pPr>
        <w:spacing w:line="420" w:lineRule="exact"/>
        <w:ind w:firstLine="480" w:firstLineChars="200"/>
        <w:rPr>
          <w:color w:val="000000"/>
          <w:sz w:val="24"/>
        </w:rPr>
      </w:pPr>
      <w:bookmarkStart w:id="20" w:name="_Toc485740400"/>
      <w:r>
        <w:rPr>
          <w:color w:val="000000"/>
          <w:sz w:val="24"/>
        </w:rPr>
        <w:t>3.3.1</w:t>
      </w:r>
      <w:r>
        <w:rPr>
          <w:rFonts w:hint="eastAsia"/>
          <w:color w:val="000000"/>
          <w:sz w:val="24"/>
        </w:rPr>
        <w:t>在评标过程中，评标委员会可以书面形式要求投标人对所提交投标文件中不明确的内容进行书面澄清或说明，或者对细微偏差进行补正。评标委员会不接受投标人主动提出的澄清、说明或补正。</w:t>
      </w:r>
    </w:p>
    <w:p>
      <w:pPr>
        <w:spacing w:line="420" w:lineRule="exact"/>
        <w:ind w:firstLine="480" w:firstLineChars="200"/>
        <w:rPr>
          <w:color w:val="000000"/>
          <w:sz w:val="24"/>
        </w:rPr>
      </w:pPr>
      <w:r>
        <w:rPr>
          <w:color w:val="000000"/>
          <w:sz w:val="24"/>
        </w:rPr>
        <w:t xml:space="preserve">3.3.2 </w:t>
      </w:r>
      <w:r>
        <w:rPr>
          <w:rFonts w:hint="eastAsia"/>
          <w:color w:val="000000"/>
          <w:sz w:val="24"/>
        </w:rPr>
        <w:t>澄清、说明和补正不得改变投标文件的实质性内容（算术性错误修正的除外）。投标人的书面澄清、说明和补正属于投标文件的组成部分。</w:t>
      </w:r>
    </w:p>
    <w:p>
      <w:pPr>
        <w:spacing w:line="420" w:lineRule="exact"/>
        <w:ind w:firstLine="480" w:firstLineChars="200"/>
        <w:rPr>
          <w:color w:val="000000"/>
          <w:sz w:val="24"/>
        </w:rPr>
      </w:pPr>
      <w:r>
        <w:rPr>
          <w:color w:val="000000"/>
          <w:sz w:val="24"/>
        </w:rPr>
        <w:t xml:space="preserve">3.3.3 </w:t>
      </w:r>
      <w:r>
        <w:rPr>
          <w:rFonts w:hint="eastAsia"/>
          <w:color w:val="000000"/>
          <w:sz w:val="24"/>
        </w:rPr>
        <w:t>评标委员会对投标人提交的澄清、说明或补正有疑问的，可以要求投标人进一步澄清、说明或补正，直至满足评标委员会的要求。</w:t>
      </w:r>
    </w:p>
    <w:p>
      <w:pPr>
        <w:spacing w:line="420" w:lineRule="exact"/>
        <w:ind w:firstLine="480" w:firstLineChars="200"/>
        <w:rPr>
          <w:color w:val="000000"/>
          <w:sz w:val="24"/>
        </w:rPr>
      </w:pPr>
      <w:r>
        <w:rPr>
          <w:color w:val="000000"/>
          <w:sz w:val="24"/>
        </w:rPr>
        <w:t xml:space="preserve">3.3.4 </w:t>
      </w:r>
      <w:r>
        <w:rPr>
          <w:rFonts w:hint="eastAsia"/>
          <w:color w:val="000000"/>
          <w:sz w:val="24"/>
        </w:rPr>
        <w:t>凡超出招标文件规定的或给发包人带来未曾要求的利益的变化、偏差或其他因素在评标时不予考虑。</w:t>
      </w:r>
    </w:p>
    <w:p>
      <w:pPr>
        <w:pStyle w:val="2"/>
        <w:spacing w:before="0" w:after="0" w:line="420" w:lineRule="exact"/>
        <w:rPr>
          <w:sz w:val="24"/>
          <w:szCs w:val="24"/>
        </w:rPr>
      </w:pPr>
      <w:bookmarkStart w:id="21" w:name="_Toc490073651"/>
      <w:r>
        <w:rPr>
          <w:sz w:val="24"/>
          <w:szCs w:val="24"/>
        </w:rPr>
        <w:t xml:space="preserve">3.4  </w:t>
      </w:r>
      <w:r>
        <w:rPr>
          <w:rFonts w:hint="eastAsia"/>
          <w:sz w:val="24"/>
          <w:szCs w:val="24"/>
        </w:rPr>
        <w:t>评标结果</w:t>
      </w:r>
      <w:bookmarkEnd w:id="20"/>
      <w:bookmarkEnd w:id="21"/>
    </w:p>
    <w:p>
      <w:pPr>
        <w:spacing w:line="420" w:lineRule="exact"/>
        <w:ind w:firstLine="480" w:firstLineChars="200"/>
        <w:rPr>
          <w:rFonts w:ascii="宋体"/>
          <w:color w:val="000000"/>
          <w:sz w:val="24"/>
        </w:rPr>
      </w:pPr>
      <w:r>
        <w:rPr>
          <w:color w:val="000000"/>
          <w:sz w:val="24"/>
        </w:rPr>
        <w:t>3.4.1</w:t>
      </w:r>
      <w:r>
        <w:rPr>
          <w:rFonts w:hint="eastAsia" w:ascii="宋体" w:hAnsi="宋体"/>
          <w:color w:val="000000"/>
          <w:sz w:val="24"/>
        </w:rPr>
        <w:t>除第二章“投标人须知”前附表授权直接确定中标人外，评标委员会按照</w:t>
      </w:r>
      <w:r>
        <w:rPr>
          <w:rFonts w:hint="eastAsia" w:ascii="宋体" w:hAnsi="宋体"/>
          <w:color w:val="000000"/>
          <w:sz w:val="24"/>
          <w:lang w:eastAsia="zh-CN"/>
        </w:rPr>
        <w:t>得分</w:t>
      </w:r>
      <w:r>
        <w:rPr>
          <w:rFonts w:hint="eastAsia" w:ascii="宋体" w:hAnsi="宋体"/>
          <w:color w:val="000000"/>
          <w:sz w:val="24"/>
        </w:rPr>
        <w:t>由</w:t>
      </w:r>
      <w:r>
        <w:rPr>
          <w:rFonts w:hint="eastAsia" w:ascii="宋体" w:hAnsi="宋体"/>
          <w:color w:val="000000"/>
          <w:sz w:val="24"/>
          <w:lang w:eastAsia="zh-CN"/>
        </w:rPr>
        <w:t>高</w:t>
      </w:r>
      <w:r>
        <w:rPr>
          <w:rFonts w:hint="eastAsia" w:ascii="宋体" w:hAnsi="宋体"/>
          <w:color w:val="000000"/>
          <w:sz w:val="24"/>
        </w:rPr>
        <w:t>到</w:t>
      </w:r>
      <w:r>
        <w:rPr>
          <w:rFonts w:hint="eastAsia" w:ascii="宋体" w:hAnsi="宋体"/>
          <w:color w:val="000000"/>
          <w:sz w:val="24"/>
          <w:lang w:eastAsia="zh-CN"/>
        </w:rPr>
        <w:t>低</w:t>
      </w:r>
      <w:r>
        <w:rPr>
          <w:rFonts w:hint="eastAsia" w:ascii="宋体" w:hAnsi="宋体"/>
          <w:color w:val="000000"/>
          <w:sz w:val="24"/>
        </w:rPr>
        <w:t>的顺序推荐中标候选人。</w:t>
      </w:r>
    </w:p>
    <w:p>
      <w:pPr>
        <w:spacing w:line="420" w:lineRule="exact"/>
        <w:ind w:firstLine="480" w:firstLineChars="200"/>
        <w:rPr>
          <w:rFonts w:ascii="宋体"/>
          <w:color w:val="000000"/>
          <w:sz w:val="24"/>
        </w:rPr>
      </w:pPr>
      <w:r>
        <w:rPr>
          <w:color w:val="000000"/>
          <w:sz w:val="24"/>
        </w:rPr>
        <w:t xml:space="preserve">3.4.2 </w:t>
      </w:r>
      <w:r>
        <w:rPr>
          <w:rFonts w:hint="eastAsia"/>
          <w:color w:val="000000"/>
          <w:sz w:val="24"/>
        </w:rPr>
        <w:t>评标委员会完成评标后，应当向招标人提交书面评标报告。</w:t>
      </w:r>
    </w:p>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AC36D"/>
    <w:multiLevelType w:val="singleLevel"/>
    <w:tmpl w:val="59EAC36D"/>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43B9F"/>
    <w:rsid w:val="10643B9F"/>
    <w:rsid w:val="3BDF2A27"/>
    <w:rsid w:val="3DC013D8"/>
    <w:rsid w:val="64B837AE"/>
    <w:rsid w:val="7EEA70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99"/>
    <w:pPr>
      <w:snapToGrid w:val="0"/>
      <w:jc w:val="left"/>
    </w:pPr>
    <w:rPr>
      <w:sz w:val="18"/>
      <w:szCs w:val="18"/>
    </w:rPr>
  </w:style>
  <w:style w:type="character" w:styleId="8">
    <w:name w:val="footnote reference"/>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2018-04-26T01:28:00Z</dcterms:created>
  <dc:creator>郑茂华</dc:creator>
  <cp:lastModifiedBy>Administrator</cp:lastModifiedBy>
  <cp:lastPrinted>2018-04-26T03:43:36Z</cp:lastPrinted>
  <dcterms:modified xsi:type="dcterms:W3CDTF">2018-04-26T03:47:40Z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