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highlight w:val="none"/>
          <w:lang w:val="en-US" w:eastAsia="zh-CN"/>
        </w:rPr>
      </w:pPr>
    </w:p>
    <w:p>
      <w:pPr>
        <w:jc w:val="center"/>
        <w:rPr>
          <w:rFonts w:hint="eastAsia" w:ascii="方正小标宋_GBK" w:hAnsi="方正小标宋_GBK" w:eastAsia="方正小标宋_GBK" w:cs="方正小标宋_GBK"/>
          <w:b/>
          <w:bCs/>
          <w:sz w:val="44"/>
          <w:szCs w:val="44"/>
          <w:highlight w:val="none"/>
          <w:lang w:val="en-US" w:eastAsia="zh-CN"/>
        </w:rPr>
      </w:pPr>
      <w:r>
        <w:rPr>
          <w:rFonts w:hint="eastAsia" w:ascii="仿宋_GB2312" w:hAnsi="仿宋_GB2312" w:eastAsia="仿宋_GB2312" w:cs="仿宋_GB2312"/>
          <w:b/>
          <w:bCs/>
          <w:sz w:val="44"/>
          <w:szCs w:val="44"/>
          <w:highlight w:val="none"/>
          <w:lang w:val="en-US" w:eastAsia="zh-CN"/>
        </w:rPr>
        <w:t>韶关市区物业服务收费标准调价方案</w:t>
      </w:r>
    </w:p>
    <w:p>
      <w:pPr>
        <w:jc w:val="cente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（征求意见稿）</w:t>
      </w:r>
    </w:p>
    <w:p>
      <w:pP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根据《广东省政府办公厅关于印发&lt;广东省定价目录（2018年版）&gt;的通知》（粤府办〔2018</w:t>
      </w:r>
      <w:bookmarkStart w:id="0" w:name="_GoBack"/>
      <w:bookmarkEnd w:id="0"/>
      <w:r>
        <w:rPr>
          <w:rFonts w:hint="eastAsia" w:ascii="仿宋_GB2312" w:hAnsi="仿宋_GB2312" w:eastAsia="仿宋_GB2312" w:cs="仿宋_GB2312"/>
          <w:sz w:val="32"/>
          <w:szCs w:val="32"/>
          <w:highlight w:val="none"/>
          <w:lang w:val="en-US" w:eastAsia="zh-CN"/>
        </w:rPr>
        <w:t>〕11号）和《韶关市发展和改革局 韶关市住房和城乡建设管理局关于印发&lt;韶关市物业服务收费管理实施细则&gt;的通知》（韶发改联〔2020〕23号）等有关规定，为规范我市住宅物业服务收费行为，保护业主和物业服务企业的合法权益，在成本监审的基础上，结合韶关实际，制定本调价方案。</w:t>
      </w:r>
    </w:p>
    <w:p>
      <w:pPr>
        <w:pStyle w:val="7"/>
        <w:numPr>
          <w:ilvl w:val="0"/>
          <w:numId w:val="0"/>
        </w:numPr>
        <w:ind w:firstLine="0" w:firstLineChars="0"/>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s="黑体"/>
          <w:b w:val="0"/>
          <w:bCs w:val="0"/>
          <w:sz w:val="32"/>
          <w:szCs w:val="32"/>
          <w:highlight w:val="none"/>
          <w:lang w:val="en-US" w:eastAsia="zh-CN"/>
        </w:rPr>
        <w:t>一、调整价格的背景</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val="0"/>
          <w:bCs w:val="0"/>
          <w:sz w:val="32"/>
          <w:szCs w:val="32"/>
          <w:highlight w:val="none"/>
          <w:vertAlign w:val="baseline"/>
          <w:lang w:val="en-US" w:eastAsia="zh-CN"/>
        </w:rPr>
      </w:pPr>
      <w:r>
        <w:rPr>
          <w:rFonts w:hint="eastAsia" w:ascii="仿宋_GB2312" w:hAnsi="仿宋_GB2312" w:eastAsia="仿宋_GB2312" w:cs="仿宋_GB2312"/>
          <w:sz w:val="32"/>
          <w:szCs w:val="32"/>
          <w:highlight w:val="none"/>
          <w:lang w:val="en-US" w:eastAsia="zh-CN"/>
        </w:rPr>
        <w:t>根据市物业管理行业协会提供的数据，据不完全统计，韶关市区现有物业服务企业131家，物业住宅小区244个，涉及居民住房139,444户。其中执行一级服务收费标准的小区有36个（占住宅小区总数的14.75%），执行二级服务收费标准的小区有59个（占住宅小区总数的24.18%），执行三级服务收费标准的小区有149个（占住宅小区总数的61.07%）。</w:t>
      </w:r>
      <w:r>
        <w:rPr>
          <w:rFonts w:hint="eastAsia" w:ascii="仿宋_GB2312" w:hAnsi="仿宋_GB2312" w:eastAsia="仿宋_GB2312" w:cs="宋体"/>
          <w:b w:val="0"/>
          <w:bCs w:val="0"/>
          <w:sz w:val="32"/>
          <w:szCs w:val="32"/>
          <w:highlight w:val="none"/>
          <w:vertAlign w:val="baseline"/>
          <w:lang w:val="en-US" w:eastAsia="zh-CN"/>
        </w:rPr>
        <w:t>根据我市实际情况，为提升物业服务质量，促进物业服务企业良性发展，最终维护广大业主的切身利益，调整市区物业服务收费标准势在必行。</w:t>
      </w:r>
    </w:p>
    <w:p>
      <w:pPr>
        <w:pStyle w:val="7"/>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宋体"/>
          <w:b w:val="0"/>
          <w:bCs w:val="0"/>
          <w:sz w:val="32"/>
          <w:szCs w:val="32"/>
          <w:highlight w:val="none"/>
          <w:vertAlign w:val="baseline"/>
          <w:lang w:val="en-US" w:eastAsia="zh-CN"/>
        </w:rPr>
      </w:pPr>
      <w:r>
        <w:rPr>
          <w:rFonts w:hint="eastAsia" w:ascii="仿宋_GB2312" w:hAnsi="仿宋_GB2312" w:eastAsia="仿宋_GB2312" w:cs="仿宋_GB2312"/>
          <w:b/>
          <w:bCs/>
          <w:sz w:val="32"/>
          <w:szCs w:val="32"/>
          <w:highlight w:val="none"/>
          <w:lang w:val="en-US" w:eastAsia="zh-CN"/>
        </w:rPr>
        <w:t>一是物业服务环境发生较大变化。</w:t>
      </w:r>
      <w:r>
        <w:rPr>
          <w:rFonts w:hint="eastAsia" w:ascii="仿宋_GB2312" w:hAnsi="仿宋_GB2312" w:eastAsia="仿宋_GB2312" w:cs="宋体"/>
          <w:b w:val="0"/>
          <w:bCs w:val="0"/>
          <w:sz w:val="32"/>
          <w:szCs w:val="32"/>
          <w:highlight w:val="none"/>
          <w:lang w:eastAsia="zh-CN"/>
        </w:rPr>
        <w:t>现行普通住宅物业服务收费自</w:t>
      </w:r>
      <w:r>
        <w:rPr>
          <w:rFonts w:hint="eastAsia" w:ascii="仿宋_GB2312" w:hAnsi="仿宋_GB2312" w:eastAsia="仿宋_GB2312" w:cs="宋体"/>
          <w:b w:val="0"/>
          <w:bCs w:val="0"/>
          <w:sz w:val="32"/>
          <w:szCs w:val="32"/>
          <w:highlight w:val="none"/>
          <w:lang w:val="en-US" w:eastAsia="zh-CN"/>
        </w:rPr>
        <w:t>2004年至今已执行16年的时间，期间</w:t>
      </w:r>
      <w:r>
        <w:rPr>
          <w:rFonts w:hint="eastAsia" w:ascii="仿宋_GB2312" w:hAnsi="仿宋_GB2312" w:eastAsia="仿宋_GB2312" w:cs="仿宋_GB2312"/>
          <w:sz w:val="32"/>
          <w:szCs w:val="32"/>
          <w:highlight w:val="none"/>
          <w:lang w:val="en-US" w:eastAsia="zh-CN"/>
        </w:rPr>
        <w:t>居民生活水平日益提高，</w:t>
      </w:r>
      <w:r>
        <w:rPr>
          <w:rFonts w:hint="eastAsia" w:ascii="仿宋_GB2312" w:hAnsi="仿宋_GB2312" w:eastAsia="仿宋_GB2312" w:cs="宋体"/>
          <w:b w:val="0"/>
          <w:bCs w:val="0"/>
          <w:sz w:val="32"/>
          <w:szCs w:val="32"/>
          <w:highlight w:val="none"/>
          <w:lang w:val="en-US" w:eastAsia="zh-CN"/>
        </w:rPr>
        <w:t>不论是业主对居住环境和服务质量的追求，还是物业管理方式和</w:t>
      </w:r>
      <w:r>
        <w:rPr>
          <w:rFonts w:hint="eastAsia" w:ascii="仿宋_GB2312" w:hAnsi="仿宋_GB2312" w:eastAsia="仿宋_GB2312" w:cs="仿宋_GB2312"/>
          <w:sz w:val="32"/>
          <w:szCs w:val="32"/>
          <w:highlight w:val="none"/>
          <w:lang w:val="en-US" w:eastAsia="zh-CN"/>
        </w:rPr>
        <w:t>信息技术的广泛应用</w:t>
      </w:r>
      <w:r>
        <w:rPr>
          <w:rFonts w:hint="eastAsia" w:ascii="仿宋_GB2312" w:hAnsi="仿宋_GB2312" w:eastAsia="仿宋_GB2312" w:cs="宋体"/>
          <w:b w:val="0"/>
          <w:bCs w:val="0"/>
          <w:sz w:val="32"/>
          <w:szCs w:val="32"/>
          <w:highlight w:val="none"/>
          <w:lang w:val="en-US" w:eastAsia="zh-CN"/>
        </w:rPr>
        <w:t>，以及人工成本等都发生了较大变化。</w:t>
      </w:r>
      <w:r>
        <w:rPr>
          <w:rFonts w:hint="eastAsia" w:ascii="仿宋_GB2312" w:hAnsi="仿宋_GB2312" w:eastAsia="仿宋_GB2312" w:cs="宋体"/>
          <w:b w:val="0"/>
          <w:bCs w:val="0"/>
          <w:sz w:val="32"/>
          <w:szCs w:val="32"/>
          <w:highlight w:val="none"/>
          <w:lang w:eastAsia="zh-CN"/>
        </w:rPr>
        <w:t>随着近年来市区大型综合楼盘的陆续开发建设，部分楼盘的物业因</w:t>
      </w:r>
      <w:r>
        <w:rPr>
          <w:rFonts w:hint="eastAsia" w:ascii="仿宋_GB2312" w:hAnsi="仿宋_GB2312" w:eastAsia="仿宋_GB2312" w:cs="宋体"/>
          <w:b w:val="0"/>
          <w:bCs w:val="0"/>
          <w:sz w:val="32"/>
          <w:szCs w:val="32"/>
          <w:highlight w:val="none"/>
        </w:rPr>
        <w:t>服务质量、服务档次、管理水平</w:t>
      </w:r>
      <w:r>
        <w:rPr>
          <w:rFonts w:hint="eastAsia" w:ascii="仿宋_GB2312" w:hAnsi="仿宋_GB2312" w:eastAsia="仿宋_GB2312" w:cs="宋体"/>
          <w:b w:val="0"/>
          <w:bCs w:val="0"/>
          <w:sz w:val="32"/>
          <w:szCs w:val="32"/>
          <w:highlight w:val="none"/>
          <w:lang w:eastAsia="zh-CN"/>
        </w:rPr>
        <w:t>以及服务成本</w:t>
      </w:r>
      <w:r>
        <w:rPr>
          <w:rFonts w:hint="eastAsia" w:ascii="仿宋_GB2312" w:hAnsi="仿宋_GB2312" w:eastAsia="仿宋_GB2312" w:cs="宋体"/>
          <w:b w:val="0"/>
          <w:bCs w:val="0"/>
          <w:sz w:val="32"/>
          <w:szCs w:val="32"/>
          <w:highlight w:val="none"/>
        </w:rPr>
        <w:t>的提高，</w:t>
      </w:r>
      <w:r>
        <w:rPr>
          <w:rFonts w:hint="eastAsia" w:ascii="仿宋_GB2312" w:hAnsi="仿宋_GB2312" w:eastAsia="仿宋_GB2312" w:cs="宋体"/>
          <w:b w:val="0"/>
          <w:bCs w:val="0"/>
          <w:sz w:val="32"/>
          <w:szCs w:val="32"/>
          <w:highlight w:val="none"/>
          <w:lang w:eastAsia="zh-CN"/>
        </w:rPr>
        <w:t>不断提出要求突破</w:t>
      </w:r>
      <w:r>
        <w:rPr>
          <w:rFonts w:hint="eastAsia" w:ascii="仿宋_GB2312" w:hAnsi="仿宋_GB2312" w:eastAsia="仿宋_GB2312" w:cs="宋体"/>
          <w:b w:val="0"/>
          <w:bCs w:val="0"/>
          <w:sz w:val="32"/>
          <w:szCs w:val="32"/>
          <w:highlight w:val="none"/>
          <w:lang w:val="en-US" w:eastAsia="zh-CN"/>
        </w:rPr>
        <w:t>最高限价1.68元/平方米的诉</w:t>
      </w:r>
      <w:r>
        <w:rPr>
          <w:rFonts w:hint="eastAsia" w:ascii="仿宋_GB2312" w:hAnsi="仿宋_GB2312" w:eastAsia="仿宋_GB2312" w:cs="宋体"/>
          <w:b w:val="0"/>
          <w:bCs w:val="0"/>
          <w:sz w:val="32"/>
          <w:szCs w:val="32"/>
          <w:highlight w:val="none"/>
          <w:lang w:eastAsia="zh-CN"/>
        </w:rPr>
        <w:t>求</w:t>
      </w:r>
      <w:r>
        <w:rPr>
          <w:rFonts w:hint="eastAsia" w:ascii="仿宋_GB2312" w:hAnsi="仿宋_GB2312" w:eastAsia="仿宋_GB2312" w:cs="宋体"/>
          <w:b w:val="0"/>
          <w:bCs w:val="0"/>
          <w:sz w:val="32"/>
          <w:szCs w:val="32"/>
          <w:highlight w:val="none"/>
          <w:vertAlign w:val="baseline"/>
          <w:lang w:val="en-US" w:eastAsia="zh-CN"/>
        </w:rPr>
        <w:t>。</w:t>
      </w:r>
    </w:p>
    <w:p>
      <w:pPr>
        <w:pStyle w:val="7"/>
        <w:numPr>
          <w:ilvl w:val="0"/>
          <w:numId w:val="0"/>
        </w:numPr>
        <w:ind w:firstLine="643" w:firstLineChars="200"/>
        <w:rPr>
          <w:rFonts w:hint="eastAsia" w:ascii="仿宋_GB2312" w:hAnsi="仿宋_GB2312" w:eastAsia="仿宋_GB2312" w:cs="宋体"/>
          <w:b w:val="0"/>
          <w:bCs w:val="0"/>
          <w:sz w:val="32"/>
          <w:szCs w:val="32"/>
          <w:highlight w:val="none"/>
          <w:vertAlign w:val="baseline"/>
          <w:lang w:val="en-US" w:eastAsia="zh-CN"/>
        </w:rPr>
      </w:pPr>
      <w:r>
        <w:rPr>
          <w:rFonts w:hint="eastAsia" w:ascii="仿宋_GB2312" w:hAnsi="仿宋_GB2312" w:eastAsia="仿宋_GB2312" w:cs="宋体"/>
          <w:b/>
          <w:bCs/>
          <w:sz w:val="32"/>
          <w:szCs w:val="32"/>
          <w:highlight w:val="none"/>
          <w:vertAlign w:val="baseline"/>
          <w:lang w:val="en-US" w:eastAsia="zh-CN"/>
        </w:rPr>
        <w:t>二是物业服务相关配套政策急需修订完善。</w:t>
      </w:r>
      <w:r>
        <w:rPr>
          <w:rFonts w:hint="eastAsia" w:ascii="仿宋_GB2312" w:hAnsi="仿宋_GB2312" w:eastAsia="仿宋_GB2312" w:cs="宋体"/>
          <w:b w:val="0"/>
          <w:bCs w:val="0"/>
          <w:sz w:val="32"/>
          <w:szCs w:val="32"/>
          <w:highlight w:val="none"/>
          <w:vertAlign w:val="baseline"/>
          <w:lang w:val="en-US" w:eastAsia="zh-CN"/>
        </w:rPr>
        <w:t>经市人民政府同意，我市重新修订后的</w:t>
      </w:r>
      <w:r>
        <w:rPr>
          <w:rFonts w:hint="eastAsia" w:ascii="仿宋_GB2312" w:hAnsi="仿宋_GB2312" w:eastAsia="仿宋_GB2312" w:cs="宋体"/>
          <w:b w:val="0"/>
          <w:bCs w:val="0"/>
          <w:color w:val="auto"/>
          <w:sz w:val="32"/>
          <w:szCs w:val="32"/>
          <w:highlight w:val="none"/>
          <w:vertAlign w:val="baseline"/>
          <w:lang w:val="en-US" w:eastAsia="zh-CN"/>
        </w:rPr>
        <w:t>《</w:t>
      </w:r>
      <w:r>
        <w:rPr>
          <w:rFonts w:hint="eastAsia" w:ascii="仿宋_GB2312" w:hAnsi="仿宋_GB2312" w:eastAsia="仿宋_GB2312" w:cs="宋体"/>
          <w:b w:val="0"/>
          <w:bCs w:val="0"/>
          <w:sz w:val="32"/>
          <w:szCs w:val="32"/>
          <w:highlight w:val="none"/>
          <w:vertAlign w:val="baseline"/>
          <w:lang w:val="en-US" w:eastAsia="zh-CN"/>
        </w:rPr>
        <w:t>韶关市物业服务收费管理实施细则》（韶发改联〔2020〕23号）已于</w:t>
      </w:r>
      <w:r>
        <w:rPr>
          <w:rFonts w:hint="eastAsia" w:ascii="仿宋_GB2312" w:hAnsi="仿宋_GB2312" w:eastAsia="仿宋_GB2312" w:cs="仿宋_GB2312"/>
          <w:sz w:val="32"/>
          <w:szCs w:val="32"/>
          <w:highlight w:val="none"/>
          <w:lang w:val="en-US" w:eastAsia="zh-CN"/>
        </w:rPr>
        <w:t>8月15日</w:t>
      </w:r>
      <w:r>
        <w:rPr>
          <w:rFonts w:hint="eastAsia" w:ascii="仿宋_GB2312" w:hAnsi="仿宋_GB2312" w:eastAsia="仿宋_GB2312" w:cs="宋体"/>
          <w:b w:val="0"/>
          <w:bCs w:val="0"/>
          <w:sz w:val="32"/>
          <w:szCs w:val="32"/>
          <w:highlight w:val="none"/>
          <w:vertAlign w:val="baseline"/>
          <w:lang w:val="en-US" w:eastAsia="zh-CN"/>
        </w:rPr>
        <w:t>正式</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宋体"/>
          <w:b w:val="0"/>
          <w:bCs w:val="0"/>
          <w:sz w:val="32"/>
          <w:szCs w:val="32"/>
          <w:highlight w:val="none"/>
          <w:vertAlign w:val="baseline"/>
          <w:lang w:val="en-US" w:eastAsia="zh-CN"/>
        </w:rPr>
        <w:t>为</w:t>
      </w:r>
      <w:r>
        <w:rPr>
          <w:rFonts w:hint="eastAsia" w:ascii="仿宋_GB2312" w:hAnsi="仿宋_GB2312" w:eastAsia="仿宋_GB2312" w:cs="仿宋_GB2312"/>
          <w:sz w:val="32"/>
          <w:szCs w:val="32"/>
          <w:highlight w:val="none"/>
          <w:lang w:val="en-US" w:eastAsia="zh-CN"/>
        </w:rPr>
        <w:t>促进相关政策的有效衔接,</w:t>
      </w:r>
      <w:r>
        <w:rPr>
          <w:rFonts w:hint="eastAsia" w:ascii="仿宋_GB2312" w:hAnsi="仿宋_GB2312" w:eastAsia="仿宋_GB2312" w:cs="宋体"/>
          <w:b w:val="0"/>
          <w:bCs w:val="0"/>
          <w:sz w:val="32"/>
          <w:szCs w:val="32"/>
          <w:highlight w:val="none"/>
          <w:vertAlign w:val="baseline"/>
          <w:lang w:val="en-US" w:eastAsia="zh-CN"/>
        </w:rPr>
        <w:t>进一步规范物业服务收费管理，</w:t>
      </w:r>
      <w:r>
        <w:rPr>
          <w:rFonts w:hint="eastAsia" w:ascii="仿宋_GB2312" w:hAnsi="仿宋_GB2312" w:eastAsia="仿宋_GB2312" w:cs="仿宋_GB2312"/>
          <w:sz w:val="32"/>
          <w:szCs w:val="32"/>
          <w:highlight w:val="none"/>
          <w:lang w:val="en-US" w:eastAsia="zh-CN"/>
        </w:rPr>
        <w:t>与之相配套的</w:t>
      </w:r>
      <w:r>
        <w:rPr>
          <w:rFonts w:hint="eastAsia" w:ascii="仿宋_GB2312" w:hAnsi="仿宋_GB2312" w:eastAsia="仿宋_GB2312" w:cs="仿宋_GB2312"/>
          <w:sz w:val="32"/>
          <w:szCs w:val="32"/>
          <w:highlight w:val="none"/>
        </w:rPr>
        <w:t>物业服务等级</w:t>
      </w:r>
      <w:r>
        <w:rPr>
          <w:rFonts w:hint="eastAsia" w:ascii="仿宋_GB2312" w:hAnsi="仿宋_GB2312" w:eastAsia="仿宋_GB2312" w:cs="仿宋_GB2312"/>
          <w:sz w:val="32"/>
          <w:szCs w:val="32"/>
          <w:highlight w:val="none"/>
          <w:lang w:eastAsia="zh-CN"/>
        </w:rPr>
        <w:t>及收费标准的修订和调整已迫在眉睫。</w:t>
      </w:r>
    </w:p>
    <w:p>
      <w:pPr>
        <w:pStyle w:val="7"/>
        <w:numPr>
          <w:ilvl w:val="0"/>
          <w:numId w:val="0"/>
        </w:numPr>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三是实际定价成本高于现行收费标准。</w:t>
      </w:r>
      <w:r>
        <w:rPr>
          <w:rFonts w:hint="eastAsia" w:ascii="仿宋_GB2312" w:hAnsi="仿宋_GB2312" w:eastAsia="仿宋_GB2312" w:cs="仿宋_GB2312"/>
          <w:b w:val="0"/>
          <w:bCs w:val="0"/>
          <w:sz w:val="32"/>
          <w:szCs w:val="32"/>
          <w:highlight w:val="none"/>
          <w:lang w:val="en-US" w:eastAsia="zh-CN"/>
        </w:rPr>
        <w:t>为准确核定我市物业服务定价成本情况，</w:t>
      </w:r>
      <w:r>
        <w:rPr>
          <w:rFonts w:hint="eastAsia" w:ascii="仿宋_GB2312" w:hAnsi="仿宋_GB2312" w:eastAsia="仿宋_GB2312" w:cs="宋体"/>
          <w:b w:val="0"/>
          <w:bCs w:val="0"/>
          <w:sz w:val="32"/>
          <w:szCs w:val="32"/>
          <w:highlight w:val="none"/>
          <w:lang w:val="en-US" w:eastAsia="zh-CN"/>
        </w:rPr>
        <w:t>根据《广东省发展改革委关于印发政府制定价格行为规则实施细则的通知》（粤发改规〔2019〕2号）有关规定，应物业管理行业协会的要求，</w:t>
      </w:r>
      <w:r>
        <w:rPr>
          <w:rFonts w:hint="eastAsia" w:ascii="仿宋_GB2312" w:hAnsi="仿宋_GB2312" w:eastAsia="仿宋_GB2312" w:cs="仿宋_GB2312"/>
          <w:sz w:val="32"/>
          <w:szCs w:val="32"/>
          <w:highlight w:val="none"/>
          <w:lang w:val="en-US" w:eastAsia="zh-CN"/>
        </w:rPr>
        <w:t>结合实际，我局于2019年底启动了调整市区物业服务收费标准的工作程序，委托第三方会计师事务所和市价格认证中心对市区14个执行不同服务等级收费标准的物业小区近三年物业服务定价成本进行了抽查。成本监审</w:t>
      </w:r>
      <w:r>
        <w:rPr>
          <w:rFonts w:hint="eastAsia" w:ascii="仿宋_GB2312" w:hAnsi="仿宋_GB2312" w:eastAsia="仿宋_GB2312" w:cs="仿宋_GB2312"/>
          <w:color w:val="auto"/>
          <w:sz w:val="32"/>
          <w:szCs w:val="32"/>
          <w:highlight w:val="none"/>
          <w:lang w:val="en-US" w:eastAsia="zh-CN"/>
        </w:rPr>
        <w:t>的结论是</w:t>
      </w:r>
      <w:r>
        <w:rPr>
          <w:rFonts w:hint="eastAsia" w:ascii="仿宋_GB2312" w:hAnsi="仿宋_GB2312" w:eastAsia="仿宋_GB2312" w:cs="仿宋_GB2312"/>
          <w:sz w:val="32"/>
          <w:szCs w:val="32"/>
          <w:highlight w:val="none"/>
          <w:lang w:val="en-US" w:eastAsia="zh-CN"/>
        </w:rPr>
        <w:t>，各等级平均成本已高于现行收费标准，比如：电梯一级服务定价成本达到1.76</w:t>
      </w:r>
      <w:r>
        <w:rPr>
          <w:rFonts w:hint="eastAsia" w:ascii="仿宋_GB2312" w:hAnsi="仿宋_GB2312" w:eastAsia="仿宋_GB2312" w:cs="仿宋_GB2312"/>
          <w:color w:val="000000"/>
          <w:kern w:val="0"/>
          <w:sz w:val="32"/>
          <w:szCs w:val="32"/>
          <w:highlight w:val="none"/>
        </w:rPr>
        <w:t>元/㎡</w:t>
      </w:r>
      <w:r>
        <w:rPr>
          <w:rFonts w:hint="eastAsia" w:ascii="仿宋_GB2312" w:hAnsi="仿宋_GB2312" w:eastAsia="仿宋_GB2312" w:cs="仿宋_GB2312"/>
          <w:color w:val="000000"/>
          <w:kern w:val="0"/>
          <w:sz w:val="32"/>
          <w:szCs w:val="32"/>
          <w:highlight w:val="none"/>
          <w:lang w:eastAsia="zh-CN"/>
        </w:rPr>
        <w:t>（不包含利润），</w:t>
      </w:r>
      <w:r>
        <w:rPr>
          <w:rFonts w:hint="eastAsia" w:ascii="仿宋_GB2312" w:hAnsi="仿宋_GB2312" w:eastAsia="仿宋_GB2312" w:cs="仿宋_GB2312"/>
          <w:sz w:val="32"/>
          <w:szCs w:val="32"/>
          <w:highlight w:val="none"/>
          <w:lang w:val="en-US" w:eastAsia="zh-CN"/>
        </w:rPr>
        <w:t>高于现行标准同等基准价0.36元</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宋体"/>
          <w:b w:val="0"/>
          <w:bCs w:val="0"/>
          <w:sz w:val="32"/>
          <w:szCs w:val="32"/>
          <w:highlight w:val="none"/>
          <w:lang w:val="en-US" w:eastAsia="zh-CN"/>
        </w:rPr>
        <w:t>m</w:t>
      </w:r>
      <w:r>
        <w:rPr>
          <w:rFonts w:hint="eastAsia" w:ascii="仿宋_GB2312" w:hAnsi="仿宋_GB2312" w:eastAsia="仿宋_GB2312" w:cs="宋体"/>
          <w:b w:val="0"/>
          <w:bCs w:val="0"/>
          <w:sz w:val="32"/>
          <w:szCs w:val="32"/>
          <w:highlight w:val="none"/>
          <w:vertAlign w:val="superscript"/>
          <w:lang w:val="en-US" w:eastAsia="zh-CN"/>
        </w:rPr>
        <w:t>2</w:t>
      </w:r>
      <w:r>
        <w:rPr>
          <w:rFonts w:hint="eastAsia" w:ascii="仿宋_GB2312" w:hAnsi="仿宋_GB2312" w:eastAsia="仿宋_GB2312" w:cs="宋体"/>
          <w:b w:val="0"/>
          <w:bCs w:val="0"/>
          <w:sz w:val="32"/>
          <w:szCs w:val="32"/>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宋体"/>
          <w:b/>
          <w:bCs/>
          <w:sz w:val="32"/>
          <w:szCs w:val="32"/>
          <w:highlight w:val="none"/>
          <w:vertAlign w:val="baseline"/>
          <w:lang w:val="en-US" w:eastAsia="zh-CN"/>
        </w:rPr>
        <w:t>四是与周边比对普遍存在实际收费突破最高限价的现象。</w:t>
      </w:r>
      <w:r>
        <w:rPr>
          <w:rFonts w:hint="eastAsia" w:ascii="仿宋_GB2312" w:hAnsi="仿宋_GB2312" w:eastAsia="仿宋_GB2312" w:cs="宋体"/>
          <w:b w:val="0"/>
          <w:bCs w:val="0"/>
          <w:sz w:val="32"/>
          <w:szCs w:val="32"/>
          <w:highlight w:val="none"/>
          <w:vertAlign w:val="baseline"/>
          <w:lang w:val="en-US" w:eastAsia="zh-CN"/>
        </w:rPr>
        <w:t>据了解，在</w:t>
      </w:r>
      <w:r>
        <w:rPr>
          <w:rFonts w:hint="eastAsia" w:ascii="仿宋_GB2312" w:hAnsi="仿宋_GB2312" w:eastAsia="仿宋_GB2312" w:cs="仿宋_GB2312"/>
          <w:sz w:val="32"/>
          <w:szCs w:val="32"/>
          <w:highlight w:val="none"/>
          <w:lang w:val="en-US" w:eastAsia="zh-CN"/>
        </w:rPr>
        <w:t>北部生态发展区5个地市中，现行文件规定物业服务等级为一级的电梯楼最高限价在每平方米每月1.43-3.38元之间，我市为1.68元，处于中下水平。而周边地区部分楼盘的实际收费标准已突破当地的最高限价，达到1.60-2.43元，韶关市区最高标准为1.80元，处于中等偏下水平</w:t>
      </w:r>
      <w:r>
        <w:rPr>
          <w:rFonts w:hint="eastAsia" w:ascii="仿宋_GB2312" w:hAnsi="仿宋_GB2312" w:eastAsia="仿宋_GB2312" w:cs="仿宋_GB2312"/>
          <w:b w:val="0"/>
          <w:bCs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宋体"/>
          <w:b/>
          <w:bCs/>
          <w:sz w:val="32"/>
          <w:szCs w:val="32"/>
          <w:highlight w:val="none"/>
          <w:lang w:val="en-US" w:eastAsia="zh-CN"/>
        </w:rPr>
      </w:pPr>
      <w:r>
        <w:rPr>
          <w:rFonts w:hint="eastAsia" w:ascii="仿宋_GB2312" w:hAnsi="仿宋_GB2312" w:eastAsia="仿宋_GB2312" w:cs="宋体"/>
          <w:b/>
          <w:bCs/>
          <w:sz w:val="32"/>
          <w:szCs w:val="32"/>
          <w:highlight w:val="none"/>
          <w:lang w:val="en-US" w:eastAsia="zh-CN"/>
        </w:rPr>
        <w:t>二、主要政策依据</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（一）《中华人民共和国价格法》；</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《广东省政府办公厅关于印发&lt;广东省定价目录（2018年版）&gt;的通知》（粤府办〔2018〕11号）;</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（三）国家发展改革委、建设部《物业服务收费管理办法》;</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《广东省物业管理条例》；</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（五）《广东省发展改革委 广东省住房城乡建设厅关于进一步规范物业服务收费的通知》（粤发改价格函[2019]2897号）；</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val="0"/>
          <w:bCs w:val="0"/>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（六）《广东省发展改革委关于印发政府制定价格行为规则实施细则的通知》（粤发改规〔2019〕2号）；</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宋体"/>
          <w:b/>
          <w:bCs/>
          <w:sz w:val="32"/>
          <w:szCs w:val="32"/>
          <w:highlight w:val="none"/>
          <w:lang w:val="en-US" w:eastAsia="zh-CN"/>
        </w:rPr>
      </w:pPr>
      <w:r>
        <w:rPr>
          <w:rFonts w:hint="eastAsia" w:ascii="仿宋_GB2312" w:hAnsi="仿宋_GB2312" w:eastAsia="仿宋_GB2312" w:cs="宋体"/>
          <w:b w:val="0"/>
          <w:bCs w:val="0"/>
          <w:sz w:val="32"/>
          <w:szCs w:val="32"/>
          <w:highlight w:val="none"/>
          <w:lang w:val="en-US" w:eastAsia="zh-CN"/>
        </w:rPr>
        <w:t>（七）《韶关市发展和改革局 韶关市住房和城乡建设管理局关于印发&lt;韶关市物业服务收费管理实施细则&gt;的通知》（韶发改联[2020]23号）。</w:t>
      </w:r>
    </w:p>
    <w:p>
      <w:pPr>
        <w:pStyle w:val="7"/>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宋体"/>
          <w:b/>
          <w:bCs/>
          <w:sz w:val="32"/>
          <w:szCs w:val="32"/>
          <w:highlight w:val="none"/>
          <w:lang w:val="en-US" w:eastAsia="zh-CN"/>
        </w:rPr>
      </w:pPr>
      <w:r>
        <w:rPr>
          <w:rFonts w:hint="eastAsia" w:ascii="仿宋_GB2312" w:hAnsi="仿宋_GB2312" w:eastAsia="仿宋_GB2312" w:cs="宋体"/>
          <w:b/>
          <w:bCs/>
          <w:sz w:val="32"/>
          <w:szCs w:val="32"/>
          <w:highlight w:val="none"/>
          <w:lang w:val="en-US" w:eastAsia="zh-CN"/>
        </w:rPr>
        <w:t>三、拟定调价方案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小区环境和服务内容，物业服务等级共分为三级，收费标准相应分三个档次。本调价方案，依据成本监审结论，以各服务等级成本价为基础，成本价小数点后一位数保留到5，制定各服务等级基准价标准，最高限价以基准价为基础，</w:t>
      </w:r>
      <w:r>
        <w:rPr>
          <w:rFonts w:hint="eastAsia" w:ascii="仿宋_GB2312" w:hAnsi="仿宋_GB2312" w:eastAsia="仿宋_GB2312" w:cs="仿宋_GB2312"/>
          <w:color w:val="auto"/>
          <w:sz w:val="32"/>
          <w:szCs w:val="32"/>
          <w:highlight w:val="none"/>
          <w:lang w:val="en-US" w:eastAsia="zh-CN"/>
        </w:rPr>
        <w:t>加合理利润分别</w:t>
      </w:r>
      <w:r>
        <w:rPr>
          <w:rFonts w:hint="eastAsia" w:ascii="仿宋_GB2312" w:hAnsi="仿宋_GB2312" w:eastAsia="仿宋_GB2312" w:cs="仿宋_GB2312"/>
          <w:sz w:val="32"/>
          <w:szCs w:val="32"/>
          <w:highlight w:val="none"/>
          <w:lang w:val="en-US" w:eastAsia="zh-CN"/>
        </w:rPr>
        <w:t>上浮幅度不超过10%、15%和20%，拟定如下三个调整方案（详见附表）。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考虑到实际定价成本以及给予合理利润等，调价方案中</w:t>
      </w:r>
      <w:r>
        <w:rPr>
          <w:rFonts w:hint="eastAsia" w:ascii="仿宋_GB2312" w:hAnsi="仿宋_GB2312" w:eastAsia="仿宋_GB2312" w:cs="仿宋_GB2312"/>
          <w:color w:val="auto"/>
          <w:sz w:val="32"/>
          <w:szCs w:val="32"/>
          <w:highlight w:val="none"/>
          <w:lang w:val="en-US" w:eastAsia="zh-CN"/>
        </w:rPr>
        <w:t>的基准价为成本价，其中不含利润等。考虑到未来人工成本的增加，物业服务企业的可持续发展，给予企业一定的合理利润是符合实际的。最高限价只起到一个标杆作用，不等于每个服务等级为一级的小区均要执行此标准，应视该小区的具体服务内容和居住环境而定。收费标准调整后，预测新的标准不会马上对现行收费产生冲击，它仅对新建小区有直接的作用，原有小区要调整收费标准，还需企业与业主重新签订服务合同，并还需双过半通过才能实行。</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outlineLvl w:val="9"/>
        <w:rPr>
          <w:rFonts w:hint="default" w:ascii="Times New Roman" w:hAnsi="Times New Roman" w:eastAsia="仿宋" w:cs="Times New Roman"/>
          <w:b/>
          <w:bCs/>
          <w:i w:val="0"/>
          <w:caps w:val="0"/>
          <w:color w:val="auto"/>
          <w:spacing w:val="0"/>
          <w:kern w:val="0"/>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四、建立</w:t>
      </w:r>
      <w:r>
        <w:rPr>
          <w:rFonts w:hint="default" w:ascii="Times New Roman" w:hAnsi="Times New Roman" w:eastAsia="仿宋" w:cs="Times New Roman"/>
          <w:b/>
          <w:bCs/>
          <w:i w:val="0"/>
          <w:caps w:val="0"/>
          <w:color w:val="auto"/>
          <w:spacing w:val="0"/>
          <w:kern w:val="0"/>
          <w:sz w:val="32"/>
          <w:szCs w:val="32"/>
          <w:highlight w:val="none"/>
          <w:lang w:val="en-US" w:eastAsia="zh-CN" w:bidi="ar-SA"/>
        </w:rPr>
        <w:t>健全事中事后价格监管制度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snapToGrid/>
          <w:color w:val="auto"/>
          <w:sz w:val="32"/>
          <w:szCs w:val="32"/>
          <w:highlight w:val="none"/>
          <w:lang w:val="en-US" w:eastAsia="zh-CN"/>
        </w:rPr>
      </w:pPr>
      <w:r>
        <w:rPr>
          <w:rFonts w:hint="eastAsia" w:ascii="Times New Roman" w:hAnsi="Times New Roman" w:eastAsia="仿宋_GB2312" w:cs="Times New Roman"/>
          <w:snapToGrid/>
          <w:color w:val="auto"/>
          <w:sz w:val="32"/>
          <w:szCs w:val="32"/>
          <w:highlight w:val="none"/>
          <w:lang w:val="en-US" w:eastAsia="zh-CN"/>
        </w:rPr>
        <w:t>韶关市区物业服务收费标准，是以物业服务等级标准为基础制定的，按照工作职能及分工等，调整市区物业服务收费标准由价格主管部门牵头负责，修订物业服务等级标准由住房建设行业主管部门牵头负责，以上两个方案合并形成初稿后，需经过征求各有关部门和社会意见、召开价格听证会、合法性审查并报市人民政府审定后，方可实施的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napToGrid/>
          <w:color w:val="auto"/>
          <w:sz w:val="32"/>
          <w:szCs w:val="32"/>
          <w:highlight w:val="none"/>
          <w:shd w:val="clear" w:color="auto" w:fill="auto"/>
          <w:lang w:val="en-US" w:eastAsia="zh-CN"/>
        </w:rPr>
      </w:pPr>
      <w:r>
        <w:rPr>
          <w:rFonts w:hint="eastAsia" w:ascii="Times New Roman" w:hAnsi="Times New Roman" w:eastAsia="仿宋_GB2312" w:cs="Times New Roman"/>
          <w:snapToGrid/>
          <w:color w:val="auto"/>
          <w:sz w:val="32"/>
          <w:szCs w:val="32"/>
          <w:highlight w:val="none"/>
          <w:lang w:val="en-US" w:eastAsia="zh-CN"/>
        </w:rPr>
        <w:t>为进一步</w:t>
      </w:r>
      <w:r>
        <w:rPr>
          <w:rFonts w:hint="default" w:ascii="Times New Roman" w:hAnsi="Times New Roman" w:eastAsia="仿宋_GB2312" w:cs="Times New Roman"/>
          <w:snapToGrid/>
          <w:color w:val="auto"/>
          <w:sz w:val="32"/>
          <w:szCs w:val="32"/>
          <w:highlight w:val="none"/>
          <w:lang w:val="en-US" w:eastAsia="zh-CN"/>
        </w:rPr>
        <w:t>完善</w:t>
      </w:r>
      <w:r>
        <w:rPr>
          <w:rFonts w:hint="eastAsia" w:ascii="Times New Roman" w:hAnsi="Times New Roman" w:eastAsia="仿宋_GB2312" w:cs="Times New Roman"/>
          <w:snapToGrid/>
          <w:color w:val="auto"/>
          <w:sz w:val="32"/>
          <w:szCs w:val="32"/>
          <w:highlight w:val="none"/>
          <w:lang w:val="en-US" w:eastAsia="zh-CN"/>
        </w:rPr>
        <w:t>物业服务收费管理</w:t>
      </w:r>
      <w:r>
        <w:rPr>
          <w:rFonts w:hint="default" w:ascii="Times New Roman" w:hAnsi="Times New Roman" w:eastAsia="仿宋_GB2312" w:cs="Times New Roman"/>
          <w:snapToGrid/>
          <w:color w:val="auto"/>
          <w:sz w:val="32"/>
          <w:szCs w:val="32"/>
          <w:highlight w:val="none"/>
          <w:lang w:val="en-US" w:eastAsia="zh-CN"/>
        </w:rPr>
        <w:t>制度</w:t>
      </w:r>
      <w:r>
        <w:rPr>
          <w:rFonts w:hint="eastAsia" w:ascii="Times New Roman" w:hAnsi="Times New Roman" w:eastAsia="仿宋_GB2312" w:cs="Times New Roman"/>
          <w:snapToGrid/>
          <w:color w:val="auto"/>
          <w:sz w:val="32"/>
          <w:szCs w:val="32"/>
          <w:highlight w:val="none"/>
          <w:lang w:val="en-US" w:eastAsia="zh-CN"/>
        </w:rPr>
        <w:t>，</w:t>
      </w:r>
      <w:r>
        <w:rPr>
          <w:rFonts w:hint="default" w:ascii="Times New Roman" w:hAnsi="Times New Roman" w:eastAsia="仿宋_GB2312" w:cs="Times New Roman"/>
          <w:snapToGrid/>
          <w:color w:val="auto"/>
          <w:sz w:val="32"/>
          <w:szCs w:val="32"/>
          <w:highlight w:val="none"/>
          <w:lang w:val="en-US" w:eastAsia="zh-CN"/>
        </w:rPr>
        <w:t>实</w:t>
      </w:r>
      <w:r>
        <w:rPr>
          <w:rFonts w:hint="eastAsia" w:ascii="Times New Roman" w:hAnsi="Times New Roman" w:eastAsia="仿宋_GB2312" w:cs="Times New Roman"/>
          <w:snapToGrid/>
          <w:color w:val="auto"/>
          <w:sz w:val="32"/>
          <w:szCs w:val="32"/>
          <w:highlight w:val="none"/>
          <w:lang w:val="en-US" w:eastAsia="zh-CN"/>
        </w:rPr>
        <w:t>施</w:t>
      </w:r>
      <w:r>
        <w:rPr>
          <w:rFonts w:hint="default" w:ascii="Times New Roman" w:hAnsi="Times New Roman" w:eastAsia="仿宋_GB2312" w:cs="Times New Roman"/>
          <w:snapToGrid/>
          <w:color w:val="auto"/>
          <w:sz w:val="32"/>
          <w:szCs w:val="32"/>
          <w:highlight w:val="none"/>
          <w:lang w:val="en-US" w:eastAsia="zh-CN"/>
        </w:rPr>
        <w:t>有效</w:t>
      </w:r>
      <w:r>
        <w:rPr>
          <w:rFonts w:hint="eastAsia" w:ascii="Times New Roman" w:hAnsi="Times New Roman" w:eastAsia="仿宋_GB2312" w:cs="Times New Roman"/>
          <w:snapToGrid/>
          <w:color w:val="auto"/>
          <w:sz w:val="32"/>
          <w:szCs w:val="32"/>
          <w:highlight w:val="none"/>
          <w:lang w:val="en-US" w:eastAsia="zh-CN"/>
        </w:rPr>
        <w:t>的</w:t>
      </w:r>
      <w:r>
        <w:rPr>
          <w:rFonts w:hint="eastAsia" w:ascii="仿宋_GB2312" w:hAnsi="仿宋_GB2312" w:eastAsia="仿宋_GB2312" w:cs="仿宋_GB2312"/>
          <w:snapToGrid/>
          <w:color w:val="auto"/>
          <w:sz w:val="32"/>
          <w:szCs w:val="32"/>
          <w:highlight w:val="none"/>
          <w:shd w:val="clear" w:color="auto" w:fill="auto"/>
          <w:lang w:val="en-US" w:eastAsia="zh-CN"/>
        </w:rPr>
        <w:t>监管，下一步，我们将会同有关部门：一是建立物业服务等级认定制度。二是建立物业服务质量的定期抽查和评价制定。三是加强诚信建设，建立健全物业服务行业诚信管理制度和科学的信用评价体系，明确守信激励和失信惩戒规则，促进行业自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eastAsia="zh-CN"/>
        </w:rPr>
        <w:t>希望通过相关制度的建立，对价格失信行为实施联合惩戒，实现“一处失信、处处受限”，倒逼企业严格自律。只有</w:t>
      </w:r>
      <w:r>
        <w:rPr>
          <w:rFonts w:hint="eastAsia" w:ascii="仿宋_GB2312" w:hAnsi="仿宋_GB2312" w:eastAsia="仿宋_GB2312" w:cs="仿宋_GB2312"/>
          <w:b w:val="0"/>
          <w:bCs w:val="0"/>
          <w:sz w:val="32"/>
          <w:szCs w:val="32"/>
          <w:highlight w:val="none"/>
          <w:shd w:val="clear" w:color="auto" w:fill="auto"/>
          <w:lang w:eastAsia="zh-CN"/>
        </w:rPr>
        <w:t>通过机制</w:t>
      </w:r>
      <w:r>
        <w:rPr>
          <w:rFonts w:hint="eastAsia" w:ascii="仿宋_GB2312" w:hAnsi="仿宋_GB2312" w:eastAsia="仿宋_GB2312" w:cs="仿宋_GB2312"/>
          <w:b w:val="0"/>
          <w:bCs w:val="0"/>
          <w:sz w:val="32"/>
          <w:szCs w:val="32"/>
          <w:highlight w:val="none"/>
          <w:shd w:val="clear" w:color="auto" w:fill="auto"/>
          <w:lang w:val="en-US" w:eastAsia="zh-CN"/>
        </w:rPr>
        <w:t>来</w:t>
      </w:r>
      <w:r>
        <w:rPr>
          <w:rFonts w:hint="eastAsia" w:ascii="仿宋_GB2312" w:hAnsi="仿宋_GB2312" w:eastAsia="仿宋_GB2312" w:cs="仿宋_GB2312"/>
          <w:b w:val="0"/>
          <w:bCs w:val="0"/>
          <w:sz w:val="32"/>
          <w:szCs w:val="32"/>
          <w:highlight w:val="none"/>
          <w:shd w:val="clear" w:color="auto" w:fill="auto"/>
          <w:lang w:eastAsia="zh-CN"/>
        </w:rPr>
        <w:t>约束和</w:t>
      </w:r>
      <w:r>
        <w:rPr>
          <w:rFonts w:hint="eastAsia" w:ascii="仿宋_GB2312" w:hAnsi="仿宋_GB2312" w:eastAsia="仿宋_GB2312" w:cs="仿宋_GB2312"/>
          <w:b w:val="0"/>
          <w:bCs w:val="0"/>
          <w:sz w:val="32"/>
          <w:szCs w:val="32"/>
          <w:highlight w:val="none"/>
          <w:shd w:val="clear" w:color="auto" w:fill="auto"/>
          <w:lang w:val="en-US" w:eastAsia="zh-CN"/>
        </w:rPr>
        <w:t>规范收费行为,</w:t>
      </w:r>
      <w:r>
        <w:rPr>
          <w:rFonts w:hint="eastAsia" w:ascii="仿宋_GB2312" w:hAnsi="仿宋_GB2312" w:eastAsia="仿宋_GB2312" w:cs="仿宋_GB2312"/>
          <w:sz w:val="32"/>
          <w:szCs w:val="32"/>
          <w:highlight w:val="none"/>
          <w:shd w:val="clear" w:color="auto" w:fill="auto"/>
          <w:lang w:eastAsia="zh-CN"/>
        </w:rPr>
        <w:t>才能使我市的物业服务质量得到进一步提升，收费行为也得到进一步的规范，促使我市的物业服务行业整体健康发展。</w:t>
      </w:r>
    </w:p>
    <w:p>
      <w:pPr>
        <w:pStyle w:val="7"/>
        <w:jc w:val="left"/>
        <w:rPr>
          <w:rFonts w:hint="eastAsia" w:ascii="宋体" w:hAnsi="宋体" w:cs="宋体"/>
          <w:b w:val="0"/>
          <w:bCs/>
          <w:i w:val="0"/>
          <w:color w:val="000000"/>
          <w:kern w:val="0"/>
          <w:sz w:val="32"/>
          <w:szCs w:val="32"/>
          <w:highlight w:val="none"/>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sectPr>
          <w:headerReference r:id="rId3" w:type="default"/>
          <w:footerReference r:id="rId4" w:type="default"/>
          <w:pgSz w:w="11906" w:h="16838"/>
          <w:pgMar w:top="1701" w:right="1417" w:bottom="1417" w:left="1587"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附表：</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center"/>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物业服务收费标准拟调方案表</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center"/>
        <w:textAlignment w:val="auto"/>
        <w:outlineLvl w:val="9"/>
        <w:rPr>
          <w:rFonts w:hint="default" w:ascii="仿宋_GB2312" w:hAnsi="仿宋_GB2312" w:eastAsia="仿宋_GB2312" w:cs="仿宋_GB2312"/>
          <w:b/>
          <w:bCs/>
          <w:sz w:val="21"/>
          <w:szCs w:val="21"/>
          <w:highlight w:val="none"/>
          <w:lang w:val="en-US" w:eastAsia="zh-CN"/>
        </w:rPr>
      </w:pPr>
    </w:p>
    <w:tbl>
      <w:tblPr>
        <w:tblStyle w:val="4"/>
        <w:tblW w:w="13399" w:type="dxa"/>
        <w:jc w:val="center"/>
        <w:shd w:val="clear" w:color="auto" w:fill="auto"/>
        <w:tblLayout w:type="fixed"/>
        <w:tblCellMar>
          <w:top w:w="0" w:type="dxa"/>
          <w:left w:w="0" w:type="dxa"/>
          <w:bottom w:w="0" w:type="dxa"/>
          <w:right w:w="0" w:type="dxa"/>
        </w:tblCellMar>
      </w:tblPr>
      <w:tblGrid>
        <w:gridCol w:w="1736"/>
        <w:gridCol w:w="828"/>
        <w:gridCol w:w="948"/>
        <w:gridCol w:w="1152"/>
        <w:gridCol w:w="960"/>
        <w:gridCol w:w="888"/>
        <w:gridCol w:w="888"/>
        <w:gridCol w:w="830"/>
        <w:gridCol w:w="838"/>
        <w:gridCol w:w="948"/>
        <w:gridCol w:w="864"/>
        <w:gridCol w:w="796"/>
        <w:gridCol w:w="836"/>
        <w:gridCol w:w="887"/>
      </w:tblGrid>
      <w:tr>
        <w:tblPrEx>
          <w:shd w:val="clear" w:color="auto" w:fill="auto"/>
          <w:tblCellMar>
            <w:top w:w="0" w:type="dxa"/>
            <w:left w:w="0" w:type="dxa"/>
            <w:bottom w:w="0" w:type="dxa"/>
            <w:right w:w="0" w:type="dxa"/>
          </w:tblCellMar>
        </w:tblPrEx>
        <w:trPr>
          <w:trHeight w:val="423" w:hRule="atLeast"/>
          <w:jc w:val="center"/>
        </w:trPr>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服务类别</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21"/>
                <w:szCs w:val="21"/>
                <w:highlight w:val="none"/>
                <w:u w:val="none"/>
                <w:lang w:val="en-US" w:eastAsia="zh-CN" w:bidi="ar"/>
              </w:rPr>
            </w:pPr>
            <w:r>
              <w:rPr>
                <w:rFonts w:hint="eastAsia" w:ascii="仿宋_GB2312" w:hAnsi="宋体" w:eastAsia="仿宋_GB2312" w:cs="仿宋_GB2312"/>
                <w:b/>
                <w:i w:val="0"/>
                <w:color w:val="000000"/>
                <w:kern w:val="0"/>
                <w:sz w:val="21"/>
                <w:szCs w:val="21"/>
                <w:highlight w:val="none"/>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等级</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21"/>
                <w:szCs w:val="21"/>
                <w:highlight w:val="none"/>
                <w:u w:val="none"/>
                <w:lang w:val="en-US" w:eastAsia="zh-CN" w:bidi="ar"/>
              </w:rPr>
            </w:pPr>
            <w:r>
              <w:rPr>
                <w:rFonts w:hint="eastAsia" w:ascii="仿宋_GB2312" w:hAnsi="宋体" w:eastAsia="仿宋_GB2312" w:cs="仿宋_GB2312"/>
                <w:b/>
                <w:i w:val="0"/>
                <w:color w:val="000000"/>
                <w:kern w:val="0"/>
                <w:sz w:val="21"/>
                <w:szCs w:val="21"/>
                <w:highlight w:val="none"/>
                <w:u w:val="none"/>
                <w:lang w:val="en-US" w:eastAsia="zh-CN" w:bidi="ar"/>
              </w:rPr>
              <w:t>住宅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类型</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21"/>
                <w:szCs w:val="21"/>
                <w:highlight w:val="none"/>
                <w:u w:val="none"/>
                <w:lang w:val="en-US" w:eastAsia="zh-CN" w:bidi="ar"/>
              </w:rPr>
            </w:pPr>
            <w:r>
              <w:rPr>
                <w:rFonts w:hint="eastAsia" w:ascii="仿宋_GB2312" w:hAnsi="宋体" w:eastAsia="仿宋_GB2312" w:cs="仿宋_GB2312"/>
                <w:b/>
                <w:i w:val="0"/>
                <w:color w:val="000000"/>
                <w:kern w:val="0"/>
                <w:sz w:val="21"/>
                <w:szCs w:val="21"/>
                <w:highlight w:val="none"/>
                <w:u w:val="none"/>
                <w:lang w:val="en-US" w:eastAsia="zh-CN" w:bidi="ar"/>
              </w:rPr>
              <w:t>计算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单位</w:t>
            </w:r>
          </w:p>
        </w:tc>
        <w:tc>
          <w:tcPr>
            <w:tcW w:w="273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基准价</w:t>
            </w:r>
          </w:p>
        </w:tc>
        <w:tc>
          <w:tcPr>
            <w:tcW w:w="5999"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最高限价</w:t>
            </w:r>
          </w:p>
        </w:tc>
      </w:tr>
      <w:tr>
        <w:tblPrEx>
          <w:tblCellMar>
            <w:top w:w="0" w:type="dxa"/>
            <w:left w:w="0" w:type="dxa"/>
            <w:bottom w:w="0" w:type="dxa"/>
            <w:right w:w="0" w:type="dxa"/>
          </w:tblCellMar>
        </w:tblPrEx>
        <w:trPr>
          <w:trHeight w:val="480"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现行价</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拟调价</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调幅</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现行价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方案一</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方案二</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方案三</w:t>
            </w:r>
          </w:p>
        </w:tc>
      </w:tr>
      <w:tr>
        <w:tblPrEx>
          <w:tblCellMar>
            <w:top w:w="0" w:type="dxa"/>
            <w:left w:w="0" w:type="dxa"/>
            <w:bottom w:w="0" w:type="dxa"/>
            <w:right w:w="0" w:type="dxa"/>
          </w:tblCellMar>
        </w:tblPrEx>
        <w:trPr>
          <w:trHeight w:val="677"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b/>
                <w:i w:val="0"/>
                <w:color w:val="000000"/>
                <w:sz w:val="21"/>
                <w:szCs w:val="21"/>
                <w:highlight w:val="none"/>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18"/>
                <w:szCs w:val="18"/>
                <w:highlight w:val="none"/>
                <w:u w:val="none"/>
                <w:lang w:val="en-US" w:eastAsia="zh-CN" w:bidi="ar"/>
              </w:rPr>
            </w:pPr>
            <w:r>
              <w:rPr>
                <w:rFonts w:hint="eastAsia" w:ascii="仿宋_GB2312" w:hAnsi="宋体" w:eastAsia="仿宋_GB2312" w:cs="仿宋_GB2312"/>
                <w:b/>
                <w:i w:val="0"/>
                <w:color w:val="000000"/>
                <w:kern w:val="0"/>
                <w:sz w:val="18"/>
                <w:szCs w:val="18"/>
                <w:highlight w:val="none"/>
                <w:u w:val="none"/>
                <w:lang w:val="en-US" w:eastAsia="zh-CN" w:bidi="ar"/>
              </w:rPr>
              <w:t>上下浮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18"/>
                <w:szCs w:val="18"/>
                <w:highlight w:val="none"/>
                <w:u w:val="none"/>
              </w:rPr>
            </w:pPr>
            <w:r>
              <w:rPr>
                <w:rFonts w:hint="eastAsia" w:ascii="仿宋_GB2312" w:hAnsi="宋体" w:eastAsia="仿宋_GB2312" w:cs="仿宋_GB2312"/>
                <w:b/>
                <w:i w:val="0"/>
                <w:color w:val="000000"/>
                <w:kern w:val="0"/>
                <w:sz w:val="18"/>
                <w:szCs w:val="18"/>
                <w:highlight w:val="none"/>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上浮 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调幅</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21"/>
                <w:szCs w:val="21"/>
                <w:highlight w:val="none"/>
                <w:u w:val="none"/>
                <w:lang w:val="en-US" w:eastAsia="zh-CN" w:bidi="ar"/>
              </w:rPr>
            </w:pPr>
            <w:r>
              <w:rPr>
                <w:rFonts w:hint="eastAsia" w:ascii="仿宋_GB2312" w:hAnsi="宋体" w:eastAsia="仿宋_GB2312" w:cs="仿宋_GB2312"/>
                <w:b/>
                <w:i w:val="0"/>
                <w:color w:val="000000"/>
                <w:kern w:val="0"/>
                <w:sz w:val="21"/>
                <w:szCs w:val="21"/>
                <w:highlight w:val="none"/>
                <w:u w:val="none"/>
                <w:lang w:val="en-US" w:eastAsia="zh-CN" w:bidi="ar"/>
              </w:rPr>
              <w:t>上浮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调幅</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kern w:val="0"/>
                <w:sz w:val="21"/>
                <w:szCs w:val="21"/>
                <w:highlight w:val="none"/>
                <w:u w:val="none"/>
                <w:lang w:val="en-US" w:eastAsia="zh-CN" w:bidi="ar"/>
              </w:rPr>
            </w:pPr>
            <w:r>
              <w:rPr>
                <w:rFonts w:hint="eastAsia" w:ascii="仿宋_GB2312" w:hAnsi="宋体" w:eastAsia="仿宋_GB2312" w:cs="仿宋_GB2312"/>
                <w:b/>
                <w:i w:val="0"/>
                <w:color w:val="000000"/>
                <w:kern w:val="0"/>
                <w:sz w:val="21"/>
                <w:szCs w:val="21"/>
                <w:highlight w:val="none"/>
                <w:u w:val="none"/>
                <w:lang w:val="en-US" w:eastAsia="zh-CN" w:bidi="ar"/>
              </w:rPr>
              <w:t>上浮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b/>
                <w:i w:val="0"/>
                <w:color w:val="000000"/>
                <w:sz w:val="21"/>
                <w:szCs w:val="21"/>
                <w:highlight w:val="none"/>
                <w:u w:val="none"/>
              </w:rPr>
            </w:pPr>
            <w:r>
              <w:rPr>
                <w:rFonts w:hint="eastAsia" w:ascii="仿宋_GB2312" w:hAnsi="宋体" w:eastAsia="仿宋_GB2312" w:cs="仿宋_GB2312"/>
                <w:b/>
                <w:i w:val="0"/>
                <w:color w:val="000000"/>
                <w:kern w:val="0"/>
                <w:sz w:val="21"/>
                <w:szCs w:val="21"/>
                <w:highlight w:val="none"/>
                <w:u w:val="none"/>
                <w:lang w:val="en-US" w:eastAsia="zh-CN" w:bidi="ar"/>
              </w:rPr>
              <w:t xml:space="preserve"> 20%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调幅</w:t>
            </w:r>
          </w:p>
        </w:tc>
      </w:tr>
      <w:tr>
        <w:tblPrEx>
          <w:tblCellMar>
            <w:top w:w="0" w:type="dxa"/>
            <w:left w:w="0" w:type="dxa"/>
            <w:bottom w:w="0" w:type="dxa"/>
            <w:right w:w="0" w:type="dxa"/>
          </w:tblCellMar>
        </w:tblPrEx>
        <w:trPr>
          <w:trHeight w:val="513" w:hRule="atLeast"/>
          <w:jc w:val="center"/>
        </w:trPr>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普通住宅</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一级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步梯楼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0.7</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0.95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35.71%</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0.84</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1.05</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25.00%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1.09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29.76%</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1.14</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35.71%</w:t>
            </w:r>
          </w:p>
        </w:tc>
      </w:tr>
      <w:tr>
        <w:tblPrEx>
          <w:tblCellMar>
            <w:top w:w="0" w:type="dxa"/>
            <w:left w:w="0" w:type="dxa"/>
            <w:bottom w:w="0" w:type="dxa"/>
            <w:right w:w="0" w:type="dxa"/>
          </w:tblCellMar>
        </w:tblPrEx>
        <w:trPr>
          <w:trHeight w:val="472"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电梯楼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1.75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25.00%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1.68</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1.93</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14.88%</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2.01</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19.64%</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2.1</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25.00%</w:t>
            </w:r>
          </w:p>
        </w:tc>
      </w:tr>
      <w:tr>
        <w:tblPrEx>
          <w:tblCellMar>
            <w:top w:w="0" w:type="dxa"/>
            <w:left w:w="0" w:type="dxa"/>
            <w:bottom w:w="0" w:type="dxa"/>
            <w:right w:w="0" w:type="dxa"/>
          </w:tblCellMar>
        </w:tblPrEx>
        <w:trPr>
          <w:trHeight w:val="513"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二级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步梯楼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0.8</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60.00%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0.6</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0.88</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46.67%</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0.92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53.33%</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0.96</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60.00%</w:t>
            </w:r>
          </w:p>
        </w:tc>
      </w:tr>
      <w:tr>
        <w:tblPrEx>
          <w:tblCellMar>
            <w:top w:w="0" w:type="dxa"/>
            <w:left w:w="0" w:type="dxa"/>
            <w:bottom w:w="0" w:type="dxa"/>
            <w:right w:w="0" w:type="dxa"/>
          </w:tblCellMar>
        </w:tblPrEx>
        <w:trPr>
          <w:trHeight w:val="472"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电梯楼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40.00%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1.54</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28.33%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1.61</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34.17%</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1.68</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40.00%</w:t>
            </w:r>
          </w:p>
        </w:tc>
      </w:tr>
      <w:tr>
        <w:tblPrEx>
          <w:tblCellMar>
            <w:top w:w="0" w:type="dxa"/>
            <w:left w:w="0" w:type="dxa"/>
            <w:bottom w:w="0" w:type="dxa"/>
            <w:right w:w="0" w:type="dxa"/>
          </w:tblCellMar>
        </w:tblPrEx>
        <w:trPr>
          <w:trHeight w:val="513"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三级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步梯楼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0.35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0.7</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100.00%</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 xml:space="preserve">0.42 </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 xml:space="preserve">0.77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83.33%</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 xml:space="preserve">0.81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91.67%</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 xml:space="preserve">0.84 </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100.00%</w:t>
            </w:r>
          </w:p>
        </w:tc>
      </w:tr>
      <w:tr>
        <w:tblPrEx>
          <w:tblCellMar>
            <w:top w:w="0" w:type="dxa"/>
            <w:left w:w="0" w:type="dxa"/>
            <w:bottom w:w="0" w:type="dxa"/>
            <w:right w:w="0" w:type="dxa"/>
          </w:tblCellMar>
        </w:tblPrEx>
        <w:trPr>
          <w:trHeight w:val="472" w:hRule="atLeast"/>
          <w:jc w:val="center"/>
        </w:trPr>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电梯楼</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元/m</w:t>
            </w:r>
            <w:r>
              <w:rPr>
                <w:rStyle w:val="8"/>
                <w:rFonts w:hAnsi="宋体"/>
                <w:highlight w:val="none"/>
                <w:lang w:val="en-US" w:eastAsia="zh-CN" w:bidi="ar"/>
              </w:rPr>
              <w:t>2</w:t>
            </w:r>
            <w:r>
              <w:rPr>
                <w:rStyle w:val="9"/>
                <w:rFonts w:hAnsi="宋体"/>
                <w:highlight w:val="none"/>
                <w:lang w:val="en-US" w:eastAsia="zh-CN" w:bidi="ar"/>
              </w:rPr>
              <w:t>.月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0.75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33.33%</w:t>
            </w:r>
          </w:p>
        </w:tc>
        <w:tc>
          <w:tcPr>
            <w:tcW w:w="83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0.9</w:t>
            </w:r>
          </w:p>
        </w:tc>
        <w:tc>
          <w:tcPr>
            <w:tcW w:w="83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1.1</w:t>
            </w:r>
          </w:p>
        </w:tc>
        <w:tc>
          <w:tcPr>
            <w:tcW w:w="94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22.22%</w:t>
            </w:r>
          </w:p>
        </w:tc>
        <w:tc>
          <w:tcPr>
            <w:tcW w:w="86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1.15</w:t>
            </w:r>
          </w:p>
        </w:tc>
        <w:tc>
          <w:tcPr>
            <w:tcW w:w="79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27.78%</w:t>
            </w:r>
          </w:p>
        </w:tc>
        <w:tc>
          <w:tcPr>
            <w:tcW w:w="8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1.2</w:t>
            </w:r>
          </w:p>
        </w:tc>
        <w:tc>
          <w:tcPr>
            <w:tcW w:w="88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33.33%</w:t>
            </w:r>
          </w:p>
        </w:tc>
      </w:tr>
      <w:tr>
        <w:tblPrEx>
          <w:tblCellMar>
            <w:top w:w="0" w:type="dxa"/>
            <w:left w:w="0" w:type="dxa"/>
            <w:bottom w:w="0" w:type="dxa"/>
            <w:right w:w="0" w:type="dxa"/>
          </w:tblCellMar>
        </w:tblPrEx>
        <w:trPr>
          <w:trHeight w:val="623" w:hRule="atLeast"/>
          <w:jc w:val="center"/>
        </w:trPr>
        <w:tc>
          <w:tcPr>
            <w:tcW w:w="1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业主自有产权车位、车库</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仿宋_GB2312" w:hAnsi="宋体" w:eastAsia="仿宋_GB2312" w:cs="仿宋_GB2312"/>
                <w:i w:val="0"/>
                <w:color w:val="000000"/>
                <w:sz w:val="21"/>
                <w:szCs w:val="21"/>
                <w:highlight w:val="none"/>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车位.月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仿宋_GB2312" w:hAnsi="宋体" w:eastAsia="仿宋_GB2312" w:cs="仿宋_GB2312"/>
                <w:i w:val="0"/>
                <w:color w:val="000000"/>
                <w:sz w:val="21"/>
                <w:szCs w:val="21"/>
                <w:highlight w:val="none"/>
                <w:u w:val="none"/>
              </w:rPr>
            </w:pPr>
            <w:r>
              <w:rPr>
                <w:rFonts w:hint="eastAsia" w:ascii="仿宋_GB2312" w:hAnsi="宋体" w:eastAsia="仿宋_GB2312" w:cs="仿宋_GB2312"/>
                <w:i w:val="0"/>
                <w:color w:val="000000"/>
                <w:kern w:val="0"/>
                <w:sz w:val="21"/>
                <w:szCs w:val="21"/>
                <w:highlight w:val="none"/>
                <w:u w:val="none"/>
                <w:lang w:val="en-US" w:eastAsia="zh-CN" w:bidi="ar"/>
              </w:rPr>
              <w:t>40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0.00%</w:t>
            </w:r>
          </w:p>
        </w:tc>
        <w:tc>
          <w:tcPr>
            <w:tcW w:w="5999"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sz w:val="22"/>
                <w:szCs w:val="22"/>
                <w:highlight w:val="none"/>
                <w:u w:val="none"/>
              </w:rPr>
              <w:t>可上浮10%，下浮不限</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p>
    <w:sectPr>
      <w:pgSz w:w="16838" w:h="11906" w:orient="landscape"/>
      <w:pgMar w:top="1587" w:right="1701"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E13C5"/>
    <w:rsid w:val="00001789"/>
    <w:rsid w:val="000D4406"/>
    <w:rsid w:val="00190097"/>
    <w:rsid w:val="00290BCD"/>
    <w:rsid w:val="00361D64"/>
    <w:rsid w:val="00484AC4"/>
    <w:rsid w:val="005749B0"/>
    <w:rsid w:val="005D63A0"/>
    <w:rsid w:val="006F5F83"/>
    <w:rsid w:val="00E6698F"/>
    <w:rsid w:val="01D060A5"/>
    <w:rsid w:val="01DD4F8D"/>
    <w:rsid w:val="025C7683"/>
    <w:rsid w:val="02A413C6"/>
    <w:rsid w:val="03086889"/>
    <w:rsid w:val="0374110A"/>
    <w:rsid w:val="05E931DF"/>
    <w:rsid w:val="06453A37"/>
    <w:rsid w:val="0675232E"/>
    <w:rsid w:val="06B6106A"/>
    <w:rsid w:val="072427CC"/>
    <w:rsid w:val="07516340"/>
    <w:rsid w:val="087F59B3"/>
    <w:rsid w:val="088658AC"/>
    <w:rsid w:val="08CB7C02"/>
    <w:rsid w:val="092F7502"/>
    <w:rsid w:val="09757F3C"/>
    <w:rsid w:val="09B002E9"/>
    <w:rsid w:val="09ED64F6"/>
    <w:rsid w:val="0AB63674"/>
    <w:rsid w:val="0ADE6972"/>
    <w:rsid w:val="0B3D6574"/>
    <w:rsid w:val="0C37316A"/>
    <w:rsid w:val="0C582930"/>
    <w:rsid w:val="0C8C4F76"/>
    <w:rsid w:val="0DA25665"/>
    <w:rsid w:val="0E073A39"/>
    <w:rsid w:val="0EAF0E40"/>
    <w:rsid w:val="0EE94E8D"/>
    <w:rsid w:val="0F051542"/>
    <w:rsid w:val="10993EF0"/>
    <w:rsid w:val="11A00DE8"/>
    <w:rsid w:val="11A50744"/>
    <w:rsid w:val="11B34E59"/>
    <w:rsid w:val="127A2459"/>
    <w:rsid w:val="12F10364"/>
    <w:rsid w:val="13C57A47"/>
    <w:rsid w:val="14522C66"/>
    <w:rsid w:val="14F60131"/>
    <w:rsid w:val="16E658B1"/>
    <w:rsid w:val="17B61D09"/>
    <w:rsid w:val="190877D2"/>
    <w:rsid w:val="19F3137B"/>
    <w:rsid w:val="19FC67A3"/>
    <w:rsid w:val="1A6139E6"/>
    <w:rsid w:val="1A91300D"/>
    <w:rsid w:val="1A9A2262"/>
    <w:rsid w:val="1B9F2218"/>
    <w:rsid w:val="1C50582D"/>
    <w:rsid w:val="1CD67383"/>
    <w:rsid w:val="1CE7335F"/>
    <w:rsid w:val="1EF13D2E"/>
    <w:rsid w:val="1FEF2A34"/>
    <w:rsid w:val="20063A6B"/>
    <w:rsid w:val="202D75E0"/>
    <w:rsid w:val="203A1507"/>
    <w:rsid w:val="205459CF"/>
    <w:rsid w:val="205B6045"/>
    <w:rsid w:val="20657249"/>
    <w:rsid w:val="208409A8"/>
    <w:rsid w:val="21531058"/>
    <w:rsid w:val="216A512E"/>
    <w:rsid w:val="218F2604"/>
    <w:rsid w:val="21A516D1"/>
    <w:rsid w:val="22767163"/>
    <w:rsid w:val="22FD5DE5"/>
    <w:rsid w:val="237E5F23"/>
    <w:rsid w:val="23CE13C5"/>
    <w:rsid w:val="244E565F"/>
    <w:rsid w:val="24654B43"/>
    <w:rsid w:val="253722A5"/>
    <w:rsid w:val="25754CE7"/>
    <w:rsid w:val="25BB773A"/>
    <w:rsid w:val="25E06BB6"/>
    <w:rsid w:val="26AA1B2A"/>
    <w:rsid w:val="26E752A7"/>
    <w:rsid w:val="27767BD9"/>
    <w:rsid w:val="278E52A6"/>
    <w:rsid w:val="27B2006E"/>
    <w:rsid w:val="28480EC9"/>
    <w:rsid w:val="28527C84"/>
    <w:rsid w:val="28AB49C7"/>
    <w:rsid w:val="28F305D6"/>
    <w:rsid w:val="28F92205"/>
    <w:rsid w:val="290A6B12"/>
    <w:rsid w:val="296C4CE7"/>
    <w:rsid w:val="2A38238C"/>
    <w:rsid w:val="2A5B7B59"/>
    <w:rsid w:val="2ABF16F4"/>
    <w:rsid w:val="2AC61C44"/>
    <w:rsid w:val="2B587FEC"/>
    <w:rsid w:val="2C58521B"/>
    <w:rsid w:val="2C803474"/>
    <w:rsid w:val="2DA51BF1"/>
    <w:rsid w:val="2E3450F7"/>
    <w:rsid w:val="2F24316C"/>
    <w:rsid w:val="2F3C38B9"/>
    <w:rsid w:val="2F4A0B4C"/>
    <w:rsid w:val="2FA54B52"/>
    <w:rsid w:val="2FC53FEC"/>
    <w:rsid w:val="303E681F"/>
    <w:rsid w:val="304466C5"/>
    <w:rsid w:val="311C69B7"/>
    <w:rsid w:val="317C790D"/>
    <w:rsid w:val="31A11E03"/>
    <w:rsid w:val="32AF55E8"/>
    <w:rsid w:val="33237C15"/>
    <w:rsid w:val="333373DE"/>
    <w:rsid w:val="335A7159"/>
    <w:rsid w:val="337F16F4"/>
    <w:rsid w:val="338B0C13"/>
    <w:rsid w:val="338F4D38"/>
    <w:rsid w:val="33B34E01"/>
    <w:rsid w:val="34831729"/>
    <w:rsid w:val="34BA3837"/>
    <w:rsid w:val="3528634D"/>
    <w:rsid w:val="358C649C"/>
    <w:rsid w:val="35973F5F"/>
    <w:rsid w:val="36D1488B"/>
    <w:rsid w:val="372D55A8"/>
    <w:rsid w:val="375D33FB"/>
    <w:rsid w:val="379F4D1E"/>
    <w:rsid w:val="37A223CE"/>
    <w:rsid w:val="37F40CBA"/>
    <w:rsid w:val="38EC393A"/>
    <w:rsid w:val="39B32233"/>
    <w:rsid w:val="3AC3407E"/>
    <w:rsid w:val="3AF65830"/>
    <w:rsid w:val="3B7F6767"/>
    <w:rsid w:val="3BBF3714"/>
    <w:rsid w:val="3C272D09"/>
    <w:rsid w:val="3C3C4A36"/>
    <w:rsid w:val="3CD069B6"/>
    <w:rsid w:val="3CE53022"/>
    <w:rsid w:val="3CEF0406"/>
    <w:rsid w:val="3D6462C6"/>
    <w:rsid w:val="3D8F701C"/>
    <w:rsid w:val="3DDB4E3B"/>
    <w:rsid w:val="3DEB0849"/>
    <w:rsid w:val="3DFF2876"/>
    <w:rsid w:val="3E0B463D"/>
    <w:rsid w:val="3E613CD6"/>
    <w:rsid w:val="3E634A7D"/>
    <w:rsid w:val="3E6971CC"/>
    <w:rsid w:val="3E9C2613"/>
    <w:rsid w:val="3EB55B9F"/>
    <w:rsid w:val="3EE00DFF"/>
    <w:rsid w:val="40E51E20"/>
    <w:rsid w:val="42AA53D0"/>
    <w:rsid w:val="43091895"/>
    <w:rsid w:val="438E1812"/>
    <w:rsid w:val="44323921"/>
    <w:rsid w:val="4435484D"/>
    <w:rsid w:val="44E47D46"/>
    <w:rsid w:val="44F74F8C"/>
    <w:rsid w:val="45AE2F45"/>
    <w:rsid w:val="45B608E6"/>
    <w:rsid w:val="45F6373E"/>
    <w:rsid w:val="46892076"/>
    <w:rsid w:val="47AF37DF"/>
    <w:rsid w:val="48C34AE8"/>
    <w:rsid w:val="492C229E"/>
    <w:rsid w:val="4959200A"/>
    <w:rsid w:val="49A31F31"/>
    <w:rsid w:val="49E74FC0"/>
    <w:rsid w:val="4A2B7DBB"/>
    <w:rsid w:val="4AD2066F"/>
    <w:rsid w:val="4B4C7F68"/>
    <w:rsid w:val="4BD37DBF"/>
    <w:rsid w:val="4BDB521F"/>
    <w:rsid w:val="4BE63AE7"/>
    <w:rsid w:val="4C1B5E9F"/>
    <w:rsid w:val="4C53297E"/>
    <w:rsid w:val="4CFB2335"/>
    <w:rsid w:val="4D005E28"/>
    <w:rsid w:val="4DD22EBF"/>
    <w:rsid w:val="4FD85D50"/>
    <w:rsid w:val="501120F7"/>
    <w:rsid w:val="50A928A3"/>
    <w:rsid w:val="50F87CA1"/>
    <w:rsid w:val="512E68CF"/>
    <w:rsid w:val="51E67522"/>
    <w:rsid w:val="52442554"/>
    <w:rsid w:val="52456C38"/>
    <w:rsid w:val="52705590"/>
    <w:rsid w:val="5281283C"/>
    <w:rsid w:val="52855837"/>
    <w:rsid w:val="52FE0659"/>
    <w:rsid w:val="54066AEE"/>
    <w:rsid w:val="54576194"/>
    <w:rsid w:val="54697E4E"/>
    <w:rsid w:val="546D7324"/>
    <w:rsid w:val="54B21435"/>
    <w:rsid w:val="54FE1A2F"/>
    <w:rsid w:val="556E34BB"/>
    <w:rsid w:val="55FD4B26"/>
    <w:rsid w:val="56926C76"/>
    <w:rsid w:val="56E3297E"/>
    <w:rsid w:val="571561EB"/>
    <w:rsid w:val="57CD0DC3"/>
    <w:rsid w:val="57E8057A"/>
    <w:rsid w:val="582505A4"/>
    <w:rsid w:val="585F0593"/>
    <w:rsid w:val="58C73914"/>
    <w:rsid w:val="58C9712D"/>
    <w:rsid w:val="58DC542E"/>
    <w:rsid w:val="593F55C0"/>
    <w:rsid w:val="59E9188D"/>
    <w:rsid w:val="5A6F73E7"/>
    <w:rsid w:val="5A884E40"/>
    <w:rsid w:val="5AF44473"/>
    <w:rsid w:val="5B3C5219"/>
    <w:rsid w:val="5B530C63"/>
    <w:rsid w:val="5BAA7D87"/>
    <w:rsid w:val="5C520F80"/>
    <w:rsid w:val="5D0A6307"/>
    <w:rsid w:val="5D15759D"/>
    <w:rsid w:val="5DC4187C"/>
    <w:rsid w:val="5DD43469"/>
    <w:rsid w:val="5E023BF5"/>
    <w:rsid w:val="5E4B3815"/>
    <w:rsid w:val="5E810C21"/>
    <w:rsid w:val="5EB84446"/>
    <w:rsid w:val="5F1157DC"/>
    <w:rsid w:val="60002923"/>
    <w:rsid w:val="60A64127"/>
    <w:rsid w:val="60E450D1"/>
    <w:rsid w:val="611549CD"/>
    <w:rsid w:val="614D7E51"/>
    <w:rsid w:val="61781129"/>
    <w:rsid w:val="61957B29"/>
    <w:rsid w:val="621B7260"/>
    <w:rsid w:val="62251FA4"/>
    <w:rsid w:val="626942F1"/>
    <w:rsid w:val="62995F9B"/>
    <w:rsid w:val="63A153A4"/>
    <w:rsid w:val="63B85CFF"/>
    <w:rsid w:val="64000F77"/>
    <w:rsid w:val="645B541A"/>
    <w:rsid w:val="64C24625"/>
    <w:rsid w:val="650A1FE5"/>
    <w:rsid w:val="6519253D"/>
    <w:rsid w:val="65F92DA0"/>
    <w:rsid w:val="66481FF2"/>
    <w:rsid w:val="66E358B6"/>
    <w:rsid w:val="670100CC"/>
    <w:rsid w:val="67332963"/>
    <w:rsid w:val="67632CA8"/>
    <w:rsid w:val="678B0921"/>
    <w:rsid w:val="67FC1F93"/>
    <w:rsid w:val="689B51D3"/>
    <w:rsid w:val="68D91720"/>
    <w:rsid w:val="68FE6F64"/>
    <w:rsid w:val="69612512"/>
    <w:rsid w:val="6A6A6E6B"/>
    <w:rsid w:val="6ACF7002"/>
    <w:rsid w:val="6ADF7DC1"/>
    <w:rsid w:val="6B0C47E0"/>
    <w:rsid w:val="6B560D8E"/>
    <w:rsid w:val="6BA12ABB"/>
    <w:rsid w:val="6C197755"/>
    <w:rsid w:val="6C2F036E"/>
    <w:rsid w:val="6C632574"/>
    <w:rsid w:val="6C6A3B3F"/>
    <w:rsid w:val="6CDA2E34"/>
    <w:rsid w:val="6CEE0207"/>
    <w:rsid w:val="6D0C4794"/>
    <w:rsid w:val="6D856EBF"/>
    <w:rsid w:val="6DB42E7D"/>
    <w:rsid w:val="6E390282"/>
    <w:rsid w:val="6E540763"/>
    <w:rsid w:val="6E7463F3"/>
    <w:rsid w:val="6E9E0F81"/>
    <w:rsid w:val="6E9E7E11"/>
    <w:rsid w:val="6EAA0F66"/>
    <w:rsid w:val="6EB32B30"/>
    <w:rsid w:val="6EE53E2A"/>
    <w:rsid w:val="6EFD6F52"/>
    <w:rsid w:val="6F047754"/>
    <w:rsid w:val="6F0B3A51"/>
    <w:rsid w:val="6F975459"/>
    <w:rsid w:val="6FEE7257"/>
    <w:rsid w:val="70283DEF"/>
    <w:rsid w:val="710937B6"/>
    <w:rsid w:val="716152CB"/>
    <w:rsid w:val="71703BD3"/>
    <w:rsid w:val="71BE147F"/>
    <w:rsid w:val="71C6083F"/>
    <w:rsid w:val="71DB2667"/>
    <w:rsid w:val="720346D5"/>
    <w:rsid w:val="720B78BB"/>
    <w:rsid w:val="72F24841"/>
    <w:rsid w:val="7334121E"/>
    <w:rsid w:val="73AF1114"/>
    <w:rsid w:val="73E92B6A"/>
    <w:rsid w:val="73F66EBB"/>
    <w:rsid w:val="74DD63A4"/>
    <w:rsid w:val="75AB5A4A"/>
    <w:rsid w:val="75BC116A"/>
    <w:rsid w:val="75F23673"/>
    <w:rsid w:val="767E71FC"/>
    <w:rsid w:val="769249EA"/>
    <w:rsid w:val="76D06167"/>
    <w:rsid w:val="76D65DFC"/>
    <w:rsid w:val="77020FCA"/>
    <w:rsid w:val="77373398"/>
    <w:rsid w:val="774A6ED6"/>
    <w:rsid w:val="77676263"/>
    <w:rsid w:val="779028BA"/>
    <w:rsid w:val="77C27976"/>
    <w:rsid w:val="781F2FC4"/>
    <w:rsid w:val="789B461F"/>
    <w:rsid w:val="78C072DB"/>
    <w:rsid w:val="78CE18E7"/>
    <w:rsid w:val="78CE5F53"/>
    <w:rsid w:val="78D47ED6"/>
    <w:rsid w:val="79057A0E"/>
    <w:rsid w:val="791B6DEF"/>
    <w:rsid w:val="792F139A"/>
    <w:rsid w:val="796A09BF"/>
    <w:rsid w:val="7977760E"/>
    <w:rsid w:val="79956AD3"/>
    <w:rsid w:val="7A834C22"/>
    <w:rsid w:val="7A991C91"/>
    <w:rsid w:val="7B0F2E6B"/>
    <w:rsid w:val="7B3B2125"/>
    <w:rsid w:val="7B3E60C7"/>
    <w:rsid w:val="7B841BAD"/>
    <w:rsid w:val="7BA642B1"/>
    <w:rsid w:val="7C0364EA"/>
    <w:rsid w:val="7C28312B"/>
    <w:rsid w:val="7C3E7C94"/>
    <w:rsid w:val="7C9A3D45"/>
    <w:rsid w:val="7CB9612B"/>
    <w:rsid w:val="7D5E0D02"/>
    <w:rsid w:val="7E6344F5"/>
    <w:rsid w:val="7E9B42CB"/>
    <w:rsid w:val="7EE842F5"/>
    <w:rsid w:val="7F4A10ED"/>
    <w:rsid w:val="7FA2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0"/>
    <w:pPr>
      <w:widowControl w:val="0"/>
      <w:jc w:val="both"/>
    </w:pPr>
    <w:rPr>
      <w:rFonts w:ascii="Times New Roman" w:hAnsi="Times New Roman" w:eastAsia="宋体" w:cstheme="minorBidi"/>
      <w:kern w:val="2"/>
      <w:sz w:val="21"/>
      <w:szCs w:val="22"/>
      <w:lang w:val="en-US" w:eastAsia="zh-CN" w:bidi="ar-SA"/>
    </w:rPr>
  </w:style>
  <w:style w:type="character" w:customStyle="1" w:styleId="8">
    <w:name w:val="font11"/>
    <w:basedOn w:val="6"/>
    <w:qFormat/>
    <w:uiPriority w:val="0"/>
    <w:rPr>
      <w:rFonts w:hint="eastAsia" w:ascii="仿宋_GB2312" w:eastAsia="仿宋_GB2312" w:cs="仿宋_GB2312"/>
      <w:color w:val="000000"/>
      <w:sz w:val="21"/>
      <w:szCs w:val="21"/>
      <w:u w:val="none"/>
      <w:vertAlign w:val="superscript"/>
    </w:rPr>
  </w:style>
  <w:style w:type="character" w:customStyle="1" w:styleId="9">
    <w:name w:val="font31"/>
    <w:basedOn w:val="6"/>
    <w:qFormat/>
    <w:uiPriority w:val="0"/>
    <w:rPr>
      <w:rFonts w:hint="eastAsia" w:ascii="仿宋_GB2312" w:eastAsia="仿宋_GB2312" w:cs="仿宋_GB2312"/>
      <w:color w:val="000000"/>
      <w:sz w:val="21"/>
      <w:szCs w:val="21"/>
      <w:u w:val="none"/>
    </w:rPr>
  </w:style>
  <w:style w:type="character" w:customStyle="1" w:styleId="10">
    <w:name w:val="font4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2020-11-02T07:34:00Z</dcterms:created>
  <dc:creator>罗余庆</dc:creator>
  <cp:lastModifiedBy>Administrator</cp:lastModifiedBy>
  <cp:lastPrinted>2020-12-10T08:30:00Z</cp:lastPrinted>
  <dcterms:modified xsi:type="dcterms:W3CDTF">2021-01-04T08:09:43Z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bqwbz1tznjpr77ynpjxsg0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3593055</vt:lpwstr>
  </property>
  <property fmtid="{D5CDD505-2E9C-101B-9397-08002B2CF9AE}" pid="9" name="cp_itemType">
    <vt:lpwstr>missive</vt:lpwstr>
  </property>
  <property fmtid="{D5CDD505-2E9C-101B-9397-08002B2CF9AE}" pid="10" name="cp_title">
    <vt:lpwstr>关于要求刊登征求修订韶关市物业服务等级标准和调整市区物业服务收费标准修改意见公告的函</vt:lpwstr>
  </property>
  <property fmtid="{D5CDD505-2E9C-101B-9397-08002B2CF9AE}" pid="11" name="isOA">
    <vt:bool>true</vt:bool>
  </property>
  <property fmtid="{D5CDD505-2E9C-101B-9397-08002B2CF9AE}" pid="12" name="openType">
    <vt:lpwstr>1</vt:lpwstr>
  </property>
  <property fmtid="{D5CDD505-2E9C-101B-9397-08002B2CF9AE}" pid="13" name="showButton">
    <vt:lpwstr>WPSExtOfficeTab;btnShowRevision;btnUploadOA</vt:lpwstr>
  </property>
  <property fmtid="{D5CDD505-2E9C-101B-9397-08002B2CF9AE}" pid="14" name="uploadPath">
    <vt:lpwstr>https://xtbgsafe.gdzwfw.gov.cn/sgoa/instance-web/minstone/wfDocBody/saveFileBody?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15" name="urlParams">
    <vt:lpwstr>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16" name="userName">
    <vt:lpwstr>巫锦国</vt:lpwstr>
  </property>
  <property fmtid="{D5CDD505-2E9C-101B-9397-08002B2CF9AE}" pid="17" name="lockDocUrl">
    <vt:lpwstr>https://xtbgsafe.gdzwfw.gov.cn/sgoa/instance-web/minstone/wfDocBody/getLockInfo?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18" name="copyUrl">
    <vt:lpwstr>https://xtbgsafe.gdzwfw.gov.cn/sgoa/instance-web/minstone/wfDocBody/copyDoc?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19" name="pdfCopyUrl">
    <vt:lpwstr>https://xtbgsafe.gdzwfw.gov.cn/sgoa/instance-web/minstone/wfDocBody/pdfCopyDoc?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20" name="unLockDocurl">
    <vt:lpwstr>https://xtbgsafe.gdzwfw.gov.cn/sgoa/instance-web/minstone/wfDocBody/unLockDoc?flowInid=3593055&amp;stepInco=22168106&amp;dealIndx=0&amp;flowId=50&amp;stepCode=4&amp;readOnly=0&amp;curUserCode=13826383859&amp;sysCode=MD_SG_OA&amp;r=0.28984865099213164&amp;tenantCode=GDSXXZX&amp;fileType=0&amp;fileCode=o_1eqredjp5k33181l1f911hm1n9al&amp;id=o_1eqredjp5k33181l1f911hm1n9al&amp;attachUuid=6c5995db4daa46ebb22a57ecc644c9a3&amp;r=0.6326325891399918&amp;userUuid=3b02b9efe32743648d16a5300f1a0721</vt:lpwstr>
  </property>
  <property fmtid="{D5CDD505-2E9C-101B-9397-08002B2CF9AE}" pid="21" name="ribbonExt">
    <vt:lpwstr>{"WPSExtOfficeTab":{"OnGetEnabled":true,"OnGetVisible":true},"btnUploadOA":{"OnGetEnabled":true,"OnGetVisible":true,"OnGetLabel":"保存","GetImage":"icon/uploadoa.ico"},"btnSaveAsLocal":{"OnGetEnabled":false,"OnGetVisible":fals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除痕迹","GetImage":"icon/yes.ico"},"btnUploadOAbeifen":{"OnGetEnabled":false,"OnGetVisible":fals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ies>
</file>