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rPr>
          <w:rFonts w:hint="eastAsia"/>
        </w:rPr>
      </w:pPr>
    </w:p>
    <w:p>
      <w:pPr>
        <w:jc w:val="center"/>
      </w:pPr>
    </w:p>
    <w:p>
      <w:pPr>
        <w:jc w:val="center"/>
      </w:pPr>
    </w:p>
    <w:p>
      <w:pPr>
        <w:spacing w:line="160" w:lineRule="exact"/>
        <w:jc w:val="center"/>
      </w:pPr>
    </w:p>
    <w:p>
      <w:pPr>
        <w:jc w:val="center"/>
        <w:rPr>
          <w:b/>
          <w:sz w:val="44"/>
          <w:szCs w:val="44"/>
        </w:rPr>
      </w:pPr>
      <w:r>
        <w:rPr>
          <w:rFonts w:hint="eastAsia"/>
          <w:b/>
          <w:sz w:val="44"/>
          <w:szCs w:val="44"/>
        </w:rPr>
        <w:t>始兴县城镇环境卫生管理所</w:t>
      </w:r>
    </w:p>
    <w:p>
      <w:pPr>
        <w:jc w:val="center"/>
        <w:rPr>
          <w:b/>
          <w:sz w:val="44"/>
          <w:szCs w:val="44"/>
        </w:rPr>
      </w:pPr>
      <w:r>
        <w:rPr>
          <w:rFonts w:hint="eastAsia"/>
          <w:b/>
          <w:sz w:val="44"/>
          <w:szCs w:val="44"/>
        </w:rPr>
        <w:t>始兴县生活垃圾卫生填埋场</w:t>
      </w:r>
    </w:p>
    <w:p>
      <w:pPr>
        <w:jc w:val="center"/>
        <w:rPr>
          <w:b/>
          <w:sz w:val="44"/>
          <w:szCs w:val="44"/>
        </w:rPr>
      </w:pPr>
      <w:r>
        <w:rPr>
          <w:rFonts w:hint="eastAsia"/>
          <w:b/>
          <w:sz w:val="44"/>
          <w:szCs w:val="44"/>
        </w:rPr>
        <w:t>应急整改工程项目资金</w:t>
      </w:r>
    </w:p>
    <w:p>
      <w:pPr>
        <w:jc w:val="center"/>
        <w:rPr>
          <w:b/>
          <w:sz w:val="44"/>
          <w:szCs w:val="44"/>
        </w:rPr>
      </w:pPr>
    </w:p>
    <w:p>
      <w:pPr>
        <w:jc w:val="center"/>
        <w:rPr>
          <w:b/>
          <w:sz w:val="44"/>
          <w:szCs w:val="44"/>
        </w:rPr>
      </w:pPr>
      <w:r>
        <w:rPr>
          <w:rFonts w:hint="eastAsia"/>
          <w:b/>
          <w:sz w:val="44"/>
          <w:szCs w:val="44"/>
        </w:rPr>
        <w:t>第三方绩效评价报告</w:t>
      </w:r>
    </w:p>
    <w:p>
      <w:pPr>
        <w:ind w:firstLine="2160" w:firstLineChars="900"/>
        <w:rPr>
          <w:sz w:val="24"/>
          <w:szCs w:val="24"/>
        </w:rPr>
      </w:pPr>
      <w:r>
        <w:rPr>
          <w:rFonts w:hint="eastAsia"/>
          <w:sz w:val="24"/>
          <w:szCs w:val="24"/>
        </w:rPr>
        <w:t>报告号：韶中一审字（2020）1509号</w:t>
      </w:r>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jc w:val="center"/>
        <w:rPr>
          <w:sz w:val="30"/>
          <w:szCs w:val="30"/>
        </w:rPr>
      </w:pPr>
      <w:r>
        <w:rPr>
          <w:rFonts w:hint="eastAsia"/>
          <w:sz w:val="30"/>
          <w:szCs w:val="30"/>
        </w:rPr>
        <w:t>委托单位：广东省始兴县财政局</w:t>
      </w:r>
    </w:p>
    <w:p>
      <w:pPr>
        <w:jc w:val="center"/>
        <w:rPr>
          <w:sz w:val="30"/>
          <w:szCs w:val="30"/>
        </w:rPr>
      </w:pPr>
      <w:r>
        <w:rPr>
          <w:rFonts w:hint="eastAsia"/>
          <w:sz w:val="30"/>
          <w:szCs w:val="30"/>
        </w:rPr>
        <w:t>评价机构：韶关中一会计师事务所有限公司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0"/>
          <w:szCs w:val="30"/>
        </w:rPr>
        <w:t>二〇二〇年十一月三十日</w:t>
      </w:r>
    </w:p>
    <w:p>
      <w:pPr>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tabs>
          <w:tab w:val="left" w:pos="840"/>
          <w:tab w:val="right" w:leader="dot" w:pos="8302"/>
        </w:tabs>
        <w:spacing w:line="620" w:lineRule="exact"/>
        <w:jc w:val="left"/>
        <w:rPr>
          <w:rFonts w:ascii="仿宋_GB2312" w:hAnsi="仿宋_GB2312" w:eastAsia="仿宋_GB2312"/>
          <w:sz w:val="32"/>
          <w:szCs w:val="32"/>
        </w:rPr>
      </w:pPr>
      <w:r>
        <w:rPr>
          <w:rFonts w:hint="eastAsia" w:ascii="仿宋_GB2312" w:hAnsi="仿宋_GB2312" w:eastAsia="仿宋_GB2312"/>
          <w:b/>
          <w:bCs/>
          <w:caps/>
          <w:sz w:val="32"/>
          <w:szCs w:val="32"/>
        </w:rPr>
        <w:fldChar w:fldCharType="begin"/>
      </w:r>
      <w:r>
        <w:rPr>
          <w:rFonts w:hint="eastAsia" w:ascii="仿宋_GB2312" w:hAnsi="仿宋_GB2312" w:eastAsia="仿宋_GB2312"/>
          <w:b/>
          <w:bCs/>
          <w:caps/>
          <w:sz w:val="32"/>
          <w:szCs w:val="32"/>
        </w:rPr>
        <w:instrText xml:space="preserve"> TOC \o "1-3" \h \z \u </w:instrText>
      </w:r>
      <w:r>
        <w:rPr>
          <w:rFonts w:hint="eastAsia" w:ascii="仿宋_GB2312" w:hAnsi="仿宋_GB2312" w:eastAsia="仿宋_GB2312"/>
          <w:b/>
          <w:bCs/>
          <w:caps/>
          <w:sz w:val="32"/>
          <w:szCs w:val="32"/>
        </w:rPr>
        <w:fldChar w:fldCharType="separate"/>
      </w:r>
      <w:r>
        <w:fldChar w:fldCharType="begin"/>
      </w:r>
      <w:r>
        <w:instrText xml:space="preserve"> HYPERLINK \l "_Toc393722557" </w:instrText>
      </w:r>
      <w:r>
        <w:fldChar w:fldCharType="separate"/>
      </w:r>
      <w:r>
        <w:rPr>
          <w:rFonts w:hint="eastAsia" w:ascii="仿宋_GB2312" w:hAnsi="仿宋_GB2312" w:eastAsia="仿宋_GB2312"/>
          <w:b/>
          <w:bCs/>
          <w:caps/>
          <w:color w:val="333333"/>
          <w:sz w:val="32"/>
          <w:szCs w:val="32"/>
        </w:rPr>
        <w:t>第一章  项目概况</w:t>
      </w:r>
      <w:r>
        <w:rPr>
          <w:rFonts w:hint="eastAsia" w:ascii="仿宋_GB2312" w:hAnsi="仿宋_GB2312" w:eastAsia="仿宋_GB2312"/>
          <w:caps/>
          <w:sz w:val="32"/>
          <w:szCs w:val="32"/>
        </w:rPr>
        <w:tab/>
      </w:r>
      <w:r>
        <w:rPr>
          <w:rFonts w:hint="eastAsia" w:ascii="仿宋_GB2312" w:hAnsi="仿宋_GB2312" w:eastAsia="仿宋_GB2312"/>
          <w:caps/>
          <w:sz w:val="32"/>
          <w:szCs w:val="32"/>
        </w:rPr>
        <w:t>1</w:t>
      </w:r>
      <w:r>
        <w:rPr>
          <w:rFonts w:hint="eastAsia" w:ascii="仿宋_GB2312" w:hAnsi="仿宋_GB2312" w:eastAsia="仿宋_GB2312"/>
          <w:caps/>
          <w:sz w:val="32"/>
          <w:szCs w:val="32"/>
        </w:rPr>
        <w:fldChar w:fldCharType="end"/>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"_Toc393722565" </w:instrText>
      </w:r>
      <w:r>
        <w:fldChar w:fldCharType="separate"/>
      </w:r>
      <w:r>
        <w:rPr>
          <w:rFonts w:hint="eastAsia" w:ascii="仿宋_GB2312" w:hAnsi="仿宋_GB2312" w:eastAsia="仿宋_GB2312"/>
          <w:b/>
          <w:bCs/>
          <w:caps/>
          <w:color w:val="333333"/>
          <w:sz w:val="32"/>
          <w:szCs w:val="32"/>
        </w:rPr>
        <w:t>第二章  评价程序</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"_Toc393722566" </w:instrText>
      </w:r>
      <w:r>
        <w:fldChar w:fldCharType="separate"/>
      </w:r>
      <w:r>
        <w:rPr>
          <w:rFonts w:hint="eastAsia" w:ascii="仿宋_GB2312" w:hAnsi="仿宋_GB2312" w:eastAsia="仿宋_GB2312"/>
          <w:smallCaps/>
          <w:color w:val="333333"/>
          <w:sz w:val="32"/>
          <w:szCs w:val="32"/>
        </w:rPr>
        <w:t>一、前期准备</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"_Toc393722568" </w:instrText>
      </w:r>
      <w:r>
        <w:fldChar w:fldCharType="separate"/>
      </w:r>
      <w:r>
        <w:rPr>
          <w:rFonts w:hint="eastAsia" w:ascii="仿宋_GB2312" w:hAnsi="仿宋_GB2312" w:eastAsia="仿宋_GB2312"/>
          <w:smallCaps/>
          <w:color w:val="333333"/>
          <w:sz w:val="32"/>
          <w:szCs w:val="32"/>
        </w:rPr>
        <w:t>二、实地核查</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"_Toc393722569" </w:instrText>
      </w:r>
      <w:r>
        <w:fldChar w:fldCharType="separate"/>
      </w:r>
      <w:r>
        <w:rPr>
          <w:rFonts w:hint="eastAsia" w:ascii="仿宋_GB2312" w:hAnsi="仿宋_GB2312" w:eastAsia="仿宋_GB2312"/>
          <w:b/>
          <w:bCs/>
          <w:caps/>
          <w:color w:val="333333"/>
          <w:sz w:val="32"/>
          <w:szCs w:val="32"/>
        </w:rPr>
        <w:t>第三章  评价结果</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"_Toc393722570" </w:instrText>
      </w:r>
      <w:r>
        <w:fldChar w:fldCharType="separate"/>
      </w:r>
      <w:r>
        <w:rPr>
          <w:rFonts w:hint="eastAsia" w:ascii="仿宋_GB2312" w:hAnsi="仿宋_GB2312" w:eastAsia="仿宋_GB2312"/>
          <w:smallCaps/>
          <w:color w:val="333333"/>
          <w:sz w:val="32"/>
          <w:szCs w:val="32"/>
        </w:rPr>
        <w:t>一、项目实施和管理情况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"_Toc393722571" </w:instrText>
      </w:r>
      <w:r>
        <w:fldChar w:fldCharType="separate"/>
      </w:r>
      <w:r>
        <w:rPr>
          <w:rFonts w:hint="eastAsia" w:ascii="仿宋_GB2312" w:hAnsi="仿宋_GB2312" w:eastAsia="仿宋_GB2312"/>
          <w:smallCaps/>
          <w:color w:val="333333"/>
          <w:sz w:val="32"/>
          <w:szCs w:val="32"/>
        </w:rPr>
        <w:t>二、资金拨付和使用情况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"_Toc393722572" </w:instrText>
      </w:r>
      <w:r>
        <w:fldChar w:fldCharType="separate"/>
      </w:r>
      <w:r>
        <w:rPr>
          <w:rFonts w:hint="eastAsia" w:ascii="仿宋_GB2312" w:hAnsi="仿宋_GB2312" w:eastAsia="仿宋_GB2312"/>
          <w:smallCaps/>
          <w:color w:val="333333"/>
          <w:sz w:val="32"/>
          <w:szCs w:val="32"/>
        </w:rPr>
        <w:t>三、项目绩效</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"_Toc393722576" </w:instrText>
      </w:r>
      <w:r>
        <w:fldChar w:fldCharType="separate"/>
      </w:r>
      <w:r>
        <w:rPr>
          <w:rFonts w:hint="eastAsia" w:ascii="仿宋_GB2312" w:hAnsi="仿宋_GB2312" w:eastAsia="仿宋_GB2312"/>
          <w:smallCaps/>
          <w:color w:val="333333"/>
          <w:sz w:val="32"/>
          <w:szCs w:val="32"/>
        </w:rPr>
        <w:t>四、存在问题</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8</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"_Toc393722577" </w:instrText>
      </w:r>
      <w:r>
        <w:fldChar w:fldCharType="separate"/>
      </w:r>
      <w:r>
        <w:rPr>
          <w:rFonts w:hint="eastAsia" w:ascii="仿宋_GB2312" w:hAnsi="仿宋_GB2312" w:eastAsia="仿宋_GB2312"/>
          <w:smallCaps/>
          <w:color w:val="333333"/>
          <w:sz w:val="32"/>
          <w:szCs w:val="32"/>
        </w:rPr>
        <w:t>五、相关建议</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9</w:t>
      </w:r>
    </w:p>
    <w:p>
      <w:pPr>
        <w:tabs>
          <w:tab w:val="right" w:leader="dot" w:pos="8302"/>
        </w:tabs>
        <w:spacing w:line="620" w:lineRule="exact"/>
        <w:ind w:left="210"/>
        <w:jc w:val="left"/>
        <w:rPr>
          <w:rFonts w:ascii="仿宋_GB2312" w:hAnsi="仿宋_GB2312" w:eastAsia="仿宋_GB2312"/>
          <w:szCs w:val="24"/>
        </w:rPr>
      </w:pPr>
      <w:r>
        <w:rPr>
          <w:rFonts w:hint="eastAsia" w:ascii="仿宋_GB2312" w:hAnsi="仿宋_GB2312" w:eastAsia="仿宋_GB2312"/>
          <w:smallCaps/>
          <w:sz w:val="32"/>
          <w:szCs w:val="32"/>
        </w:rPr>
        <w:t xml:space="preserve"> </w:t>
      </w:r>
      <w:r>
        <w:fldChar w:fldCharType="begin"/>
      </w:r>
      <w:r>
        <w:instrText xml:space="preserve"> HYPERLINK \l "_Toc393722578" </w:instrText>
      </w:r>
      <w:r>
        <w:fldChar w:fldCharType="separate"/>
      </w:r>
      <w:r>
        <w:rPr>
          <w:rFonts w:hint="eastAsia" w:ascii="仿宋_GB2312" w:hAnsi="仿宋_GB2312" w:eastAsia="仿宋_GB2312"/>
          <w:bCs/>
          <w:smallCaps/>
          <w:color w:val="333333"/>
          <w:sz w:val="32"/>
          <w:szCs w:val="32"/>
        </w:rPr>
        <w:t>六、综合评价结论</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10</w:t>
      </w:r>
      <w:r>
        <w:rPr>
          <w:rFonts w:hint="eastAsia" w:ascii="仿宋_GB2312" w:hAnsi="仿宋_GB2312" w:eastAsia="仿宋_GB2312"/>
          <w:b/>
          <w:bCs/>
          <w:sz w:val="32"/>
          <w:szCs w:val="32"/>
          <w:lang w:val="zh-CN"/>
        </w:rPr>
        <w:fldChar w:fldCharType="end"/>
      </w: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line="620" w:lineRule="exact"/>
        <w:ind w:firstLine="903" w:firstLineChars="200"/>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第一章 项目概况</w:t>
      </w:r>
    </w:p>
    <w:p>
      <w:pPr>
        <w:spacing w:before="156" w:beforeLines="50" w:after="156" w:afterLines="50"/>
        <w:ind w:firstLine="663" w:firstLineChars="200"/>
        <w:outlineLvl w:val="1"/>
        <w:rPr>
          <w:rFonts w:ascii="仿宋_GB2312" w:hAnsi="仿宋_GB2312" w:eastAsia="仿宋_GB2312"/>
          <w:b/>
          <w:spacing w:val="5"/>
          <w:kern w:val="0"/>
          <w:sz w:val="32"/>
          <w:szCs w:val="32"/>
        </w:rPr>
      </w:pPr>
      <w:bookmarkStart w:id="0" w:name="_Toc433101636"/>
      <w:bookmarkStart w:id="1" w:name="_Toc361387939"/>
      <w:r>
        <w:rPr>
          <w:rFonts w:hint="eastAsia" w:ascii="仿宋_GB2312" w:hAnsi="仿宋_GB2312" w:eastAsia="仿宋_GB2312"/>
          <w:b/>
          <w:spacing w:val="5"/>
          <w:kern w:val="0"/>
          <w:sz w:val="32"/>
          <w:szCs w:val="32"/>
        </w:rPr>
        <w:t>一、项目基本情况</w:t>
      </w:r>
      <w:bookmarkEnd w:id="0"/>
      <w:bookmarkEnd w:id="1"/>
    </w:p>
    <w:p>
      <w:pPr>
        <w:spacing w:before="156" w:beforeLines="50" w:after="156" w:afterLines="50"/>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生活垃圾填埋场位于始兴县太平镇五里山蛇窝俚，位于太平镇简易垃圾填埋场现场的西北面，距始兴县城区中心约5公里，东临G323道北临韶赣铁路，与浈江、墨江最短距离约3公里，该场于2013年6月建成并运营至今，项目建设内容包括地磅、综合楼、填埋库区（投影面积约6.13万㎡,规划总填埋容积65.7万㎡)、场区内外道路、渗沥液收集与处理系统（采用“蒸发＋离子交换”工艺，处理规模100t/d),地下水排放系统、地表水排放系统、并配置了相应的供电和给排水设施。该场运营时期受当时的技术条件所限，存在填埋库区防渗系统受损、雨污分流系统不完善、填埋作业不规范、污染控制措施不到位等问题，对周边水、气、土壤等环境造成了污染。因此，始兴县生活垃圾卫生填埋场应急整改工程的实施是十分迫切且势在行的。</w:t>
      </w:r>
    </w:p>
    <w:p>
      <w:pPr>
        <w:spacing w:before="156" w:beforeLines="50" w:after="156" w:afterLines="50"/>
        <w:ind w:firstLine="495" w:firstLineChars="15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本次工程范围主要包括：防渗系统修复、渗沥液收集导排系统、地表水导排系统、填埋气导排系统、调节池防渗系统、渗沥液处理系统检修、洗车系统、防飞散网等相关配套设施。</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二、项目主管部门及资金使用单位</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项目主管部门：始兴县住房和城乡建设管理局</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资金使用单位：始兴县住房和城乡建设管理局及其下属单位始兴县城镇环境卫生管理所 </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三、经费预算安排</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根据始兴县发展和改革局《关于&lt;始兴县生活垃圾卫生填埋场应急整改工程&gt;的立项批复》（始发改审〔2018〕48号）文件要求，县财政下达了2019年度始兴县生活垃圾卫生填埋场应急整改工程财政资金200万元。</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四、绩效目标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始兴县生活垃圾卫生填埋场应急整改工程，有效解决始兴县生活垃圾卫生填埋场填防渗系统受损、雨污分流系统不完善、填埋作业不规范、污染控制指施入到位等问题，使得生活垃圾规范处理，有效控制该场对周边水、气、土壤等环境的污染，改善人居条件，促进城市升级。</w:t>
      </w:r>
    </w:p>
    <w:p>
      <w:pPr>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五、评价目的</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了解项目主管部门关于始兴县生活垃圾卫生填埋场应急整改工程资金落实、管理、使用情况，以及了解项目资金实施效益情况，进而总结经验，发现问题，加强管理，改进工作，推动始兴县生活垃圾卫生填埋场应急整改工程进一步开展，确保项目资金安全并发挥效益，提高资金使用单位项目管理水平和项目资金使用效益。</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六、评价工作依据</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（一）始兴县人民政府办公室《县政府十五届第29次常务会议纪要》；</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（二）始兴县城镇环境卫生管理所《关于拨付始兴县生活垃圾卫生填埋场应急整改工程项目费用的请示》；</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（三）始兴县发展和改革局文件《关于&lt;始兴县生活垃圾卫生填埋场应急整改工程&gt;的立项批复》（始发改审〔2018〕48号）；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（四）始兴县财政局文件《关于开展财政支出项目委托第三方评价工作的通知》（始财〔2020〕39号）；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（五）《预算法》；</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（六）资金使用单位提交的《绩效自评报告》、《基础信息表》及《绩效评价指标》。</w:t>
      </w:r>
    </w:p>
    <w:p>
      <w:pPr>
        <w:spacing w:before="156" w:beforeLines="50" w:after="156" w:afterLines="50"/>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七、自评情况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2020年7月份始兴县城镇环境卫生管理所对始兴县生活垃圾卫生填埋场应急整改工程项目资金进行了考核，考核得分98分，绩效等级为“优”。详见《始兴县生活垃圾卫生填埋场应急整改工程资金绩效自评情况表》（附件4）。</w:t>
      </w: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第二章 评价程序</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一、前期准备</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成立绩效评价小组（附件1），初审始兴县城镇环境卫生管理所提供的考核资料，对漏报、错报和佐证材料不足等事项，要求补充更正。</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二、实地核查</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到项目主管部门检查专项资金账务资料和相关文件，重点核实专项资金到位和管理使用情况，以及始兴县生活垃圾卫生填埋场应急整改工程资金考核指标的实际完成情况，发放电子调查并进行现场考核，查阅专项资金收付账务资料以及开展始兴县生活垃圾卫生填埋场应急整改工程的工作成效资料。 </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第三章 评价结果</w:t>
      </w:r>
    </w:p>
    <w:p>
      <w:pPr>
        <w:spacing w:before="156" w:beforeLines="50" w:after="156" w:afterLines="50" w:line="620" w:lineRule="exact"/>
        <w:ind w:firstLine="663" w:firstLineChars="200"/>
        <w:rPr>
          <w:rFonts w:ascii="仿宋" w:hAnsi="仿宋" w:eastAsia="仿宋"/>
          <w:b/>
          <w:spacing w:val="5"/>
          <w:kern w:val="0"/>
          <w:sz w:val="32"/>
          <w:szCs w:val="32"/>
        </w:rPr>
      </w:pPr>
      <w:r>
        <w:rPr>
          <w:rFonts w:hint="eastAsia" w:ascii="仿宋" w:hAnsi="仿宋" w:eastAsia="仿宋"/>
          <w:b/>
          <w:spacing w:val="5"/>
          <w:kern w:val="0"/>
          <w:sz w:val="32"/>
          <w:szCs w:val="32"/>
        </w:rPr>
        <w:t>一、项目经费实施和管理情况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（一）项目计划</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始兴县发展和改革局《关于&lt;始兴县生活垃圾卫生填埋场应急整改工程&gt;的立项批复》（始发改审〔2018〕48号）文件要求，始兴县生活垃圾卫生填埋场应急整改工程项目估算总投资为1,234.45万元，全部资金来源于县级财政资金。该项目的主要建设规模和内容为：一是雨污分流系统整治；二是防渗系统应急整治；三是渗沥液调节池整治；其他配套整治工程。</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（二）项目完成情况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截至2019年12月31日，始兴县城镇环境卫生管理所根据县财政年初预算下达的项目指标200万元，按始兴县生活垃圾卫生填埋场应急整改工程项目规定的使用范围进行实施，全年工程费总支出为200万元，主要列支范围如下：</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（1）县财政直接支付始兴县生活垃圾卫生填埋场应急整改工程第二期工程进度款100万元。主要用于工程中的无孔管、有孔管铺设、渗沥液池、调节地、铺膜等支出。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（2）县财政直接支付始兴县生活垃圾卫生填埋场应急整改工程第三期工程进度款支出100万元。主要用于工程中的导排系统、调节池、地下水导排系统、填埋气收集系统、洗车系统、防飞散网、挡坝工程等支出。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（三）项目资金来源</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2019年县级财政资金。</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二、资金拨付和使用情况</w:t>
      </w:r>
    </w:p>
    <w:p>
      <w:pPr>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度，县级财政资金直接支付广东南岭建设工程有限公司始兴分公司工程款200万元，详见《项目资金收入情况表》（附件2）。截至2019年始兴县生活垃圾卫生填埋场应急整改工程资金实际支出200万元，为生活垃圾卫生填埋场应急整改工程第二期、第三期工程进度款，实际支付率为100%。截至2019年2月26日累计实际完成工程价款</w:t>
      </w:r>
      <w:r>
        <w:rPr>
          <w:rFonts w:ascii="仿宋_GB2312" w:hAnsi="仿宋_GB2312" w:eastAsia="仿宋_GB2312"/>
          <w:spacing w:val="5"/>
          <w:kern w:val="0"/>
          <w:sz w:val="32"/>
          <w:szCs w:val="32"/>
        </w:rPr>
        <w:t>1</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000</w:t>
      </w:r>
      <w:r>
        <w:rPr>
          <w:rFonts w:hint="eastAsia" w:ascii="仿宋_GB2312" w:hAnsi="仿宋_GB2312" w:eastAsia="仿宋_GB2312"/>
          <w:spacing w:val="5"/>
          <w:kern w:val="0"/>
          <w:sz w:val="32"/>
          <w:szCs w:val="32"/>
        </w:rPr>
        <w:t>.</w:t>
      </w:r>
      <w:r>
        <w:rPr>
          <w:rFonts w:ascii="仿宋_GB2312" w:hAnsi="仿宋_GB2312" w:eastAsia="仿宋_GB2312"/>
          <w:spacing w:val="5"/>
          <w:kern w:val="0"/>
          <w:sz w:val="32"/>
          <w:szCs w:val="32"/>
        </w:rPr>
        <w:t>0042</w:t>
      </w:r>
      <w:r>
        <w:rPr>
          <w:rFonts w:hint="eastAsia" w:ascii="仿宋_GB2312" w:hAnsi="仿宋_GB2312" w:eastAsia="仿宋_GB2312"/>
          <w:spacing w:val="5"/>
          <w:kern w:val="0"/>
          <w:sz w:val="32"/>
          <w:szCs w:val="32"/>
        </w:rPr>
        <w:t>万元，财政直接支付200万工程款占累计实际完成工程价款的比重为</w:t>
      </w:r>
      <w:r>
        <w:rPr>
          <w:rFonts w:ascii="仿宋_GB2312" w:hAnsi="仿宋_GB2312" w:eastAsia="仿宋_GB2312"/>
          <w:spacing w:val="5"/>
          <w:kern w:val="0"/>
          <w:sz w:val="32"/>
          <w:szCs w:val="32"/>
        </w:rPr>
        <w:t>2</w:t>
      </w:r>
      <w:r>
        <w:rPr>
          <w:rFonts w:hint="eastAsia" w:ascii="仿宋_GB2312" w:hAnsi="仿宋_GB2312" w:eastAsia="仿宋_GB2312"/>
          <w:spacing w:val="5"/>
          <w:kern w:val="0"/>
          <w:sz w:val="32"/>
          <w:szCs w:val="32"/>
        </w:rPr>
        <w:t>0%。详见《项目资金使用情况表》（附件3）。</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三、项目绩效</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（一）经济效益</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2019年始兴县生活垃圾卫生填埋场应急整改工程项目的落实，在很大程度上达到了预算绩效目标，表现在：整治工程的实施，将大大减少地表水的渗入，使其可从场区内有效导排，从而有效减少进入污水处理站的污染产生量，大大减少了污水处理费用，防渗系统可有效控制垃圾堆体对周边地下水、地表水和土壤、空气的污染，大大减少环境治理的费用，促进当地经济的可持续发展。</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（二）环境效益</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整治工程项目的实施，有助于始兴县环境质量的提高，对保护下游人民饮、用水安全有重要意义，起到良好的环境效益。</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项目的实施将对预防垃圾堆体环境污染有重要意义，对发展文明环保的现代化产业、提高地区总体环境质量、保障人民群众身体健康安全等方面均具有重要的意义。同时，填埋场整治后还将继续有一定的废气及废水产生，通过对废水废气的系统收集处理，从而尽可能减轻对环境的污染破坏；并且对场区内雨污分流，防渗系统及渗沥液处理系统都进行了完善，有效控制污染。</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（三）社会效益</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应急整治项目具有良好的社会效益。体现在如下几个方面：（1）该项目的实施是贯彻落实生态文明建设的重要举措，对带动始兴地区良好贯彻落实“十九大精神”及“两山论”有示范带动作用；（2）该场离市中心较近，且是始兴县唯一的卫生填埋场，整治后可有效控制该场的污染扩散，对提高始兴县形象，提升周边生态环境质量，改善投资环境，促进产业的可持续发展和社会进步具有积极的意义；（3）完善了始兴县市政配套设施，提供良好的居住和投资环境；（4）保护了城市地下水及地表水源的水质，可预防垃及渗沥液对地下及地表水源的影响，有利于提高人民健康水平和改善生活条件。</w:t>
      </w:r>
    </w:p>
    <w:p>
      <w:pPr>
        <w:spacing w:before="156" w:beforeLines="50" w:after="156" w:afterLines="50" w:line="620" w:lineRule="exact"/>
        <w:ind w:firstLine="325" w:firstLineChars="98"/>
        <w:rPr>
          <w:rFonts w:ascii="仿宋_GB2312" w:hAnsi="仿宋_GB2312" w:eastAsia="仿宋_GB2312"/>
          <w:spacing w:val="5"/>
          <w:kern w:val="0"/>
          <w:sz w:val="32"/>
          <w:szCs w:val="32"/>
        </w:rPr>
      </w:pPr>
      <w:r>
        <w:rPr>
          <w:rFonts w:hint="eastAsia" w:ascii="仿宋_GB2312" w:hAnsi="仿宋_GB2312" w:eastAsia="仿宋_GB2312"/>
          <w:b/>
          <w:spacing w:val="5"/>
          <w:kern w:val="0"/>
          <w:sz w:val="32"/>
          <w:szCs w:val="32"/>
        </w:rPr>
        <w:t>四、存在问题</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(一)项目进度未按项目计划完成</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始兴县生活垃圾卫生填埋场应急整改工程设计、施工总承包合同》要求，合同工期拟从2018年10月18日开始施工，至2019年2月17日竣工完成，具体合同工期从收到监理单位签发的开工令之日起计起，合同工期总日历天数为120日历天，但《建设工程竣工验收报告》提及到该项目2018年10月18日开工，2019年10月18日竣工，项目进度未能按施工合同规定期限完成。</w:t>
      </w:r>
    </w:p>
    <w:p>
      <w:pPr>
        <w:numPr>
          <w:ilvl w:val="0"/>
          <w:numId w:val="1"/>
        </w:num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项目效益满意度一般</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问卷星采用电子问卷调查的方式，向始兴居民发放了电子问卷，最终收回有效问卷218份，样本具有一定的代表性。通过数据分析，得知始兴县生活垃圾卫生填埋场应急整改工程完成后，大部分居民反映该项目解决了城市生活垃圾乱堆乱放的问题，其中60%左右居民反映该项目实施后对改善城市生活环境、提升城市生活垃圾处理能力较满意，但有40%左右的居民认为该项目实施后未能改善城市生活环境、提升城市生活垃圾处理能力，反映其居住地点距离填埋场较近，由垃圾填埋不及时，长时间遭受垃圾散发气味的困扰，降低其生活质量。</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将电子问卷反馈的问题与始兴县城镇环境卫生管理所沟通交流后，被评价单位回复，由于始兴县生活垃圾填埋场位于太平镇五里山蛇窝里，在上世纪八十年代初开始设置生活垃圾简易填埋点，2009年正式设计建设，2013年6月开始正式运营，当时垃圾填埋场周边并未建设居民住宅小区。目前，该垃圾填埋场严格按照国家相关规范进行生活垃圾作业填埋，作业面控制在约200平方米，除臭消杀的频率和次数符合相关规范，不作业时及时覆盖填埋口，臭气得到有效的控制。</w:t>
      </w:r>
    </w:p>
    <w:p>
      <w:pPr>
        <w:spacing w:before="156" w:beforeLines="50" w:after="156" w:afterLines="50" w:line="620" w:lineRule="exact"/>
        <w:ind w:firstLine="490" w:firstLineChars="148"/>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五、相关建议</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（一）建议项目主管部门整体把握进度，督促工程承包方履行合同约定条款，并定期进行实地检查考核，确保工程项目按时保质保量完成。 </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建议项目主管部门要加强后续管理，科学长远规划。加大治理力度，由专业的填埋场运营单位来运营，严格按照填埋作业程序及时填埋垃圾；还要重视群众意见反馈，利用科学环保，循环再生的方式，系统收集处理废水废气，尽可能减轻对环境的污染破坏，为周边居民创造干净整洁的居住环境。</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（三）重视存在的问题，认真落实整改措施</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第三方评价的最终目的在于肯定成效，针对存在问题提出建议，督促有关部门完善管理，提高财政专项资金的使用绩效，如本报告所述，第三方评价发现，始兴县生活垃圾卫生填埋场应急整改工程项目，在垃圾处理过程中存在一些问题，对此，建议始兴县住房和城乡建设管理局管理局及县财政部门等有关部门要引起重视，切实采取有力措施，制定有效工作方案，逐一落实整改，进一步提升专项资金使用绩效。</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六、综合评价结论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度，通过县级财政配套资金对始兴县生活垃圾卫生填埋场应急整改工程项目的大力支持，统一安排预算内始兴县生活垃圾卫生填埋场应急整改工程资金，一定程度上减少了垃圾造成的二次环境污染，提升了生态环境质量，但部分周边群众对该项目的满意度不高，遭受着垃圾散发气味的困扰。</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综合评价始兴县城镇环境卫生管理所对始兴县生活垃圾卫生填埋场应急整改工程项目资金资金使用绩效为91分，等级为“优”。详见《始兴县生活垃圾卫生填埋场应急整改工程绩效考核评分表》（附件5）。</w:t>
      </w: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bookmarkStart w:id="2" w:name="_GoBack"/>
      <w:bookmarkEnd w:id="2"/>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A4518"/>
    <w:multiLevelType w:val="singleLevel"/>
    <w:tmpl w:val="DEDA4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781C"/>
    <w:rsid w:val="0001120B"/>
    <w:rsid w:val="00014820"/>
    <w:rsid w:val="00016CAB"/>
    <w:rsid w:val="00046C6B"/>
    <w:rsid w:val="00054CA7"/>
    <w:rsid w:val="00054EBB"/>
    <w:rsid w:val="00057FF0"/>
    <w:rsid w:val="00062B9B"/>
    <w:rsid w:val="000708E7"/>
    <w:rsid w:val="00095BEA"/>
    <w:rsid w:val="000A4E82"/>
    <w:rsid w:val="000A69C7"/>
    <w:rsid w:val="000B2779"/>
    <w:rsid w:val="000B539B"/>
    <w:rsid w:val="000B7C92"/>
    <w:rsid w:val="000C3770"/>
    <w:rsid w:val="000E2807"/>
    <w:rsid w:val="000E5DAD"/>
    <w:rsid w:val="000F2E0F"/>
    <w:rsid w:val="000F52F9"/>
    <w:rsid w:val="000F5A28"/>
    <w:rsid w:val="001134C1"/>
    <w:rsid w:val="00113928"/>
    <w:rsid w:val="00120385"/>
    <w:rsid w:val="001309E4"/>
    <w:rsid w:val="001430F1"/>
    <w:rsid w:val="001506E2"/>
    <w:rsid w:val="00151938"/>
    <w:rsid w:val="00177831"/>
    <w:rsid w:val="00177FF6"/>
    <w:rsid w:val="001A5C41"/>
    <w:rsid w:val="001B020D"/>
    <w:rsid w:val="001B04F8"/>
    <w:rsid w:val="001B439A"/>
    <w:rsid w:val="001C0AB3"/>
    <w:rsid w:val="001F4762"/>
    <w:rsid w:val="002002F5"/>
    <w:rsid w:val="002016F5"/>
    <w:rsid w:val="00211D80"/>
    <w:rsid w:val="00216E4E"/>
    <w:rsid w:val="00224E9E"/>
    <w:rsid w:val="00233F05"/>
    <w:rsid w:val="002519AD"/>
    <w:rsid w:val="0026165E"/>
    <w:rsid w:val="002707E8"/>
    <w:rsid w:val="0027148F"/>
    <w:rsid w:val="00271D39"/>
    <w:rsid w:val="00274676"/>
    <w:rsid w:val="00285DA8"/>
    <w:rsid w:val="0029025E"/>
    <w:rsid w:val="00292899"/>
    <w:rsid w:val="00297C96"/>
    <w:rsid w:val="002B6E63"/>
    <w:rsid w:val="002C1C9F"/>
    <w:rsid w:val="002C7748"/>
    <w:rsid w:val="002E24F3"/>
    <w:rsid w:val="002E6B20"/>
    <w:rsid w:val="0030125D"/>
    <w:rsid w:val="00307C5D"/>
    <w:rsid w:val="00314098"/>
    <w:rsid w:val="00342297"/>
    <w:rsid w:val="00342D8A"/>
    <w:rsid w:val="00342E19"/>
    <w:rsid w:val="003458AA"/>
    <w:rsid w:val="00351976"/>
    <w:rsid w:val="00370B3E"/>
    <w:rsid w:val="00382AB6"/>
    <w:rsid w:val="003A5059"/>
    <w:rsid w:val="003A5F02"/>
    <w:rsid w:val="003A788D"/>
    <w:rsid w:val="003B75FA"/>
    <w:rsid w:val="003C05E4"/>
    <w:rsid w:val="003C28C5"/>
    <w:rsid w:val="003C2B08"/>
    <w:rsid w:val="003D08C0"/>
    <w:rsid w:val="003D70E3"/>
    <w:rsid w:val="003E5F98"/>
    <w:rsid w:val="003F1702"/>
    <w:rsid w:val="003F1C9C"/>
    <w:rsid w:val="00405E61"/>
    <w:rsid w:val="0041039A"/>
    <w:rsid w:val="00426C69"/>
    <w:rsid w:val="00427067"/>
    <w:rsid w:val="00431C7C"/>
    <w:rsid w:val="004730D2"/>
    <w:rsid w:val="00482768"/>
    <w:rsid w:val="00487268"/>
    <w:rsid w:val="00487B57"/>
    <w:rsid w:val="00490F58"/>
    <w:rsid w:val="0049154D"/>
    <w:rsid w:val="004A1E06"/>
    <w:rsid w:val="004A369C"/>
    <w:rsid w:val="004A7E79"/>
    <w:rsid w:val="004C4D5F"/>
    <w:rsid w:val="004C6F0D"/>
    <w:rsid w:val="004D4FB2"/>
    <w:rsid w:val="004D5D0C"/>
    <w:rsid w:val="004E1F5B"/>
    <w:rsid w:val="004F13AB"/>
    <w:rsid w:val="00514F0A"/>
    <w:rsid w:val="00522BF2"/>
    <w:rsid w:val="00524066"/>
    <w:rsid w:val="00524CAD"/>
    <w:rsid w:val="00533741"/>
    <w:rsid w:val="00533B39"/>
    <w:rsid w:val="00534BFA"/>
    <w:rsid w:val="00534F00"/>
    <w:rsid w:val="005451A2"/>
    <w:rsid w:val="005511AC"/>
    <w:rsid w:val="00551CC2"/>
    <w:rsid w:val="00560B9D"/>
    <w:rsid w:val="00561704"/>
    <w:rsid w:val="00584E1D"/>
    <w:rsid w:val="00591A05"/>
    <w:rsid w:val="005A6DD9"/>
    <w:rsid w:val="005B003B"/>
    <w:rsid w:val="005B0A44"/>
    <w:rsid w:val="005B2215"/>
    <w:rsid w:val="005C251F"/>
    <w:rsid w:val="005C458A"/>
    <w:rsid w:val="005D1B28"/>
    <w:rsid w:val="005E5E7A"/>
    <w:rsid w:val="005F6C4A"/>
    <w:rsid w:val="00611E6D"/>
    <w:rsid w:val="00615682"/>
    <w:rsid w:val="00627614"/>
    <w:rsid w:val="00650594"/>
    <w:rsid w:val="00651309"/>
    <w:rsid w:val="00657D22"/>
    <w:rsid w:val="00657E0D"/>
    <w:rsid w:val="00664B61"/>
    <w:rsid w:val="00667393"/>
    <w:rsid w:val="00667EB2"/>
    <w:rsid w:val="0067741B"/>
    <w:rsid w:val="00681751"/>
    <w:rsid w:val="006A3F50"/>
    <w:rsid w:val="006C3BDE"/>
    <w:rsid w:val="006C3E1D"/>
    <w:rsid w:val="006C7FCF"/>
    <w:rsid w:val="006E3F14"/>
    <w:rsid w:val="006F50E3"/>
    <w:rsid w:val="007052F7"/>
    <w:rsid w:val="007108A9"/>
    <w:rsid w:val="00711424"/>
    <w:rsid w:val="00712D36"/>
    <w:rsid w:val="007361A1"/>
    <w:rsid w:val="00763EE7"/>
    <w:rsid w:val="00772487"/>
    <w:rsid w:val="0079622F"/>
    <w:rsid w:val="007E15EB"/>
    <w:rsid w:val="007E7C7C"/>
    <w:rsid w:val="007F1A30"/>
    <w:rsid w:val="00802227"/>
    <w:rsid w:val="00823B92"/>
    <w:rsid w:val="00824C13"/>
    <w:rsid w:val="00835D5F"/>
    <w:rsid w:val="00842213"/>
    <w:rsid w:val="00844F56"/>
    <w:rsid w:val="008471B9"/>
    <w:rsid w:val="00847445"/>
    <w:rsid w:val="00847563"/>
    <w:rsid w:val="00856D77"/>
    <w:rsid w:val="00860E3E"/>
    <w:rsid w:val="00873E20"/>
    <w:rsid w:val="00892D20"/>
    <w:rsid w:val="00894940"/>
    <w:rsid w:val="008A01AB"/>
    <w:rsid w:val="008A710A"/>
    <w:rsid w:val="008C01E3"/>
    <w:rsid w:val="008C372F"/>
    <w:rsid w:val="008C5E8F"/>
    <w:rsid w:val="008D1726"/>
    <w:rsid w:val="008D4267"/>
    <w:rsid w:val="008D618F"/>
    <w:rsid w:val="008D7025"/>
    <w:rsid w:val="008F7E29"/>
    <w:rsid w:val="00907C0A"/>
    <w:rsid w:val="009311C5"/>
    <w:rsid w:val="00935DE7"/>
    <w:rsid w:val="00936A58"/>
    <w:rsid w:val="0094447C"/>
    <w:rsid w:val="00944AC1"/>
    <w:rsid w:val="0094544D"/>
    <w:rsid w:val="009516A4"/>
    <w:rsid w:val="00953227"/>
    <w:rsid w:val="009561C9"/>
    <w:rsid w:val="00964261"/>
    <w:rsid w:val="00967CD5"/>
    <w:rsid w:val="009719C0"/>
    <w:rsid w:val="00986C85"/>
    <w:rsid w:val="00994847"/>
    <w:rsid w:val="009A3282"/>
    <w:rsid w:val="009B4052"/>
    <w:rsid w:val="009F6C8D"/>
    <w:rsid w:val="00A029CC"/>
    <w:rsid w:val="00A06E9A"/>
    <w:rsid w:val="00A07C7F"/>
    <w:rsid w:val="00A2353E"/>
    <w:rsid w:val="00A256E6"/>
    <w:rsid w:val="00A50AEC"/>
    <w:rsid w:val="00A56523"/>
    <w:rsid w:val="00A81F3C"/>
    <w:rsid w:val="00AA02F1"/>
    <w:rsid w:val="00AA4CBB"/>
    <w:rsid w:val="00AB6DC2"/>
    <w:rsid w:val="00AC1CA8"/>
    <w:rsid w:val="00AC6265"/>
    <w:rsid w:val="00AE39C2"/>
    <w:rsid w:val="00AE44FE"/>
    <w:rsid w:val="00AF65B9"/>
    <w:rsid w:val="00B0419D"/>
    <w:rsid w:val="00B04575"/>
    <w:rsid w:val="00B12484"/>
    <w:rsid w:val="00B15D65"/>
    <w:rsid w:val="00B50DFD"/>
    <w:rsid w:val="00B62C87"/>
    <w:rsid w:val="00B64018"/>
    <w:rsid w:val="00B66FB0"/>
    <w:rsid w:val="00B72DF4"/>
    <w:rsid w:val="00B7697B"/>
    <w:rsid w:val="00B77E9E"/>
    <w:rsid w:val="00B92FC5"/>
    <w:rsid w:val="00B93F2D"/>
    <w:rsid w:val="00B96726"/>
    <w:rsid w:val="00BC2FEE"/>
    <w:rsid w:val="00BC5630"/>
    <w:rsid w:val="00BD1A2F"/>
    <w:rsid w:val="00BD3B53"/>
    <w:rsid w:val="00BD5E29"/>
    <w:rsid w:val="00BE703A"/>
    <w:rsid w:val="00BE7F50"/>
    <w:rsid w:val="00BF74EA"/>
    <w:rsid w:val="00C00493"/>
    <w:rsid w:val="00C00F11"/>
    <w:rsid w:val="00C052E6"/>
    <w:rsid w:val="00C13664"/>
    <w:rsid w:val="00C14DDD"/>
    <w:rsid w:val="00C36C7E"/>
    <w:rsid w:val="00C421E0"/>
    <w:rsid w:val="00C43EF3"/>
    <w:rsid w:val="00C446B8"/>
    <w:rsid w:val="00C44B28"/>
    <w:rsid w:val="00C641AC"/>
    <w:rsid w:val="00C70F6E"/>
    <w:rsid w:val="00C818A3"/>
    <w:rsid w:val="00C82F04"/>
    <w:rsid w:val="00C85436"/>
    <w:rsid w:val="00C8606E"/>
    <w:rsid w:val="00CF0579"/>
    <w:rsid w:val="00D2352B"/>
    <w:rsid w:val="00D4128A"/>
    <w:rsid w:val="00D435B6"/>
    <w:rsid w:val="00D442FF"/>
    <w:rsid w:val="00D520EB"/>
    <w:rsid w:val="00D56CF4"/>
    <w:rsid w:val="00D80F2F"/>
    <w:rsid w:val="00DA06BB"/>
    <w:rsid w:val="00DA3D89"/>
    <w:rsid w:val="00DA6F14"/>
    <w:rsid w:val="00DB1771"/>
    <w:rsid w:val="00DB208C"/>
    <w:rsid w:val="00DD7A13"/>
    <w:rsid w:val="00DF2151"/>
    <w:rsid w:val="00E01414"/>
    <w:rsid w:val="00E22045"/>
    <w:rsid w:val="00E22E2D"/>
    <w:rsid w:val="00E31C58"/>
    <w:rsid w:val="00E44DE6"/>
    <w:rsid w:val="00E571FA"/>
    <w:rsid w:val="00E61C78"/>
    <w:rsid w:val="00E6469D"/>
    <w:rsid w:val="00E65E98"/>
    <w:rsid w:val="00E84B8B"/>
    <w:rsid w:val="00E87E11"/>
    <w:rsid w:val="00E93051"/>
    <w:rsid w:val="00EA3D55"/>
    <w:rsid w:val="00ED00AC"/>
    <w:rsid w:val="00ED219C"/>
    <w:rsid w:val="00ED41FC"/>
    <w:rsid w:val="00F00B3F"/>
    <w:rsid w:val="00F04DDE"/>
    <w:rsid w:val="00F061EF"/>
    <w:rsid w:val="00F07994"/>
    <w:rsid w:val="00F14C7D"/>
    <w:rsid w:val="00F32DC5"/>
    <w:rsid w:val="00F342EF"/>
    <w:rsid w:val="00F41E46"/>
    <w:rsid w:val="00F4338B"/>
    <w:rsid w:val="00F45813"/>
    <w:rsid w:val="00F47544"/>
    <w:rsid w:val="00F64B5D"/>
    <w:rsid w:val="00F71268"/>
    <w:rsid w:val="00F71E5D"/>
    <w:rsid w:val="00F85AE5"/>
    <w:rsid w:val="00F9230D"/>
    <w:rsid w:val="00F94C91"/>
    <w:rsid w:val="00FA4EE2"/>
    <w:rsid w:val="00FB24DD"/>
    <w:rsid w:val="00FC701B"/>
    <w:rsid w:val="00FC7D3D"/>
    <w:rsid w:val="00FD3F7F"/>
    <w:rsid w:val="00FE7798"/>
    <w:rsid w:val="00FF02B2"/>
    <w:rsid w:val="00FF05A9"/>
    <w:rsid w:val="00FF0C46"/>
    <w:rsid w:val="00FF5414"/>
    <w:rsid w:val="00FF5603"/>
    <w:rsid w:val="00FF5F11"/>
    <w:rsid w:val="00FF66D3"/>
    <w:rsid w:val="016C7C89"/>
    <w:rsid w:val="0DEF3017"/>
    <w:rsid w:val="0F1E15EE"/>
    <w:rsid w:val="163A6B92"/>
    <w:rsid w:val="176C00A5"/>
    <w:rsid w:val="188B35A9"/>
    <w:rsid w:val="18FE002E"/>
    <w:rsid w:val="1BA07652"/>
    <w:rsid w:val="1BA27707"/>
    <w:rsid w:val="23505F92"/>
    <w:rsid w:val="239F0E6C"/>
    <w:rsid w:val="257530E0"/>
    <w:rsid w:val="2DF312A0"/>
    <w:rsid w:val="2F3D3193"/>
    <w:rsid w:val="33FC5089"/>
    <w:rsid w:val="3CAB2A99"/>
    <w:rsid w:val="41BC63AB"/>
    <w:rsid w:val="41D662A0"/>
    <w:rsid w:val="42391501"/>
    <w:rsid w:val="44562BE4"/>
    <w:rsid w:val="453B4F3D"/>
    <w:rsid w:val="483960BD"/>
    <w:rsid w:val="4C1F524B"/>
    <w:rsid w:val="525B6FB7"/>
    <w:rsid w:val="54077012"/>
    <w:rsid w:val="59F51085"/>
    <w:rsid w:val="5A226CAF"/>
    <w:rsid w:val="5D8D260E"/>
    <w:rsid w:val="5EAB0A8F"/>
    <w:rsid w:val="60E25136"/>
    <w:rsid w:val="60F83376"/>
    <w:rsid w:val="62ED09DF"/>
    <w:rsid w:val="63F3064F"/>
    <w:rsid w:val="64CA071E"/>
    <w:rsid w:val="650F6AFC"/>
    <w:rsid w:val="6ADD433C"/>
    <w:rsid w:val="6B7E60EF"/>
    <w:rsid w:val="6C262063"/>
    <w:rsid w:val="6D903866"/>
    <w:rsid w:val="6F9A0F9A"/>
    <w:rsid w:val="728B4484"/>
    <w:rsid w:val="72BD2C94"/>
    <w:rsid w:val="771136B6"/>
    <w:rsid w:val="7B8776C4"/>
    <w:rsid w:val="7BA5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日期 Char"/>
    <w:basedOn w:val="7"/>
    <w:link w:val="2"/>
    <w:semiHidden/>
    <w:qFormat/>
    <w:uiPriority w:val="99"/>
    <w:rPr>
      <w:kern w:val="2"/>
      <w:sz w:val="21"/>
    </w:rPr>
  </w:style>
  <w:style w:type="paragraph" w:customStyle="1" w:styleId="12">
    <w:name w:val="Char Char1 Char Char Char Char"/>
    <w:basedOn w:val="1"/>
    <w:qFormat/>
    <w:uiPriority w:val="0"/>
    <w:rPr>
      <w:rFonts w:eastAsia="仿宋_GB2312"/>
      <w:sz w:val="32"/>
      <w:szCs w:val="32"/>
    </w:rPr>
  </w:style>
  <w:style w:type="paragraph" w:customStyle="1" w:styleId="13">
    <w:name w:val="Char Char Char Char"/>
    <w:basedOn w:val="1"/>
    <w:qFormat/>
    <w:uiPriority w:val="0"/>
    <w:pPr>
      <w:widowControl/>
      <w:adjustRightInd w:val="0"/>
      <w:snapToGrid w:val="0"/>
      <w:spacing w:after="160" w:line="240" w:lineRule="exact"/>
      <w:jc w:val="left"/>
    </w:pPr>
    <w:rPr>
      <w:kern w:val="0"/>
    </w:rPr>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22690-FA30-4840-8098-FD35C399FAF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764</Words>
  <Characters>4356</Characters>
  <Lines>36</Lines>
  <Paragraphs>10</Paragraphs>
  <TotalTime>4482</TotalTime>
  <ScaleCrop>false</ScaleCrop>
  <LinksUpToDate>false</LinksUpToDate>
  <CharactersWithSpaces>5110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2020-12-15T05:53:00Z</cp:lastPrinted>
  <dcterms:modified xsi:type="dcterms:W3CDTF">2020-12-21T01:30:03Z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