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b/>
          <w:sz w:val="48"/>
          <w:szCs w:val="48"/>
        </w:rPr>
      </w:pPr>
      <w:r>
        <w:rPr>
          <w:rFonts w:hint="eastAsia"/>
          <w:b/>
          <w:sz w:val="48"/>
          <w:szCs w:val="48"/>
        </w:rPr>
        <w:t>始兴县自然资源局</w:t>
      </w:r>
    </w:p>
    <w:p>
      <w:pPr>
        <w:jc w:val="center"/>
        <w:rPr>
          <w:b/>
          <w:sz w:val="48"/>
          <w:szCs w:val="48"/>
        </w:rPr>
      </w:pPr>
    </w:p>
    <w:p>
      <w:pPr>
        <w:jc w:val="center"/>
        <w:rPr>
          <w:b/>
          <w:sz w:val="48"/>
          <w:szCs w:val="48"/>
        </w:rPr>
      </w:pPr>
      <w:r>
        <w:rPr>
          <w:rFonts w:hint="eastAsia"/>
          <w:b/>
          <w:sz w:val="48"/>
          <w:szCs w:val="48"/>
        </w:rPr>
        <w:t>隘子满堂旅游基础设施征地补偿</w:t>
      </w:r>
    </w:p>
    <w:p>
      <w:pPr>
        <w:jc w:val="center"/>
        <w:rPr>
          <w:b/>
          <w:sz w:val="48"/>
          <w:szCs w:val="48"/>
        </w:rPr>
      </w:pPr>
      <w:r>
        <w:rPr>
          <w:rFonts w:hint="eastAsia"/>
          <w:b/>
          <w:sz w:val="48"/>
          <w:szCs w:val="48"/>
        </w:rPr>
        <w:t>项目资金</w:t>
      </w:r>
    </w:p>
    <w:p>
      <w:pPr>
        <w:rPr>
          <w:b/>
          <w:sz w:val="52"/>
          <w:szCs w:val="52"/>
        </w:rPr>
      </w:pPr>
    </w:p>
    <w:p>
      <w:pPr>
        <w:jc w:val="center"/>
        <w:rPr>
          <w:b/>
          <w:sz w:val="48"/>
          <w:szCs w:val="48"/>
        </w:rPr>
      </w:pPr>
      <w:r>
        <w:rPr>
          <w:rFonts w:hint="eastAsia"/>
          <w:b/>
          <w:sz w:val="48"/>
          <w:szCs w:val="48"/>
        </w:rPr>
        <w:t>第三方绩效评价报告</w:t>
      </w:r>
    </w:p>
    <w:p/>
    <w:p>
      <w:pPr>
        <w:jc w:val="center"/>
      </w:pPr>
      <w:r>
        <w:rPr>
          <w:rFonts w:hint="eastAsia"/>
          <w:sz w:val="24"/>
          <w:szCs w:val="24"/>
        </w:rPr>
        <w:t>报告号：韶中一审字（2020）</w:t>
      </w:r>
      <w:r>
        <w:rPr>
          <w:sz w:val="24"/>
          <w:szCs w:val="24"/>
        </w:rPr>
        <w:t>1522</w:t>
      </w:r>
      <w:r>
        <w:rPr>
          <w:rFonts w:hint="eastAsia"/>
          <w:sz w:val="24"/>
          <w:szCs w:val="24"/>
        </w:rPr>
        <w:t>号</w:t>
      </w:r>
    </w:p>
    <w:p/>
    <w:p/>
    <w:p/>
    <w:p/>
    <w:p/>
    <w:p/>
    <w:p/>
    <w:p/>
    <w:p/>
    <w:p/>
    <w:p/>
    <w:p>
      <w:pPr>
        <w:jc w:val="center"/>
        <w:rPr>
          <w:sz w:val="30"/>
          <w:szCs w:val="30"/>
        </w:rPr>
      </w:pPr>
      <w:r>
        <w:rPr>
          <w:rFonts w:hint="eastAsia"/>
          <w:sz w:val="30"/>
          <w:szCs w:val="30"/>
        </w:rPr>
        <w:t>委托单位：广东省始兴县财政局</w:t>
      </w:r>
    </w:p>
    <w:p>
      <w:pPr>
        <w:jc w:val="center"/>
        <w:rPr>
          <w:sz w:val="30"/>
          <w:szCs w:val="30"/>
        </w:rPr>
      </w:pPr>
      <w:r>
        <w:rPr>
          <w:rFonts w:hint="eastAsia"/>
          <w:sz w:val="30"/>
          <w:szCs w:val="30"/>
        </w:rPr>
        <w:t>评价机构：韶关中一会计师事务所有限公司</w:t>
      </w:r>
    </w:p>
    <w:p>
      <w:pPr>
        <w:ind w:firstLine="600" w:firstLineChars="200"/>
        <w:jc w:val="center"/>
        <w:rPr>
          <w:rFonts w:hint="eastAsia"/>
          <w:sz w:val="32"/>
          <w:szCs w:val="32"/>
        </w:rPr>
      </w:pPr>
      <w:r>
        <w:rPr>
          <w:rFonts w:hint="eastAsia"/>
          <w:sz w:val="30"/>
          <w:szCs w:val="30"/>
        </w:rPr>
        <w:t>二〇二〇年十一月三十日</w:t>
      </w:r>
    </w:p>
    <w:p>
      <w:pPr>
        <w:ind w:firstLine="640" w:firstLineChars="200"/>
        <w:jc w:val="center"/>
        <w:rPr>
          <w:rFonts w:hint="eastAsia"/>
          <w:sz w:val="32"/>
          <w:szCs w:val="32"/>
        </w:rPr>
      </w:pPr>
    </w:p>
    <w:p>
      <w:pPr>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tabs>
          <w:tab w:val="left" w:pos="840"/>
          <w:tab w:val="right" w:leader="dot" w:pos="8302"/>
        </w:tabs>
        <w:spacing w:line="620" w:lineRule="exact"/>
        <w:jc w:val="left"/>
        <w:rPr>
          <w:rFonts w:ascii="仿宋_GB2312" w:hAnsi="仿宋_GB2312" w:eastAsia="仿宋_GB2312"/>
          <w:sz w:val="32"/>
          <w:szCs w:val="32"/>
        </w:rPr>
      </w:pPr>
      <w:r>
        <w:rPr>
          <w:rFonts w:hint="eastAsia" w:ascii="仿宋_GB2312" w:hAnsi="仿宋_GB2312" w:eastAsia="仿宋_GB2312"/>
          <w:b/>
          <w:bCs/>
          <w:caps/>
          <w:sz w:val="32"/>
          <w:szCs w:val="32"/>
        </w:rPr>
        <w:fldChar w:fldCharType="begin"/>
      </w:r>
      <w:r>
        <w:rPr>
          <w:rFonts w:hint="eastAsia" w:ascii="仿宋_GB2312" w:hAnsi="仿宋_GB2312" w:eastAsia="仿宋_GB2312"/>
          <w:b/>
          <w:bCs/>
          <w:caps/>
          <w:sz w:val="32"/>
          <w:szCs w:val="32"/>
        </w:rPr>
        <w:instrText xml:space="preserve"> TOC \o "1-3" \h \z \u </w:instrText>
      </w:r>
      <w:r>
        <w:rPr>
          <w:rFonts w:hint="eastAsia" w:ascii="仿宋_GB2312" w:hAnsi="仿宋_GB2312" w:eastAsia="仿宋_GB2312"/>
          <w:b/>
          <w:bCs/>
          <w:caps/>
          <w:sz w:val="32"/>
          <w:szCs w:val="32"/>
        </w:rPr>
        <w:fldChar w:fldCharType="separate"/>
      </w:r>
      <w:r>
        <w:fldChar w:fldCharType="begin"/>
      </w:r>
      <w:r>
        <w:instrText xml:space="preserve"> HYPERLINK \l "_Toc393722557" </w:instrText>
      </w:r>
      <w:r>
        <w:fldChar w:fldCharType="separate"/>
      </w:r>
      <w:r>
        <w:rPr>
          <w:rFonts w:hint="eastAsia" w:ascii="仿宋_GB2312" w:hAnsi="仿宋_GB2312" w:eastAsia="仿宋_GB2312"/>
          <w:b/>
          <w:bCs/>
          <w:caps/>
          <w:color w:val="333333"/>
          <w:sz w:val="32"/>
          <w:szCs w:val="32"/>
        </w:rPr>
        <w:t>第一章  项目概况</w:t>
      </w:r>
      <w:r>
        <w:rPr>
          <w:rFonts w:hint="eastAsia" w:ascii="仿宋_GB2312" w:hAnsi="仿宋_GB2312" w:eastAsia="仿宋_GB2312"/>
          <w:caps/>
          <w:sz w:val="32"/>
          <w:szCs w:val="32"/>
        </w:rPr>
        <w:tab/>
      </w:r>
      <w:r>
        <w:rPr>
          <w:rFonts w:hint="eastAsia" w:ascii="仿宋_GB2312" w:hAnsi="仿宋_GB2312" w:eastAsia="仿宋_GB2312"/>
          <w:caps/>
          <w:sz w:val="32"/>
          <w:szCs w:val="32"/>
        </w:rPr>
        <w:t>1</w:t>
      </w:r>
      <w:r>
        <w:rPr>
          <w:rFonts w:hint="eastAsia" w:ascii="仿宋_GB2312" w:hAnsi="仿宋_GB2312" w:eastAsia="仿宋_GB2312"/>
          <w:caps/>
          <w:sz w:val="32"/>
          <w:szCs w:val="32"/>
        </w:rPr>
        <w:fldChar w:fldCharType="end"/>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"_Toc393722565" </w:instrText>
      </w:r>
      <w:r>
        <w:fldChar w:fldCharType="separate"/>
      </w:r>
      <w:r>
        <w:rPr>
          <w:rFonts w:hint="eastAsia" w:ascii="仿宋_GB2312" w:hAnsi="仿宋_GB2312" w:eastAsia="仿宋_GB2312"/>
          <w:b/>
          <w:bCs/>
          <w:caps/>
          <w:color w:val="333333"/>
          <w:sz w:val="32"/>
          <w:szCs w:val="32"/>
        </w:rPr>
        <w:t>第二章  评价程序</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"_Toc393722566" </w:instrText>
      </w:r>
      <w:r>
        <w:fldChar w:fldCharType="separate"/>
      </w:r>
      <w:r>
        <w:rPr>
          <w:rFonts w:hint="eastAsia" w:ascii="仿宋_GB2312" w:hAnsi="仿宋_GB2312" w:eastAsia="仿宋_GB2312"/>
          <w:smallCaps/>
          <w:color w:val="333333"/>
          <w:sz w:val="32"/>
          <w:szCs w:val="32"/>
        </w:rPr>
        <w:t>一、前期准备</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"_Toc393722568" </w:instrText>
      </w:r>
      <w:r>
        <w:fldChar w:fldCharType="separate"/>
      </w:r>
      <w:r>
        <w:rPr>
          <w:rFonts w:hint="eastAsia" w:ascii="仿宋_GB2312" w:hAnsi="仿宋_GB2312" w:eastAsia="仿宋_GB2312"/>
          <w:smallCaps/>
          <w:color w:val="333333"/>
          <w:sz w:val="32"/>
          <w:szCs w:val="32"/>
        </w:rPr>
        <w:t>三、实地核查</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"_Toc393722569" </w:instrText>
      </w:r>
      <w:r>
        <w:fldChar w:fldCharType="separate"/>
      </w:r>
      <w:r>
        <w:rPr>
          <w:rFonts w:hint="eastAsia" w:ascii="仿宋_GB2312" w:hAnsi="仿宋_GB2312" w:eastAsia="仿宋_GB2312"/>
          <w:b/>
          <w:bCs/>
          <w:caps/>
          <w:color w:val="333333"/>
          <w:sz w:val="32"/>
          <w:szCs w:val="32"/>
        </w:rPr>
        <w:t>第三章  评价结果</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"_Toc393722570" </w:instrText>
      </w:r>
      <w:r>
        <w:fldChar w:fldCharType="separate"/>
      </w:r>
      <w:r>
        <w:rPr>
          <w:rFonts w:hint="eastAsia" w:ascii="仿宋_GB2312" w:hAnsi="仿宋_GB2312" w:eastAsia="仿宋_GB2312"/>
          <w:smallCaps/>
          <w:color w:val="333333"/>
          <w:sz w:val="32"/>
          <w:szCs w:val="32"/>
        </w:rPr>
        <w:t>一、项目实施和管理情况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"_Toc393722571" </w:instrText>
      </w:r>
      <w:r>
        <w:fldChar w:fldCharType="separate"/>
      </w:r>
      <w:r>
        <w:rPr>
          <w:rFonts w:hint="eastAsia" w:ascii="仿宋_GB2312" w:hAnsi="仿宋_GB2312" w:eastAsia="仿宋_GB2312"/>
          <w:smallCaps/>
          <w:color w:val="333333"/>
          <w:sz w:val="32"/>
          <w:szCs w:val="32"/>
        </w:rPr>
        <w:t>二、资金拨付和使用情况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"_Toc393722572" </w:instrText>
      </w:r>
      <w:r>
        <w:fldChar w:fldCharType="separate"/>
      </w:r>
      <w:r>
        <w:rPr>
          <w:rFonts w:hint="eastAsia" w:ascii="仿宋_GB2312" w:hAnsi="仿宋_GB2312" w:eastAsia="仿宋_GB2312"/>
          <w:smallCaps/>
          <w:color w:val="333333"/>
          <w:sz w:val="32"/>
          <w:szCs w:val="32"/>
        </w:rPr>
        <w:t>三、项目绩效</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"_Toc393722576" </w:instrText>
      </w:r>
      <w:r>
        <w:fldChar w:fldCharType="separate"/>
      </w:r>
      <w:r>
        <w:rPr>
          <w:rFonts w:hint="eastAsia" w:ascii="仿宋_GB2312" w:hAnsi="仿宋_GB2312" w:eastAsia="仿宋_GB2312"/>
          <w:smallCaps/>
          <w:color w:val="333333"/>
          <w:sz w:val="32"/>
          <w:szCs w:val="32"/>
        </w:rPr>
        <w:t>四、存在问题</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"_Toc393722577" </w:instrText>
      </w:r>
      <w:r>
        <w:fldChar w:fldCharType="separate"/>
      </w:r>
      <w:r>
        <w:rPr>
          <w:rFonts w:hint="eastAsia" w:ascii="仿宋_GB2312" w:hAnsi="仿宋_GB2312" w:eastAsia="仿宋_GB2312"/>
          <w:smallCaps/>
          <w:color w:val="333333"/>
          <w:sz w:val="32"/>
          <w:szCs w:val="32"/>
        </w:rPr>
        <w:t>五、相关建议</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7</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"_Toc393722578" </w:instrText>
      </w:r>
      <w:r>
        <w:fldChar w:fldCharType="separate"/>
      </w:r>
      <w:r>
        <w:rPr>
          <w:rFonts w:hint="eastAsia" w:ascii="仿宋_GB2312" w:hAnsi="仿宋_GB2312" w:eastAsia="仿宋_GB2312"/>
          <w:bCs/>
          <w:smallCaps/>
          <w:color w:val="333333"/>
          <w:sz w:val="32"/>
          <w:szCs w:val="32"/>
        </w:rPr>
        <w:t>六、综合评价结论</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7</w:t>
      </w:r>
    </w:p>
    <w:p>
      <w:pPr>
        <w:tabs>
          <w:tab w:val="left" w:pos="840"/>
          <w:tab w:val="right" w:leader="dot" w:pos="8302"/>
        </w:tabs>
        <w:spacing w:line="620" w:lineRule="exact"/>
        <w:jc w:val="left"/>
        <w:rPr>
          <w:rFonts w:ascii="仿宋_GB2312" w:hAnsi="仿宋_GB2312" w:eastAsia="仿宋_GB2312"/>
          <w:sz w:val="32"/>
          <w:szCs w:val="32"/>
        </w:rPr>
      </w:pPr>
    </w:p>
    <w:p>
      <w:pPr>
        <w:spacing w:line="620" w:lineRule="exact"/>
        <w:rPr>
          <w:rFonts w:ascii="仿宋_GB2312" w:hAnsi="仿宋_GB2312" w:eastAsia="仿宋_GB2312"/>
          <w:szCs w:val="24"/>
        </w:rPr>
      </w:pPr>
      <w:r>
        <w:rPr>
          <w:rFonts w:hint="eastAsia" w:ascii="仿宋_GB2312" w:hAnsi="仿宋_GB2312" w:eastAsia="仿宋_GB2312"/>
          <w:b/>
          <w:bCs/>
          <w:sz w:val="32"/>
          <w:szCs w:val="32"/>
          <w:lang w:val="zh-CN"/>
        </w:rPr>
        <w:fldChar w:fldCharType="end"/>
      </w: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3" w:type="default"/>
          <w:pgSz w:w="11906" w:h="16838"/>
          <w:pgMar w:top="1440" w:right="1800" w:bottom="1440" w:left="1800" w:header="851" w:footer="992" w:gutter="0"/>
          <w:pgNumType w:start="3" w:chapStyle="1"/>
          <w:cols w:space="425" w:num="1"/>
          <w:docGrid w:type="lines" w:linePitch="312" w:charSpace="0"/>
        </w:sectPr>
      </w:pPr>
    </w:p>
    <w:p>
      <w:pPr>
        <w:spacing w:line="620" w:lineRule="exact"/>
        <w:ind w:firstLine="903" w:firstLineChars="200"/>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第一章 项目概况</w:t>
      </w:r>
    </w:p>
    <w:p>
      <w:pPr>
        <w:spacing w:before="156" w:beforeLines="50" w:after="156" w:afterLines="50"/>
        <w:ind w:firstLine="663" w:firstLineChars="200"/>
        <w:outlineLvl w:val="1"/>
        <w:rPr>
          <w:rFonts w:ascii="仿宋_GB2312" w:hAnsi="仿宋_GB2312" w:eastAsia="仿宋_GB2312"/>
          <w:b/>
          <w:spacing w:val="5"/>
          <w:kern w:val="0"/>
          <w:sz w:val="32"/>
          <w:szCs w:val="32"/>
        </w:rPr>
      </w:pPr>
      <w:bookmarkStart w:id="0" w:name="_Toc433101636"/>
      <w:bookmarkStart w:id="1" w:name="_Toc361387939"/>
      <w:r>
        <w:rPr>
          <w:rFonts w:hint="eastAsia" w:ascii="仿宋_GB2312" w:hAnsi="仿宋_GB2312" w:eastAsia="仿宋_GB2312"/>
          <w:b/>
          <w:spacing w:val="5"/>
          <w:kern w:val="0"/>
          <w:sz w:val="32"/>
          <w:szCs w:val="32"/>
        </w:rPr>
        <w:t>一、项目基本情况</w:t>
      </w:r>
      <w:bookmarkEnd w:id="0"/>
      <w:bookmarkEnd w:id="1"/>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隘子镇是韶关市“九龄故里·百里画廊”精品旅游示范线路和“全市重点旅游镇”创建单位。而围楼见证着先人的勤劳与智慧，也是中国乃至世界宝贵的文化遗产。为了更好的对满堂客家大围景区进行开发，对隘子满堂旅游基础设施项目启动征地程序。</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该项目征收总面积为33645.38平方米（50.47亩），其中耕地面积33645.38平方米。项目实施内容是完成土地的征收，目前已完成50.47亩的土地协议书的签订工作，并已足额发放土地补偿款，地上青苗及其他附着物已完成清点工作，并已发放地上附着物补偿款。</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二、项目主管部门及资金使用单位</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项目主管部门：始兴县自然资源局。</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资金使用单位：始兴县土地储备中心。 </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三、经费预算安排</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关于请求拨付隘子满堂旅游基础设施项目征地补偿款相关费用的请示》（始自然资（征地）[2019]15号），隘子满堂旅游基础设施项目资金预算安排如下：征地补偿款（含留用地补偿款）1,884,136.34元、工作经费168,226.90元、测量费10,093.61元、清表费50</w:t>
      </w:r>
      <w:r>
        <w:rPr>
          <w:rFonts w:ascii="仿宋_GB2312" w:hAnsi="仿宋_GB2312" w:eastAsia="仿宋_GB2312"/>
          <w:spacing w:val="5"/>
          <w:kern w:val="0"/>
          <w:sz w:val="32"/>
          <w:szCs w:val="32"/>
        </w:rPr>
        <w:t>,</w:t>
      </w:r>
      <w:r>
        <w:rPr>
          <w:rFonts w:hint="eastAsia" w:ascii="仿宋_GB2312" w:hAnsi="仿宋_GB2312" w:eastAsia="仿宋_GB2312"/>
          <w:spacing w:val="5"/>
          <w:kern w:val="0"/>
          <w:sz w:val="32"/>
          <w:szCs w:val="32"/>
        </w:rPr>
        <w:t>470.00元，四项合计：2,112,926.85元。</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四、绩效目标</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通过合理运用征地项目补偿款相关经费，增加新的旅游项目，更好地发挥特色旅游项目带动旅游产业加快乡村经济的发展，促进生态环境的改善，推动旅游业可持续发展。</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五、评价目的</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了解项目主管部门对满堂旅游基础设施项目征地补偿资金落实、管理、使用情况，以及了解项目经费实施效益情况，进而总结经验，发现问题，加强管理，改进工作，推动满堂旅游项目进一步开展，确保项目资金安全并发挥效益，提高资金使用单位项目管理水平和项目资金使用效益。</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六、评价工作依据</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（一）关于请示拨付隘子满堂旅游基础设施项目部征地补偿款相关费用的请示（始自然资（征地）[2019]15号）；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（二）始兴县人民政府办公室关于进一步加强征地拆迁补偿安置资金管理的通知（始府办[2016]44号）；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（三）始兴县人民政府办公室关于印发《始兴县土地储备项目征地拆迁工作经费使用管理办法（修订）》的通知（始府办[2019]24号）；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（四）始兴县人民政府关于印发隘子镇满堂旅游基础设施项目征地拆迁补偿实施方案的通知（始府函[2019]22号</w:t>
      </w:r>
      <w:r>
        <w:rPr>
          <w:rFonts w:ascii="仿宋_GB2312" w:hAnsi="仿宋_GB2312" w:eastAsia="仿宋_GB2312"/>
          <w:spacing w:val="5"/>
          <w:kern w:val="0"/>
          <w:sz w:val="32"/>
          <w:szCs w:val="32"/>
        </w:rPr>
        <w:t>）</w:t>
      </w:r>
      <w:r>
        <w:rPr>
          <w:rFonts w:hint="eastAsia" w:ascii="仿宋_GB2312" w:hAnsi="仿宋_GB2312" w:eastAsia="仿宋_GB2312"/>
          <w:spacing w:val="5"/>
          <w:kern w:val="0"/>
          <w:sz w:val="32"/>
          <w:szCs w:val="32"/>
        </w:rPr>
        <w:t>；</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（五）隘子镇满堂旅游基础设施项目征地拆迁预通告（始府通[2019]6号</w:t>
      </w:r>
      <w:r>
        <w:rPr>
          <w:rFonts w:ascii="仿宋_GB2312" w:hAnsi="仿宋_GB2312" w:eastAsia="仿宋_GB2312"/>
          <w:spacing w:val="5"/>
          <w:kern w:val="0"/>
          <w:sz w:val="32"/>
          <w:szCs w:val="32"/>
        </w:rPr>
        <w:t>）</w:t>
      </w:r>
      <w:r>
        <w:rPr>
          <w:rFonts w:hint="eastAsia" w:ascii="仿宋_GB2312" w:hAnsi="仿宋_GB2312" w:eastAsia="仿宋_GB2312"/>
          <w:spacing w:val="5"/>
          <w:kern w:val="0"/>
          <w:sz w:val="32"/>
          <w:szCs w:val="32"/>
        </w:rPr>
        <w:t>；</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（六）《预算法》；</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（七）资金使用单位提交的《绩效自评报告》、《基础信息表》及《绩效评价指标》。</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七、自评情况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2020年8月份始兴县自然资源局对2019年度隘子满堂旅游基础设施征地补偿项目资金进行了自评，自评得分</w:t>
      </w:r>
      <w:r>
        <w:rPr>
          <w:rFonts w:ascii="仿宋_GB2312" w:hAnsi="仿宋_GB2312" w:eastAsia="仿宋_GB2312"/>
          <w:spacing w:val="5"/>
          <w:kern w:val="0"/>
          <w:sz w:val="32"/>
          <w:szCs w:val="32"/>
        </w:rPr>
        <w:t>98.5</w:t>
      </w:r>
      <w:r>
        <w:rPr>
          <w:rFonts w:hint="eastAsia" w:ascii="仿宋_GB2312" w:hAnsi="仿宋_GB2312" w:eastAsia="仿宋_GB2312"/>
          <w:spacing w:val="5"/>
          <w:kern w:val="0"/>
          <w:sz w:val="32"/>
          <w:szCs w:val="32"/>
        </w:rPr>
        <w:t>分，绩效等级为“优”。详见《财政支出项目绩效自评情况表》（附件4）。</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第二章 评价程序</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一、前期准备</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成立绩效评价小组（附件1），初审始兴县自然资源</w:t>
      </w:r>
    </w:p>
    <w:p>
      <w:pPr>
        <w:spacing w:line="620" w:lineRule="exact"/>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局提供的考核资料，对漏报、错报和佐证材料不足等事项，要求补充更正。</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二、实地核查</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到项目主管部门检查专项经费账务资料和相关文件，重点核实专项经费到位和管理使用情况，以及2019年度隘子满堂旅游基础设施项目资金考核指标的实际完成情况，并进行现场考核，查阅专项资金收付账务资料以及开展征地工作成效资料。 </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第三章 评价结果</w:t>
      </w:r>
    </w:p>
    <w:p>
      <w:pPr>
        <w:spacing w:before="156" w:beforeLines="50" w:after="156" w:afterLines="50" w:line="620" w:lineRule="exact"/>
        <w:ind w:firstLine="663" w:firstLineChars="200"/>
        <w:rPr>
          <w:rFonts w:ascii="仿宋" w:hAnsi="仿宋" w:eastAsia="仿宋"/>
          <w:b/>
          <w:spacing w:val="5"/>
          <w:kern w:val="0"/>
          <w:sz w:val="32"/>
          <w:szCs w:val="32"/>
        </w:rPr>
      </w:pPr>
      <w:r>
        <w:rPr>
          <w:rFonts w:hint="eastAsia" w:ascii="仿宋" w:hAnsi="仿宋" w:eastAsia="仿宋"/>
          <w:b/>
          <w:spacing w:val="5"/>
          <w:kern w:val="0"/>
          <w:sz w:val="32"/>
          <w:szCs w:val="32"/>
        </w:rPr>
        <w:t>一、项目经费实施和管理情况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（一）项目经费内容</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截至201</w:t>
      </w:r>
      <w:r>
        <w:rPr>
          <w:rFonts w:ascii="仿宋_GB2312" w:hAnsi="仿宋_GB2312" w:eastAsia="仿宋_GB2312"/>
          <w:spacing w:val="5"/>
          <w:kern w:val="0"/>
          <w:sz w:val="32"/>
          <w:szCs w:val="32"/>
        </w:rPr>
        <w:t>9</w:t>
      </w:r>
      <w:r>
        <w:rPr>
          <w:rFonts w:hint="eastAsia" w:ascii="仿宋_GB2312" w:hAnsi="仿宋_GB2312" w:eastAsia="仿宋_GB2312"/>
          <w:spacing w:val="5"/>
          <w:kern w:val="0"/>
          <w:sz w:val="32"/>
          <w:szCs w:val="32"/>
        </w:rPr>
        <w:t>年12月31日，始兴县自然资源局隘子满堂旅游基础设施征地补偿项目资金主要用于：土地征收、青苗和地上附着物、建（构）筑物拆迁、工作经费、测量费、清表费等。</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（二）项目资金情况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根据《关于请示拨付隘子满堂旅游基础设施项目征地补偿款相关费用的请示》（始自然资（征地）[2019]15号），下达2019年用于隘子满堂旅游基础设施项目征地补偿资金2,112,926.85元，</w:t>
      </w:r>
      <w:r>
        <w:rPr>
          <w:rFonts w:hint="eastAsia" w:ascii="仿宋_GB2312" w:hAnsi="仿宋_GB2312" w:eastAsia="仿宋_GB2312"/>
          <w:bCs/>
          <w:spacing w:val="5"/>
          <w:kern w:val="0"/>
          <w:sz w:val="32"/>
          <w:szCs w:val="32"/>
        </w:rPr>
        <w:t>到位率100.00</w:t>
      </w:r>
      <w:r>
        <w:rPr>
          <w:rFonts w:ascii="仿宋_GB2312" w:hAnsi="仿宋_GB2312" w:eastAsia="仿宋_GB2312"/>
          <w:bCs/>
          <w:spacing w:val="5"/>
          <w:kern w:val="0"/>
          <w:sz w:val="32"/>
          <w:szCs w:val="32"/>
        </w:rPr>
        <w:t>%</w:t>
      </w:r>
      <w:r>
        <w:rPr>
          <w:rFonts w:hint="eastAsia" w:ascii="仿宋_GB2312" w:hAnsi="仿宋_GB2312" w:eastAsia="仿宋_GB2312"/>
          <w:bCs/>
          <w:spacing w:val="5"/>
          <w:kern w:val="0"/>
          <w:sz w:val="32"/>
          <w:szCs w:val="32"/>
        </w:rPr>
        <w:t>，</w:t>
      </w:r>
      <w:r>
        <w:rPr>
          <w:rFonts w:hint="eastAsia" w:ascii="仿宋_GB2312" w:hAnsi="仿宋_GB2312" w:eastAsia="仿宋_GB2312"/>
          <w:spacing w:val="5"/>
          <w:kern w:val="0"/>
          <w:sz w:val="32"/>
          <w:szCs w:val="32"/>
        </w:rPr>
        <w:t>实际支付2,181,542.99元，</w:t>
      </w:r>
      <w:r>
        <w:rPr>
          <w:rFonts w:hint="eastAsia" w:ascii="仿宋_GB2312" w:hAnsi="仿宋_GB2312" w:eastAsia="仿宋_GB2312"/>
          <w:bCs/>
          <w:spacing w:val="5"/>
          <w:kern w:val="0"/>
          <w:sz w:val="32"/>
          <w:szCs w:val="32"/>
        </w:rPr>
        <w:t>支付率为103.25</w:t>
      </w:r>
      <w:r>
        <w:rPr>
          <w:rFonts w:ascii="仿宋_GB2312" w:hAnsi="仿宋_GB2312" w:eastAsia="仿宋_GB2312"/>
          <w:bCs/>
          <w:spacing w:val="5"/>
          <w:kern w:val="0"/>
          <w:sz w:val="32"/>
          <w:szCs w:val="32"/>
        </w:rPr>
        <w:t>%</w:t>
      </w:r>
      <w:r>
        <w:rPr>
          <w:rFonts w:hint="eastAsia" w:ascii="仿宋_GB2312" w:hAnsi="仿宋_GB2312" w:eastAsia="仿宋_GB2312"/>
          <w:spacing w:val="5"/>
          <w:kern w:val="0"/>
          <w:sz w:val="32"/>
          <w:szCs w:val="32"/>
        </w:rPr>
        <w:t>。</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二、资金拨付和使用情况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该项目实际拨款金额2,112,926.85元，实际使用资金2,181,542.99元，项目资金主要使用方向：支付征地补偿款1,884,136.34元，支付测量费10,093.61元,支付工作经费100,936.14元，支付附着物补偿款6,830.00元，支付构建（筑）物拆迁补偿款179,546.90元。</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三、项目绩效</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隘子满堂旅游基础设施项目征地补偿款的拨付使用，解决了满堂村村民征地补偿及青苗等附着物的补偿款问题，项目经费的落实不仅确保了该旅游项目征地任务的顺利完成，同时增加了乡村旅游项目，带动乡村经济发展，改善了生态环境，美化村民生活环境，推动旅游业可持续发展。</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四、存在问题</w:t>
      </w:r>
    </w:p>
    <w:p>
      <w:pPr>
        <w:spacing w:line="620" w:lineRule="exact"/>
        <w:ind w:firstLine="495" w:firstLineChars="15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（一）资金使用略超预算资金。</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2019年度，县级财政预算项目经费为2,112,926.85元，实际下达</w:t>
      </w:r>
      <w:r>
        <w:rPr>
          <w:rFonts w:ascii="仿宋_GB2312" w:hAnsi="仿宋_GB2312" w:eastAsia="仿宋_GB2312"/>
          <w:spacing w:val="5"/>
          <w:kern w:val="0"/>
          <w:sz w:val="32"/>
          <w:szCs w:val="32"/>
        </w:rPr>
        <w:t>2,112,926.85</w:t>
      </w:r>
      <w:r>
        <w:rPr>
          <w:rFonts w:hint="eastAsia" w:ascii="仿宋_GB2312" w:hAnsi="仿宋_GB2312" w:eastAsia="仿宋_GB2312"/>
          <w:spacing w:val="5"/>
          <w:kern w:val="0"/>
          <w:sz w:val="32"/>
          <w:szCs w:val="32"/>
        </w:rPr>
        <w:t>元，于2019年6月3日一次性拨付，资金下达率为100%。截至2019年12月31日，项目实际使用资金</w:t>
      </w:r>
      <w:r>
        <w:rPr>
          <w:rFonts w:ascii="仿宋_GB2312" w:hAnsi="仿宋_GB2312" w:eastAsia="仿宋_GB2312"/>
          <w:spacing w:val="5"/>
          <w:kern w:val="0"/>
          <w:sz w:val="32"/>
          <w:szCs w:val="32"/>
        </w:rPr>
        <w:t>2,</w:t>
      </w:r>
      <w:r>
        <w:rPr>
          <w:rFonts w:hint="eastAsia" w:ascii="仿宋_GB2312" w:hAnsi="仿宋_GB2312" w:eastAsia="仿宋_GB2312"/>
          <w:spacing w:val="5"/>
          <w:kern w:val="0"/>
          <w:sz w:val="32"/>
          <w:szCs w:val="32"/>
        </w:rPr>
        <w:t>181</w:t>
      </w:r>
      <w:r>
        <w:rPr>
          <w:rFonts w:ascii="仿宋_GB2312" w:hAnsi="仿宋_GB2312" w:eastAsia="仿宋_GB2312"/>
          <w:spacing w:val="5"/>
          <w:kern w:val="0"/>
          <w:sz w:val="32"/>
          <w:szCs w:val="32"/>
        </w:rPr>
        <w:t>,</w:t>
      </w:r>
      <w:r>
        <w:rPr>
          <w:rFonts w:hint="eastAsia" w:ascii="仿宋_GB2312" w:hAnsi="仿宋_GB2312" w:eastAsia="仿宋_GB2312"/>
          <w:spacing w:val="5"/>
          <w:kern w:val="0"/>
          <w:sz w:val="32"/>
          <w:szCs w:val="32"/>
        </w:rPr>
        <w:t>542</w:t>
      </w:r>
      <w:r>
        <w:rPr>
          <w:rFonts w:ascii="仿宋_GB2312" w:hAnsi="仿宋_GB2312" w:eastAsia="仿宋_GB2312"/>
          <w:spacing w:val="5"/>
          <w:kern w:val="0"/>
          <w:sz w:val="32"/>
          <w:szCs w:val="32"/>
        </w:rPr>
        <w:t>.</w:t>
      </w:r>
      <w:r>
        <w:rPr>
          <w:rFonts w:hint="eastAsia" w:ascii="仿宋_GB2312" w:hAnsi="仿宋_GB2312" w:eastAsia="仿宋_GB2312"/>
          <w:spacing w:val="5"/>
          <w:kern w:val="0"/>
          <w:sz w:val="32"/>
          <w:szCs w:val="32"/>
        </w:rPr>
        <w:t>99元，项目资金超出预算68,616.14元，项目资金使用率为103.24%，资金使用超出预算资金。超出部分从资金使用单位其他经费列支。</w:t>
      </w:r>
    </w:p>
    <w:p>
      <w:pPr>
        <w:spacing w:line="620" w:lineRule="exact"/>
        <w:jc w:val="center"/>
        <w:rPr>
          <w:rFonts w:ascii="仿宋_GB2312" w:hAnsi="仿宋_GB2312" w:eastAsia="仿宋_GB2312"/>
          <w:b/>
          <w:spacing w:val="5"/>
          <w:kern w:val="0"/>
          <w:szCs w:val="21"/>
        </w:rPr>
      </w:pPr>
      <w:r>
        <w:rPr>
          <w:rFonts w:hint="eastAsia" w:ascii="仿宋_GB2312" w:hAnsi="仿宋_GB2312" w:eastAsia="仿宋_GB2312"/>
          <w:b/>
          <w:spacing w:val="5"/>
          <w:kern w:val="0"/>
          <w:szCs w:val="21"/>
        </w:rPr>
        <w:t>预算资金明细与实际支出明细对照表：                              （单位：元）</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34"/>
        <w:gridCol w:w="992"/>
        <w:gridCol w:w="992"/>
        <w:gridCol w:w="993"/>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84" w:type="dxa"/>
            <w:vAlign w:val="center"/>
          </w:tcPr>
          <w:p>
            <w:pPr>
              <w:pStyle w:val="16"/>
              <w:jc w:val="center"/>
              <w:rPr>
                <w:b/>
                <w:sz w:val="18"/>
                <w:szCs w:val="18"/>
              </w:rPr>
            </w:pPr>
            <w:r>
              <w:rPr>
                <w:rFonts w:hint="eastAsia"/>
                <w:b/>
                <w:sz w:val="18"/>
                <w:szCs w:val="18"/>
              </w:rPr>
              <w:t>明细项目</w:t>
            </w:r>
          </w:p>
        </w:tc>
        <w:tc>
          <w:tcPr>
            <w:tcW w:w="1276" w:type="dxa"/>
            <w:vAlign w:val="center"/>
          </w:tcPr>
          <w:p>
            <w:pPr>
              <w:pStyle w:val="16"/>
              <w:jc w:val="center"/>
              <w:rPr>
                <w:b/>
                <w:sz w:val="18"/>
                <w:szCs w:val="18"/>
              </w:rPr>
            </w:pPr>
            <w:r>
              <w:rPr>
                <w:rFonts w:hint="eastAsia"/>
                <w:b/>
                <w:sz w:val="18"/>
                <w:szCs w:val="18"/>
              </w:rPr>
              <w:t>征地补偿款</w:t>
            </w:r>
          </w:p>
        </w:tc>
        <w:tc>
          <w:tcPr>
            <w:tcW w:w="1134" w:type="dxa"/>
            <w:vAlign w:val="center"/>
          </w:tcPr>
          <w:p>
            <w:pPr>
              <w:pStyle w:val="16"/>
              <w:jc w:val="center"/>
              <w:rPr>
                <w:b/>
                <w:sz w:val="18"/>
                <w:szCs w:val="18"/>
              </w:rPr>
            </w:pPr>
            <w:r>
              <w:rPr>
                <w:rFonts w:hint="eastAsia"/>
                <w:b/>
                <w:sz w:val="18"/>
                <w:szCs w:val="18"/>
              </w:rPr>
              <w:t>工作经费</w:t>
            </w:r>
          </w:p>
        </w:tc>
        <w:tc>
          <w:tcPr>
            <w:tcW w:w="992" w:type="dxa"/>
            <w:vAlign w:val="center"/>
          </w:tcPr>
          <w:p>
            <w:pPr>
              <w:pStyle w:val="16"/>
              <w:jc w:val="center"/>
              <w:rPr>
                <w:b/>
                <w:sz w:val="18"/>
                <w:szCs w:val="18"/>
              </w:rPr>
            </w:pPr>
            <w:r>
              <w:rPr>
                <w:rFonts w:hint="eastAsia"/>
                <w:b/>
                <w:sz w:val="18"/>
                <w:szCs w:val="18"/>
              </w:rPr>
              <w:t>测量费</w:t>
            </w:r>
          </w:p>
        </w:tc>
        <w:tc>
          <w:tcPr>
            <w:tcW w:w="992" w:type="dxa"/>
            <w:vAlign w:val="center"/>
          </w:tcPr>
          <w:p>
            <w:pPr>
              <w:pStyle w:val="16"/>
              <w:jc w:val="center"/>
              <w:rPr>
                <w:b/>
                <w:sz w:val="18"/>
                <w:szCs w:val="18"/>
              </w:rPr>
            </w:pPr>
            <w:r>
              <w:rPr>
                <w:rFonts w:hint="eastAsia"/>
                <w:b/>
                <w:sz w:val="18"/>
                <w:szCs w:val="18"/>
              </w:rPr>
              <w:t>清表费</w:t>
            </w:r>
          </w:p>
        </w:tc>
        <w:tc>
          <w:tcPr>
            <w:tcW w:w="993" w:type="dxa"/>
            <w:vAlign w:val="center"/>
          </w:tcPr>
          <w:p>
            <w:pPr>
              <w:pStyle w:val="16"/>
              <w:jc w:val="center"/>
              <w:rPr>
                <w:b/>
                <w:sz w:val="18"/>
                <w:szCs w:val="18"/>
              </w:rPr>
            </w:pPr>
            <w:r>
              <w:rPr>
                <w:rFonts w:hint="eastAsia"/>
                <w:b/>
                <w:sz w:val="18"/>
                <w:szCs w:val="18"/>
              </w:rPr>
              <w:t>附着物补偿款</w:t>
            </w:r>
          </w:p>
        </w:tc>
        <w:tc>
          <w:tcPr>
            <w:tcW w:w="1134" w:type="dxa"/>
            <w:vAlign w:val="center"/>
          </w:tcPr>
          <w:p>
            <w:pPr>
              <w:pStyle w:val="16"/>
              <w:jc w:val="center"/>
              <w:rPr>
                <w:b/>
                <w:sz w:val="18"/>
                <w:szCs w:val="18"/>
              </w:rPr>
            </w:pPr>
            <w:r>
              <w:rPr>
                <w:rFonts w:hint="eastAsia"/>
                <w:b/>
                <w:sz w:val="18"/>
                <w:szCs w:val="18"/>
              </w:rPr>
              <w:t>构建（筑）物拆迁补偿款</w:t>
            </w:r>
          </w:p>
        </w:tc>
        <w:tc>
          <w:tcPr>
            <w:tcW w:w="1275" w:type="dxa"/>
            <w:vAlign w:val="center"/>
          </w:tcPr>
          <w:p>
            <w:pPr>
              <w:pStyle w:val="16"/>
              <w:jc w:val="center"/>
              <w:rPr>
                <w:b/>
                <w:sz w:val="18"/>
                <w:szCs w:val="18"/>
              </w:rPr>
            </w:pPr>
            <w:r>
              <w:rPr>
                <w:rFonts w:hint="eastAsia"/>
                <w:b/>
                <w:sz w:val="18"/>
                <w:szCs w:val="18"/>
              </w:rPr>
              <w:t>合计支出金额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84" w:type="dxa"/>
            <w:vAlign w:val="center"/>
          </w:tcPr>
          <w:p>
            <w:pPr>
              <w:pStyle w:val="16"/>
              <w:jc w:val="left"/>
              <w:rPr>
                <w:b/>
                <w:sz w:val="18"/>
                <w:szCs w:val="18"/>
              </w:rPr>
            </w:pPr>
            <w:r>
              <w:rPr>
                <w:rFonts w:hint="eastAsia"/>
                <w:b/>
                <w:sz w:val="18"/>
                <w:szCs w:val="18"/>
              </w:rPr>
              <w:t>预算金额</w:t>
            </w:r>
          </w:p>
        </w:tc>
        <w:tc>
          <w:tcPr>
            <w:tcW w:w="1276" w:type="dxa"/>
            <w:vAlign w:val="center"/>
          </w:tcPr>
          <w:p>
            <w:pPr>
              <w:pStyle w:val="16"/>
              <w:jc w:val="center"/>
              <w:rPr>
                <w:b/>
                <w:sz w:val="18"/>
                <w:szCs w:val="18"/>
              </w:rPr>
            </w:pPr>
            <w:r>
              <w:rPr>
                <w:b/>
                <w:sz w:val="18"/>
                <w:szCs w:val="18"/>
              </w:rPr>
              <w:t>1,884,136.34</w:t>
            </w:r>
          </w:p>
        </w:tc>
        <w:tc>
          <w:tcPr>
            <w:tcW w:w="1134" w:type="dxa"/>
            <w:vAlign w:val="center"/>
          </w:tcPr>
          <w:p>
            <w:pPr>
              <w:pStyle w:val="16"/>
              <w:jc w:val="center"/>
              <w:rPr>
                <w:b/>
                <w:sz w:val="18"/>
                <w:szCs w:val="18"/>
              </w:rPr>
            </w:pPr>
            <w:r>
              <w:rPr>
                <w:b/>
                <w:sz w:val="18"/>
                <w:szCs w:val="18"/>
              </w:rPr>
              <w:t>168,226.90</w:t>
            </w:r>
          </w:p>
        </w:tc>
        <w:tc>
          <w:tcPr>
            <w:tcW w:w="992" w:type="dxa"/>
            <w:vAlign w:val="center"/>
          </w:tcPr>
          <w:p>
            <w:pPr>
              <w:pStyle w:val="16"/>
              <w:jc w:val="center"/>
              <w:rPr>
                <w:b/>
                <w:sz w:val="18"/>
                <w:szCs w:val="18"/>
              </w:rPr>
            </w:pPr>
            <w:r>
              <w:rPr>
                <w:b/>
                <w:sz w:val="18"/>
                <w:szCs w:val="18"/>
              </w:rPr>
              <w:t>10,093.61</w:t>
            </w:r>
          </w:p>
        </w:tc>
        <w:tc>
          <w:tcPr>
            <w:tcW w:w="992" w:type="dxa"/>
            <w:vAlign w:val="center"/>
          </w:tcPr>
          <w:p>
            <w:pPr>
              <w:pStyle w:val="16"/>
              <w:jc w:val="center"/>
              <w:rPr>
                <w:b/>
                <w:sz w:val="18"/>
                <w:szCs w:val="18"/>
              </w:rPr>
            </w:pPr>
            <w:r>
              <w:rPr>
                <w:b/>
                <w:sz w:val="18"/>
                <w:szCs w:val="18"/>
              </w:rPr>
              <w:t>50</w:t>
            </w:r>
            <w:r>
              <w:rPr>
                <w:rFonts w:hint="eastAsia"/>
                <w:b/>
                <w:sz w:val="18"/>
                <w:szCs w:val="18"/>
              </w:rPr>
              <w:t>,</w:t>
            </w:r>
            <w:r>
              <w:rPr>
                <w:b/>
                <w:sz w:val="18"/>
                <w:szCs w:val="18"/>
              </w:rPr>
              <w:t>470.00</w:t>
            </w:r>
          </w:p>
        </w:tc>
        <w:tc>
          <w:tcPr>
            <w:tcW w:w="993" w:type="dxa"/>
            <w:vAlign w:val="center"/>
          </w:tcPr>
          <w:p>
            <w:pPr>
              <w:pStyle w:val="16"/>
              <w:jc w:val="center"/>
              <w:rPr>
                <w:b/>
                <w:sz w:val="18"/>
                <w:szCs w:val="18"/>
              </w:rPr>
            </w:pPr>
          </w:p>
        </w:tc>
        <w:tc>
          <w:tcPr>
            <w:tcW w:w="1134" w:type="dxa"/>
            <w:vAlign w:val="center"/>
          </w:tcPr>
          <w:p>
            <w:pPr>
              <w:pStyle w:val="16"/>
              <w:jc w:val="center"/>
              <w:rPr>
                <w:b/>
                <w:sz w:val="18"/>
                <w:szCs w:val="18"/>
              </w:rPr>
            </w:pPr>
          </w:p>
        </w:tc>
        <w:tc>
          <w:tcPr>
            <w:tcW w:w="1275" w:type="dxa"/>
            <w:vAlign w:val="center"/>
          </w:tcPr>
          <w:p>
            <w:pPr>
              <w:pStyle w:val="16"/>
              <w:jc w:val="center"/>
              <w:rPr>
                <w:b/>
                <w:sz w:val="18"/>
                <w:szCs w:val="18"/>
              </w:rPr>
            </w:pPr>
            <w:r>
              <w:rPr>
                <w:b/>
                <w:sz w:val="18"/>
                <w:szCs w:val="18"/>
              </w:rPr>
              <w:t>2,112,926.85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84" w:type="dxa"/>
            <w:vAlign w:val="center"/>
          </w:tcPr>
          <w:p>
            <w:pPr>
              <w:pStyle w:val="16"/>
              <w:jc w:val="left"/>
              <w:rPr>
                <w:b/>
                <w:sz w:val="18"/>
                <w:szCs w:val="18"/>
              </w:rPr>
            </w:pPr>
            <w:r>
              <w:rPr>
                <w:rFonts w:hint="eastAsia"/>
                <w:b/>
                <w:sz w:val="18"/>
                <w:szCs w:val="18"/>
              </w:rPr>
              <w:t>实际支出金额</w:t>
            </w:r>
          </w:p>
        </w:tc>
        <w:tc>
          <w:tcPr>
            <w:tcW w:w="1276" w:type="dxa"/>
            <w:vAlign w:val="center"/>
          </w:tcPr>
          <w:p>
            <w:pPr>
              <w:pStyle w:val="16"/>
              <w:jc w:val="center"/>
              <w:rPr>
                <w:b/>
                <w:sz w:val="18"/>
                <w:szCs w:val="18"/>
              </w:rPr>
            </w:pPr>
            <w:r>
              <w:rPr>
                <w:b/>
                <w:sz w:val="18"/>
                <w:szCs w:val="18"/>
              </w:rPr>
              <w:t>1,884,136.34</w:t>
            </w:r>
          </w:p>
        </w:tc>
        <w:tc>
          <w:tcPr>
            <w:tcW w:w="1134" w:type="dxa"/>
            <w:vAlign w:val="center"/>
          </w:tcPr>
          <w:p>
            <w:pPr>
              <w:pStyle w:val="16"/>
              <w:jc w:val="center"/>
              <w:rPr>
                <w:b/>
                <w:sz w:val="18"/>
                <w:szCs w:val="18"/>
              </w:rPr>
            </w:pPr>
            <w:r>
              <w:rPr>
                <w:b/>
                <w:sz w:val="18"/>
                <w:szCs w:val="18"/>
              </w:rPr>
              <w:t>100,936.14</w:t>
            </w:r>
          </w:p>
        </w:tc>
        <w:tc>
          <w:tcPr>
            <w:tcW w:w="992" w:type="dxa"/>
            <w:vAlign w:val="center"/>
          </w:tcPr>
          <w:p>
            <w:pPr>
              <w:pStyle w:val="16"/>
              <w:jc w:val="center"/>
              <w:rPr>
                <w:b/>
                <w:sz w:val="18"/>
                <w:szCs w:val="18"/>
              </w:rPr>
            </w:pPr>
            <w:r>
              <w:rPr>
                <w:b/>
                <w:sz w:val="18"/>
                <w:szCs w:val="18"/>
              </w:rPr>
              <w:t>10,093.61</w:t>
            </w:r>
          </w:p>
        </w:tc>
        <w:tc>
          <w:tcPr>
            <w:tcW w:w="992" w:type="dxa"/>
            <w:vAlign w:val="center"/>
          </w:tcPr>
          <w:p>
            <w:pPr>
              <w:pStyle w:val="16"/>
              <w:jc w:val="center"/>
              <w:rPr>
                <w:b/>
                <w:sz w:val="18"/>
                <w:szCs w:val="18"/>
              </w:rPr>
            </w:pPr>
          </w:p>
        </w:tc>
        <w:tc>
          <w:tcPr>
            <w:tcW w:w="993" w:type="dxa"/>
            <w:vAlign w:val="center"/>
          </w:tcPr>
          <w:p>
            <w:pPr>
              <w:pStyle w:val="16"/>
              <w:jc w:val="center"/>
              <w:rPr>
                <w:b/>
                <w:sz w:val="18"/>
                <w:szCs w:val="18"/>
              </w:rPr>
            </w:pPr>
            <w:r>
              <w:rPr>
                <w:b/>
                <w:sz w:val="18"/>
                <w:szCs w:val="18"/>
              </w:rPr>
              <w:t>6,830.00</w:t>
            </w:r>
          </w:p>
        </w:tc>
        <w:tc>
          <w:tcPr>
            <w:tcW w:w="1134" w:type="dxa"/>
            <w:vAlign w:val="center"/>
          </w:tcPr>
          <w:p>
            <w:pPr>
              <w:pStyle w:val="16"/>
              <w:jc w:val="center"/>
              <w:rPr>
                <w:b/>
                <w:sz w:val="18"/>
                <w:szCs w:val="18"/>
              </w:rPr>
            </w:pPr>
            <w:r>
              <w:rPr>
                <w:b/>
                <w:sz w:val="18"/>
                <w:szCs w:val="18"/>
              </w:rPr>
              <w:t>179,546.90</w:t>
            </w:r>
          </w:p>
        </w:tc>
        <w:tc>
          <w:tcPr>
            <w:tcW w:w="1275" w:type="dxa"/>
            <w:vAlign w:val="center"/>
          </w:tcPr>
          <w:p>
            <w:pPr>
              <w:pStyle w:val="16"/>
              <w:jc w:val="center"/>
              <w:rPr>
                <w:b/>
                <w:sz w:val="18"/>
                <w:szCs w:val="18"/>
              </w:rPr>
            </w:pPr>
            <w:r>
              <w:rPr>
                <w:b/>
                <w:sz w:val="18"/>
                <w:szCs w:val="18"/>
              </w:rPr>
              <w:t>2,1</w:t>
            </w:r>
            <w:r>
              <w:rPr>
                <w:rFonts w:hint="eastAsia"/>
                <w:b/>
                <w:sz w:val="18"/>
                <w:szCs w:val="18"/>
              </w:rPr>
              <w:t>81</w:t>
            </w:r>
            <w:r>
              <w:rPr>
                <w:b/>
                <w:sz w:val="18"/>
                <w:szCs w:val="18"/>
              </w:rPr>
              <w:t>,</w:t>
            </w:r>
            <w:r>
              <w:rPr>
                <w:rFonts w:hint="eastAsia"/>
                <w:b/>
                <w:sz w:val="18"/>
                <w:szCs w:val="18"/>
              </w:rPr>
              <w:t>542</w:t>
            </w:r>
            <w:r>
              <w:rPr>
                <w:b/>
                <w:sz w:val="18"/>
                <w:szCs w:val="18"/>
              </w:rPr>
              <w:t>.</w:t>
            </w:r>
            <w:r>
              <w:rPr>
                <w:rFonts w:hint="eastAsia"/>
                <w:b/>
                <w:sz w:val="18"/>
                <w:szCs w:val="1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84" w:type="dxa"/>
            <w:vAlign w:val="center"/>
          </w:tcPr>
          <w:p>
            <w:pPr>
              <w:pStyle w:val="16"/>
              <w:jc w:val="left"/>
              <w:rPr>
                <w:b/>
                <w:sz w:val="18"/>
                <w:szCs w:val="18"/>
              </w:rPr>
            </w:pPr>
            <w:r>
              <w:rPr>
                <w:rFonts w:hint="eastAsia"/>
                <w:b/>
                <w:sz w:val="18"/>
                <w:szCs w:val="18"/>
              </w:rPr>
              <w:t>预算与实际支出对比</w:t>
            </w:r>
          </w:p>
        </w:tc>
        <w:tc>
          <w:tcPr>
            <w:tcW w:w="1276" w:type="dxa"/>
            <w:vAlign w:val="center"/>
          </w:tcPr>
          <w:p>
            <w:pPr>
              <w:pStyle w:val="16"/>
              <w:jc w:val="center"/>
              <w:rPr>
                <w:b/>
                <w:sz w:val="18"/>
                <w:szCs w:val="18"/>
              </w:rPr>
            </w:pPr>
            <w:r>
              <w:rPr>
                <w:rFonts w:hint="eastAsia"/>
                <w:b/>
                <w:sz w:val="18"/>
                <w:szCs w:val="18"/>
              </w:rPr>
              <w:t>0</w:t>
            </w:r>
            <w:r>
              <w:rPr>
                <w:b/>
                <w:sz w:val="18"/>
                <w:szCs w:val="18"/>
              </w:rPr>
              <w:t>.00</w:t>
            </w:r>
          </w:p>
        </w:tc>
        <w:tc>
          <w:tcPr>
            <w:tcW w:w="1134" w:type="dxa"/>
            <w:vAlign w:val="center"/>
          </w:tcPr>
          <w:p>
            <w:pPr>
              <w:pStyle w:val="16"/>
              <w:jc w:val="center"/>
              <w:rPr>
                <w:b/>
                <w:sz w:val="18"/>
                <w:szCs w:val="18"/>
              </w:rPr>
            </w:pPr>
            <w:r>
              <w:rPr>
                <w:rFonts w:hint="eastAsia"/>
                <w:b/>
                <w:sz w:val="18"/>
                <w:szCs w:val="18"/>
              </w:rPr>
              <w:t>67,290.76</w:t>
            </w:r>
          </w:p>
        </w:tc>
        <w:tc>
          <w:tcPr>
            <w:tcW w:w="992" w:type="dxa"/>
            <w:vAlign w:val="center"/>
          </w:tcPr>
          <w:p>
            <w:pPr>
              <w:pStyle w:val="16"/>
              <w:jc w:val="center"/>
              <w:rPr>
                <w:b/>
                <w:sz w:val="18"/>
                <w:szCs w:val="18"/>
              </w:rPr>
            </w:pPr>
            <w:r>
              <w:rPr>
                <w:rFonts w:hint="eastAsia"/>
                <w:b/>
                <w:sz w:val="18"/>
                <w:szCs w:val="18"/>
              </w:rPr>
              <w:t>0</w:t>
            </w:r>
            <w:r>
              <w:rPr>
                <w:b/>
                <w:sz w:val="18"/>
                <w:szCs w:val="18"/>
              </w:rPr>
              <w:t>.00</w:t>
            </w:r>
          </w:p>
        </w:tc>
        <w:tc>
          <w:tcPr>
            <w:tcW w:w="992" w:type="dxa"/>
            <w:vAlign w:val="center"/>
          </w:tcPr>
          <w:p>
            <w:pPr>
              <w:pStyle w:val="16"/>
              <w:jc w:val="center"/>
              <w:rPr>
                <w:b/>
                <w:sz w:val="18"/>
                <w:szCs w:val="18"/>
              </w:rPr>
            </w:pPr>
            <w:r>
              <w:rPr>
                <w:rFonts w:hint="eastAsia"/>
                <w:b/>
                <w:sz w:val="18"/>
                <w:szCs w:val="18"/>
              </w:rPr>
              <w:t>50,470.00</w:t>
            </w:r>
          </w:p>
        </w:tc>
        <w:tc>
          <w:tcPr>
            <w:tcW w:w="993" w:type="dxa"/>
            <w:vAlign w:val="center"/>
          </w:tcPr>
          <w:p>
            <w:pPr>
              <w:pStyle w:val="16"/>
              <w:jc w:val="center"/>
              <w:rPr>
                <w:b/>
                <w:sz w:val="18"/>
                <w:szCs w:val="18"/>
              </w:rPr>
            </w:pPr>
            <w:r>
              <w:rPr>
                <w:rFonts w:hint="eastAsia"/>
                <w:b/>
                <w:sz w:val="18"/>
                <w:szCs w:val="18"/>
              </w:rPr>
              <w:t>-</w:t>
            </w:r>
            <w:r>
              <w:rPr>
                <w:b/>
                <w:sz w:val="18"/>
                <w:szCs w:val="18"/>
              </w:rPr>
              <w:t>6,830.00</w:t>
            </w:r>
          </w:p>
        </w:tc>
        <w:tc>
          <w:tcPr>
            <w:tcW w:w="1134" w:type="dxa"/>
            <w:vAlign w:val="center"/>
          </w:tcPr>
          <w:p>
            <w:pPr>
              <w:pStyle w:val="16"/>
              <w:jc w:val="center"/>
              <w:rPr>
                <w:b/>
                <w:sz w:val="18"/>
                <w:szCs w:val="18"/>
              </w:rPr>
            </w:pPr>
            <w:r>
              <w:rPr>
                <w:rFonts w:hint="eastAsia"/>
                <w:b/>
                <w:sz w:val="18"/>
                <w:szCs w:val="18"/>
              </w:rPr>
              <w:t>-</w:t>
            </w:r>
            <w:r>
              <w:rPr>
                <w:b/>
                <w:sz w:val="18"/>
                <w:szCs w:val="18"/>
              </w:rPr>
              <w:t>179,546.90</w:t>
            </w:r>
          </w:p>
        </w:tc>
        <w:tc>
          <w:tcPr>
            <w:tcW w:w="1275" w:type="dxa"/>
            <w:vAlign w:val="center"/>
          </w:tcPr>
          <w:p>
            <w:pPr>
              <w:pStyle w:val="16"/>
              <w:jc w:val="center"/>
              <w:rPr>
                <w:b/>
                <w:sz w:val="18"/>
                <w:szCs w:val="18"/>
              </w:rPr>
            </w:pPr>
            <w:r>
              <w:rPr>
                <w:rFonts w:hint="eastAsia"/>
                <w:b/>
                <w:sz w:val="18"/>
                <w:szCs w:val="18"/>
              </w:rPr>
              <w:t>-68616.14</w:t>
            </w:r>
          </w:p>
        </w:tc>
      </w:tr>
    </w:tbl>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（二）项目资金设置计划、目标不够科学完善。</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该项目设置计划、目标不够科学完善。前期制定的预算明细与实际支出存在着差异，其中工作经费节约了67,290.76元，预算计划中没有对附着物及构建（筑）物拆迁补偿作出预算等。</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五、相关建议</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(一)加强单位预算管理，完善资金使用计划。</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建议项目主管部门加强预算管理，严格落实各项财务法规制度，实行专项资金专款专用，完善资金使用计划。加强对资金的使用情况的跟踪和了解，督促资金使用部门实现既定的绩效目标。并定期进行实地检查考核，严格按照预算计划支出专项经费。</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(二)政府部门要加强资金监管和审计。</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财政部门要充分发挥职能作用，加强对资金使用的管理和监督，确保资金安全，并产生最大使用效益。</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六、综合评价结论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县级财政配套资金对始兴县自然资源局2019年度隘子满堂旅游基础设施征地补偿项目工作的大力支持，推动了该项目顺利完成。同时增加了隘子镇旅游项目，带动乡村经济，改善了乡村生态、美化了乡村生活环境，增进人民身心健康，为村民提供游憩场地，推动旅游业的可持续发展。</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综合评价始兴县自然资源局2019年度隘子满堂旅游基础设施征地补偿项目资金使用绩效为95分，等级为“优”。详见《财政支出项目绩效考核评分表》（附件5）。</w:t>
      </w: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bookmarkStart w:id="2" w:name="_GoBack"/>
      <w:bookmarkEnd w:id="2"/>
    </w:p>
    <w:sectPr>
      <w:footerReference r:id="rId4"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2999"/>
    <w:rsid w:val="0000781C"/>
    <w:rsid w:val="00020CC5"/>
    <w:rsid w:val="00026CBF"/>
    <w:rsid w:val="00054EBB"/>
    <w:rsid w:val="00062B9B"/>
    <w:rsid w:val="000708E7"/>
    <w:rsid w:val="000877E8"/>
    <w:rsid w:val="00095BEA"/>
    <w:rsid w:val="000A171A"/>
    <w:rsid w:val="000A4E82"/>
    <w:rsid w:val="000A69C7"/>
    <w:rsid w:val="000B2779"/>
    <w:rsid w:val="000B539B"/>
    <w:rsid w:val="000C3770"/>
    <w:rsid w:val="000E2807"/>
    <w:rsid w:val="000E5DAD"/>
    <w:rsid w:val="000F2E0F"/>
    <w:rsid w:val="000F5A28"/>
    <w:rsid w:val="0010428E"/>
    <w:rsid w:val="001059F1"/>
    <w:rsid w:val="00113928"/>
    <w:rsid w:val="00116C66"/>
    <w:rsid w:val="0012206A"/>
    <w:rsid w:val="001243C6"/>
    <w:rsid w:val="001275CB"/>
    <w:rsid w:val="00133A8B"/>
    <w:rsid w:val="001430F1"/>
    <w:rsid w:val="00144196"/>
    <w:rsid w:val="00150BDE"/>
    <w:rsid w:val="00171FE0"/>
    <w:rsid w:val="00174BAE"/>
    <w:rsid w:val="00177831"/>
    <w:rsid w:val="00177FF6"/>
    <w:rsid w:val="001876BA"/>
    <w:rsid w:val="001935B0"/>
    <w:rsid w:val="001B439A"/>
    <w:rsid w:val="001C0AB3"/>
    <w:rsid w:val="001C4B72"/>
    <w:rsid w:val="001C53CE"/>
    <w:rsid w:val="001F4762"/>
    <w:rsid w:val="001F58C7"/>
    <w:rsid w:val="002002F5"/>
    <w:rsid w:val="0020270A"/>
    <w:rsid w:val="00210FC4"/>
    <w:rsid w:val="002203C4"/>
    <w:rsid w:val="00220F95"/>
    <w:rsid w:val="00233F05"/>
    <w:rsid w:val="00243B19"/>
    <w:rsid w:val="002442D4"/>
    <w:rsid w:val="0026165E"/>
    <w:rsid w:val="002707E8"/>
    <w:rsid w:val="0027148F"/>
    <w:rsid w:val="00271D39"/>
    <w:rsid w:val="002723C9"/>
    <w:rsid w:val="00285DA8"/>
    <w:rsid w:val="0029025E"/>
    <w:rsid w:val="00292899"/>
    <w:rsid w:val="002947F1"/>
    <w:rsid w:val="00297C96"/>
    <w:rsid w:val="002A2D66"/>
    <w:rsid w:val="002B6E63"/>
    <w:rsid w:val="002B7ED4"/>
    <w:rsid w:val="002C138D"/>
    <w:rsid w:val="002C1C9F"/>
    <w:rsid w:val="002C7748"/>
    <w:rsid w:val="002E24F3"/>
    <w:rsid w:val="002E4CED"/>
    <w:rsid w:val="002E6B20"/>
    <w:rsid w:val="00305EA9"/>
    <w:rsid w:val="00307C5D"/>
    <w:rsid w:val="00314098"/>
    <w:rsid w:val="00317FB2"/>
    <w:rsid w:val="00327609"/>
    <w:rsid w:val="00342E19"/>
    <w:rsid w:val="003458AA"/>
    <w:rsid w:val="00351976"/>
    <w:rsid w:val="003579EA"/>
    <w:rsid w:val="00367585"/>
    <w:rsid w:val="00370B3E"/>
    <w:rsid w:val="00382AB6"/>
    <w:rsid w:val="00384647"/>
    <w:rsid w:val="003863F3"/>
    <w:rsid w:val="003954EF"/>
    <w:rsid w:val="003A5059"/>
    <w:rsid w:val="003A5F02"/>
    <w:rsid w:val="003A788D"/>
    <w:rsid w:val="003C05E4"/>
    <w:rsid w:val="003D08C0"/>
    <w:rsid w:val="003D219E"/>
    <w:rsid w:val="003F1C9C"/>
    <w:rsid w:val="003F7A8C"/>
    <w:rsid w:val="00404172"/>
    <w:rsid w:val="00405759"/>
    <w:rsid w:val="0041039A"/>
    <w:rsid w:val="004140D7"/>
    <w:rsid w:val="00426C69"/>
    <w:rsid w:val="00426E0C"/>
    <w:rsid w:val="00426EEF"/>
    <w:rsid w:val="00431C7C"/>
    <w:rsid w:val="004451F2"/>
    <w:rsid w:val="00451287"/>
    <w:rsid w:val="004534E2"/>
    <w:rsid w:val="00471EA0"/>
    <w:rsid w:val="004730D2"/>
    <w:rsid w:val="00477A39"/>
    <w:rsid w:val="00487268"/>
    <w:rsid w:val="0049154D"/>
    <w:rsid w:val="004A19C5"/>
    <w:rsid w:val="004A369C"/>
    <w:rsid w:val="004A7E79"/>
    <w:rsid w:val="004C4389"/>
    <w:rsid w:val="004C4442"/>
    <w:rsid w:val="004C4D5F"/>
    <w:rsid w:val="004D4834"/>
    <w:rsid w:val="004D5D0C"/>
    <w:rsid w:val="004E61EC"/>
    <w:rsid w:val="004E7852"/>
    <w:rsid w:val="004F069E"/>
    <w:rsid w:val="0051217A"/>
    <w:rsid w:val="00514F0A"/>
    <w:rsid w:val="00524066"/>
    <w:rsid w:val="00524CAD"/>
    <w:rsid w:val="00533741"/>
    <w:rsid w:val="00533B39"/>
    <w:rsid w:val="00534933"/>
    <w:rsid w:val="00534BFA"/>
    <w:rsid w:val="00534F00"/>
    <w:rsid w:val="00560B9D"/>
    <w:rsid w:val="00560D39"/>
    <w:rsid w:val="0058344C"/>
    <w:rsid w:val="00586FD6"/>
    <w:rsid w:val="0059534A"/>
    <w:rsid w:val="005959DB"/>
    <w:rsid w:val="005A59CB"/>
    <w:rsid w:val="005C458A"/>
    <w:rsid w:val="005D66B5"/>
    <w:rsid w:val="005E0A33"/>
    <w:rsid w:val="005E7784"/>
    <w:rsid w:val="00611E6D"/>
    <w:rsid w:val="00613AD0"/>
    <w:rsid w:val="00615682"/>
    <w:rsid w:val="00620CC7"/>
    <w:rsid w:val="0062346B"/>
    <w:rsid w:val="00625EDE"/>
    <w:rsid w:val="00627614"/>
    <w:rsid w:val="00650594"/>
    <w:rsid w:val="00651309"/>
    <w:rsid w:val="00657D22"/>
    <w:rsid w:val="00657E0D"/>
    <w:rsid w:val="00663543"/>
    <w:rsid w:val="00663E05"/>
    <w:rsid w:val="0067685C"/>
    <w:rsid w:val="00676895"/>
    <w:rsid w:val="0067741B"/>
    <w:rsid w:val="00693750"/>
    <w:rsid w:val="006A3F50"/>
    <w:rsid w:val="006A589B"/>
    <w:rsid w:val="006B2CE9"/>
    <w:rsid w:val="006C3BDE"/>
    <w:rsid w:val="006C3E1D"/>
    <w:rsid w:val="006C7FCF"/>
    <w:rsid w:val="006E3F14"/>
    <w:rsid w:val="006E501F"/>
    <w:rsid w:val="006E55F0"/>
    <w:rsid w:val="006E6EF0"/>
    <w:rsid w:val="006F50E3"/>
    <w:rsid w:val="007052F7"/>
    <w:rsid w:val="00715C41"/>
    <w:rsid w:val="0072035B"/>
    <w:rsid w:val="0072314B"/>
    <w:rsid w:val="00751EDE"/>
    <w:rsid w:val="00763EE7"/>
    <w:rsid w:val="00772487"/>
    <w:rsid w:val="0077414D"/>
    <w:rsid w:val="00793F1B"/>
    <w:rsid w:val="007943E0"/>
    <w:rsid w:val="0079622F"/>
    <w:rsid w:val="007D4C07"/>
    <w:rsid w:val="007E15EB"/>
    <w:rsid w:val="007E7C7C"/>
    <w:rsid w:val="00802227"/>
    <w:rsid w:val="008153F6"/>
    <w:rsid w:val="00820A9C"/>
    <w:rsid w:val="00822AC6"/>
    <w:rsid w:val="00823B92"/>
    <w:rsid w:val="00824C13"/>
    <w:rsid w:val="00833132"/>
    <w:rsid w:val="008348C0"/>
    <w:rsid w:val="00842213"/>
    <w:rsid w:val="00842D4A"/>
    <w:rsid w:val="008471B9"/>
    <w:rsid w:val="00847445"/>
    <w:rsid w:val="00847563"/>
    <w:rsid w:val="00854A73"/>
    <w:rsid w:val="00856D77"/>
    <w:rsid w:val="00860E3E"/>
    <w:rsid w:val="008610D5"/>
    <w:rsid w:val="0087217E"/>
    <w:rsid w:val="00892D20"/>
    <w:rsid w:val="00894940"/>
    <w:rsid w:val="008A01AB"/>
    <w:rsid w:val="008A710A"/>
    <w:rsid w:val="008D1726"/>
    <w:rsid w:val="008D575F"/>
    <w:rsid w:val="008D7025"/>
    <w:rsid w:val="008F7D60"/>
    <w:rsid w:val="008F7E29"/>
    <w:rsid w:val="00900229"/>
    <w:rsid w:val="00907C0A"/>
    <w:rsid w:val="009311C5"/>
    <w:rsid w:val="009318E3"/>
    <w:rsid w:val="009341AB"/>
    <w:rsid w:val="009516A4"/>
    <w:rsid w:val="00953227"/>
    <w:rsid w:val="0095505C"/>
    <w:rsid w:val="009561C9"/>
    <w:rsid w:val="009719C0"/>
    <w:rsid w:val="00980F9E"/>
    <w:rsid w:val="00983386"/>
    <w:rsid w:val="00986C85"/>
    <w:rsid w:val="00993AA8"/>
    <w:rsid w:val="00994847"/>
    <w:rsid w:val="00996E82"/>
    <w:rsid w:val="009B4052"/>
    <w:rsid w:val="009D3EFD"/>
    <w:rsid w:val="00A029CC"/>
    <w:rsid w:val="00A2353E"/>
    <w:rsid w:val="00A256E6"/>
    <w:rsid w:val="00A261EE"/>
    <w:rsid w:val="00A40231"/>
    <w:rsid w:val="00A46BFE"/>
    <w:rsid w:val="00A53E29"/>
    <w:rsid w:val="00A56523"/>
    <w:rsid w:val="00A720D0"/>
    <w:rsid w:val="00A81F3C"/>
    <w:rsid w:val="00A82CDE"/>
    <w:rsid w:val="00A90B51"/>
    <w:rsid w:val="00AA4CBB"/>
    <w:rsid w:val="00AB0747"/>
    <w:rsid w:val="00AC6265"/>
    <w:rsid w:val="00AD09CF"/>
    <w:rsid w:val="00AE39C2"/>
    <w:rsid w:val="00AE44FE"/>
    <w:rsid w:val="00AF65B9"/>
    <w:rsid w:val="00B05912"/>
    <w:rsid w:val="00B15AF7"/>
    <w:rsid w:val="00B21C17"/>
    <w:rsid w:val="00B23681"/>
    <w:rsid w:val="00B2412F"/>
    <w:rsid w:val="00B25DA0"/>
    <w:rsid w:val="00B30CFA"/>
    <w:rsid w:val="00B30EFE"/>
    <w:rsid w:val="00B62C87"/>
    <w:rsid w:val="00B70988"/>
    <w:rsid w:val="00B7697B"/>
    <w:rsid w:val="00B92FC5"/>
    <w:rsid w:val="00B93F2D"/>
    <w:rsid w:val="00B96CE2"/>
    <w:rsid w:val="00B97675"/>
    <w:rsid w:val="00BA032F"/>
    <w:rsid w:val="00BA1A75"/>
    <w:rsid w:val="00BB6BC1"/>
    <w:rsid w:val="00BC0B35"/>
    <w:rsid w:val="00BC2FEE"/>
    <w:rsid w:val="00BC5630"/>
    <w:rsid w:val="00BC5631"/>
    <w:rsid w:val="00BD0844"/>
    <w:rsid w:val="00BD1A2F"/>
    <w:rsid w:val="00BD3B53"/>
    <w:rsid w:val="00BD5E29"/>
    <w:rsid w:val="00BE7F50"/>
    <w:rsid w:val="00BF74EA"/>
    <w:rsid w:val="00C00493"/>
    <w:rsid w:val="00C13664"/>
    <w:rsid w:val="00C22F32"/>
    <w:rsid w:val="00C26A6E"/>
    <w:rsid w:val="00C3043E"/>
    <w:rsid w:val="00C36C7E"/>
    <w:rsid w:val="00C46D40"/>
    <w:rsid w:val="00C62A0D"/>
    <w:rsid w:val="00C6636D"/>
    <w:rsid w:val="00C672CD"/>
    <w:rsid w:val="00C81E82"/>
    <w:rsid w:val="00C85436"/>
    <w:rsid w:val="00C8606E"/>
    <w:rsid w:val="00C87384"/>
    <w:rsid w:val="00C90803"/>
    <w:rsid w:val="00C90895"/>
    <w:rsid w:val="00C9209A"/>
    <w:rsid w:val="00CA2A8A"/>
    <w:rsid w:val="00CA3FCC"/>
    <w:rsid w:val="00CA4FA8"/>
    <w:rsid w:val="00CB6805"/>
    <w:rsid w:val="00CC0D14"/>
    <w:rsid w:val="00CC47B7"/>
    <w:rsid w:val="00CF477B"/>
    <w:rsid w:val="00CF6418"/>
    <w:rsid w:val="00D054C0"/>
    <w:rsid w:val="00D11367"/>
    <w:rsid w:val="00D4128A"/>
    <w:rsid w:val="00D435B6"/>
    <w:rsid w:val="00D46027"/>
    <w:rsid w:val="00D520EB"/>
    <w:rsid w:val="00D56CF4"/>
    <w:rsid w:val="00D641C5"/>
    <w:rsid w:val="00D666F0"/>
    <w:rsid w:val="00D66FA4"/>
    <w:rsid w:val="00D774FD"/>
    <w:rsid w:val="00D80F2F"/>
    <w:rsid w:val="00D8704A"/>
    <w:rsid w:val="00DA5F7A"/>
    <w:rsid w:val="00DA6F14"/>
    <w:rsid w:val="00DB1771"/>
    <w:rsid w:val="00DB208C"/>
    <w:rsid w:val="00DB250D"/>
    <w:rsid w:val="00DD5E35"/>
    <w:rsid w:val="00DF04EA"/>
    <w:rsid w:val="00DF2151"/>
    <w:rsid w:val="00E01414"/>
    <w:rsid w:val="00E31C58"/>
    <w:rsid w:val="00E4393C"/>
    <w:rsid w:val="00E47567"/>
    <w:rsid w:val="00E571FA"/>
    <w:rsid w:val="00E61641"/>
    <w:rsid w:val="00E6469D"/>
    <w:rsid w:val="00E65E98"/>
    <w:rsid w:val="00E80A36"/>
    <w:rsid w:val="00E84B8B"/>
    <w:rsid w:val="00E85A13"/>
    <w:rsid w:val="00E87E11"/>
    <w:rsid w:val="00E944D9"/>
    <w:rsid w:val="00EA1302"/>
    <w:rsid w:val="00EA55A3"/>
    <w:rsid w:val="00ED00AC"/>
    <w:rsid w:val="00ED41FC"/>
    <w:rsid w:val="00EE04DF"/>
    <w:rsid w:val="00EE1ECD"/>
    <w:rsid w:val="00EF3820"/>
    <w:rsid w:val="00EF3F2D"/>
    <w:rsid w:val="00F04380"/>
    <w:rsid w:val="00F04DDE"/>
    <w:rsid w:val="00F061EF"/>
    <w:rsid w:val="00F13E80"/>
    <w:rsid w:val="00F21CB8"/>
    <w:rsid w:val="00F32DC5"/>
    <w:rsid w:val="00F342EF"/>
    <w:rsid w:val="00F34926"/>
    <w:rsid w:val="00F4338B"/>
    <w:rsid w:val="00F45813"/>
    <w:rsid w:val="00F47544"/>
    <w:rsid w:val="00F64B5D"/>
    <w:rsid w:val="00F702B2"/>
    <w:rsid w:val="00F85254"/>
    <w:rsid w:val="00F85AE5"/>
    <w:rsid w:val="00F922AC"/>
    <w:rsid w:val="00F9230D"/>
    <w:rsid w:val="00F92AFA"/>
    <w:rsid w:val="00FA08F6"/>
    <w:rsid w:val="00FA4EE2"/>
    <w:rsid w:val="00FA6A60"/>
    <w:rsid w:val="00FB24DD"/>
    <w:rsid w:val="00FB7A2B"/>
    <w:rsid w:val="00FC7D3D"/>
    <w:rsid w:val="00FD0A62"/>
    <w:rsid w:val="00FD3F7F"/>
    <w:rsid w:val="00FE7798"/>
    <w:rsid w:val="00FF05A9"/>
    <w:rsid w:val="00FF5414"/>
    <w:rsid w:val="00FF5603"/>
    <w:rsid w:val="00FF66D3"/>
    <w:rsid w:val="28E1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5"/>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日期 Char"/>
    <w:basedOn w:val="8"/>
    <w:link w:val="2"/>
    <w:semiHidden/>
    <w:uiPriority w:val="99"/>
    <w:rPr>
      <w:kern w:val="2"/>
      <w:sz w:val="21"/>
    </w:rPr>
  </w:style>
  <w:style w:type="paragraph" w:customStyle="1" w:styleId="13">
    <w:name w:val="Char Char1 Char Char Char Char"/>
    <w:basedOn w:val="1"/>
    <w:uiPriority w:val="0"/>
    <w:rPr>
      <w:rFonts w:eastAsia="仿宋_GB2312"/>
      <w:sz w:val="32"/>
      <w:szCs w:val="32"/>
    </w:rPr>
  </w:style>
  <w:style w:type="paragraph" w:customStyle="1" w:styleId="14">
    <w:name w:val="Char Char Char Char"/>
    <w:basedOn w:val="1"/>
    <w:uiPriority w:val="0"/>
    <w:pPr>
      <w:widowControl/>
      <w:adjustRightInd w:val="0"/>
      <w:snapToGrid w:val="0"/>
      <w:spacing w:after="160" w:line="240" w:lineRule="exact"/>
      <w:jc w:val="left"/>
    </w:pPr>
    <w:rPr>
      <w:kern w:val="0"/>
    </w:rPr>
  </w:style>
  <w:style w:type="character" w:customStyle="1" w:styleId="15">
    <w:name w:val="批注框文本 Char"/>
    <w:basedOn w:val="8"/>
    <w:link w:val="3"/>
    <w:semiHidden/>
    <w:uiPriority w:val="99"/>
    <w:rPr>
      <w:kern w:val="2"/>
      <w:sz w:val="18"/>
      <w:szCs w:val="18"/>
    </w:rPr>
  </w:style>
  <w:style w:type="paragraph" w:styleId="16">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281BB-4C46-4ABC-9AB7-D06F54FDA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559</Words>
  <Characters>3192</Characters>
  <Lines>26</Lines>
  <Paragraphs>7</Paragraphs>
  <TotalTime>5771</TotalTime>
  <ScaleCrop>false</ScaleCrop>
  <LinksUpToDate>false</LinksUpToDate>
  <CharactersWithSpaces>3744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Administrator</cp:lastModifiedBy>
  <cp:lastPrinted>2019-09-19T10:53:00Z</cp:lastPrinted>
  <dcterms:modified xsi:type="dcterms:W3CDTF">2020-12-21T01:17:13Z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