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F1C" w:rsidRDefault="00735F1C" w:rsidP="00735F1C">
      <w:pPr>
        <w:rPr>
          <w:rFonts w:ascii="仿宋_GB2312" w:hAnsi="仿宋_GB2312" w:cs="仿宋_GB2312"/>
          <w:bCs/>
          <w:sz w:val="32"/>
          <w:szCs w:val="32"/>
        </w:rPr>
      </w:pPr>
      <w:r>
        <w:rPr>
          <w:rFonts w:ascii="黑体" w:eastAsia="黑体" w:hAnsi="黑体" w:cs="黑体" w:hint="eastAsia"/>
          <w:bCs/>
          <w:sz w:val="32"/>
          <w:szCs w:val="32"/>
        </w:rPr>
        <w:t>附件5</w:t>
      </w:r>
    </w:p>
    <w:p w:rsidR="00735F1C" w:rsidRDefault="00735F1C" w:rsidP="00735F1C">
      <w:pPr>
        <w:jc w:val="center"/>
        <w:rPr>
          <w:rFonts w:ascii="方正小标宋简体" w:eastAsia="方正小标宋简体"/>
          <w:sz w:val="52"/>
          <w:szCs w:val="52"/>
        </w:rPr>
      </w:pPr>
    </w:p>
    <w:p w:rsidR="00735F1C" w:rsidRPr="00374E0B" w:rsidRDefault="00156165" w:rsidP="00735F1C">
      <w:pPr>
        <w:jc w:val="center"/>
        <w:rPr>
          <w:rFonts w:ascii="方正小标宋简体" w:eastAsia="方正小标宋简体"/>
          <w:sz w:val="44"/>
          <w:szCs w:val="44"/>
        </w:rPr>
      </w:pPr>
      <w:r w:rsidRPr="00374E0B">
        <w:rPr>
          <w:rFonts w:ascii="方正小标宋简体" w:eastAsia="方正小标宋简体" w:hint="eastAsia"/>
          <w:sz w:val="44"/>
          <w:szCs w:val="44"/>
        </w:rPr>
        <w:t>2019</w:t>
      </w:r>
      <w:r w:rsidR="00735F1C" w:rsidRPr="00374E0B">
        <w:rPr>
          <w:rFonts w:ascii="方正小标宋简体" w:eastAsia="方正小标宋简体" w:hint="eastAsia"/>
          <w:sz w:val="44"/>
          <w:szCs w:val="44"/>
        </w:rPr>
        <w:t>年</w:t>
      </w:r>
      <w:r w:rsidRPr="00374E0B">
        <w:rPr>
          <w:rFonts w:ascii="方正小标宋简体" w:eastAsia="方正小标宋简体" w:hint="eastAsia"/>
          <w:sz w:val="44"/>
          <w:szCs w:val="44"/>
        </w:rPr>
        <w:t>建立公办和</w:t>
      </w:r>
      <w:proofErr w:type="gramStart"/>
      <w:r w:rsidRPr="00374E0B">
        <w:rPr>
          <w:rFonts w:ascii="方正小标宋简体" w:eastAsia="方正小标宋简体" w:hint="eastAsia"/>
          <w:sz w:val="44"/>
          <w:szCs w:val="44"/>
        </w:rPr>
        <w:t>普惠</w:t>
      </w:r>
      <w:proofErr w:type="gramEnd"/>
      <w:r w:rsidRPr="00374E0B">
        <w:rPr>
          <w:rFonts w:ascii="方正小标宋简体" w:eastAsia="方正小标宋简体" w:hint="eastAsia"/>
          <w:sz w:val="44"/>
          <w:szCs w:val="44"/>
        </w:rPr>
        <w:t>性民办幼园生均公用经费拨款制度</w:t>
      </w:r>
      <w:r w:rsidR="00735F1C" w:rsidRPr="00374E0B">
        <w:rPr>
          <w:rFonts w:ascii="方正小标宋简体" w:eastAsia="方正小标宋简体" w:hint="eastAsia"/>
          <w:sz w:val="44"/>
          <w:szCs w:val="44"/>
        </w:rPr>
        <w:t>绩效评价报告</w:t>
      </w:r>
    </w:p>
    <w:p w:rsidR="00735F1C" w:rsidRDefault="00735F1C" w:rsidP="00735F1C">
      <w:pPr>
        <w:rPr>
          <w:lang w:val="zh-CN"/>
        </w:rPr>
      </w:pPr>
    </w:p>
    <w:p w:rsidR="00735F1C" w:rsidRDefault="00735F1C" w:rsidP="00735F1C">
      <w:pPr>
        <w:rPr>
          <w:lang w:val="zh-CN"/>
        </w:rPr>
      </w:pPr>
    </w:p>
    <w:p w:rsidR="00735F1C" w:rsidRDefault="00735F1C" w:rsidP="00735F1C">
      <w:pPr>
        <w:rPr>
          <w:lang w:val="zh-CN"/>
        </w:rPr>
      </w:pPr>
    </w:p>
    <w:p w:rsidR="00735F1C" w:rsidRDefault="00735F1C" w:rsidP="00735F1C">
      <w:pPr>
        <w:ind w:left="2100" w:firstLineChars="331" w:firstLine="1059"/>
        <w:rPr>
          <w:rFonts w:ascii="仿宋_GB2312" w:hAnsi="仿宋_GB2312" w:cs="仿宋_GB2312"/>
          <w:sz w:val="32"/>
          <w:szCs w:val="32"/>
          <w:lang w:val="zh-CN"/>
        </w:rPr>
      </w:pPr>
    </w:p>
    <w:p w:rsidR="00735F1C" w:rsidRDefault="00156165" w:rsidP="00156165">
      <w:pPr>
        <w:ind w:left="2100"/>
        <w:rPr>
          <w:rFonts w:ascii="仿宋_GB2312" w:hAnsi="仿宋_GB2312" w:cs="仿宋_GB2312"/>
          <w:sz w:val="32"/>
          <w:szCs w:val="32"/>
        </w:rPr>
      </w:pPr>
      <w:r>
        <w:rPr>
          <w:rFonts w:ascii="仿宋_GB2312" w:hAnsi="仿宋_GB2312" w:cs="仿宋_GB2312" w:hint="eastAsia"/>
          <w:sz w:val="32"/>
          <w:szCs w:val="32"/>
          <w:lang w:val="zh-CN"/>
        </w:rPr>
        <w:t xml:space="preserve"> </w:t>
      </w:r>
      <w:r w:rsidR="00735F1C">
        <w:rPr>
          <w:rFonts w:ascii="仿宋_GB2312" w:hAnsi="仿宋_GB2312" w:cs="仿宋_GB2312" w:hint="eastAsia"/>
          <w:sz w:val="32"/>
          <w:szCs w:val="32"/>
          <w:lang w:val="zh-CN"/>
        </w:rPr>
        <w:t>主管部门：</w:t>
      </w:r>
      <w:r>
        <w:rPr>
          <w:rFonts w:ascii="仿宋_GB2312" w:hAnsi="仿宋_GB2312" w:cs="仿宋_GB2312" w:hint="eastAsia"/>
          <w:sz w:val="32"/>
          <w:szCs w:val="32"/>
          <w:lang w:val="zh-CN"/>
        </w:rPr>
        <w:t>韶关市曲江区教育局</w:t>
      </w:r>
    </w:p>
    <w:p w:rsidR="00156165" w:rsidRDefault="00156165" w:rsidP="00156165">
      <w:pPr>
        <w:rPr>
          <w:rFonts w:ascii="仿宋_GB2312" w:hAnsi="仿宋_GB2312" w:cs="仿宋_GB2312"/>
          <w:sz w:val="32"/>
          <w:szCs w:val="32"/>
        </w:rPr>
      </w:pPr>
      <w:r>
        <w:rPr>
          <w:rFonts w:ascii="仿宋_GB2312" w:hAnsi="仿宋_GB2312" w:cs="仿宋_GB2312" w:hint="eastAsia"/>
          <w:sz w:val="32"/>
          <w:szCs w:val="32"/>
        </w:rPr>
        <w:t xml:space="preserve">              </w:t>
      </w:r>
      <w:r w:rsidR="00735F1C">
        <w:rPr>
          <w:rFonts w:ascii="仿宋_GB2312" w:hAnsi="仿宋_GB2312" w:cs="仿宋_GB2312" w:hint="eastAsia"/>
          <w:sz w:val="32"/>
          <w:szCs w:val="32"/>
          <w:lang w:val="zh-CN"/>
        </w:rPr>
        <w:t>填报人：</w:t>
      </w:r>
      <w:r>
        <w:rPr>
          <w:rFonts w:ascii="仿宋_GB2312" w:hAnsi="仿宋_GB2312" w:cs="仿宋_GB2312" w:hint="eastAsia"/>
          <w:sz w:val="32"/>
          <w:szCs w:val="32"/>
          <w:lang w:val="zh-CN"/>
        </w:rPr>
        <w:t>罗勇</w:t>
      </w:r>
    </w:p>
    <w:p w:rsidR="00735F1C" w:rsidRDefault="00156165" w:rsidP="00156165">
      <w:pPr>
        <w:rPr>
          <w:rFonts w:ascii="仿宋_GB2312" w:hAnsi="仿宋_GB2312" w:cs="仿宋_GB2312"/>
          <w:sz w:val="32"/>
          <w:szCs w:val="32"/>
        </w:rPr>
      </w:pPr>
      <w:r>
        <w:rPr>
          <w:rFonts w:ascii="仿宋_GB2312" w:hAnsi="仿宋_GB2312" w:cs="仿宋_GB2312" w:hint="eastAsia"/>
          <w:sz w:val="32"/>
          <w:szCs w:val="32"/>
        </w:rPr>
        <w:t xml:space="preserve">              </w:t>
      </w:r>
      <w:r w:rsidR="00735F1C">
        <w:rPr>
          <w:rFonts w:ascii="仿宋_GB2312" w:hAnsi="仿宋_GB2312" w:cs="仿宋_GB2312" w:hint="eastAsia"/>
          <w:sz w:val="32"/>
          <w:szCs w:val="32"/>
          <w:lang w:val="zh-CN"/>
        </w:rPr>
        <w:t>联系电话：</w:t>
      </w:r>
      <w:r>
        <w:rPr>
          <w:rFonts w:ascii="仿宋_GB2312" w:hAnsi="仿宋_GB2312" w:cs="仿宋_GB2312" w:hint="eastAsia"/>
          <w:sz w:val="32"/>
          <w:szCs w:val="32"/>
          <w:lang w:val="zh-CN"/>
        </w:rPr>
        <w:t>0751-6666177</w:t>
      </w:r>
    </w:p>
    <w:p w:rsidR="00735F1C" w:rsidRDefault="00735F1C" w:rsidP="00735F1C">
      <w:pPr>
        <w:pStyle w:val="a3"/>
        <w:rPr>
          <w:bCs/>
          <w:sz w:val="36"/>
          <w:szCs w:val="36"/>
          <w:lang w:val="zh-CN"/>
        </w:rPr>
      </w:pPr>
      <w:bookmarkStart w:id="0" w:name="_Toc12783"/>
      <w:bookmarkStart w:id="1" w:name="_Toc521089181"/>
    </w:p>
    <w:p w:rsidR="00735F1C" w:rsidRDefault="00735F1C" w:rsidP="00735F1C">
      <w:pPr>
        <w:rPr>
          <w:bCs/>
          <w:sz w:val="36"/>
          <w:szCs w:val="36"/>
          <w:lang w:val="zh-CN"/>
        </w:rPr>
      </w:pPr>
    </w:p>
    <w:p w:rsidR="00735F1C" w:rsidRDefault="00735F1C" w:rsidP="00735F1C">
      <w:pPr>
        <w:rPr>
          <w:bCs/>
          <w:sz w:val="36"/>
          <w:szCs w:val="36"/>
          <w:lang w:val="zh-CN"/>
        </w:rPr>
      </w:pPr>
    </w:p>
    <w:p w:rsidR="00735F1C" w:rsidRDefault="00735F1C" w:rsidP="00735F1C">
      <w:pPr>
        <w:pStyle w:val="a3"/>
        <w:rPr>
          <w:bCs/>
          <w:sz w:val="36"/>
          <w:szCs w:val="36"/>
          <w:lang w:val="zh-CN"/>
        </w:rPr>
      </w:pPr>
    </w:p>
    <w:p w:rsidR="00735F1C" w:rsidRDefault="00735F1C" w:rsidP="00735F1C">
      <w:pPr>
        <w:pStyle w:val="a3"/>
        <w:rPr>
          <w:bCs/>
          <w:sz w:val="36"/>
          <w:szCs w:val="36"/>
          <w:lang w:val="zh-CN"/>
        </w:rPr>
      </w:pPr>
    </w:p>
    <w:p w:rsidR="00735F1C" w:rsidRDefault="00735F1C" w:rsidP="00735F1C">
      <w:pPr>
        <w:pStyle w:val="a3"/>
        <w:rPr>
          <w:rFonts w:hint="eastAsia"/>
          <w:bCs/>
          <w:sz w:val="36"/>
          <w:szCs w:val="36"/>
          <w:lang w:val="zh-CN"/>
        </w:rPr>
      </w:pPr>
    </w:p>
    <w:p w:rsidR="009B4859" w:rsidRPr="009B4859" w:rsidRDefault="009B4859" w:rsidP="009B4859">
      <w:pPr>
        <w:rPr>
          <w:lang w:val="zh-CN"/>
        </w:rPr>
      </w:pPr>
    </w:p>
    <w:p w:rsidR="00735F1C" w:rsidRPr="009B4859" w:rsidRDefault="00735F1C" w:rsidP="009B4859">
      <w:pPr>
        <w:pStyle w:val="a3"/>
        <w:rPr>
          <w:b w:val="0"/>
          <w:sz w:val="36"/>
          <w:szCs w:val="36"/>
          <w:lang w:val="zh-CN"/>
        </w:rPr>
      </w:pPr>
      <w:r>
        <w:rPr>
          <w:rFonts w:hint="eastAsia"/>
          <w:bCs/>
          <w:sz w:val="36"/>
          <w:szCs w:val="36"/>
          <w:lang w:val="zh-CN"/>
        </w:rPr>
        <w:lastRenderedPageBreak/>
        <w:t>目 录</w:t>
      </w:r>
      <w:bookmarkEnd w:id="0"/>
      <w:bookmarkEnd w:id="1"/>
    </w:p>
    <w:p w:rsidR="00735F1C" w:rsidRDefault="00156165" w:rsidP="00156165">
      <w:pPr>
        <w:pStyle w:val="1"/>
        <w:tabs>
          <w:tab w:val="right" w:leader="dot" w:pos="8948"/>
        </w:tabs>
        <w:rPr>
          <w:rFonts w:ascii="仿宋_GB2312" w:eastAsia="仿宋_GB2312" w:hAnsi="仿宋_GB2312" w:cs="仿宋_GB2312"/>
          <w:b w:val="0"/>
          <w:bCs w:val="0"/>
          <w:caps w:val="0"/>
          <w:sz w:val="32"/>
          <w:szCs w:val="32"/>
        </w:rPr>
      </w:pPr>
      <w:r>
        <w:rPr>
          <w:rFonts w:ascii="仿宋_GB2312" w:hAnsi="Cambria" w:hint="eastAsia"/>
          <w:b w:val="0"/>
          <w:caps w:val="0"/>
          <w:sz w:val="28"/>
          <w:szCs w:val="28"/>
        </w:rPr>
        <w:t xml:space="preserve">   </w:t>
      </w:r>
      <w:r w:rsidR="00735F1C">
        <w:rPr>
          <w:rFonts w:ascii="仿宋_GB2312" w:hAnsi="Cambria" w:hint="eastAsia"/>
          <w:b w:val="0"/>
          <w:caps w:val="0"/>
          <w:sz w:val="28"/>
          <w:szCs w:val="28"/>
        </w:rPr>
        <w:fldChar w:fldCharType="begin"/>
      </w:r>
      <w:r w:rsidR="00735F1C">
        <w:rPr>
          <w:rFonts w:ascii="仿宋_GB2312" w:hAnsi="Cambria" w:hint="eastAsia"/>
          <w:b w:val="0"/>
          <w:caps w:val="0"/>
          <w:sz w:val="28"/>
          <w:szCs w:val="28"/>
        </w:rPr>
        <w:instrText xml:space="preserve"> TOC \o "1-3" \h \z \u </w:instrText>
      </w:r>
      <w:r w:rsidR="00735F1C">
        <w:rPr>
          <w:rFonts w:ascii="仿宋_GB2312" w:hAnsi="Cambria" w:hint="eastAsia"/>
          <w:b w:val="0"/>
          <w:caps w:val="0"/>
          <w:sz w:val="28"/>
          <w:szCs w:val="28"/>
        </w:rPr>
        <w:fldChar w:fldCharType="separate"/>
      </w:r>
      <w:hyperlink w:anchor="_Toc521089182" w:history="1">
        <w:r w:rsidR="00735F1C">
          <w:rPr>
            <w:rFonts w:ascii="仿宋_GB2312" w:eastAsia="仿宋_GB2312" w:hAnsi="仿宋_GB2312" w:cs="仿宋_GB2312" w:hint="eastAsia"/>
            <w:b w:val="0"/>
            <w:sz w:val="32"/>
            <w:szCs w:val="32"/>
          </w:rPr>
          <w:t>一、基本情况</w:t>
        </w:r>
        <w:r w:rsidR="00735F1C">
          <w:rPr>
            <w:rFonts w:ascii="仿宋_GB2312" w:eastAsia="仿宋_GB2312" w:hAnsi="仿宋_GB2312" w:cs="仿宋_GB2312" w:hint="eastAsia"/>
            <w:b w:val="0"/>
            <w:sz w:val="32"/>
            <w:szCs w:val="32"/>
          </w:rPr>
          <w:tab/>
        </w:r>
      </w:hyperlink>
    </w:p>
    <w:p w:rsidR="00735F1C" w:rsidRDefault="00610C24" w:rsidP="00735F1C">
      <w:pPr>
        <w:pStyle w:val="1"/>
        <w:tabs>
          <w:tab w:val="right" w:leader="dot" w:pos="8948"/>
        </w:tabs>
        <w:ind w:firstLine="402"/>
        <w:rPr>
          <w:rFonts w:ascii="仿宋_GB2312" w:eastAsia="仿宋_GB2312" w:hAnsi="仿宋_GB2312" w:cs="仿宋_GB2312"/>
          <w:b w:val="0"/>
          <w:bCs w:val="0"/>
          <w:caps w:val="0"/>
          <w:sz w:val="32"/>
          <w:szCs w:val="32"/>
        </w:rPr>
      </w:pPr>
      <w:hyperlink w:anchor="_Toc521089185" w:history="1">
        <w:r w:rsidR="00735F1C">
          <w:rPr>
            <w:rFonts w:ascii="仿宋_GB2312" w:eastAsia="仿宋_GB2312" w:hAnsi="仿宋_GB2312" w:cs="仿宋_GB2312" w:hint="eastAsia"/>
            <w:b w:val="0"/>
            <w:sz w:val="32"/>
            <w:szCs w:val="32"/>
          </w:rPr>
          <w:t>二、绩效指标分析</w:t>
        </w:r>
        <w:r w:rsidR="00735F1C">
          <w:rPr>
            <w:rFonts w:ascii="仿宋_GB2312" w:eastAsia="仿宋_GB2312" w:hAnsi="仿宋_GB2312" w:cs="仿宋_GB2312" w:hint="eastAsia"/>
            <w:b w:val="0"/>
            <w:sz w:val="32"/>
            <w:szCs w:val="32"/>
          </w:rPr>
          <w:tab/>
        </w:r>
      </w:hyperlink>
    </w:p>
    <w:p w:rsidR="00735F1C" w:rsidRDefault="00610C24" w:rsidP="00735F1C">
      <w:pPr>
        <w:pStyle w:val="1"/>
        <w:tabs>
          <w:tab w:val="right" w:leader="dot" w:pos="8948"/>
        </w:tabs>
        <w:ind w:firstLine="402"/>
        <w:rPr>
          <w:rFonts w:ascii="仿宋_GB2312" w:eastAsia="仿宋_GB2312" w:hAnsi="仿宋_GB2312" w:cs="仿宋_GB2312"/>
          <w:b w:val="0"/>
          <w:bCs w:val="0"/>
          <w:caps w:val="0"/>
          <w:sz w:val="32"/>
          <w:szCs w:val="32"/>
        </w:rPr>
      </w:pPr>
      <w:hyperlink w:anchor="_Toc521089203" w:history="1">
        <w:r w:rsidR="00735F1C">
          <w:rPr>
            <w:rFonts w:ascii="仿宋_GB2312" w:eastAsia="仿宋_GB2312" w:hAnsi="仿宋_GB2312" w:cs="仿宋_GB2312" w:hint="eastAsia"/>
            <w:b w:val="0"/>
            <w:sz w:val="32"/>
            <w:szCs w:val="32"/>
          </w:rPr>
          <w:t>三、综合评价结论</w:t>
        </w:r>
        <w:r w:rsidR="00735F1C">
          <w:rPr>
            <w:rFonts w:ascii="仿宋_GB2312" w:eastAsia="仿宋_GB2312" w:hAnsi="仿宋_GB2312" w:cs="仿宋_GB2312" w:hint="eastAsia"/>
            <w:b w:val="0"/>
            <w:sz w:val="32"/>
            <w:szCs w:val="32"/>
          </w:rPr>
          <w:tab/>
        </w:r>
      </w:hyperlink>
    </w:p>
    <w:p w:rsidR="00735F1C" w:rsidRDefault="00610C24" w:rsidP="00735F1C">
      <w:pPr>
        <w:pStyle w:val="1"/>
        <w:tabs>
          <w:tab w:val="right" w:leader="dot" w:pos="8948"/>
        </w:tabs>
        <w:ind w:firstLine="402"/>
        <w:rPr>
          <w:rFonts w:ascii="仿宋_GB2312" w:eastAsia="仿宋_GB2312" w:hAnsi="仿宋_GB2312" w:cs="仿宋_GB2312"/>
          <w:b w:val="0"/>
          <w:bCs w:val="0"/>
          <w:caps w:val="0"/>
          <w:sz w:val="32"/>
          <w:szCs w:val="32"/>
        </w:rPr>
      </w:pPr>
      <w:hyperlink w:anchor="_Toc521089204" w:history="1">
        <w:r w:rsidR="00735F1C">
          <w:rPr>
            <w:rFonts w:ascii="仿宋_GB2312" w:eastAsia="仿宋_GB2312" w:hAnsi="仿宋_GB2312" w:cs="仿宋_GB2312" w:hint="eastAsia"/>
            <w:b w:val="0"/>
            <w:sz w:val="32"/>
            <w:szCs w:val="32"/>
          </w:rPr>
          <w:t>四、主要绩效</w:t>
        </w:r>
        <w:r w:rsidR="00735F1C">
          <w:rPr>
            <w:rFonts w:ascii="仿宋_GB2312" w:eastAsia="仿宋_GB2312" w:hAnsi="仿宋_GB2312" w:cs="仿宋_GB2312" w:hint="eastAsia"/>
            <w:b w:val="0"/>
            <w:sz w:val="32"/>
            <w:szCs w:val="32"/>
          </w:rPr>
          <w:tab/>
        </w:r>
      </w:hyperlink>
    </w:p>
    <w:p w:rsidR="00735F1C" w:rsidRDefault="00610C24" w:rsidP="00735F1C">
      <w:pPr>
        <w:pStyle w:val="1"/>
        <w:tabs>
          <w:tab w:val="right" w:leader="dot" w:pos="8948"/>
        </w:tabs>
        <w:ind w:firstLine="402"/>
        <w:rPr>
          <w:rFonts w:ascii="仿宋_GB2312" w:eastAsia="仿宋_GB2312" w:hAnsi="仿宋_GB2312" w:cs="仿宋_GB2312"/>
          <w:b w:val="0"/>
          <w:bCs w:val="0"/>
          <w:caps w:val="0"/>
          <w:sz w:val="32"/>
          <w:szCs w:val="32"/>
        </w:rPr>
      </w:pPr>
      <w:hyperlink w:anchor="_Toc521089208" w:history="1">
        <w:r w:rsidR="00735F1C">
          <w:rPr>
            <w:rFonts w:ascii="仿宋_GB2312" w:eastAsia="仿宋_GB2312" w:hAnsi="仿宋_GB2312" w:cs="仿宋_GB2312" w:hint="eastAsia"/>
            <w:b w:val="0"/>
            <w:sz w:val="32"/>
            <w:szCs w:val="32"/>
          </w:rPr>
          <w:t>五、存在问题</w:t>
        </w:r>
        <w:r w:rsidR="00735F1C">
          <w:rPr>
            <w:rFonts w:ascii="仿宋_GB2312" w:eastAsia="仿宋_GB2312" w:hAnsi="仿宋_GB2312" w:cs="仿宋_GB2312" w:hint="eastAsia"/>
            <w:b w:val="0"/>
            <w:sz w:val="32"/>
            <w:szCs w:val="32"/>
          </w:rPr>
          <w:tab/>
        </w:r>
      </w:hyperlink>
    </w:p>
    <w:p w:rsidR="00735F1C" w:rsidRDefault="00610C24" w:rsidP="00735F1C">
      <w:pPr>
        <w:pStyle w:val="1"/>
        <w:tabs>
          <w:tab w:val="right" w:leader="dot" w:pos="8948"/>
        </w:tabs>
        <w:ind w:firstLine="402"/>
        <w:rPr>
          <w:rFonts w:ascii="仿宋_GB2312" w:eastAsia="仿宋_GB2312" w:hAnsi="仿宋_GB2312" w:cs="仿宋_GB2312"/>
          <w:b w:val="0"/>
          <w:bCs w:val="0"/>
          <w:caps w:val="0"/>
          <w:sz w:val="32"/>
          <w:szCs w:val="32"/>
        </w:rPr>
      </w:pPr>
      <w:hyperlink w:anchor="_Toc521089213" w:history="1">
        <w:r w:rsidR="00735F1C">
          <w:rPr>
            <w:rFonts w:ascii="仿宋_GB2312" w:eastAsia="仿宋_GB2312" w:hAnsi="仿宋_GB2312" w:cs="仿宋_GB2312" w:hint="eastAsia"/>
            <w:b w:val="0"/>
            <w:sz w:val="32"/>
            <w:szCs w:val="32"/>
          </w:rPr>
          <w:t>六、相关建议</w:t>
        </w:r>
        <w:r w:rsidR="00735F1C">
          <w:rPr>
            <w:rFonts w:ascii="仿宋_GB2312" w:eastAsia="仿宋_GB2312" w:hAnsi="仿宋_GB2312" w:cs="仿宋_GB2312" w:hint="eastAsia"/>
            <w:b w:val="0"/>
            <w:sz w:val="32"/>
            <w:szCs w:val="32"/>
          </w:rPr>
          <w:tab/>
        </w:r>
      </w:hyperlink>
    </w:p>
    <w:p w:rsidR="00735F1C" w:rsidRDefault="00735F1C" w:rsidP="00735F1C">
      <w:pPr>
        <w:pStyle w:val="1"/>
        <w:tabs>
          <w:tab w:val="right" w:leader="dot" w:pos="8948"/>
        </w:tabs>
        <w:ind w:firstLine="402"/>
        <w:rPr>
          <w:rFonts w:ascii="仿宋_GB2312" w:eastAsia="仿宋_GB2312" w:hAnsi="仿宋_GB2312" w:cs="仿宋_GB2312"/>
          <w:b w:val="0"/>
          <w:bCs w:val="0"/>
          <w:caps w:val="0"/>
          <w:sz w:val="32"/>
          <w:szCs w:val="32"/>
        </w:rPr>
      </w:pPr>
    </w:p>
    <w:p w:rsidR="00735F1C" w:rsidRDefault="00735F1C" w:rsidP="00735F1C">
      <w:pPr>
        <w:pStyle w:val="1"/>
        <w:tabs>
          <w:tab w:val="right" w:leader="dot" w:pos="8948"/>
        </w:tabs>
        <w:ind w:firstLine="402"/>
        <w:rPr>
          <w:rFonts w:ascii="仿宋_GB2312" w:eastAsia="仿宋_GB2312" w:hAnsi="仿宋_GB2312" w:cs="仿宋_GB2312"/>
          <w:b w:val="0"/>
          <w:bCs w:val="0"/>
          <w:caps w:val="0"/>
          <w:sz w:val="32"/>
          <w:szCs w:val="32"/>
        </w:rPr>
      </w:pPr>
    </w:p>
    <w:p w:rsidR="00735F1C" w:rsidRDefault="00735F1C" w:rsidP="00735F1C">
      <w:pPr>
        <w:pStyle w:val="1"/>
        <w:tabs>
          <w:tab w:val="right" w:leader="dot" w:pos="8948"/>
        </w:tabs>
        <w:ind w:firstLine="402"/>
        <w:rPr>
          <w:rFonts w:ascii="仿宋_GB2312" w:eastAsia="仿宋_GB2312" w:hAnsi="仿宋_GB2312" w:cs="仿宋_GB2312"/>
          <w:b w:val="0"/>
          <w:bCs w:val="0"/>
          <w:caps w:val="0"/>
          <w:sz w:val="32"/>
          <w:szCs w:val="32"/>
        </w:rPr>
      </w:pPr>
    </w:p>
    <w:p w:rsidR="00735F1C" w:rsidRDefault="00735F1C" w:rsidP="00735F1C">
      <w:pPr>
        <w:pStyle w:val="1"/>
        <w:tabs>
          <w:tab w:val="right" w:leader="dot" w:pos="8948"/>
        </w:tabs>
        <w:ind w:firstLine="402"/>
        <w:rPr>
          <w:rFonts w:ascii="仿宋_GB2312"/>
          <w:b w:val="0"/>
          <w:bCs w:val="0"/>
          <w:caps w:val="0"/>
          <w:sz w:val="28"/>
          <w:szCs w:val="28"/>
        </w:rPr>
      </w:pPr>
    </w:p>
    <w:p w:rsidR="00932DAA" w:rsidRDefault="00735F1C" w:rsidP="00735F1C">
      <w:pPr>
        <w:rPr>
          <w:rFonts w:ascii="仿宋_GB2312" w:hAnsi="Cambria"/>
          <w:sz w:val="28"/>
          <w:szCs w:val="28"/>
        </w:rPr>
      </w:pPr>
      <w:r>
        <w:rPr>
          <w:rFonts w:ascii="仿宋_GB2312" w:hAnsi="Cambria" w:hint="eastAsia"/>
          <w:sz w:val="28"/>
          <w:szCs w:val="28"/>
        </w:rPr>
        <w:fldChar w:fldCharType="end"/>
      </w:r>
    </w:p>
    <w:p w:rsidR="0083765C" w:rsidRDefault="0083765C" w:rsidP="00735F1C">
      <w:pPr>
        <w:rPr>
          <w:rFonts w:ascii="仿宋_GB2312" w:hAnsi="Cambria"/>
          <w:sz w:val="28"/>
          <w:szCs w:val="28"/>
        </w:rPr>
      </w:pPr>
    </w:p>
    <w:p w:rsidR="0083765C" w:rsidRDefault="0083765C" w:rsidP="00735F1C">
      <w:pPr>
        <w:rPr>
          <w:rFonts w:ascii="仿宋_GB2312" w:hAnsi="Cambria"/>
          <w:sz w:val="28"/>
          <w:szCs w:val="28"/>
        </w:rPr>
      </w:pPr>
    </w:p>
    <w:p w:rsidR="0083765C" w:rsidRDefault="0083765C" w:rsidP="00735F1C">
      <w:pPr>
        <w:rPr>
          <w:rFonts w:ascii="仿宋_GB2312" w:hAnsi="Cambria"/>
          <w:sz w:val="28"/>
          <w:szCs w:val="28"/>
        </w:rPr>
      </w:pPr>
    </w:p>
    <w:p w:rsidR="0083765C" w:rsidRDefault="0083765C" w:rsidP="00735F1C">
      <w:pPr>
        <w:rPr>
          <w:rFonts w:ascii="仿宋_GB2312" w:hAnsi="Cambria"/>
          <w:sz w:val="28"/>
          <w:szCs w:val="28"/>
        </w:rPr>
      </w:pPr>
    </w:p>
    <w:p w:rsidR="0083765C" w:rsidRDefault="0083765C" w:rsidP="00735F1C">
      <w:pPr>
        <w:rPr>
          <w:rFonts w:ascii="仿宋_GB2312" w:hAnsi="Cambria"/>
          <w:sz w:val="28"/>
          <w:szCs w:val="28"/>
        </w:rPr>
      </w:pPr>
    </w:p>
    <w:p w:rsidR="0083765C" w:rsidRDefault="0083765C" w:rsidP="00735F1C">
      <w:pPr>
        <w:rPr>
          <w:rFonts w:ascii="仿宋_GB2312" w:hAnsi="Cambria"/>
          <w:sz w:val="28"/>
          <w:szCs w:val="28"/>
        </w:rPr>
      </w:pPr>
    </w:p>
    <w:p w:rsidR="0083765C" w:rsidRDefault="0083765C" w:rsidP="00735F1C">
      <w:pPr>
        <w:rPr>
          <w:rFonts w:ascii="仿宋_GB2312" w:hAnsi="Cambria" w:hint="eastAsia"/>
          <w:sz w:val="28"/>
          <w:szCs w:val="28"/>
        </w:rPr>
      </w:pPr>
    </w:p>
    <w:p w:rsidR="009B4859" w:rsidRDefault="009B4859" w:rsidP="00735F1C">
      <w:pPr>
        <w:rPr>
          <w:rFonts w:ascii="仿宋_GB2312" w:hAnsi="Cambria"/>
          <w:sz w:val="28"/>
          <w:szCs w:val="28"/>
        </w:rPr>
      </w:pPr>
    </w:p>
    <w:p w:rsidR="0083765C" w:rsidRPr="009B4859" w:rsidRDefault="0083765C" w:rsidP="00735F1C">
      <w:pPr>
        <w:rPr>
          <w:rFonts w:ascii="黑体" w:eastAsia="黑体" w:hAnsi="黑体" w:hint="eastAsia"/>
          <w:sz w:val="32"/>
          <w:szCs w:val="32"/>
        </w:rPr>
      </w:pPr>
      <w:r w:rsidRPr="009B4859">
        <w:rPr>
          <w:rFonts w:ascii="仿宋_GB2312" w:hint="eastAsia"/>
          <w:sz w:val="32"/>
          <w:szCs w:val="32"/>
        </w:rPr>
        <w:lastRenderedPageBreak/>
        <w:t xml:space="preserve">    </w:t>
      </w:r>
      <w:r w:rsidRPr="009B4859">
        <w:rPr>
          <w:rFonts w:ascii="黑体" w:eastAsia="黑体" w:hAnsi="黑体" w:hint="eastAsia"/>
          <w:sz w:val="32"/>
          <w:szCs w:val="32"/>
        </w:rPr>
        <w:t>一、基本情况</w:t>
      </w:r>
    </w:p>
    <w:p w:rsidR="00D771B1" w:rsidRPr="009B4859" w:rsidRDefault="00D771B1" w:rsidP="00735F1C">
      <w:pPr>
        <w:rPr>
          <w:rFonts w:ascii="楷体" w:eastAsia="楷体" w:hAnsi="楷体" w:hint="eastAsia"/>
          <w:sz w:val="32"/>
          <w:szCs w:val="32"/>
        </w:rPr>
      </w:pPr>
      <w:r w:rsidRPr="009B4859">
        <w:rPr>
          <w:rFonts w:ascii="仿宋_GB2312" w:hint="eastAsia"/>
          <w:sz w:val="32"/>
          <w:szCs w:val="32"/>
        </w:rPr>
        <w:t xml:space="preserve">    </w:t>
      </w:r>
      <w:r w:rsidRPr="009B4859">
        <w:rPr>
          <w:rFonts w:ascii="楷体" w:eastAsia="楷体" w:hAnsi="楷体" w:hint="eastAsia"/>
          <w:sz w:val="32"/>
          <w:szCs w:val="32"/>
        </w:rPr>
        <w:t>（一）</w:t>
      </w:r>
      <w:r w:rsidR="00FD0B7F" w:rsidRPr="009B4859">
        <w:rPr>
          <w:rFonts w:ascii="楷体" w:eastAsia="楷体" w:hAnsi="楷体" w:hint="eastAsia"/>
          <w:sz w:val="32"/>
          <w:szCs w:val="32"/>
        </w:rPr>
        <w:t>建立</w:t>
      </w:r>
      <w:r w:rsidRPr="009B4859">
        <w:rPr>
          <w:rFonts w:ascii="楷体" w:eastAsia="楷体" w:hAnsi="楷体" w:hint="eastAsia"/>
          <w:sz w:val="32"/>
          <w:szCs w:val="32"/>
        </w:rPr>
        <w:t>生均拨款制度情况</w:t>
      </w:r>
    </w:p>
    <w:p w:rsidR="0083765C" w:rsidRPr="009B4859" w:rsidRDefault="0083765C" w:rsidP="0069202B">
      <w:pPr>
        <w:ind w:firstLine="600"/>
        <w:rPr>
          <w:rFonts w:ascii="仿宋_GB2312" w:hint="eastAsia"/>
          <w:sz w:val="32"/>
          <w:szCs w:val="32"/>
        </w:rPr>
      </w:pPr>
      <w:r w:rsidRPr="009B4859">
        <w:rPr>
          <w:rFonts w:ascii="仿宋_GB2312" w:hint="eastAsia"/>
          <w:sz w:val="32"/>
          <w:szCs w:val="32"/>
        </w:rPr>
        <w:t>根据省财政厅、省教育厅《关于建立全省学前教育生均经费拨款制度的通知》（</w:t>
      </w:r>
      <w:proofErr w:type="gramStart"/>
      <w:r w:rsidRPr="009B4859">
        <w:rPr>
          <w:rFonts w:ascii="仿宋_GB2312" w:hint="eastAsia"/>
          <w:sz w:val="32"/>
          <w:szCs w:val="32"/>
        </w:rPr>
        <w:t>粤财教〔2018〕</w:t>
      </w:r>
      <w:proofErr w:type="gramEnd"/>
      <w:r w:rsidRPr="009B4859">
        <w:rPr>
          <w:rFonts w:ascii="仿宋_GB2312" w:hint="eastAsia"/>
          <w:sz w:val="32"/>
          <w:szCs w:val="32"/>
        </w:rPr>
        <w:t>336号）和市财政局、市教育局《关于建立韶关市学前教育生均经费拨款制度的通知》（</w:t>
      </w:r>
      <w:proofErr w:type="gramStart"/>
      <w:r w:rsidRPr="009B4859">
        <w:rPr>
          <w:rFonts w:ascii="仿宋_GB2312" w:hint="eastAsia"/>
          <w:sz w:val="32"/>
          <w:szCs w:val="32"/>
        </w:rPr>
        <w:t>韶财教</w:t>
      </w:r>
      <w:proofErr w:type="gramEnd"/>
      <w:r w:rsidRPr="009B4859">
        <w:rPr>
          <w:rFonts w:ascii="仿宋_GB2312" w:hint="eastAsia"/>
          <w:sz w:val="32"/>
          <w:szCs w:val="32"/>
        </w:rPr>
        <w:t>〔2019〕4号）文件精神，为进一步完善学前教育经费保障制度，提升学前教育公共服务水平，我区从2019年起制定韶关市曲江区学前教育生均拨款制度。</w:t>
      </w:r>
    </w:p>
    <w:p w:rsidR="0069202B" w:rsidRPr="009B4859" w:rsidRDefault="00D771B1" w:rsidP="0069202B">
      <w:pPr>
        <w:ind w:firstLine="600"/>
        <w:rPr>
          <w:rFonts w:ascii="仿宋_GB2312" w:hint="eastAsia"/>
          <w:b/>
          <w:sz w:val="32"/>
          <w:szCs w:val="32"/>
        </w:rPr>
      </w:pPr>
      <w:r w:rsidRPr="009B4859">
        <w:rPr>
          <w:rFonts w:ascii="仿宋_GB2312" w:hint="eastAsia"/>
          <w:b/>
          <w:sz w:val="32"/>
          <w:szCs w:val="32"/>
        </w:rPr>
        <w:t>1.</w:t>
      </w:r>
      <w:r w:rsidR="0069202B" w:rsidRPr="009B4859">
        <w:rPr>
          <w:rFonts w:ascii="仿宋_GB2312" w:hint="eastAsia"/>
          <w:b/>
          <w:sz w:val="32"/>
          <w:szCs w:val="32"/>
        </w:rPr>
        <w:t>建立学前教育生均拨款</w:t>
      </w:r>
      <w:r w:rsidR="00BB5741" w:rsidRPr="009B4859">
        <w:rPr>
          <w:rFonts w:ascii="仿宋_GB2312" w:hint="eastAsia"/>
          <w:b/>
          <w:sz w:val="32"/>
          <w:szCs w:val="32"/>
        </w:rPr>
        <w:t>最低</w:t>
      </w:r>
      <w:r w:rsidR="0069202B" w:rsidRPr="009B4859">
        <w:rPr>
          <w:rFonts w:ascii="仿宋_GB2312" w:hint="eastAsia"/>
          <w:b/>
          <w:sz w:val="32"/>
          <w:szCs w:val="32"/>
        </w:rPr>
        <w:t>标准</w:t>
      </w:r>
    </w:p>
    <w:p w:rsidR="0069202B" w:rsidRPr="009B4859" w:rsidRDefault="0069202B" w:rsidP="0069202B">
      <w:pPr>
        <w:ind w:firstLine="600"/>
        <w:rPr>
          <w:rFonts w:ascii="仿宋_GB2312" w:hint="eastAsia"/>
          <w:sz w:val="32"/>
          <w:szCs w:val="32"/>
        </w:rPr>
      </w:pPr>
      <w:r w:rsidRPr="009B4859">
        <w:rPr>
          <w:rFonts w:ascii="仿宋_GB2312" w:hint="eastAsia"/>
          <w:sz w:val="32"/>
          <w:szCs w:val="32"/>
        </w:rPr>
        <w:t>从2019年起，公办幼儿园生均公用经费拨款标准为300元，2020年、2021年分别达到400元和500元，对普惠性民办幼儿园参照公办幼儿园生均公用经费财政拨款标准给予经费补助，经费补助标准与公办幼儿园年生均拨款标准一致。</w:t>
      </w:r>
    </w:p>
    <w:p w:rsidR="00655CDE" w:rsidRPr="009B4859" w:rsidRDefault="00D771B1" w:rsidP="0069202B">
      <w:pPr>
        <w:ind w:firstLine="600"/>
        <w:rPr>
          <w:rFonts w:ascii="仿宋_GB2312" w:hint="eastAsia"/>
          <w:b/>
          <w:sz w:val="32"/>
          <w:szCs w:val="32"/>
        </w:rPr>
      </w:pPr>
      <w:r w:rsidRPr="009B4859">
        <w:rPr>
          <w:rFonts w:ascii="仿宋_GB2312" w:hint="eastAsia"/>
          <w:b/>
          <w:sz w:val="32"/>
          <w:szCs w:val="32"/>
        </w:rPr>
        <w:t>2.</w:t>
      </w:r>
      <w:r w:rsidR="00655CDE" w:rsidRPr="009B4859">
        <w:rPr>
          <w:rFonts w:ascii="仿宋_GB2312" w:hint="eastAsia"/>
          <w:b/>
          <w:sz w:val="32"/>
          <w:szCs w:val="32"/>
        </w:rPr>
        <w:t>经费保障及分担比例</w:t>
      </w:r>
    </w:p>
    <w:p w:rsidR="00655CDE" w:rsidRPr="009B4859" w:rsidRDefault="00655CDE" w:rsidP="0069202B">
      <w:pPr>
        <w:ind w:firstLine="600"/>
        <w:rPr>
          <w:rFonts w:ascii="仿宋_GB2312" w:hint="eastAsia"/>
          <w:sz w:val="32"/>
          <w:szCs w:val="32"/>
        </w:rPr>
      </w:pPr>
      <w:r w:rsidRPr="009B4859">
        <w:rPr>
          <w:rFonts w:ascii="仿宋_GB2312" w:hint="eastAsia"/>
          <w:sz w:val="32"/>
          <w:szCs w:val="32"/>
        </w:rPr>
        <w:t>公办幼儿园生均公用经费财政拨款</w:t>
      </w:r>
      <w:proofErr w:type="gramStart"/>
      <w:r w:rsidRPr="009B4859">
        <w:rPr>
          <w:rFonts w:ascii="仿宋_GB2312" w:hint="eastAsia"/>
          <w:sz w:val="32"/>
          <w:szCs w:val="32"/>
        </w:rPr>
        <w:t>标准及普惠</w:t>
      </w:r>
      <w:proofErr w:type="gramEnd"/>
      <w:r w:rsidRPr="009B4859">
        <w:rPr>
          <w:rFonts w:ascii="仿宋_GB2312" w:hint="eastAsia"/>
          <w:sz w:val="32"/>
          <w:szCs w:val="32"/>
        </w:rPr>
        <w:t>性民办幼儿园财政补助标准所需经费，由省财政和区财政足额安排，由省财政和区财政足额安排，省财政按省定标准补助我区50%，我区配套50%。</w:t>
      </w:r>
    </w:p>
    <w:p w:rsidR="00BF2C18" w:rsidRPr="009B4859" w:rsidRDefault="00BF2C18" w:rsidP="0069202B">
      <w:pPr>
        <w:ind w:firstLine="600"/>
        <w:rPr>
          <w:rFonts w:ascii="仿宋_GB2312" w:hint="eastAsia"/>
          <w:b/>
          <w:sz w:val="32"/>
          <w:szCs w:val="32"/>
        </w:rPr>
      </w:pPr>
      <w:r w:rsidRPr="009B4859">
        <w:rPr>
          <w:rFonts w:ascii="仿宋_GB2312" w:hint="eastAsia"/>
          <w:b/>
          <w:sz w:val="32"/>
          <w:szCs w:val="32"/>
        </w:rPr>
        <w:t>3.开支范围</w:t>
      </w:r>
    </w:p>
    <w:p w:rsidR="00BF2C18" w:rsidRPr="009B4859" w:rsidRDefault="00BF2C18" w:rsidP="0069202B">
      <w:pPr>
        <w:ind w:firstLine="600"/>
        <w:rPr>
          <w:rFonts w:ascii="仿宋_GB2312" w:hint="eastAsia"/>
          <w:sz w:val="32"/>
          <w:szCs w:val="32"/>
        </w:rPr>
      </w:pPr>
      <w:r w:rsidRPr="009B4859">
        <w:rPr>
          <w:rFonts w:ascii="仿宋_GB2312" w:hint="eastAsia"/>
          <w:sz w:val="32"/>
          <w:szCs w:val="32"/>
        </w:rPr>
        <w:t>公办幼儿园生均公用经费拨款主要用于为保障幼儿园正常运转所需的保育教育活动和其他日常工作任务等方面支</w:t>
      </w:r>
      <w:r w:rsidRPr="009B4859">
        <w:rPr>
          <w:rFonts w:ascii="仿宋_GB2312" w:hint="eastAsia"/>
          <w:sz w:val="32"/>
          <w:szCs w:val="32"/>
        </w:rPr>
        <w:lastRenderedPageBreak/>
        <w:t>出。财政补助的公用经费不得用于财政供养人员的</w:t>
      </w:r>
      <w:proofErr w:type="gramStart"/>
      <w:r w:rsidRPr="009B4859">
        <w:rPr>
          <w:rFonts w:ascii="仿宋_GB2312" w:hint="eastAsia"/>
          <w:sz w:val="32"/>
          <w:szCs w:val="32"/>
        </w:rPr>
        <w:t>的</w:t>
      </w:r>
      <w:proofErr w:type="gramEnd"/>
      <w:r w:rsidRPr="009B4859">
        <w:rPr>
          <w:rFonts w:ascii="仿宋_GB2312" w:hint="eastAsia"/>
          <w:sz w:val="32"/>
          <w:szCs w:val="32"/>
        </w:rPr>
        <w:t>工资、津贴、福利、社保和住房公积金等工资福利支出；不得用于基本建设投资、偿还债务等方面的支出。严格按照有关人事政策要求聘用非财政供养人员，严格控制非财政供养人员经费支出。</w:t>
      </w:r>
    </w:p>
    <w:p w:rsidR="00BF2C18" w:rsidRPr="009B4859" w:rsidRDefault="00BF2C18" w:rsidP="0069202B">
      <w:pPr>
        <w:ind w:firstLine="600"/>
        <w:rPr>
          <w:rFonts w:ascii="仿宋_GB2312" w:hint="eastAsia"/>
          <w:sz w:val="32"/>
          <w:szCs w:val="32"/>
        </w:rPr>
      </w:pPr>
      <w:r w:rsidRPr="009B4859">
        <w:rPr>
          <w:rFonts w:ascii="仿宋_GB2312" w:hint="eastAsia"/>
          <w:sz w:val="32"/>
          <w:szCs w:val="32"/>
        </w:rPr>
        <w:t>对普惠性民办幼儿园参照公办幼儿园生均公用经费财政拨款标准给予的经费补助由民办幼儿园统筹用于保障运行管理各项支出。</w:t>
      </w:r>
    </w:p>
    <w:p w:rsidR="00D771B1" w:rsidRPr="009B4859" w:rsidRDefault="00BF2C18" w:rsidP="00BF2C18">
      <w:pPr>
        <w:rPr>
          <w:rFonts w:ascii="楷体" w:eastAsia="楷体" w:hAnsi="楷体" w:hint="eastAsia"/>
          <w:sz w:val="32"/>
          <w:szCs w:val="32"/>
        </w:rPr>
      </w:pPr>
      <w:r w:rsidRPr="009B4859">
        <w:rPr>
          <w:rFonts w:ascii="仿宋_GB2312" w:hint="eastAsia"/>
          <w:sz w:val="32"/>
          <w:szCs w:val="32"/>
        </w:rPr>
        <w:t xml:space="preserve">    </w:t>
      </w:r>
      <w:r w:rsidR="00D771B1" w:rsidRPr="009B4859">
        <w:rPr>
          <w:rFonts w:ascii="楷体" w:eastAsia="楷体" w:hAnsi="楷体" w:hint="eastAsia"/>
          <w:sz w:val="32"/>
          <w:szCs w:val="32"/>
        </w:rPr>
        <w:t>（二）资金安排情况</w:t>
      </w:r>
    </w:p>
    <w:p w:rsidR="00D771B1" w:rsidRPr="009B4859" w:rsidRDefault="00D771B1" w:rsidP="0069202B">
      <w:pPr>
        <w:ind w:firstLine="600"/>
        <w:rPr>
          <w:rFonts w:ascii="仿宋_GB2312" w:hint="eastAsia"/>
          <w:sz w:val="32"/>
          <w:szCs w:val="32"/>
        </w:rPr>
      </w:pPr>
      <w:r w:rsidRPr="009B4859">
        <w:rPr>
          <w:rFonts w:ascii="仿宋_GB2312" w:hint="eastAsia"/>
          <w:sz w:val="32"/>
          <w:szCs w:val="32"/>
        </w:rPr>
        <w:t>根据韶关市财政局《关于下达2019年学前教育生均拨款经费省级补助资金的通知》（</w:t>
      </w:r>
      <w:proofErr w:type="gramStart"/>
      <w:r w:rsidRPr="009B4859">
        <w:rPr>
          <w:rFonts w:ascii="仿宋_GB2312" w:hint="eastAsia"/>
          <w:sz w:val="32"/>
          <w:szCs w:val="32"/>
        </w:rPr>
        <w:t>韶财教</w:t>
      </w:r>
      <w:proofErr w:type="gramEnd"/>
      <w:r w:rsidRPr="009B4859">
        <w:rPr>
          <w:rFonts w:ascii="仿宋_GB2312" w:hint="eastAsia"/>
          <w:sz w:val="32"/>
          <w:szCs w:val="32"/>
        </w:rPr>
        <w:t>〔2019〕17号）文件精神，下达我区的省补资金159万元，主要用于保障幼儿园正常运转所需的保育教育活动和其他日常工作任务等方面的支出。</w:t>
      </w:r>
    </w:p>
    <w:p w:rsidR="00751608" w:rsidRPr="009B4859" w:rsidRDefault="00751608" w:rsidP="0069202B">
      <w:pPr>
        <w:ind w:firstLine="600"/>
        <w:rPr>
          <w:rFonts w:ascii="黑体" w:eastAsia="黑体" w:hAnsi="黑体" w:hint="eastAsia"/>
          <w:sz w:val="32"/>
          <w:szCs w:val="32"/>
        </w:rPr>
      </w:pPr>
      <w:r w:rsidRPr="009B4859">
        <w:rPr>
          <w:rFonts w:ascii="黑体" w:eastAsia="黑体" w:hAnsi="黑体" w:hint="eastAsia"/>
          <w:sz w:val="32"/>
          <w:szCs w:val="32"/>
        </w:rPr>
        <w:t>二、绩效指标分析</w:t>
      </w:r>
    </w:p>
    <w:p w:rsidR="0098673A" w:rsidRPr="009B4859" w:rsidRDefault="0098673A" w:rsidP="0069202B">
      <w:pPr>
        <w:ind w:firstLine="600"/>
        <w:rPr>
          <w:rFonts w:ascii="仿宋_GB2312" w:hint="eastAsia"/>
          <w:sz w:val="32"/>
          <w:szCs w:val="32"/>
        </w:rPr>
      </w:pPr>
      <w:r w:rsidRPr="009B4859">
        <w:rPr>
          <w:rFonts w:ascii="仿宋_GB2312" w:hint="eastAsia"/>
          <w:sz w:val="32"/>
          <w:szCs w:val="32"/>
        </w:rPr>
        <w:t>对照《省级财政资金绩效自评指标体系评分表》的各项指标，自查自评：论证充分性4分、完整性2分、合理性2分、可衡量性2分、制度完整性1分、计划安排合理性1分、资金到位率3分、资金到位及时性2分、资金分配合理性3分、资金支出率6分、支出规范性6分、程序规范性4分、监管有效性4分、预算控制3分、成本节约（成本指标）2分、（数量、时效、质量指标）25分、（个性指标）25分、</w:t>
      </w:r>
      <w:r w:rsidRPr="009B4859">
        <w:rPr>
          <w:rFonts w:ascii="仿宋_GB2312" w:hint="eastAsia"/>
          <w:sz w:val="32"/>
          <w:szCs w:val="32"/>
        </w:rPr>
        <w:lastRenderedPageBreak/>
        <w:t>服务对象满意度5分。</w:t>
      </w:r>
    </w:p>
    <w:p w:rsidR="00FA1F1D" w:rsidRPr="009B4859" w:rsidRDefault="00D034C5" w:rsidP="0069202B">
      <w:pPr>
        <w:ind w:firstLine="600"/>
        <w:rPr>
          <w:rFonts w:ascii="黑体" w:eastAsia="黑体" w:hAnsi="黑体" w:hint="eastAsia"/>
          <w:sz w:val="32"/>
          <w:szCs w:val="32"/>
        </w:rPr>
      </w:pPr>
      <w:r w:rsidRPr="009B4859">
        <w:rPr>
          <w:rFonts w:ascii="黑体" w:eastAsia="黑体" w:hAnsi="黑体" w:hint="eastAsia"/>
          <w:sz w:val="32"/>
          <w:szCs w:val="32"/>
        </w:rPr>
        <w:t>三、综合评价结论</w:t>
      </w:r>
    </w:p>
    <w:p w:rsidR="00D034C5" w:rsidRPr="009B4859" w:rsidRDefault="0098673A" w:rsidP="0098673A">
      <w:pPr>
        <w:ind w:firstLine="600"/>
        <w:rPr>
          <w:rFonts w:ascii="仿宋_GB2312" w:hint="eastAsia"/>
          <w:sz w:val="32"/>
          <w:szCs w:val="32"/>
        </w:rPr>
      </w:pPr>
      <w:r w:rsidRPr="009B4859">
        <w:rPr>
          <w:rFonts w:ascii="仿宋_GB2312" w:hint="eastAsia"/>
          <w:sz w:val="32"/>
          <w:szCs w:val="32"/>
        </w:rPr>
        <w:t>总体自评100分。</w:t>
      </w:r>
    </w:p>
    <w:p w:rsidR="000B5524" w:rsidRPr="009B4859" w:rsidRDefault="000B5524" w:rsidP="0069202B">
      <w:pPr>
        <w:ind w:firstLine="600"/>
        <w:rPr>
          <w:rFonts w:ascii="黑体" w:eastAsia="黑体" w:hAnsi="黑体" w:hint="eastAsia"/>
          <w:sz w:val="32"/>
          <w:szCs w:val="32"/>
        </w:rPr>
      </w:pPr>
      <w:r w:rsidRPr="009B4859">
        <w:rPr>
          <w:rFonts w:ascii="黑体" w:eastAsia="黑体" w:hAnsi="黑体" w:hint="eastAsia"/>
          <w:sz w:val="32"/>
          <w:szCs w:val="32"/>
        </w:rPr>
        <w:t>四、主要绩效</w:t>
      </w:r>
    </w:p>
    <w:p w:rsidR="000B5524" w:rsidRPr="009B4859" w:rsidRDefault="000B5524" w:rsidP="0069202B">
      <w:pPr>
        <w:ind w:firstLine="600"/>
        <w:rPr>
          <w:rFonts w:ascii="仿宋_GB2312" w:hint="eastAsia"/>
          <w:sz w:val="32"/>
          <w:szCs w:val="32"/>
        </w:rPr>
      </w:pPr>
      <w:r w:rsidRPr="009B4859">
        <w:rPr>
          <w:rFonts w:ascii="仿宋_GB2312" w:hint="eastAsia"/>
          <w:sz w:val="32"/>
          <w:szCs w:val="32"/>
        </w:rPr>
        <w:t>1.2019年，全区符合学前教育生均公用经费拨款补助条件的幼儿园达到83所，</w:t>
      </w:r>
      <w:r w:rsidR="00885E7E" w:rsidRPr="009B4859">
        <w:rPr>
          <w:rFonts w:ascii="仿宋_GB2312" w:hint="eastAsia"/>
          <w:sz w:val="32"/>
          <w:szCs w:val="32"/>
        </w:rPr>
        <w:t>补助学生人数10622人，</w:t>
      </w:r>
      <w:r w:rsidRPr="009B4859">
        <w:rPr>
          <w:rFonts w:ascii="仿宋_GB2312" w:hint="eastAsia"/>
          <w:sz w:val="32"/>
          <w:szCs w:val="32"/>
        </w:rPr>
        <w:t>覆盖率达到100%。</w:t>
      </w:r>
    </w:p>
    <w:p w:rsidR="000B5524" w:rsidRPr="009B4859" w:rsidRDefault="000B5524" w:rsidP="0069202B">
      <w:pPr>
        <w:ind w:firstLine="600"/>
        <w:rPr>
          <w:rFonts w:ascii="仿宋_GB2312" w:hint="eastAsia"/>
          <w:sz w:val="32"/>
          <w:szCs w:val="32"/>
        </w:rPr>
      </w:pPr>
      <w:r w:rsidRPr="009B4859">
        <w:rPr>
          <w:rFonts w:ascii="仿宋_GB2312" w:hint="eastAsia"/>
          <w:sz w:val="32"/>
          <w:szCs w:val="32"/>
        </w:rPr>
        <w:t>2.2019</w:t>
      </w:r>
      <w:r w:rsidR="00885E7E" w:rsidRPr="009B4859">
        <w:rPr>
          <w:rFonts w:ascii="仿宋_GB2312" w:hint="eastAsia"/>
          <w:sz w:val="32"/>
          <w:szCs w:val="32"/>
        </w:rPr>
        <w:t>年，全区</w:t>
      </w:r>
      <w:r w:rsidRPr="009B4859">
        <w:rPr>
          <w:rFonts w:ascii="仿宋_GB2312" w:hint="eastAsia"/>
          <w:sz w:val="32"/>
          <w:szCs w:val="32"/>
        </w:rPr>
        <w:t>学前教育生均公用经费拨款补助</w:t>
      </w:r>
      <w:r w:rsidR="00885E7E" w:rsidRPr="009B4859">
        <w:rPr>
          <w:rFonts w:ascii="仿宋_GB2312" w:hint="eastAsia"/>
          <w:sz w:val="32"/>
          <w:szCs w:val="32"/>
        </w:rPr>
        <w:t>每生每年300元</w:t>
      </w:r>
      <w:r w:rsidRPr="009B4859">
        <w:rPr>
          <w:rFonts w:ascii="仿宋_GB2312" w:hint="eastAsia"/>
          <w:sz w:val="32"/>
          <w:szCs w:val="32"/>
        </w:rPr>
        <w:t>，补助达标率100%。</w:t>
      </w:r>
    </w:p>
    <w:p w:rsidR="000B5524" w:rsidRPr="009B4859" w:rsidRDefault="000B5524" w:rsidP="0069202B">
      <w:pPr>
        <w:ind w:firstLine="600"/>
        <w:rPr>
          <w:rFonts w:ascii="仿宋_GB2312" w:hint="eastAsia"/>
          <w:sz w:val="32"/>
          <w:szCs w:val="32"/>
        </w:rPr>
      </w:pPr>
      <w:r w:rsidRPr="009B4859">
        <w:rPr>
          <w:rFonts w:ascii="仿宋_GB2312" w:hint="eastAsia"/>
          <w:sz w:val="32"/>
          <w:szCs w:val="32"/>
        </w:rPr>
        <w:t>3.2019年，我区学前教育生均公用经费拨款省补资金159万元，财政补助资金拨付到位率100%</w:t>
      </w:r>
      <w:r w:rsidR="00885E7E" w:rsidRPr="009B4859">
        <w:rPr>
          <w:rFonts w:ascii="仿宋_GB2312" w:hint="eastAsia"/>
          <w:sz w:val="32"/>
          <w:szCs w:val="32"/>
        </w:rPr>
        <w:t>，支出不超预算金额</w:t>
      </w:r>
      <w:r w:rsidRPr="009B4859">
        <w:rPr>
          <w:rFonts w:ascii="仿宋_GB2312" w:hint="eastAsia"/>
          <w:sz w:val="32"/>
          <w:szCs w:val="32"/>
        </w:rPr>
        <w:t>。</w:t>
      </w:r>
    </w:p>
    <w:p w:rsidR="0098673A" w:rsidRPr="009B4859" w:rsidRDefault="0098673A" w:rsidP="0069202B">
      <w:pPr>
        <w:ind w:firstLine="600"/>
        <w:rPr>
          <w:rFonts w:ascii="仿宋_GB2312" w:hint="eastAsia"/>
          <w:sz w:val="32"/>
          <w:szCs w:val="32"/>
        </w:rPr>
      </w:pPr>
      <w:r w:rsidRPr="009B4859">
        <w:rPr>
          <w:rFonts w:ascii="仿宋_GB2312" w:hint="eastAsia"/>
          <w:sz w:val="32"/>
          <w:szCs w:val="32"/>
        </w:rPr>
        <w:t>4.通过建立学前教育生均经费拨款制度，进一步提升学前教育公共服务水平，得到了广大师生、家长的认可，提升公众满意度。</w:t>
      </w:r>
    </w:p>
    <w:p w:rsidR="00980657" w:rsidRPr="009B4859" w:rsidRDefault="00980657" w:rsidP="0069202B">
      <w:pPr>
        <w:ind w:firstLine="600"/>
        <w:rPr>
          <w:rFonts w:ascii="黑体" w:eastAsia="黑体" w:hAnsi="黑体" w:hint="eastAsia"/>
          <w:sz w:val="32"/>
          <w:szCs w:val="32"/>
        </w:rPr>
      </w:pPr>
      <w:r w:rsidRPr="009B4859">
        <w:rPr>
          <w:rFonts w:ascii="黑体" w:eastAsia="黑体" w:hAnsi="黑体" w:hint="eastAsia"/>
          <w:sz w:val="32"/>
          <w:szCs w:val="32"/>
        </w:rPr>
        <w:t>五、存在问题</w:t>
      </w:r>
    </w:p>
    <w:p w:rsidR="00980657" w:rsidRPr="009B4859" w:rsidRDefault="00980657" w:rsidP="0069202B">
      <w:pPr>
        <w:ind w:firstLine="600"/>
        <w:rPr>
          <w:rFonts w:ascii="仿宋_GB2312" w:hint="eastAsia"/>
          <w:sz w:val="32"/>
          <w:szCs w:val="32"/>
        </w:rPr>
      </w:pPr>
      <w:r w:rsidRPr="009B4859">
        <w:rPr>
          <w:rFonts w:ascii="仿宋_GB2312" w:hint="eastAsia"/>
          <w:sz w:val="32"/>
          <w:szCs w:val="32"/>
        </w:rPr>
        <w:t>1.</w:t>
      </w:r>
      <w:bookmarkStart w:id="2" w:name="_GoBack"/>
      <w:bookmarkEnd w:id="2"/>
      <w:r w:rsidR="00C36EEE" w:rsidRPr="009B4859">
        <w:rPr>
          <w:rFonts w:ascii="仿宋_GB2312" w:hint="eastAsia"/>
          <w:sz w:val="32"/>
          <w:szCs w:val="32"/>
        </w:rPr>
        <w:t>2020年、2021年</w:t>
      </w:r>
      <w:r w:rsidRPr="009B4859">
        <w:rPr>
          <w:rFonts w:ascii="仿宋_GB2312" w:hint="eastAsia"/>
          <w:sz w:val="32"/>
          <w:szCs w:val="32"/>
        </w:rPr>
        <w:t>按每生每年100元提高生均公用经费标准的幅度偏小。</w:t>
      </w:r>
    </w:p>
    <w:p w:rsidR="00980657" w:rsidRPr="009B4859" w:rsidRDefault="00980657" w:rsidP="0069202B">
      <w:pPr>
        <w:ind w:firstLine="600"/>
        <w:rPr>
          <w:rFonts w:ascii="仿宋_GB2312" w:hint="eastAsia"/>
          <w:sz w:val="32"/>
          <w:szCs w:val="32"/>
        </w:rPr>
      </w:pPr>
      <w:r w:rsidRPr="009B4859">
        <w:rPr>
          <w:rFonts w:ascii="仿宋_GB2312" w:hint="eastAsia"/>
          <w:sz w:val="32"/>
          <w:szCs w:val="32"/>
        </w:rPr>
        <w:t>2.</w:t>
      </w:r>
      <w:r w:rsidR="008E5284" w:rsidRPr="009B4859">
        <w:rPr>
          <w:rFonts w:ascii="仿宋_GB2312" w:hint="eastAsia"/>
          <w:sz w:val="32"/>
          <w:szCs w:val="32"/>
        </w:rPr>
        <w:t>我区地处粤北欠发达地区，本地财力有限，</w:t>
      </w:r>
      <w:r w:rsidR="00A94B01" w:rsidRPr="009B4859">
        <w:rPr>
          <w:rFonts w:ascii="仿宋_GB2312" w:hint="eastAsia"/>
          <w:sz w:val="32"/>
          <w:szCs w:val="32"/>
        </w:rPr>
        <w:t>目前我区</w:t>
      </w:r>
      <w:r w:rsidRPr="009B4859">
        <w:rPr>
          <w:rFonts w:ascii="仿宋_GB2312" w:hint="eastAsia"/>
          <w:sz w:val="32"/>
          <w:szCs w:val="32"/>
        </w:rPr>
        <w:t>学前教育生均</w:t>
      </w:r>
      <w:proofErr w:type="gramStart"/>
      <w:r w:rsidRPr="009B4859">
        <w:rPr>
          <w:rFonts w:ascii="仿宋_GB2312" w:hint="eastAsia"/>
          <w:sz w:val="32"/>
          <w:szCs w:val="32"/>
        </w:rPr>
        <w:t>拨款</w:t>
      </w:r>
      <w:r w:rsidR="008E5284" w:rsidRPr="009B4859">
        <w:rPr>
          <w:rFonts w:ascii="仿宋_GB2312" w:hint="eastAsia"/>
          <w:sz w:val="32"/>
          <w:szCs w:val="32"/>
        </w:rPr>
        <w:t>省</w:t>
      </w:r>
      <w:proofErr w:type="gramEnd"/>
      <w:r w:rsidR="008E5284" w:rsidRPr="009B4859">
        <w:rPr>
          <w:rFonts w:ascii="仿宋_GB2312" w:hint="eastAsia"/>
          <w:sz w:val="32"/>
          <w:szCs w:val="32"/>
        </w:rPr>
        <w:t>财政</w:t>
      </w:r>
      <w:r w:rsidR="00A94B01" w:rsidRPr="009B4859">
        <w:rPr>
          <w:rFonts w:ascii="仿宋_GB2312" w:hint="eastAsia"/>
          <w:sz w:val="32"/>
          <w:szCs w:val="32"/>
        </w:rPr>
        <w:t>按50%的</w:t>
      </w:r>
      <w:r w:rsidRPr="009B4859">
        <w:rPr>
          <w:rFonts w:ascii="仿宋_GB2312" w:hint="eastAsia"/>
          <w:sz w:val="32"/>
          <w:szCs w:val="32"/>
        </w:rPr>
        <w:t>比例</w:t>
      </w:r>
      <w:r w:rsidR="00A94B01" w:rsidRPr="009B4859">
        <w:rPr>
          <w:rFonts w:ascii="仿宋_GB2312" w:hint="eastAsia"/>
          <w:sz w:val="32"/>
          <w:szCs w:val="32"/>
        </w:rPr>
        <w:t>予以补助，</w:t>
      </w:r>
      <w:r w:rsidR="0098673A" w:rsidRPr="009B4859">
        <w:rPr>
          <w:rFonts w:ascii="仿宋_GB2312" w:hint="eastAsia"/>
          <w:sz w:val="32"/>
          <w:szCs w:val="32"/>
        </w:rPr>
        <w:t>补助</w:t>
      </w:r>
      <w:r w:rsidR="00A94B01" w:rsidRPr="009B4859">
        <w:rPr>
          <w:rFonts w:ascii="仿宋_GB2312" w:hint="eastAsia"/>
          <w:sz w:val="32"/>
          <w:szCs w:val="32"/>
        </w:rPr>
        <w:t>比例</w:t>
      </w:r>
      <w:r w:rsidRPr="009B4859">
        <w:rPr>
          <w:rFonts w:ascii="仿宋_GB2312" w:hint="eastAsia"/>
          <w:sz w:val="32"/>
          <w:szCs w:val="32"/>
        </w:rPr>
        <w:t>偏低。</w:t>
      </w:r>
    </w:p>
    <w:p w:rsidR="00980657" w:rsidRPr="009B4859" w:rsidRDefault="00980657" w:rsidP="0069202B">
      <w:pPr>
        <w:ind w:firstLine="600"/>
        <w:rPr>
          <w:rFonts w:ascii="黑体" w:eastAsia="黑体" w:hAnsi="黑体" w:hint="eastAsia"/>
          <w:sz w:val="32"/>
          <w:szCs w:val="32"/>
        </w:rPr>
      </w:pPr>
      <w:r w:rsidRPr="009B4859">
        <w:rPr>
          <w:rFonts w:ascii="黑体" w:eastAsia="黑体" w:hAnsi="黑体" w:hint="eastAsia"/>
          <w:sz w:val="32"/>
          <w:szCs w:val="32"/>
        </w:rPr>
        <w:t>六、相关建议</w:t>
      </w:r>
    </w:p>
    <w:p w:rsidR="00980657" w:rsidRPr="009B4859" w:rsidRDefault="00980657" w:rsidP="0069202B">
      <w:pPr>
        <w:ind w:firstLine="600"/>
        <w:rPr>
          <w:rFonts w:ascii="仿宋_GB2312" w:hint="eastAsia"/>
          <w:sz w:val="32"/>
          <w:szCs w:val="32"/>
        </w:rPr>
      </w:pPr>
      <w:r w:rsidRPr="009B4859">
        <w:rPr>
          <w:rFonts w:ascii="仿宋_GB2312" w:hint="eastAsia"/>
          <w:sz w:val="32"/>
          <w:szCs w:val="32"/>
        </w:rPr>
        <w:lastRenderedPageBreak/>
        <w:t>1.</w:t>
      </w:r>
      <w:r w:rsidR="00C36EEE" w:rsidRPr="009B4859">
        <w:rPr>
          <w:rFonts w:ascii="仿宋_GB2312" w:hint="eastAsia"/>
          <w:sz w:val="32"/>
          <w:szCs w:val="32"/>
        </w:rPr>
        <w:t>适当加大</w:t>
      </w:r>
      <w:r w:rsidRPr="009B4859">
        <w:rPr>
          <w:rFonts w:ascii="仿宋_GB2312" w:hint="eastAsia"/>
          <w:sz w:val="32"/>
          <w:szCs w:val="32"/>
        </w:rPr>
        <w:t>逐年提高生均公用经费标准的幅度。</w:t>
      </w:r>
    </w:p>
    <w:p w:rsidR="00980657" w:rsidRPr="009B4859" w:rsidRDefault="00980657" w:rsidP="0069202B">
      <w:pPr>
        <w:ind w:firstLine="600"/>
        <w:rPr>
          <w:rFonts w:ascii="仿宋_GB2312" w:hint="eastAsia"/>
          <w:sz w:val="32"/>
          <w:szCs w:val="32"/>
        </w:rPr>
      </w:pPr>
      <w:r w:rsidRPr="009B4859">
        <w:rPr>
          <w:rFonts w:ascii="仿宋_GB2312" w:hint="eastAsia"/>
          <w:sz w:val="32"/>
          <w:szCs w:val="32"/>
        </w:rPr>
        <w:t>2.</w:t>
      </w:r>
      <w:r w:rsidR="00A94B01" w:rsidRPr="009B4859">
        <w:rPr>
          <w:rFonts w:ascii="仿宋_GB2312" w:hint="eastAsia"/>
          <w:sz w:val="32"/>
          <w:szCs w:val="32"/>
        </w:rPr>
        <w:t>适当提高我区学前教育生均</w:t>
      </w:r>
      <w:proofErr w:type="gramStart"/>
      <w:r w:rsidR="00A94B01" w:rsidRPr="009B4859">
        <w:rPr>
          <w:rFonts w:ascii="仿宋_GB2312" w:hint="eastAsia"/>
          <w:sz w:val="32"/>
          <w:szCs w:val="32"/>
        </w:rPr>
        <w:t>拨款省</w:t>
      </w:r>
      <w:proofErr w:type="gramEnd"/>
      <w:r w:rsidR="00A94B01" w:rsidRPr="009B4859">
        <w:rPr>
          <w:rFonts w:ascii="仿宋_GB2312" w:hint="eastAsia"/>
          <w:sz w:val="32"/>
          <w:szCs w:val="32"/>
        </w:rPr>
        <w:t>财政补助的比例。</w:t>
      </w:r>
    </w:p>
    <w:sectPr w:rsidR="00980657" w:rsidRPr="009B485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C24" w:rsidRDefault="00610C24" w:rsidP="00156165">
      <w:r>
        <w:separator/>
      </w:r>
    </w:p>
  </w:endnote>
  <w:endnote w:type="continuationSeparator" w:id="0">
    <w:p w:rsidR="00610C24" w:rsidRDefault="00610C24" w:rsidP="0015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altName w:val="宋体"/>
    <w:charset w:val="86"/>
    <w:family w:val="auto"/>
    <w:pitch w:val="default"/>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294836"/>
      <w:docPartObj>
        <w:docPartGallery w:val="Page Numbers (Bottom of Page)"/>
        <w:docPartUnique/>
      </w:docPartObj>
    </w:sdtPr>
    <w:sdtEndPr/>
    <w:sdtContent>
      <w:p w:rsidR="00882B9E" w:rsidRDefault="00882B9E">
        <w:pPr>
          <w:pStyle w:val="a5"/>
          <w:jc w:val="center"/>
        </w:pPr>
        <w:r>
          <w:fldChar w:fldCharType="begin"/>
        </w:r>
        <w:r>
          <w:instrText>PAGE   \* MERGEFORMAT</w:instrText>
        </w:r>
        <w:r>
          <w:fldChar w:fldCharType="separate"/>
        </w:r>
        <w:r w:rsidR="00C562DD" w:rsidRPr="00C562DD">
          <w:rPr>
            <w:noProof/>
            <w:lang w:val="zh-CN"/>
          </w:rPr>
          <w:t>6</w:t>
        </w:r>
        <w:r>
          <w:fldChar w:fldCharType="end"/>
        </w:r>
      </w:p>
    </w:sdtContent>
  </w:sdt>
  <w:p w:rsidR="00882B9E" w:rsidRDefault="00882B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C24" w:rsidRDefault="00610C24" w:rsidP="00156165">
      <w:r>
        <w:separator/>
      </w:r>
    </w:p>
  </w:footnote>
  <w:footnote w:type="continuationSeparator" w:id="0">
    <w:p w:rsidR="00610C24" w:rsidRDefault="00610C24" w:rsidP="00156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F1C"/>
    <w:rsid w:val="00074897"/>
    <w:rsid w:val="00097E99"/>
    <w:rsid w:val="000B5524"/>
    <w:rsid w:val="00156165"/>
    <w:rsid w:val="002750A5"/>
    <w:rsid w:val="00374E0B"/>
    <w:rsid w:val="005151EC"/>
    <w:rsid w:val="0059085D"/>
    <w:rsid w:val="005E5A37"/>
    <w:rsid w:val="00610C24"/>
    <w:rsid w:val="00655CDE"/>
    <w:rsid w:val="00673188"/>
    <w:rsid w:val="0069202B"/>
    <w:rsid w:val="00735F1C"/>
    <w:rsid w:val="00751608"/>
    <w:rsid w:val="00833300"/>
    <w:rsid w:val="0083765C"/>
    <w:rsid w:val="00882B9E"/>
    <w:rsid w:val="00885E7E"/>
    <w:rsid w:val="008E5284"/>
    <w:rsid w:val="00932DAA"/>
    <w:rsid w:val="009633E8"/>
    <w:rsid w:val="00980657"/>
    <w:rsid w:val="0098673A"/>
    <w:rsid w:val="009B4859"/>
    <w:rsid w:val="00A94B01"/>
    <w:rsid w:val="00BB5741"/>
    <w:rsid w:val="00BF2C18"/>
    <w:rsid w:val="00C36EEE"/>
    <w:rsid w:val="00C562DD"/>
    <w:rsid w:val="00CB0B4C"/>
    <w:rsid w:val="00D034C5"/>
    <w:rsid w:val="00D771B1"/>
    <w:rsid w:val="00F0366D"/>
    <w:rsid w:val="00FA1F1D"/>
    <w:rsid w:val="00FD0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F1C"/>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rsid w:val="00735F1C"/>
    <w:pPr>
      <w:spacing w:before="120" w:after="120"/>
      <w:jc w:val="left"/>
    </w:pPr>
    <w:rPr>
      <w:rFonts w:ascii="Calibri" w:eastAsia="宋体" w:hAnsi="Calibri"/>
      <w:b/>
      <w:bCs/>
      <w:caps/>
      <w:sz w:val="20"/>
      <w:szCs w:val="20"/>
    </w:rPr>
  </w:style>
  <w:style w:type="paragraph" w:styleId="a3">
    <w:name w:val="Title"/>
    <w:basedOn w:val="a"/>
    <w:next w:val="a"/>
    <w:link w:val="Char"/>
    <w:uiPriority w:val="99"/>
    <w:qFormat/>
    <w:rsid w:val="00735F1C"/>
    <w:pPr>
      <w:spacing w:before="240" w:after="60"/>
      <w:jc w:val="center"/>
      <w:outlineLvl w:val="0"/>
    </w:pPr>
    <w:rPr>
      <w:rFonts w:ascii="等线 Light" w:eastAsia="等线 Light" w:hAnsi="等线 Light"/>
      <w:b/>
      <w:kern w:val="0"/>
      <w:sz w:val="32"/>
      <w:szCs w:val="20"/>
    </w:rPr>
  </w:style>
  <w:style w:type="character" w:customStyle="1" w:styleId="Char">
    <w:name w:val="标题 Char"/>
    <w:basedOn w:val="a0"/>
    <w:link w:val="a3"/>
    <w:uiPriority w:val="99"/>
    <w:rsid w:val="00735F1C"/>
    <w:rPr>
      <w:rFonts w:ascii="等线 Light" w:eastAsia="等线 Light" w:hAnsi="等线 Light" w:cs="Times New Roman"/>
      <w:b/>
      <w:kern w:val="0"/>
      <w:sz w:val="32"/>
      <w:szCs w:val="20"/>
    </w:rPr>
  </w:style>
  <w:style w:type="paragraph" w:styleId="a4">
    <w:name w:val="header"/>
    <w:basedOn w:val="a"/>
    <w:link w:val="Char0"/>
    <w:uiPriority w:val="99"/>
    <w:unhideWhenUsed/>
    <w:rsid w:val="0015616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56165"/>
    <w:rPr>
      <w:rFonts w:ascii="Times New Roman" w:eastAsia="仿宋_GB2312" w:hAnsi="Times New Roman" w:cs="Times New Roman"/>
      <w:sz w:val="18"/>
      <w:szCs w:val="18"/>
    </w:rPr>
  </w:style>
  <w:style w:type="paragraph" w:styleId="a5">
    <w:name w:val="footer"/>
    <w:basedOn w:val="a"/>
    <w:link w:val="Char1"/>
    <w:uiPriority w:val="99"/>
    <w:unhideWhenUsed/>
    <w:rsid w:val="00156165"/>
    <w:pPr>
      <w:tabs>
        <w:tab w:val="center" w:pos="4153"/>
        <w:tab w:val="right" w:pos="8306"/>
      </w:tabs>
      <w:snapToGrid w:val="0"/>
      <w:jc w:val="left"/>
    </w:pPr>
    <w:rPr>
      <w:sz w:val="18"/>
      <w:szCs w:val="18"/>
    </w:rPr>
  </w:style>
  <w:style w:type="character" w:customStyle="1" w:styleId="Char1">
    <w:name w:val="页脚 Char"/>
    <w:basedOn w:val="a0"/>
    <w:link w:val="a5"/>
    <w:uiPriority w:val="99"/>
    <w:rsid w:val="00156165"/>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F1C"/>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rsid w:val="00735F1C"/>
    <w:pPr>
      <w:spacing w:before="120" w:after="120"/>
      <w:jc w:val="left"/>
    </w:pPr>
    <w:rPr>
      <w:rFonts w:ascii="Calibri" w:eastAsia="宋体" w:hAnsi="Calibri"/>
      <w:b/>
      <w:bCs/>
      <w:caps/>
      <w:sz w:val="20"/>
      <w:szCs w:val="20"/>
    </w:rPr>
  </w:style>
  <w:style w:type="paragraph" w:styleId="a3">
    <w:name w:val="Title"/>
    <w:basedOn w:val="a"/>
    <w:next w:val="a"/>
    <w:link w:val="Char"/>
    <w:uiPriority w:val="99"/>
    <w:qFormat/>
    <w:rsid w:val="00735F1C"/>
    <w:pPr>
      <w:spacing w:before="240" w:after="60"/>
      <w:jc w:val="center"/>
      <w:outlineLvl w:val="0"/>
    </w:pPr>
    <w:rPr>
      <w:rFonts w:ascii="等线 Light" w:eastAsia="等线 Light" w:hAnsi="等线 Light"/>
      <w:b/>
      <w:kern w:val="0"/>
      <w:sz w:val="32"/>
      <w:szCs w:val="20"/>
    </w:rPr>
  </w:style>
  <w:style w:type="character" w:customStyle="1" w:styleId="Char">
    <w:name w:val="标题 Char"/>
    <w:basedOn w:val="a0"/>
    <w:link w:val="a3"/>
    <w:uiPriority w:val="99"/>
    <w:rsid w:val="00735F1C"/>
    <w:rPr>
      <w:rFonts w:ascii="等线 Light" w:eastAsia="等线 Light" w:hAnsi="等线 Light" w:cs="Times New Roman"/>
      <w:b/>
      <w:kern w:val="0"/>
      <w:sz w:val="32"/>
      <w:szCs w:val="20"/>
    </w:rPr>
  </w:style>
  <w:style w:type="paragraph" w:styleId="a4">
    <w:name w:val="header"/>
    <w:basedOn w:val="a"/>
    <w:link w:val="Char0"/>
    <w:uiPriority w:val="99"/>
    <w:unhideWhenUsed/>
    <w:rsid w:val="0015616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56165"/>
    <w:rPr>
      <w:rFonts w:ascii="Times New Roman" w:eastAsia="仿宋_GB2312" w:hAnsi="Times New Roman" w:cs="Times New Roman"/>
      <w:sz w:val="18"/>
      <w:szCs w:val="18"/>
    </w:rPr>
  </w:style>
  <w:style w:type="paragraph" w:styleId="a5">
    <w:name w:val="footer"/>
    <w:basedOn w:val="a"/>
    <w:link w:val="Char1"/>
    <w:uiPriority w:val="99"/>
    <w:unhideWhenUsed/>
    <w:rsid w:val="00156165"/>
    <w:pPr>
      <w:tabs>
        <w:tab w:val="center" w:pos="4153"/>
        <w:tab w:val="right" w:pos="8306"/>
      </w:tabs>
      <w:snapToGrid w:val="0"/>
      <w:jc w:val="left"/>
    </w:pPr>
    <w:rPr>
      <w:sz w:val="18"/>
      <w:szCs w:val="18"/>
    </w:rPr>
  </w:style>
  <w:style w:type="character" w:customStyle="1" w:styleId="Char1">
    <w:name w:val="页脚 Char"/>
    <w:basedOn w:val="a0"/>
    <w:link w:val="a5"/>
    <w:uiPriority w:val="99"/>
    <w:rsid w:val="00156165"/>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6</Pages>
  <Words>267</Words>
  <Characters>1522</Characters>
  <Application>Microsoft Office Word</Application>
  <DocSecurity>0</DocSecurity>
  <Lines>12</Lines>
  <Paragraphs>3</Paragraphs>
  <ScaleCrop>false</ScaleCrop>
  <Company>Company</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2020-03-31T03:01:00Z</dcterms:created>
  <dcterms:modified xsi:type="dcterms:W3CDTF">2020-04-02T07:19:00Z</dcterms:modified>
</cp:coreProperties>
</file>