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43" w:rsidRDefault="00F8361B">
      <w:pPr>
        <w:rPr>
          <w:rFonts w:ascii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5</w:t>
      </w:r>
    </w:p>
    <w:p w:rsidR="00B53243" w:rsidRDefault="00B53243">
      <w:pPr>
        <w:jc w:val="center"/>
        <w:rPr>
          <w:rFonts w:ascii="方正小标宋简体" w:eastAsia="方正小标宋简体"/>
          <w:sz w:val="52"/>
          <w:szCs w:val="52"/>
        </w:rPr>
      </w:pPr>
    </w:p>
    <w:p w:rsidR="00B53243" w:rsidRDefault="00F8361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年省级教育发展专项资金</w:t>
      </w:r>
    </w:p>
    <w:p w:rsidR="00B53243" w:rsidRDefault="00F8361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第一批学前教育发展资金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B53243" w:rsidRDefault="00F8361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绩效评价报告</w:t>
      </w:r>
    </w:p>
    <w:p w:rsidR="00B53243" w:rsidRDefault="00B53243">
      <w:pPr>
        <w:rPr>
          <w:sz w:val="44"/>
          <w:szCs w:val="44"/>
          <w:lang w:val="zh-CN"/>
        </w:rPr>
      </w:pPr>
    </w:p>
    <w:p w:rsidR="00B53243" w:rsidRDefault="00B53243">
      <w:pPr>
        <w:rPr>
          <w:lang w:val="zh-CN"/>
        </w:rPr>
      </w:pPr>
    </w:p>
    <w:p w:rsidR="00B53243" w:rsidRDefault="00B53243">
      <w:pPr>
        <w:rPr>
          <w:lang w:val="zh-CN"/>
        </w:rPr>
      </w:pPr>
    </w:p>
    <w:p w:rsidR="00B53243" w:rsidRDefault="00B53243">
      <w:pPr>
        <w:ind w:left="2100" w:firstLineChars="331" w:firstLine="1059"/>
        <w:rPr>
          <w:rFonts w:ascii="仿宋_GB2312" w:hAnsi="仿宋_GB2312" w:cs="仿宋_GB2312"/>
          <w:sz w:val="32"/>
          <w:szCs w:val="32"/>
          <w:lang w:val="zh-CN"/>
        </w:rPr>
      </w:pPr>
    </w:p>
    <w:p w:rsidR="00B53243" w:rsidRDefault="00B53243">
      <w:pPr>
        <w:ind w:left="2100" w:firstLineChars="331" w:firstLine="1059"/>
        <w:rPr>
          <w:rFonts w:ascii="仿宋_GB2312" w:hAnsi="仿宋_GB2312" w:cs="仿宋_GB2312"/>
          <w:sz w:val="32"/>
          <w:szCs w:val="32"/>
          <w:lang w:val="zh-CN"/>
        </w:rPr>
      </w:pPr>
    </w:p>
    <w:p w:rsidR="00B53243" w:rsidRDefault="00F8361B">
      <w:pPr>
        <w:ind w:left="2100" w:firstLineChars="331" w:firstLine="1059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lang w:val="zh-CN"/>
        </w:rPr>
        <w:t>主管部门：韶关市曲江区教育局</w:t>
      </w:r>
    </w:p>
    <w:p w:rsidR="00B53243" w:rsidRDefault="00F8361B">
      <w:pPr>
        <w:ind w:firstLineChars="1000" w:firstLine="320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lang w:val="zh-CN"/>
        </w:rPr>
        <w:t>填报人：刘丽珍</w:t>
      </w:r>
    </w:p>
    <w:p w:rsidR="00B53243" w:rsidRDefault="00F8361B">
      <w:pPr>
        <w:ind w:firstLineChars="1000" w:firstLine="320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lang w:val="zh-CN"/>
        </w:rPr>
        <w:t>联系电话：</w:t>
      </w:r>
      <w:r>
        <w:rPr>
          <w:rFonts w:ascii="仿宋_GB2312" w:hAnsi="仿宋_GB2312" w:cs="仿宋_GB2312" w:hint="eastAsia"/>
          <w:sz w:val="32"/>
          <w:szCs w:val="32"/>
        </w:rPr>
        <w:t>0751-6676234</w:t>
      </w:r>
    </w:p>
    <w:p w:rsidR="00B53243" w:rsidRDefault="00B53243">
      <w:pPr>
        <w:pStyle w:val="a5"/>
        <w:rPr>
          <w:bCs/>
          <w:sz w:val="36"/>
          <w:szCs w:val="36"/>
          <w:lang w:val="zh-CN"/>
        </w:rPr>
      </w:pPr>
      <w:bookmarkStart w:id="0" w:name="_Toc521089181"/>
      <w:bookmarkStart w:id="1" w:name="_Toc12783"/>
    </w:p>
    <w:p w:rsidR="00B53243" w:rsidRDefault="00B53243">
      <w:pPr>
        <w:rPr>
          <w:bCs/>
          <w:sz w:val="36"/>
          <w:szCs w:val="36"/>
          <w:lang w:val="zh-CN"/>
        </w:rPr>
      </w:pPr>
    </w:p>
    <w:p w:rsidR="00B53243" w:rsidRDefault="00B53243">
      <w:pPr>
        <w:rPr>
          <w:bCs/>
          <w:sz w:val="36"/>
          <w:szCs w:val="36"/>
          <w:lang w:val="zh-CN"/>
        </w:rPr>
      </w:pPr>
    </w:p>
    <w:p w:rsidR="00B53243" w:rsidRDefault="00B53243">
      <w:pPr>
        <w:pStyle w:val="a5"/>
        <w:rPr>
          <w:bCs/>
          <w:sz w:val="36"/>
          <w:szCs w:val="36"/>
          <w:lang w:val="zh-CN"/>
        </w:rPr>
      </w:pPr>
    </w:p>
    <w:p w:rsidR="00B53243" w:rsidRDefault="00B53243">
      <w:pPr>
        <w:pStyle w:val="a5"/>
        <w:rPr>
          <w:bCs/>
          <w:sz w:val="36"/>
          <w:szCs w:val="36"/>
          <w:lang w:val="zh-CN"/>
        </w:rPr>
      </w:pPr>
    </w:p>
    <w:p w:rsidR="00B53243" w:rsidRDefault="00B53243">
      <w:pPr>
        <w:pStyle w:val="a5"/>
        <w:rPr>
          <w:bCs/>
          <w:sz w:val="36"/>
          <w:szCs w:val="36"/>
          <w:lang w:val="zh-CN"/>
        </w:rPr>
      </w:pPr>
    </w:p>
    <w:p w:rsidR="00B53243" w:rsidRDefault="00B53243">
      <w:pPr>
        <w:rPr>
          <w:bCs/>
          <w:sz w:val="36"/>
          <w:szCs w:val="36"/>
          <w:lang w:val="zh-CN"/>
        </w:rPr>
      </w:pPr>
    </w:p>
    <w:p w:rsidR="00B53243" w:rsidRDefault="00B53243">
      <w:pPr>
        <w:rPr>
          <w:bCs/>
          <w:sz w:val="36"/>
          <w:szCs w:val="36"/>
          <w:lang w:val="zh-CN"/>
        </w:rPr>
      </w:pPr>
    </w:p>
    <w:p w:rsidR="00B53243" w:rsidRDefault="00F8361B">
      <w:pPr>
        <w:pStyle w:val="a5"/>
        <w:rPr>
          <w:b w:val="0"/>
          <w:sz w:val="36"/>
          <w:szCs w:val="36"/>
          <w:lang w:val="zh-CN"/>
        </w:rPr>
      </w:pPr>
      <w:r>
        <w:rPr>
          <w:rFonts w:hint="eastAsia"/>
          <w:bCs/>
          <w:sz w:val="36"/>
          <w:szCs w:val="36"/>
          <w:lang w:val="zh-CN"/>
        </w:rPr>
        <w:t>目</w:t>
      </w:r>
      <w:r>
        <w:rPr>
          <w:rFonts w:hint="eastAsia"/>
          <w:bCs/>
          <w:sz w:val="36"/>
          <w:szCs w:val="36"/>
          <w:lang w:val="zh-CN"/>
        </w:rPr>
        <w:t xml:space="preserve"> </w:t>
      </w:r>
      <w:r>
        <w:rPr>
          <w:rFonts w:hint="eastAsia"/>
          <w:bCs/>
          <w:sz w:val="36"/>
          <w:szCs w:val="36"/>
          <w:lang w:val="zh-CN"/>
        </w:rPr>
        <w:t>录</w:t>
      </w:r>
      <w:bookmarkEnd w:id="0"/>
      <w:bookmarkEnd w:id="1"/>
    </w:p>
    <w:p w:rsidR="00B53243" w:rsidRDefault="00B53243">
      <w:pPr>
        <w:rPr>
          <w:lang w:val="zh-CN"/>
        </w:rPr>
      </w:pPr>
    </w:p>
    <w:p w:rsidR="00B53243" w:rsidRDefault="00F8361B">
      <w:pPr>
        <w:pStyle w:val="1"/>
        <w:tabs>
          <w:tab w:val="right" w:leader="dot" w:pos="8948"/>
        </w:tabs>
        <w:ind w:firstLine="560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r>
        <w:rPr>
          <w:rFonts w:ascii="仿宋_GB2312" w:hAnsi="Cambria" w:hint="eastAsia"/>
          <w:b w:val="0"/>
          <w:caps w:val="0"/>
          <w:sz w:val="28"/>
          <w:szCs w:val="28"/>
        </w:rPr>
        <w:fldChar w:fldCharType="begin"/>
      </w:r>
      <w:r>
        <w:rPr>
          <w:rFonts w:ascii="仿宋_GB2312" w:hAnsi="Cambria" w:hint="eastAsia"/>
          <w:b w:val="0"/>
          <w:caps w:val="0"/>
          <w:sz w:val="28"/>
          <w:szCs w:val="28"/>
        </w:rPr>
        <w:instrText xml:space="preserve"> TOC \o "1-3" \h \z \u </w:instrText>
      </w:r>
      <w:r>
        <w:rPr>
          <w:rFonts w:ascii="仿宋_GB2312" w:hAnsi="Cambria" w:hint="eastAsia"/>
          <w:b w:val="0"/>
          <w:caps w:val="0"/>
          <w:sz w:val="28"/>
          <w:szCs w:val="28"/>
        </w:rPr>
        <w:fldChar w:fldCharType="separate"/>
      </w:r>
      <w:hyperlink w:anchor="_Toc521089182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一、基本情况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3</w:t>
      </w:r>
    </w:p>
    <w:p w:rsidR="00B53243" w:rsidRDefault="00F8361B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185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二、绩效指标分析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4</w:t>
      </w:r>
    </w:p>
    <w:p w:rsidR="00B53243" w:rsidRDefault="00F8361B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03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三、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 xml:space="preserve"> 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综合评价结论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4</w:t>
      </w:r>
    </w:p>
    <w:p w:rsidR="00B53243" w:rsidRDefault="00F8361B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04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四、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 xml:space="preserve"> 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主要绩效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5</w:t>
      </w:r>
    </w:p>
    <w:p w:rsidR="00B53243" w:rsidRDefault="00F8361B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08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五、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 xml:space="preserve"> 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存在问题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5</w:t>
      </w:r>
    </w:p>
    <w:p w:rsidR="00B53243" w:rsidRDefault="00F8361B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13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六、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 xml:space="preserve"> 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相关建议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5</w:t>
      </w: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仿宋_GB2312" w:hAnsi="仿宋_GB2312" w:cs="仿宋_GB2312"/>
          <w:sz w:val="32"/>
          <w:szCs w:val="32"/>
        </w:rPr>
      </w:pPr>
    </w:p>
    <w:p w:rsidR="00B53243" w:rsidRDefault="00B53243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53243" w:rsidRDefault="00F8361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发展专项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资金</w:t>
      </w:r>
    </w:p>
    <w:p w:rsidR="00B53243" w:rsidRDefault="00F8361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（第一批学前教育发展资金）</w:t>
      </w:r>
    </w:p>
    <w:p w:rsidR="00B53243" w:rsidRDefault="00F8361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B53243" w:rsidRDefault="00B5324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53243" w:rsidRDefault="00B53243">
      <w:pPr>
        <w:rPr>
          <w:rFonts w:ascii="仿宋_GB2312"/>
          <w:sz w:val="32"/>
          <w:szCs w:val="32"/>
        </w:rPr>
      </w:pPr>
    </w:p>
    <w:p w:rsidR="00B53243" w:rsidRDefault="00F8361B">
      <w:pPr>
        <w:spacing w:line="600" w:lineRule="exact"/>
        <w:ind w:firstLineChars="200" w:firstLine="640"/>
        <w:outlineLvl w:val="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按照</w:t>
      </w:r>
      <w:r>
        <w:rPr>
          <w:rFonts w:ascii="仿宋_GB2312" w:hint="eastAsia"/>
          <w:sz w:val="32"/>
          <w:szCs w:val="32"/>
        </w:rPr>
        <w:t>《广东省</w:t>
      </w:r>
      <w:r>
        <w:rPr>
          <w:rFonts w:ascii="仿宋_GB2312" w:hint="eastAsia"/>
          <w:sz w:val="32"/>
          <w:szCs w:val="32"/>
        </w:rPr>
        <w:t>教育厅</w:t>
      </w:r>
      <w:r>
        <w:rPr>
          <w:rFonts w:ascii="仿宋_GB2312" w:hint="eastAsia"/>
          <w:sz w:val="32"/>
          <w:szCs w:val="32"/>
        </w:rPr>
        <w:t>关于</w:t>
      </w:r>
      <w:r>
        <w:rPr>
          <w:rFonts w:ascii="仿宋_GB2312" w:hint="eastAsia"/>
          <w:sz w:val="32"/>
          <w:szCs w:val="32"/>
        </w:rPr>
        <w:t>印发</w:t>
      </w:r>
      <w:r>
        <w:rPr>
          <w:rFonts w:ascii="仿宋_GB2312" w:hint="eastAsia"/>
          <w:sz w:val="32"/>
          <w:szCs w:val="32"/>
        </w:rPr>
        <w:t>2020</w:t>
      </w:r>
      <w:r>
        <w:rPr>
          <w:rFonts w:ascii="仿宋_GB2312" w:hint="eastAsia"/>
          <w:sz w:val="32"/>
          <w:szCs w:val="32"/>
        </w:rPr>
        <w:t>年</w:t>
      </w:r>
      <w:r>
        <w:rPr>
          <w:rFonts w:ascii="仿宋_GB2312" w:hint="eastAsia"/>
          <w:sz w:val="32"/>
          <w:szCs w:val="32"/>
        </w:rPr>
        <w:t>省级财政教育支出</w:t>
      </w:r>
      <w:r>
        <w:rPr>
          <w:rFonts w:ascii="仿宋_GB2312" w:hint="eastAsia"/>
          <w:sz w:val="32"/>
          <w:szCs w:val="32"/>
        </w:rPr>
        <w:t>绩效</w:t>
      </w:r>
      <w:r>
        <w:rPr>
          <w:rFonts w:ascii="仿宋_GB2312" w:hint="eastAsia"/>
          <w:sz w:val="32"/>
          <w:szCs w:val="32"/>
        </w:rPr>
        <w:t>自</w:t>
      </w:r>
      <w:r>
        <w:rPr>
          <w:rFonts w:ascii="仿宋_GB2312" w:hint="eastAsia"/>
          <w:sz w:val="32"/>
          <w:szCs w:val="32"/>
        </w:rPr>
        <w:t>评工作</w:t>
      </w:r>
      <w:r>
        <w:rPr>
          <w:rFonts w:ascii="仿宋_GB2312" w:hint="eastAsia"/>
          <w:sz w:val="32"/>
          <w:szCs w:val="32"/>
        </w:rPr>
        <w:t>方案</w:t>
      </w:r>
      <w:r>
        <w:rPr>
          <w:rFonts w:ascii="仿宋_GB2312" w:hint="eastAsia"/>
          <w:sz w:val="32"/>
          <w:szCs w:val="32"/>
        </w:rPr>
        <w:t>的通知》</w:t>
      </w:r>
      <w:r>
        <w:rPr>
          <w:rFonts w:ascii="仿宋_GB2312" w:hint="eastAsia"/>
          <w:sz w:val="32"/>
          <w:szCs w:val="32"/>
        </w:rPr>
        <w:t>要求，为做好我区</w:t>
      </w:r>
      <w:r>
        <w:rPr>
          <w:rFonts w:ascii="仿宋_GB2312" w:hint="eastAsia"/>
          <w:sz w:val="32"/>
          <w:szCs w:val="32"/>
        </w:rPr>
        <w:t>省级财政教育支出</w:t>
      </w:r>
      <w:r>
        <w:rPr>
          <w:rFonts w:ascii="仿宋_GB2312" w:hint="eastAsia"/>
          <w:sz w:val="32"/>
          <w:szCs w:val="32"/>
        </w:rPr>
        <w:t>绩效自评工作</w:t>
      </w:r>
      <w:r>
        <w:rPr>
          <w:rFonts w:ascii="仿宋_GB2312" w:hint="eastAsia"/>
          <w:sz w:val="32"/>
          <w:szCs w:val="32"/>
        </w:rPr>
        <w:t>，现将</w:t>
      </w:r>
      <w:r>
        <w:rPr>
          <w:rFonts w:ascii="仿宋_GB2312" w:hint="eastAsia"/>
          <w:sz w:val="32"/>
          <w:szCs w:val="32"/>
        </w:rPr>
        <w:t>2019</w:t>
      </w:r>
      <w:r>
        <w:rPr>
          <w:rFonts w:ascii="仿宋_GB2312" w:hint="eastAsia"/>
          <w:sz w:val="32"/>
          <w:szCs w:val="32"/>
        </w:rPr>
        <w:t>年曲江区</w:t>
      </w:r>
      <w:r>
        <w:rPr>
          <w:rFonts w:ascii="仿宋_GB2312" w:hint="eastAsia"/>
          <w:sz w:val="32"/>
          <w:szCs w:val="32"/>
        </w:rPr>
        <w:t>省级教育发展专项资金（第一批学前教育发展资金）</w:t>
      </w:r>
      <w:r>
        <w:rPr>
          <w:rFonts w:ascii="仿宋_GB2312" w:hint="eastAsia"/>
          <w:sz w:val="32"/>
          <w:szCs w:val="32"/>
        </w:rPr>
        <w:t>绩效</w:t>
      </w:r>
      <w:r>
        <w:rPr>
          <w:rFonts w:ascii="仿宋_GB2312" w:hint="eastAsia"/>
          <w:sz w:val="32"/>
          <w:szCs w:val="32"/>
        </w:rPr>
        <w:t>自评工作汇报如下：</w:t>
      </w:r>
    </w:p>
    <w:p w:rsidR="00B53243" w:rsidRDefault="00F8361B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基本情况</w:t>
      </w:r>
    </w:p>
    <w:p w:rsidR="00B53243" w:rsidRDefault="00F8361B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（一）省内分解下达预算</w:t>
      </w:r>
    </w:p>
    <w:p w:rsidR="00B53243" w:rsidRDefault="00F8361B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根据韶关市财政局《关于下达</w:t>
      </w:r>
      <w:r>
        <w:rPr>
          <w:rFonts w:ascii="仿宋_GB2312" w:hint="eastAsia"/>
          <w:sz w:val="32"/>
          <w:szCs w:val="32"/>
        </w:rPr>
        <w:t>201</w:t>
      </w:r>
      <w:r>
        <w:rPr>
          <w:rFonts w:ascii="仿宋_GB2312" w:hint="eastAsia"/>
          <w:sz w:val="32"/>
          <w:szCs w:val="32"/>
        </w:rPr>
        <w:t>9</w:t>
      </w:r>
      <w:r>
        <w:rPr>
          <w:rFonts w:ascii="仿宋_GB2312" w:hint="eastAsia"/>
          <w:sz w:val="32"/>
          <w:szCs w:val="32"/>
        </w:rPr>
        <w:t>年教育发展专项资金</w:t>
      </w:r>
      <w:r>
        <w:rPr>
          <w:rFonts w:ascii="仿宋_GB2312" w:hint="eastAsia"/>
          <w:sz w:val="32"/>
          <w:szCs w:val="32"/>
        </w:rPr>
        <w:t>(</w:t>
      </w:r>
      <w:r>
        <w:rPr>
          <w:rFonts w:ascii="仿宋_GB2312" w:hint="eastAsia"/>
          <w:sz w:val="32"/>
          <w:szCs w:val="32"/>
        </w:rPr>
        <w:t>第一批学前教育发展资金</w:t>
      </w:r>
      <w:r>
        <w:rPr>
          <w:rFonts w:ascii="仿宋_GB2312" w:hint="eastAsia"/>
          <w:sz w:val="32"/>
          <w:szCs w:val="32"/>
        </w:rPr>
        <w:t>)</w:t>
      </w:r>
      <w:r>
        <w:rPr>
          <w:rFonts w:ascii="仿宋_GB2312" w:hint="eastAsia"/>
          <w:sz w:val="32"/>
          <w:szCs w:val="32"/>
        </w:rPr>
        <w:t>的通知》（韶财教〔</w:t>
      </w:r>
      <w:r>
        <w:rPr>
          <w:rFonts w:ascii="仿宋_GB2312" w:hint="eastAsia"/>
          <w:sz w:val="32"/>
          <w:szCs w:val="32"/>
        </w:rPr>
        <w:t>201</w:t>
      </w:r>
      <w:r>
        <w:rPr>
          <w:rFonts w:ascii="仿宋_GB2312" w:hint="eastAsia"/>
          <w:sz w:val="32"/>
          <w:szCs w:val="32"/>
        </w:rPr>
        <w:t>9</w:t>
      </w:r>
      <w:r>
        <w:rPr>
          <w:rFonts w:ascii="仿宋_GB2312" w:hint="eastAsia"/>
          <w:sz w:val="32"/>
          <w:szCs w:val="32"/>
        </w:rPr>
        <w:t>〕</w:t>
      </w:r>
      <w:r>
        <w:rPr>
          <w:rFonts w:ascii="仿宋_GB2312" w:hint="eastAsia"/>
          <w:sz w:val="32"/>
          <w:szCs w:val="32"/>
        </w:rPr>
        <w:t>27</w:t>
      </w:r>
      <w:r>
        <w:rPr>
          <w:rFonts w:ascii="仿宋_GB2312" w:hint="eastAsia"/>
          <w:sz w:val="32"/>
          <w:szCs w:val="32"/>
        </w:rPr>
        <w:t>号），省财政下达我区</w:t>
      </w:r>
      <w:r>
        <w:rPr>
          <w:rFonts w:ascii="仿宋_GB2312" w:hint="eastAsia"/>
          <w:sz w:val="32"/>
          <w:szCs w:val="32"/>
        </w:rPr>
        <w:t>201</w:t>
      </w:r>
      <w:r>
        <w:rPr>
          <w:rFonts w:ascii="仿宋_GB2312" w:hint="eastAsia"/>
          <w:sz w:val="32"/>
          <w:szCs w:val="32"/>
        </w:rPr>
        <w:t>9</w:t>
      </w:r>
      <w:r>
        <w:rPr>
          <w:rFonts w:ascii="仿宋_GB2312" w:hint="eastAsia"/>
          <w:sz w:val="32"/>
          <w:szCs w:val="32"/>
        </w:rPr>
        <w:t>年教育发展发展专项资金</w:t>
      </w:r>
      <w:r>
        <w:rPr>
          <w:rFonts w:ascii="仿宋_GB2312" w:hint="eastAsia"/>
          <w:sz w:val="32"/>
          <w:szCs w:val="32"/>
        </w:rPr>
        <w:t>(</w:t>
      </w:r>
      <w:r>
        <w:rPr>
          <w:rFonts w:ascii="仿宋_GB2312" w:hint="eastAsia"/>
          <w:sz w:val="32"/>
          <w:szCs w:val="32"/>
        </w:rPr>
        <w:t>第一批学前教育发展资金）</w:t>
      </w:r>
      <w:r>
        <w:rPr>
          <w:rFonts w:ascii="仿宋_GB2312" w:hint="eastAsia"/>
          <w:sz w:val="32"/>
          <w:szCs w:val="32"/>
        </w:rPr>
        <w:t>459</w:t>
      </w:r>
      <w:r>
        <w:rPr>
          <w:rFonts w:ascii="仿宋_GB2312" w:hint="eastAsia"/>
          <w:sz w:val="32"/>
          <w:szCs w:val="32"/>
        </w:rPr>
        <w:t>万元。</w:t>
      </w:r>
    </w:p>
    <w:p w:rsidR="00B53243" w:rsidRDefault="00F8361B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（二）绩效目标情况</w:t>
      </w:r>
      <w:bookmarkStart w:id="2" w:name="_GoBack"/>
      <w:bookmarkEnd w:id="2"/>
    </w:p>
    <w:p w:rsidR="00B53243" w:rsidRDefault="00F8361B">
      <w:pPr>
        <w:spacing w:line="600" w:lineRule="exact"/>
        <w:ind w:firstLineChars="200" w:firstLine="640"/>
        <w:outlineLvl w:val="0"/>
        <w:rPr>
          <w:rFonts w:ascii="仿宋_GB2312"/>
          <w:sz w:val="32"/>
          <w:szCs w:val="32"/>
        </w:rPr>
      </w:pPr>
      <w:r>
        <w:rPr>
          <w:rFonts w:ascii="仿宋_GB2312" w:hAnsi="Calibri" w:cs="楷体_GB2312" w:hint="eastAsia"/>
          <w:sz w:val="32"/>
          <w:szCs w:val="32"/>
          <w:lang w:val="zh-CN"/>
        </w:rPr>
        <w:t>加大学前教育财政投入力度，建立以公共财政投入为主的农村学前教育成本分担机制，着力推进乡村普惠性幼儿园建设。幼儿教师队伍得到进一步稳定和发展，幼儿园保教质量评估监管体</w:t>
      </w:r>
      <w:r>
        <w:rPr>
          <w:rFonts w:ascii="仿宋_GB2312" w:hAnsi="Calibri" w:cs="楷体_GB2312" w:hint="eastAsia"/>
          <w:sz w:val="32"/>
          <w:szCs w:val="32"/>
          <w:lang w:val="zh-CN"/>
        </w:rPr>
        <w:lastRenderedPageBreak/>
        <w:t>系基本形成，办园行为普遍规范，幼儿园办园水平和保教质量显著提高。</w:t>
      </w:r>
    </w:p>
    <w:p w:rsidR="00B53243" w:rsidRDefault="00F8361B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二、绩效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标情况分析</w:t>
      </w:r>
    </w:p>
    <w:p w:rsidR="00B53243" w:rsidRDefault="004A0A20">
      <w:pPr>
        <w:spacing w:line="600" w:lineRule="exact"/>
        <w:outlineLvl w:val="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   </w:t>
      </w:r>
      <w:r w:rsidR="00F8361B">
        <w:rPr>
          <w:rFonts w:ascii="楷体" w:eastAsia="楷体" w:hAnsi="楷体" w:cs="楷体" w:hint="eastAsia"/>
          <w:b/>
          <w:sz w:val="32"/>
          <w:szCs w:val="32"/>
        </w:rPr>
        <w:t>（一）资金投入情况分析</w:t>
      </w:r>
    </w:p>
    <w:p w:rsidR="00B53243" w:rsidRDefault="00F8361B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项目资金到位情况分析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年发展学前教育</w:t>
      </w:r>
      <w:r>
        <w:rPr>
          <w:rFonts w:ascii="仿宋" w:eastAsia="仿宋" w:hAnsi="仿宋" w:hint="eastAsia"/>
          <w:sz w:val="32"/>
          <w:szCs w:val="32"/>
        </w:rPr>
        <w:t>459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已下达</w:t>
      </w:r>
      <w:r>
        <w:rPr>
          <w:rFonts w:ascii="仿宋" w:eastAsia="仿宋" w:hAnsi="仿宋" w:hint="eastAsia"/>
          <w:sz w:val="32"/>
          <w:szCs w:val="32"/>
        </w:rPr>
        <w:t>曲江区财政局。</w:t>
      </w:r>
    </w:p>
    <w:p w:rsidR="00B53243" w:rsidRDefault="00F8361B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项目资金执行情况分析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专项资金的使用主要安排：</w:t>
      </w:r>
      <w:r>
        <w:rPr>
          <w:rFonts w:ascii="仿宋" w:eastAsia="仿宋" w:hAnsi="仿宋" w:hint="eastAsia"/>
          <w:sz w:val="32"/>
          <w:szCs w:val="32"/>
        </w:rPr>
        <w:t>380</w:t>
      </w:r>
      <w:r>
        <w:rPr>
          <w:rFonts w:ascii="仿宋" w:eastAsia="仿宋" w:hAnsi="仿宋" w:hint="eastAsia"/>
          <w:sz w:val="32"/>
          <w:szCs w:val="32"/>
        </w:rPr>
        <w:t>万元用于新建</w:t>
      </w:r>
      <w:r>
        <w:rPr>
          <w:rFonts w:ascii="仿宋" w:eastAsia="仿宋" w:hAnsi="仿宋" w:hint="eastAsia"/>
          <w:sz w:val="32"/>
          <w:szCs w:val="32"/>
        </w:rPr>
        <w:t>大塘</w:t>
      </w:r>
      <w:r>
        <w:rPr>
          <w:rFonts w:ascii="仿宋" w:eastAsia="仿宋" w:hAnsi="仿宋" w:hint="eastAsia"/>
          <w:sz w:val="32"/>
          <w:szCs w:val="32"/>
        </w:rPr>
        <w:t>镇中心幼儿园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万元用于曲江区第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用于厨房改造、</w:t>
      </w:r>
      <w:r>
        <w:rPr>
          <w:rFonts w:ascii="仿宋" w:eastAsia="仿宋" w:hAnsi="仿宋" w:hint="eastAsia"/>
          <w:sz w:val="32"/>
          <w:szCs w:val="32"/>
        </w:rPr>
        <w:t>LED</w:t>
      </w:r>
      <w:r>
        <w:rPr>
          <w:rFonts w:ascii="仿宋" w:eastAsia="仿宋" w:hAnsi="仿宋" w:hint="eastAsia"/>
          <w:sz w:val="32"/>
          <w:szCs w:val="32"/>
        </w:rPr>
        <w:t>显示屏、购地胶和天台铺设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万元用于曲江</w:t>
      </w:r>
      <w:r>
        <w:rPr>
          <w:rFonts w:ascii="仿宋" w:eastAsia="仿宋" w:hAnsi="仿宋" w:hint="eastAsia"/>
          <w:sz w:val="32"/>
          <w:szCs w:val="32"/>
        </w:rPr>
        <w:t>江畔宝乐</w:t>
      </w:r>
      <w:r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用于维修</w:t>
      </w:r>
      <w:r>
        <w:rPr>
          <w:rFonts w:ascii="仿宋" w:eastAsia="仿宋" w:hAnsi="仿宋" w:hint="eastAsia"/>
          <w:sz w:val="32"/>
          <w:szCs w:val="32"/>
        </w:rPr>
        <w:t>改造工程；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万元用于曲江</w:t>
      </w:r>
      <w:r>
        <w:rPr>
          <w:rFonts w:ascii="仿宋" w:eastAsia="仿宋" w:hAnsi="仿宋" w:hint="eastAsia"/>
          <w:sz w:val="32"/>
          <w:szCs w:val="32"/>
        </w:rPr>
        <w:t>水泥厂</w:t>
      </w:r>
      <w:r>
        <w:rPr>
          <w:rFonts w:ascii="仿宋" w:eastAsia="仿宋" w:hAnsi="仿宋" w:hint="eastAsia"/>
          <w:sz w:val="32"/>
          <w:szCs w:val="32"/>
        </w:rPr>
        <w:t>幼儿园维修改造工程；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万元用于曲江</w:t>
      </w:r>
      <w:r>
        <w:rPr>
          <w:rFonts w:ascii="仿宋" w:eastAsia="仿宋" w:hAnsi="仿宋" w:hint="eastAsia"/>
          <w:sz w:val="32"/>
          <w:szCs w:val="32"/>
        </w:rPr>
        <w:t>才艺一</w:t>
      </w:r>
      <w:r>
        <w:rPr>
          <w:rFonts w:ascii="仿宋" w:eastAsia="仿宋" w:hAnsi="仿宋" w:hint="eastAsia"/>
          <w:sz w:val="32"/>
          <w:szCs w:val="32"/>
        </w:rPr>
        <w:t>幼儿园维修改造工程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万元用于曲江</w:t>
      </w:r>
      <w:r>
        <w:rPr>
          <w:rFonts w:ascii="仿宋" w:eastAsia="仿宋" w:hAnsi="仿宋" w:hint="eastAsia"/>
          <w:sz w:val="32"/>
          <w:szCs w:val="32"/>
        </w:rPr>
        <w:t>才艺二</w:t>
      </w:r>
      <w:r>
        <w:rPr>
          <w:rFonts w:ascii="仿宋" w:eastAsia="仿宋" w:hAnsi="仿宋" w:hint="eastAsia"/>
          <w:sz w:val="32"/>
          <w:szCs w:val="32"/>
        </w:rPr>
        <w:t>幼儿园维修改造工程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万元用于曲江</w:t>
      </w:r>
      <w:r>
        <w:rPr>
          <w:rFonts w:ascii="仿宋" w:eastAsia="仿宋" w:hAnsi="仿宋" w:hint="eastAsia"/>
          <w:sz w:val="32"/>
          <w:szCs w:val="32"/>
        </w:rPr>
        <w:t>大塘光明</w:t>
      </w:r>
      <w:r>
        <w:rPr>
          <w:rFonts w:ascii="仿宋" w:eastAsia="仿宋" w:hAnsi="仿宋" w:hint="eastAsia"/>
          <w:sz w:val="32"/>
          <w:szCs w:val="32"/>
        </w:rPr>
        <w:t>幼儿园维修改造工程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万元用于曲江</w:t>
      </w:r>
      <w:r>
        <w:rPr>
          <w:rFonts w:ascii="仿宋" w:eastAsia="仿宋" w:hAnsi="仿宋" w:hint="eastAsia"/>
          <w:sz w:val="32"/>
          <w:szCs w:val="32"/>
        </w:rPr>
        <w:t>区安山</w:t>
      </w:r>
      <w:r>
        <w:rPr>
          <w:rFonts w:ascii="仿宋" w:eastAsia="仿宋" w:hAnsi="仿宋" w:hint="eastAsia"/>
          <w:sz w:val="32"/>
          <w:szCs w:val="32"/>
        </w:rPr>
        <w:t>幼儿园维修改造工程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截止目前，已支付项目资金</w:t>
      </w:r>
      <w:r>
        <w:rPr>
          <w:rFonts w:ascii="仿宋" w:eastAsia="仿宋" w:hAnsi="仿宋" w:hint="eastAsia"/>
          <w:sz w:val="32"/>
          <w:szCs w:val="32"/>
        </w:rPr>
        <w:t>459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万元，支付率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53243" w:rsidRDefault="00F8361B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（二）项目资金管理情况分析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严格执行国家相关财经法规，实行分账核算，专款专用，</w:t>
      </w:r>
      <w:r>
        <w:rPr>
          <w:rFonts w:ascii="仿宋" w:eastAsia="仿宋" w:hAnsi="仿宋" w:hint="eastAsia"/>
          <w:color w:val="000000"/>
          <w:sz w:val="32"/>
          <w:szCs w:val="32"/>
        </w:rPr>
        <w:t>确保各项程序依法依规。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在实施项目过程中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能按规定办理相关程序手续，编制了资金预算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对专项补助资金的安排做到符合财经管理办法和法律法规的规定。</w:t>
      </w:r>
    </w:p>
    <w:p w:rsidR="00B53243" w:rsidRDefault="00F8361B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hyperlink w:anchor="_Toc521089203" w:history="1">
        <w:r>
          <w:rPr>
            <w:rFonts w:ascii="黑体" w:eastAsia="黑体" w:hAnsi="黑体" w:cs="黑体" w:hint="eastAsia"/>
            <w:b/>
            <w:bCs/>
            <w:sz w:val="32"/>
            <w:szCs w:val="32"/>
          </w:rPr>
          <w:t>三、</w:t>
        </w:r>
        <w:r>
          <w:rPr>
            <w:rFonts w:hint="eastAsia"/>
          </w:rPr>
          <w:t xml:space="preserve"> </w:t>
        </w:r>
        <w:r>
          <w:rPr>
            <w:rFonts w:ascii="黑体" w:eastAsia="黑体" w:hAnsi="黑体" w:cs="黑体" w:hint="eastAsia"/>
            <w:b/>
            <w:bCs/>
            <w:sz w:val="32"/>
            <w:szCs w:val="32"/>
          </w:rPr>
          <w:t>综合评价结论</w:t>
        </w:r>
      </w:hyperlink>
    </w:p>
    <w:p w:rsidR="00B53243" w:rsidRDefault="00F8361B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产出指标完成情况分析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）数量指标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曲江区学前教育三年毛入园率达到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，公办和普惠性民办幼儿园覆盖率达到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52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，普惠性民办幼儿园受益儿童数为</w:t>
      </w:r>
      <w:r>
        <w:rPr>
          <w:rFonts w:ascii="仿宋" w:eastAsia="仿宋" w:hAnsi="仿宋" w:hint="eastAsia"/>
          <w:sz w:val="32"/>
          <w:szCs w:val="32"/>
        </w:rPr>
        <w:t>66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人次，学前教育资助家庭经济困难幼儿入园数为</w:t>
      </w:r>
      <w:r>
        <w:rPr>
          <w:rFonts w:ascii="仿宋" w:eastAsia="仿宋" w:hAnsi="仿宋" w:hint="eastAsia"/>
          <w:sz w:val="32"/>
          <w:szCs w:val="32"/>
        </w:rPr>
        <w:t>1993</w:t>
      </w:r>
      <w:r>
        <w:rPr>
          <w:rFonts w:ascii="仿宋" w:eastAsia="仿宋" w:hAnsi="仿宋" w:hint="eastAsia"/>
          <w:sz w:val="32"/>
          <w:szCs w:val="32"/>
        </w:rPr>
        <w:t>人次。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）质量指标</w:t>
      </w:r>
    </w:p>
    <w:p w:rsidR="00B53243" w:rsidRDefault="00F8361B">
      <w:pPr>
        <w:spacing w:line="600" w:lineRule="exact"/>
        <w:ind w:firstLineChars="200" w:firstLine="640"/>
        <w:rPr>
          <w:rFonts w:ascii="仿宋_GB2312" w:hAnsi="仿宋_GB2312" w:cs="宋体"/>
          <w:sz w:val="32"/>
        </w:rPr>
      </w:pPr>
      <w:r>
        <w:rPr>
          <w:rFonts w:ascii="仿宋_GB2312" w:hAnsi="Calibri" w:hint="eastAsia"/>
          <w:sz w:val="32"/>
          <w:szCs w:val="32"/>
        </w:rPr>
        <w:t>严格执行国家和省的有关规定和基本建设程序，实行项目管理制度，建立项目法人责任制、招投标制、合同管理制和竣工验收制，并依法按照</w:t>
      </w:r>
      <w:r>
        <w:rPr>
          <w:rFonts w:ascii="仿宋_GB2312" w:hAnsi="宋体" w:hint="eastAsia"/>
          <w:sz w:val="32"/>
          <w:szCs w:val="32"/>
        </w:rPr>
        <w:t>《政府采购法》</w:t>
      </w:r>
      <w:r>
        <w:rPr>
          <w:rFonts w:ascii="仿宋_GB2312" w:hAnsi="Calibri" w:hint="eastAsia"/>
          <w:sz w:val="32"/>
          <w:szCs w:val="32"/>
        </w:rPr>
        <w:t>的相关规定进行采购</w:t>
      </w:r>
      <w:r>
        <w:rPr>
          <w:rFonts w:ascii="仿宋_GB2312" w:hAnsi="宋体" w:hint="eastAsia"/>
          <w:b/>
          <w:sz w:val="32"/>
          <w:szCs w:val="32"/>
        </w:rPr>
        <w:t>，</w:t>
      </w:r>
      <w:r>
        <w:rPr>
          <w:rFonts w:ascii="仿宋_GB2312" w:hAnsi="Calibri" w:hint="eastAsia"/>
          <w:sz w:val="32"/>
          <w:szCs w:val="32"/>
        </w:rPr>
        <w:t>项目完工合格后办理验收手续。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为确保项目的质量、进度和效益，</w:t>
      </w:r>
      <w:r>
        <w:rPr>
          <w:rFonts w:ascii="仿宋" w:eastAsia="仿宋" w:hAnsi="仿宋" w:hint="eastAsia"/>
          <w:sz w:val="32"/>
          <w:szCs w:val="32"/>
        </w:rPr>
        <w:t>对建设项目采取定期或不定期的监督和督促，各有关部门按职责分工落实监督检查，从而形成约束力，打造阳光工程。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）时效指标</w:t>
      </w:r>
    </w:p>
    <w:p w:rsidR="00B53243" w:rsidRDefault="00F8361B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截止目前，新建</w:t>
      </w:r>
      <w:r>
        <w:rPr>
          <w:rFonts w:ascii="仿宋" w:eastAsia="仿宋" w:hAnsi="仿宋" w:hint="eastAsia"/>
          <w:sz w:val="32"/>
          <w:szCs w:val="32"/>
        </w:rPr>
        <w:t>大塘</w:t>
      </w:r>
      <w:r>
        <w:rPr>
          <w:rFonts w:ascii="仿宋" w:eastAsia="仿宋" w:hAnsi="仿宋" w:hint="eastAsia"/>
          <w:sz w:val="32"/>
          <w:szCs w:val="32"/>
        </w:rPr>
        <w:t>中心幼儿园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曲江区第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厨房改造、</w:t>
      </w:r>
      <w:r>
        <w:rPr>
          <w:rFonts w:ascii="仿宋" w:eastAsia="仿宋" w:hAnsi="仿宋" w:hint="eastAsia"/>
          <w:sz w:val="32"/>
          <w:szCs w:val="32"/>
        </w:rPr>
        <w:t>LED</w:t>
      </w:r>
      <w:r>
        <w:rPr>
          <w:rFonts w:ascii="仿宋" w:eastAsia="仿宋" w:hAnsi="仿宋" w:hint="eastAsia"/>
          <w:sz w:val="32"/>
          <w:szCs w:val="32"/>
        </w:rPr>
        <w:t>显示屏、购地胶和天台铺设</w:t>
      </w:r>
      <w:r>
        <w:rPr>
          <w:rFonts w:ascii="仿宋" w:eastAsia="仿宋" w:hAnsi="仿宋" w:hint="eastAsia"/>
          <w:sz w:val="32"/>
          <w:szCs w:val="32"/>
        </w:rPr>
        <w:t>；曲江</w:t>
      </w:r>
      <w:r>
        <w:rPr>
          <w:rFonts w:ascii="仿宋" w:eastAsia="仿宋" w:hAnsi="仿宋" w:hint="eastAsia"/>
          <w:sz w:val="32"/>
          <w:szCs w:val="32"/>
        </w:rPr>
        <w:t>江畔宝乐</w:t>
      </w:r>
      <w:r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曲江</w:t>
      </w:r>
      <w:r>
        <w:rPr>
          <w:rFonts w:ascii="仿宋" w:eastAsia="仿宋" w:hAnsi="仿宋" w:hint="eastAsia"/>
          <w:sz w:val="32"/>
          <w:szCs w:val="32"/>
        </w:rPr>
        <w:t>水泥厂</w:t>
      </w:r>
      <w:r>
        <w:rPr>
          <w:rFonts w:ascii="仿宋" w:eastAsia="仿宋" w:hAnsi="仿宋" w:hint="eastAsia"/>
          <w:sz w:val="32"/>
          <w:szCs w:val="32"/>
        </w:rPr>
        <w:t>幼儿园维修改造工程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曲江</w:t>
      </w:r>
      <w:r>
        <w:rPr>
          <w:rFonts w:ascii="仿宋" w:eastAsia="仿宋" w:hAnsi="仿宋" w:hint="eastAsia"/>
          <w:sz w:val="32"/>
          <w:szCs w:val="32"/>
        </w:rPr>
        <w:t>才艺一</w:t>
      </w:r>
      <w:r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曲江</w:t>
      </w:r>
      <w:r>
        <w:rPr>
          <w:rFonts w:ascii="仿宋" w:eastAsia="仿宋" w:hAnsi="仿宋" w:hint="eastAsia"/>
          <w:sz w:val="32"/>
          <w:szCs w:val="32"/>
        </w:rPr>
        <w:t>才艺二</w:t>
      </w:r>
      <w:r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曲江</w:t>
      </w:r>
      <w:r>
        <w:rPr>
          <w:rFonts w:ascii="仿宋" w:eastAsia="仿宋" w:hAnsi="仿宋" w:hint="eastAsia"/>
          <w:sz w:val="32"/>
          <w:szCs w:val="32"/>
        </w:rPr>
        <w:t>大塘光明</w:t>
      </w:r>
      <w:r>
        <w:rPr>
          <w:rFonts w:ascii="仿宋" w:eastAsia="仿宋" w:hAnsi="仿宋" w:hint="eastAsia"/>
          <w:sz w:val="32"/>
          <w:szCs w:val="32"/>
        </w:rPr>
        <w:t>幼儿园维修改造工程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曲江</w:t>
      </w:r>
      <w:r>
        <w:rPr>
          <w:rFonts w:ascii="仿宋" w:eastAsia="仿宋" w:hAnsi="仿宋" w:hint="eastAsia"/>
          <w:sz w:val="32"/>
          <w:szCs w:val="32"/>
        </w:rPr>
        <w:t>区安山</w:t>
      </w:r>
      <w:r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维修改造工程</w:t>
      </w:r>
      <w:r>
        <w:rPr>
          <w:rFonts w:ascii="仿宋" w:eastAsia="仿宋" w:hAnsi="仿宋" w:hint="eastAsia"/>
          <w:sz w:val="32"/>
          <w:szCs w:val="32"/>
        </w:rPr>
        <w:t>已顺利完工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53243" w:rsidRDefault="00F8361B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hyperlink w:anchor="_Toc521089204" w:history="1">
        <w:r>
          <w:rPr>
            <w:rFonts w:ascii="黑体" w:eastAsia="黑体" w:hAnsi="黑体" w:cs="黑体" w:hint="eastAsia"/>
            <w:b/>
            <w:bCs/>
            <w:sz w:val="32"/>
            <w:szCs w:val="32"/>
          </w:rPr>
          <w:t>四、</w:t>
        </w:r>
        <w:r>
          <w:rPr>
            <w:rFonts w:ascii="黑体" w:eastAsia="黑体" w:hAnsi="黑体" w:cs="黑体" w:hint="eastAsia"/>
            <w:b/>
            <w:bCs/>
            <w:sz w:val="32"/>
            <w:szCs w:val="32"/>
          </w:rPr>
          <w:t xml:space="preserve"> </w:t>
        </w:r>
        <w:r>
          <w:rPr>
            <w:rFonts w:ascii="黑体" w:eastAsia="黑体" w:hAnsi="黑体" w:cs="黑体" w:hint="eastAsia"/>
            <w:b/>
            <w:bCs/>
            <w:sz w:val="32"/>
            <w:szCs w:val="32"/>
          </w:rPr>
          <w:t>主要绩效</w:t>
        </w:r>
      </w:hyperlink>
    </w:p>
    <w:p w:rsidR="00B53243" w:rsidRDefault="00F8361B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hint="eastAsia"/>
          <w:b/>
          <w:bCs/>
          <w:sz w:val="32"/>
          <w:szCs w:val="32"/>
        </w:rPr>
        <w:t>效益指标完成情况分析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社会效益：工程项目建设完成后，有效改善</w:t>
      </w:r>
      <w:r>
        <w:rPr>
          <w:rFonts w:ascii="仿宋" w:eastAsia="仿宋" w:hAnsi="仿宋" w:hint="eastAsia"/>
          <w:bCs/>
          <w:sz w:val="32"/>
          <w:szCs w:val="32"/>
        </w:rPr>
        <w:t>普惠性民办</w:t>
      </w:r>
      <w:r>
        <w:rPr>
          <w:rFonts w:ascii="仿宋" w:eastAsia="仿宋" w:hAnsi="仿宋" w:hint="eastAsia"/>
          <w:bCs/>
          <w:sz w:val="32"/>
          <w:szCs w:val="32"/>
        </w:rPr>
        <w:t>幼儿园办园条件。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>
        <w:rPr>
          <w:rFonts w:ascii="仿宋" w:eastAsia="仿宋" w:hAnsi="仿宋" w:hint="eastAsia"/>
          <w:bCs/>
          <w:sz w:val="32"/>
          <w:szCs w:val="32"/>
        </w:rPr>
        <w:t>经济效益：教学环境的改变和教风学风的改变，使教学质量得到较大的提高，对推进学前教育的建设起到了积极作用。</w:t>
      </w:r>
    </w:p>
    <w:p w:rsidR="00B53243" w:rsidRDefault="00F8361B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（二）满意度指标完成情况分析</w:t>
      </w:r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学生家长满意度高。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53243" w:rsidRDefault="00F8361B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（三）自评分数</w:t>
      </w:r>
    </w:p>
    <w:p w:rsidR="00B53243" w:rsidRDefault="00F836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对照《项目绩效自评信息指标评分表》自查自评：投入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份，过程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分，产出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分，效益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分。总评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B53243" w:rsidRDefault="00F8361B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hyperlink w:anchor="_Toc521089208" w:history="1">
        <w:r>
          <w:rPr>
            <w:rFonts w:ascii="黑体" w:eastAsia="黑体" w:hAnsi="黑体" w:cs="黑体" w:hint="eastAsia"/>
            <w:b/>
            <w:bCs/>
            <w:sz w:val="32"/>
            <w:szCs w:val="32"/>
          </w:rPr>
          <w:t>存在问题</w:t>
        </w:r>
      </w:hyperlink>
    </w:p>
    <w:p w:rsidR="00B53243" w:rsidRDefault="00F8361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幼儿园改建工程建设领域未发现有突出问题。仅存在部分幼儿园施工过程未全程记录、图像资料较少的细小问题。</w:t>
      </w:r>
    </w:p>
    <w:p w:rsidR="00B53243" w:rsidRDefault="00F8361B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hyperlink w:anchor="_Toc521089213" w:history="1">
        <w:r>
          <w:rPr>
            <w:rFonts w:ascii="黑体" w:eastAsia="黑体" w:hAnsi="黑体" w:cs="黑体" w:hint="eastAsia"/>
            <w:b/>
            <w:bCs/>
            <w:sz w:val="32"/>
            <w:szCs w:val="32"/>
          </w:rPr>
          <w:t>六、相关建议</w:t>
        </w:r>
        <w:r>
          <w:rPr>
            <w:rFonts w:ascii="黑体" w:eastAsia="黑体" w:hAnsi="黑体" w:cs="黑体" w:hint="eastAsia"/>
            <w:b/>
            <w:bCs/>
            <w:sz w:val="32"/>
            <w:szCs w:val="32"/>
          </w:rPr>
          <w:tab/>
        </w:r>
      </w:hyperlink>
    </w:p>
    <w:p w:rsidR="00B53243" w:rsidRDefault="00F8361B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我区地处粤北欠发达地区，普惠性民办园的办园成本较高，扶持资金较低，导</w:t>
      </w:r>
      <w:r>
        <w:rPr>
          <w:rFonts w:ascii="仿宋_GB2312" w:hint="eastAsia"/>
          <w:sz w:val="32"/>
          <w:szCs w:val="32"/>
        </w:rPr>
        <w:t>致</w:t>
      </w:r>
      <w:r>
        <w:rPr>
          <w:rFonts w:ascii="仿宋_GB2312" w:hint="eastAsia"/>
          <w:sz w:val="32"/>
          <w:szCs w:val="32"/>
        </w:rPr>
        <w:t>普惠性幼儿园的积极性不高。</w:t>
      </w:r>
      <w:r>
        <w:rPr>
          <w:rFonts w:ascii="仿宋_GB2312" w:hint="eastAsia"/>
          <w:sz w:val="32"/>
          <w:szCs w:val="32"/>
        </w:rPr>
        <w:t>建议</w:t>
      </w:r>
      <w:r>
        <w:rPr>
          <w:rFonts w:ascii="仿宋_GB2312" w:hint="eastAsia"/>
          <w:sz w:val="32"/>
          <w:szCs w:val="32"/>
        </w:rPr>
        <w:t>适当提高我区学前教</w:t>
      </w:r>
      <w:r>
        <w:rPr>
          <w:rFonts w:ascii="仿宋_GB2312" w:hint="eastAsia"/>
          <w:sz w:val="32"/>
          <w:szCs w:val="32"/>
        </w:rPr>
        <w:t>育民办教育发展方向省</w:t>
      </w:r>
      <w:r>
        <w:rPr>
          <w:rFonts w:ascii="仿宋_GB2312" w:hint="eastAsia"/>
          <w:sz w:val="32"/>
          <w:szCs w:val="32"/>
        </w:rPr>
        <w:t>财政补助的比例。</w:t>
      </w:r>
    </w:p>
    <w:p w:rsidR="00B53243" w:rsidRDefault="00B5324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53243" w:rsidRDefault="00B5324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53243" w:rsidRDefault="00F8361B">
      <w:pPr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韶关市曲江区教育局</w:t>
      </w:r>
    </w:p>
    <w:p w:rsidR="00B53243" w:rsidRDefault="00F8361B">
      <w:pPr>
        <w:ind w:firstLineChars="2050" w:firstLine="65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53243" w:rsidRDefault="00F8361B">
      <w:r>
        <w:rPr>
          <w:rFonts w:ascii="仿宋_GB2312" w:hAnsi="Cambria" w:hint="eastAsia"/>
          <w:sz w:val="28"/>
          <w:szCs w:val="28"/>
        </w:rPr>
        <w:fldChar w:fldCharType="end"/>
      </w:r>
    </w:p>
    <w:sectPr w:rsidR="00B53243">
      <w:footerReference w:type="default" r:id="rId8"/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1B" w:rsidRDefault="00F8361B">
      <w:r>
        <w:separator/>
      </w:r>
    </w:p>
  </w:endnote>
  <w:endnote w:type="continuationSeparator" w:id="0">
    <w:p w:rsidR="00F8361B" w:rsidRDefault="00F8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43" w:rsidRDefault="00F836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243" w:rsidRDefault="00F8361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C3B1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53243" w:rsidRDefault="00F8361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C3B14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1B" w:rsidRDefault="00F8361B">
      <w:r>
        <w:separator/>
      </w:r>
    </w:p>
  </w:footnote>
  <w:footnote w:type="continuationSeparator" w:id="0">
    <w:p w:rsidR="00F8361B" w:rsidRDefault="00F8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1C"/>
    <w:rsid w:val="004A0A20"/>
    <w:rsid w:val="005A2B66"/>
    <w:rsid w:val="00735F1C"/>
    <w:rsid w:val="00932DAA"/>
    <w:rsid w:val="00B53243"/>
    <w:rsid w:val="00EC3B14"/>
    <w:rsid w:val="00F8361B"/>
    <w:rsid w:val="11B75A82"/>
    <w:rsid w:val="1CD6630E"/>
    <w:rsid w:val="265B5A5F"/>
    <w:rsid w:val="4A4138BB"/>
    <w:rsid w:val="4FF86FCC"/>
    <w:rsid w:val="53226DA2"/>
    <w:rsid w:val="59D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pPr>
      <w:spacing w:before="120" w:after="120"/>
      <w:jc w:val="left"/>
    </w:pPr>
    <w:rPr>
      <w:rFonts w:ascii="Calibri" w:eastAsia="宋体" w:hAnsi="Calibri"/>
      <w:b/>
      <w:bCs/>
      <w:caps/>
      <w:sz w:val="20"/>
      <w:szCs w:val="20"/>
    </w:rPr>
  </w:style>
  <w:style w:type="paragraph" w:styleId="a5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等线 Light" w:eastAsia="等线 Light" w:hAnsi="等线 Light"/>
      <w:b/>
      <w:kern w:val="0"/>
      <w:sz w:val="32"/>
      <w:szCs w:val="20"/>
    </w:rPr>
  </w:style>
  <w:style w:type="character" w:customStyle="1" w:styleId="Char">
    <w:name w:val="标题 Char"/>
    <w:basedOn w:val="a0"/>
    <w:link w:val="a5"/>
    <w:uiPriority w:val="99"/>
    <w:qFormat/>
    <w:rPr>
      <w:rFonts w:ascii="等线 Light" w:eastAsia="等线 Light" w:hAnsi="等线 Light" w:cs="Times New Roman"/>
      <w:b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pPr>
      <w:spacing w:before="120" w:after="120"/>
      <w:jc w:val="left"/>
    </w:pPr>
    <w:rPr>
      <w:rFonts w:ascii="Calibri" w:eastAsia="宋体" w:hAnsi="Calibri"/>
      <w:b/>
      <w:bCs/>
      <w:caps/>
      <w:sz w:val="20"/>
      <w:szCs w:val="20"/>
    </w:rPr>
  </w:style>
  <w:style w:type="paragraph" w:styleId="a5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等线 Light" w:eastAsia="等线 Light" w:hAnsi="等线 Light"/>
      <w:b/>
      <w:kern w:val="0"/>
      <w:sz w:val="32"/>
      <w:szCs w:val="20"/>
    </w:rPr>
  </w:style>
  <w:style w:type="character" w:customStyle="1" w:styleId="Char">
    <w:name w:val="标题 Char"/>
    <w:basedOn w:val="a0"/>
    <w:link w:val="a5"/>
    <w:uiPriority w:val="99"/>
    <w:qFormat/>
    <w:rPr>
      <w:rFonts w:ascii="等线 Light" w:eastAsia="等线 Light" w:hAnsi="等线 Light" w:cs="Times New Roman"/>
      <w:b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317</Words>
  <Characters>1809</Characters>
  <Application>Microsoft Office Word</Application>
  <DocSecurity>0</DocSecurity>
  <Lines>15</Lines>
  <Paragraphs>4</Paragraphs>
  <ScaleCrop>false</ScaleCrop>
  <Company>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2020-04-07T03:04:00Z</cp:lastPrinted>
  <dcterms:created xsi:type="dcterms:W3CDTF">2020-03-31T03:01:00Z</dcterms:created>
  <dcterms:modified xsi:type="dcterms:W3CDTF">2020-04-08T02:29:00Z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