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288" w:lineRule="auto"/>
        <w:ind w:left="0" w:right="0"/>
        <w:jc w:val="both"/>
        <w:rPr>
          <w:rFonts w:hint="eastAsia" w:ascii="宋体" w:hAnsi="宋体" w:eastAsia="宋体" w:cs="宋体"/>
          <w:lang w:val="en-US"/>
        </w:rPr>
      </w:pPr>
      <w:bookmarkStart w:id="0" w:name="PO_part2Table7"/>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shd w:val="clear"/>
            <w:vAlign w:val="top"/>
          </w:tcPr>
          <w:p>
            <w:pPr>
              <w:keepNext w:val="0"/>
              <w:keepLines w:val="0"/>
              <w:widowControl w:val="0"/>
              <w:suppressLineNumbers w:val="0"/>
              <w:spacing w:before="0" w:beforeAutospacing="0" w:after="0" w:afterAutospacing="0"/>
              <w:ind w:left="0" w:right="0"/>
              <w:jc w:val="right"/>
              <w:rPr>
                <w:rFonts w:hint="eastAsia" w:ascii="宋体" w:hAnsi="宋体" w:eastAsia="宋体" w:cs="宋体"/>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bdr w:val="none" w:color="auto" w:sz="0" w:space="0"/>
                <w:lang w:val="en-US"/>
              </w:rPr>
            </w:pPr>
            <w:r>
              <w:rPr>
                <w:rFonts w:hint="eastAsia" w:ascii="宋体" w:hAnsi="宋体" w:eastAsia="宋体" w:cs="宋体"/>
                <w:b/>
                <w:bCs w:val="0"/>
                <w:kern w:val="0"/>
                <w:sz w:val="32"/>
                <w:szCs w:val="32"/>
                <w:bdr w:val="none" w:color="auto" w:sz="0" w:space="0"/>
                <w:lang w:val="en-US" w:eastAsia="zh-CN"/>
              </w:rPr>
              <w:t>2019年</w:t>
            </w:r>
            <w:r>
              <w:rPr>
                <w:rFonts w:hint="eastAsia" w:ascii="宋体" w:hAnsi="宋体" w:eastAsia="宋体" w:cs="宋体"/>
                <w:b/>
                <w:bCs w:val="0"/>
                <w:kern w:val="0"/>
                <w:sz w:val="32"/>
                <w:szCs w:val="32"/>
                <w:bdr w:val="none" w:color="auto" w:sz="0" w:space="0"/>
              </w:rPr>
              <w:t>翁源县审计局一般公共预算财政拨款“三公”经费支出决算表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0639" w:type="dxa"/>
            <w:gridSpan w:val="9"/>
            <w:tcBorders>
              <w:top w:val="nil"/>
              <w:left w:val="nil"/>
              <w:bottom w:val="single" w:color="auto" w:sz="4" w:space="0"/>
              <w:right w:val="nil"/>
            </w:tcBorders>
            <w:shd w:val="clear"/>
            <w:vAlign w:val="top"/>
          </w:tcPr>
          <w:p>
            <w:pPr>
              <w:keepNext w:val="0"/>
              <w:keepLines w:val="0"/>
              <w:widowControl w:val="0"/>
              <w:suppressLineNumbers w:val="0"/>
              <w:spacing w:before="0" w:beforeAutospacing="0" w:after="0" w:afterAutospacing="0" w:line="288" w:lineRule="auto"/>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0"/>
                <w:sz w:val="20"/>
                <w:szCs w:val="20"/>
                <w:bdr w:val="none" w:color="auto" w:sz="0" w:space="0"/>
              </w:rPr>
              <w:t>部门：</w:t>
            </w:r>
            <w:bookmarkStart w:id="1" w:name="PO_part2Table7DivName1"/>
            <w:r>
              <w:rPr>
                <w:rFonts w:hint="eastAsia" w:ascii="宋体" w:hAnsi="宋体" w:eastAsia="宋体" w:cs="宋体"/>
                <w:kern w:val="0"/>
                <w:sz w:val="20"/>
                <w:szCs w:val="20"/>
                <w:bdr w:val="none" w:color="auto" w:sz="0" w:space="0"/>
              </w:rPr>
              <w:t xml:space="preserve"> 翁源县审计局 </w:t>
            </w:r>
            <w:bookmarkEnd w:id="1"/>
          </w:p>
        </w:tc>
        <w:tc>
          <w:tcPr>
            <w:tcW w:w="3535" w:type="dxa"/>
            <w:gridSpan w:val="3"/>
            <w:tcBorders>
              <w:top w:val="nil"/>
              <w:left w:val="nil"/>
              <w:bottom w:val="single" w:color="auto" w:sz="4" w:space="0"/>
              <w:right w:val="nil"/>
            </w:tcBorders>
            <w:shd w:val="clear"/>
            <w:vAlign w:val="top"/>
          </w:tcPr>
          <w:p>
            <w:pPr>
              <w:keepNext w:val="0"/>
              <w:keepLines w:val="0"/>
              <w:widowControl w:val="0"/>
              <w:suppressLineNumbers w:val="0"/>
              <w:spacing w:before="0" w:beforeAutospacing="0" w:after="0" w:afterAutospacing="0"/>
              <w:ind w:left="0" w:right="0"/>
              <w:jc w:val="right"/>
              <w:rPr>
                <w:rFonts w:hint="eastAsia" w:ascii="宋体" w:hAnsi="宋体" w:eastAsia="宋体" w:cs="宋体"/>
                <w:bdr w:val="none" w:color="auto" w:sz="0" w:space="0"/>
                <w:lang w:val="en-US"/>
              </w:rPr>
            </w:pPr>
            <w:r>
              <w:rPr>
                <w:rFonts w:hint="eastAsia" w:ascii="宋体" w:hAnsi="宋体" w:eastAsia="宋体" w:cs="宋体"/>
                <w:kern w:val="0"/>
                <w:sz w:val="20"/>
                <w:szCs w:val="20"/>
                <w:bdr w:val="none" w:color="auto" w:sz="0" w:space="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7093" w:type="dxa"/>
            <w:gridSpan w:val="6"/>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r>
              <w:rPr>
                <w:rFonts w:hint="eastAsia" w:ascii="宋体" w:hAnsi="宋体" w:eastAsia="宋体" w:cs="宋体"/>
                <w:kern w:val="0"/>
                <w:szCs w:val="21"/>
                <w:bdr w:val="none" w:color="auto" w:sz="0" w:space="0"/>
              </w:rPr>
              <w:t>预算数</w:t>
            </w:r>
          </w:p>
        </w:tc>
        <w:tc>
          <w:tcPr>
            <w:tcW w:w="7081" w:type="dxa"/>
            <w:gridSpan w:val="6"/>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r>
              <w:rPr>
                <w:rFonts w:hint="eastAsia" w:ascii="宋体" w:hAnsi="宋体" w:eastAsia="宋体" w:cs="宋体"/>
                <w:kern w:val="0"/>
                <w:szCs w:val="21"/>
                <w:bdr w:val="none" w:color="auto" w:sz="0" w:space="0"/>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183"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bdr w:val="none" w:color="auto" w:sz="0" w:space="0"/>
                <w:lang w:val="en-US"/>
              </w:rPr>
            </w:pPr>
            <w:r>
              <w:rPr>
                <w:rFonts w:hint="eastAsia" w:ascii="宋体" w:hAnsi="宋体" w:eastAsia="宋体" w:cs="宋体"/>
                <w:kern w:val="0"/>
                <w:szCs w:val="21"/>
                <w:bdr w:val="none" w:color="auto" w:sz="0" w:space="0"/>
              </w:rPr>
              <w:t>合计</w:t>
            </w:r>
          </w:p>
        </w:tc>
        <w:tc>
          <w:tcPr>
            <w:tcW w:w="1182"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bdr w:val="none" w:color="auto" w:sz="0" w:space="0"/>
                <w:lang w:val="en-US"/>
              </w:rPr>
            </w:pPr>
            <w:r>
              <w:rPr>
                <w:rFonts w:hint="eastAsia" w:ascii="宋体" w:hAnsi="宋体" w:eastAsia="宋体" w:cs="宋体"/>
                <w:kern w:val="0"/>
                <w:szCs w:val="21"/>
                <w:bdr w:val="none" w:color="auto" w:sz="0" w:space="0"/>
              </w:rPr>
              <w:t>因公出国（境）费</w:t>
            </w:r>
          </w:p>
        </w:tc>
        <w:tc>
          <w:tcPr>
            <w:tcW w:w="3546" w:type="dxa"/>
            <w:gridSpan w:val="3"/>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r>
              <w:rPr>
                <w:rFonts w:hint="eastAsia" w:ascii="宋体" w:hAnsi="宋体" w:eastAsia="宋体" w:cs="宋体"/>
                <w:kern w:val="0"/>
                <w:szCs w:val="21"/>
                <w:bdr w:val="none" w:color="auto" w:sz="0" w:space="0"/>
              </w:rPr>
              <w:t>公务用车购置及运行费</w:t>
            </w:r>
          </w:p>
        </w:tc>
        <w:tc>
          <w:tcPr>
            <w:tcW w:w="1182"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bdr w:val="none" w:color="auto" w:sz="0" w:space="0"/>
                <w:lang w:val="en-US"/>
              </w:rPr>
            </w:pPr>
            <w:r>
              <w:rPr>
                <w:rFonts w:hint="eastAsia" w:ascii="宋体" w:hAnsi="宋体" w:eastAsia="宋体" w:cs="宋体"/>
                <w:kern w:val="0"/>
                <w:szCs w:val="21"/>
                <w:bdr w:val="none" w:color="auto" w:sz="0" w:space="0"/>
              </w:rPr>
              <w:t>公务接待费</w:t>
            </w:r>
          </w:p>
        </w:tc>
        <w:tc>
          <w:tcPr>
            <w:tcW w:w="1182"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bdr w:val="none" w:color="auto" w:sz="0" w:space="0"/>
                <w:lang w:val="en-US"/>
              </w:rPr>
            </w:pPr>
            <w:r>
              <w:rPr>
                <w:rFonts w:hint="eastAsia" w:ascii="宋体" w:hAnsi="宋体" w:eastAsia="宋体" w:cs="宋体"/>
                <w:kern w:val="0"/>
                <w:szCs w:val="21"/>
                <w:bdr w:val="none" w:color="auto" w:sz="0" w:space="0"/>
              </w:rPr>
              <w:t>合计</w:t>
            </w:r>
          </w:p>
        </w:tc>
        <w:tc>
          <w:tcPr>
            <w:tcW w:w="1182"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r>
              <w:rPr>
                <w:rFonts w:hint="eastAsia" w:ascii="宋体" w:hAnsi="宋体" w:eastAsia="宋体" w:cs="宋体"/>
                <w:kern w:val="0"/>
                <w:szCs w:val="21"/>
                <w:bdr w:val="none" w:color="auto" w:sz="0" w:space="0"/>
              </w:rPr>
              <w:t>因公出国（境）费</w:t>
            </w:r>
          </w:p>
        </w:tc>
        <w:tc>
          <w:tcPr>
            <w:tcW w:w="3546" w:type="dxa"/>
            <w:gridSpan w:val="3"/>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r>
              <w:rPr>
                <w:rFonts w:hint="eastAsia" w:ascii="宋体" w:hAnsi="宋体" w:eastAsia="宋体" w:cs="宋体"/>
                <w:kern w:val="0"/>
                <w:szCs w:val="21"/>
                <w:bdr w:val="none" w:color="auto" w:sz="0" w:space="0"/>
              </w:rPr>
              <w:t>公务用车购置及运行费</w:t>
            </w:r>
          </w:p>
        </w:tc>
        <w:tc>
          <w:tcPr>
            <w:tcW w:w="1171"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r>
              <w:rPr>
                <w:rFonts w:hint="eastAsia" w:ascii="宋体" w:hAnsi="宋体" w:eastAsia="宋体" w:cs="宋体"/>
                <w:kern w:val="0"/>
                <w:szCs w:val="21"/>
                <w:bdr w:val="none" w:color="auto" w:sz="0" w:space="0"/>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18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1182"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118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bdr w:val="none" w:color="auto" w:sz="0" w:space="0"/>
                <w:lang w:val="en-US"/>
              </w:rPr>
            </w:pPr>
            <w:r>
              <w:rPr>
                <w:rFonts w:hint="eastAsia" w:ascii="宋体" w:hAnsi="宋体" w:eastAsia="宋体" w:cs="宋体"/>
                <w:kern w:val="0"/>
                <w:szCs w:val="21"/>
                <w:bdr w:val="none" w:color="auto" w:sz="0" w:space="0"/>
              </w:rPr>
              <w:t>小计</w:t>
            </w:r>
          </w:p>
        </w:tc>
        <w:tc>
          <w:tcPr>
            <w:tcW w:w="118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bdr w:val="none" w:color="auto" w:sz="0" w:space="0"/>
                <w:lang w:val="en-US"/>
              </w:rPr>
            </w:pPr>
            <w:r>
              <w:rPr>
                <w:rFonts w:hint="eastAsia" w:ascii="宋体" w:hAnsi="宋体" w:eastAsia="宋体" w:cs="宋体"/>
                <w:kern w:val="0"/>
                <w:szCs w:val="21"/>
                <w:bdr w:val="none" w:color="auto" w:sz="0" w:space="0"/>
              </w:rPr>
              <w:t>公务用车</w:t>
            </w:r>
            <w:r>
              <w:rPr>
                <w:rFonts w:hint="eastAsia" w:ascii="宋体" w:hAnsi="宋体" w:eastAsia="宋体" w:cs="宋体"/>
                <w:kern w:val="0"/>
                <w:szCs w:val="21"/>
                <w:bdr w:val="none" w:color="auto" w:sz="0" w:space="0"/>
                <w:lang w:val="en-US"/>
              </w:rPr>
              <w:br w:type="textWrapping"/>
            </w:r>
            <w:r>
              <w:rPr>
                <w:rFonts w:hint="eastAsia" w:ascii="宋体" w:hAnsi="宋体" w:eastAsia="宋体" w:cs="宋体"/>
                <w:kern w:val="0"/>
                <w:szCs w:val="21"/>
                <w:bdr w:val="none" w:color="auto" w:sz="0" w:space="0"/>
              </w:rPr>
              <w:t>购置费</w:t>
            </w:r>
          </w:p>
        </w:tc>
        <w:tc>
          <w:tcPr>
            <w:tcW w:w="118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bdr w:val="none" w:color="auto" w:sz="0" w:space="0"/>
                <w:lang w:val="en-US"/>
              </w:rPr>
            </w:pPr>
            <w:r>
              <w:rPr>
                <w:rFonts w:hint="eastAsia" w:ascii="宋体" w:hAnsi="宋体" w:eastAsia="宋体" w:cs="宋体"/>
                <w:kern w:val="0"/>
                <w:szCs w:val="21"/>
                <w:bdr w:val="none" w:color="auto" w:sz="0" w:space="0"/>
              </w:rPr>
              <w:t>公务用车</w:t>
            </w:r>
            <w:r>
              <w:rPr>
                <w:rFonts w:hint="eastAsia" w:ascii="宋体" w:hAnsi="宋体" w:eastAsia="宋体" w:cs="宋体"/>
                <w:kern w:val="0"/>
                <w:szCs w:val="21"/>
                <w:bdr w:val="none" w:color="auto" w:sz="0" w:space="0"/>
                <w:lang w:val="en-US"/>
              </w:rPr>
              <w:br w:type="textWrapping"/>
            </w:r>
            <w:r>
              <w:rPr>
                <w:rFonts w:hint="eastAsia" w:ascii="宋体" w:hAnsi="宋体" w:eastAsia="宋体" w:cs="宋体"/>
                <w:kern w:val="0"/>
                <w:szCs w:val="21"/>
                <w:bdr w:val="none" w:color="auto" w:sz="0" w:space="0"/>
              </w:rPr>
              <w:t>运行费</w:t>
            </w:r>
          </w:p>
        </w:tc>
        <w:tc>
          <w:tcPr>
            <w:tcW w:w="1182"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1182"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1182"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118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bdr w:val="none" w:color="auto" w:sz="0" w:space="0"/>
                <w:lang w:val="en-US"/>
              </w:rPr>
            </w:pPr>
            <w:r>
              <w:rPr>
                <w:rFonts w:hint="eastAsia" w:ascii="宋体" w:hAnsi="宋体" w:eastAsia="宋体" w:cs="宋体"/>
                <w:kern w:val="0"/>
                <w:szCs w:val="21"/>
                <w:bdr w:val="none" w:color="auto" w:sz="0" w:space="0"/>
              </w:rPr>
              <w:t>小计</w:t>
            </w:r>
          </w:p>
        </w:tc>
        <w:tc>
          <w:tcPr>
            <w:tcW w:w="118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bdr w:val="none" w:color="auto" w:sz="0" w:space="0"/>
                <w:lang w:val="en-US"/>
              </w:rPr>
            </w:pPr>
            <w:r>
              <w:rPr>
                <w:rFonts w:hint="eastAsia" w:ascii="宋体" w:hAnsi="宋体" w:eastAsia="宋体" w:cs="宋体"/>
                <w:kern w:val="0"/>
                <w:szCs w:val="21"/>
                <w:bdr w:val="none" w:color="auto" w:sz="0" w:space="0"/>
              </w:rPr>
              <w:t>公务用车</w:t>
            </w:r>
            <w:r>
              <w:rPr>
                <w:rFonts w:hint="eastAsia" w:ascii="宋体" w:hAnsi="宋体" w:eastAsia="宋体" w:cs="宋体"/>
                <w:kern w:val="0"/>
                <w:szCs w:val="21"/>
                <w:bdr w:val="none" w:color="auto" w:sz="0" w:space="0"/>
                <w:lang w:val="en-US"/>
              </w:rPr>
              <w:br w:type="textWrapping"/>
            </w:r>
            <w:r>
              <w:rPr>
                <w:rFonts w:hint="eastAsia" w:ascii="宋体" w:hAnsi="宋体" w:eastAsia="宋体" w:cs="宋体"/>
                <w:kern w:val="0"/>
                <w:szCs w:val="21"/>
                <w:bdr w:val="none" w:color="auto" w:sz="0" w:space="0"/>
              </w:rPr>
              <w:t>购置费</w:t>
            </w:r>
          </w:p>
        </w:tc>
        <w:tc>
          <w:tcPr>
            <w:tcW w:w="118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bdr w:val="none" w:color="auto" w:sz="0" w:space="0"/>
                <w:lang w:val="en-US"/>
              </w:rPr>
            </w:pPr>
            <w:r>
              <w:rPr>
                <w:rFonts w:hint="eastAsia" w:ascii="宋体" w:hAnsi="宋体" w:eastAsia="宋体" w:cs="宋体"/>
                <w:kern w:val="0"/>
                <w:szCs w:val="21"/>
                <w:bdr w:val="none" w:color="auto" w:sz="0" w:space="0"/>
              </w:rPr>
              <w:t>公务用车</w:t>
            </w:r>
            <w:r>
              <w:rPr>
                <w:rFonts w:hint="eastAsia" w:ascii="宋体" w:hAnsi="宋体" w:eastAsia="宋体" w:cs="宋体"/>
                <w:kern w:val="0"/>
                <w:szCs w:val="21"/>
                <w:bdr w:val="none" w:color="auto" w:sz="0" w:space="0"/>
                <w:lang w:val="en-US"/>
              </w:rPr>
              <w:br w:type="textWrapping"/>
            </w:r>
            <w:r>
              <w:rPr>
                <w:rFonts w:hint="eastAsia" w:ascii="宋体" w:hAnsi="宋体" w:eastAsia="宋体" w:cs="宋体"/>
                <w:kern w:val="0"/>
                <w:szCs w:val="21"/>
                <w:bdr w:val="none" w:color="auto" w:sz="0" w:space="0"/>
              </w:rPr>
              <w:t>运行费</w:t>
            </w:r>
          </w:p>
        </w:tc>
        <w:tc>
          <w:tcPr>
            <w:tcW w:w="1171"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18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bdr w:val="none" w:color="auto" w:sz="0" w:space="0"/>
                <w:lang w:val="en-US"/>
              </w:rPr>
            </w:pPr>
            <w:r>
              <w:rPr>
                <w:rFonts w:hint="eastAsia" w:ascii="宋体" w:hAnsi="宋体" w:eastAsia="宋体" w:cs="宋体"/>
                <w:kern w:val="0"/>
                <w:szCs w:val="21"/>
                <w:bdr w:val="none" w:color="auto" w:sz="0" w:space="0"/>
                <w:lang w:val="en-US"/>
              </w:rPr>
              <w:t>1</w:t>
            </w:r>
          </w:p>
        </w:tc>
        <w:tc>
          <w:tcPr>
            <w:tcW w:w="118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bdr w:val="none" w:color="auto" w:sz="0" w:space="0"/>
                <w:lang w:val="en-US"/>
              </w:rPr>
            </w:pPr>
            <w:r>
              <w:rPr>
                <w:rFonts w:hint="eastAsia" w:ascii="宋体" w:hAnsi="宋体" w:eastAsia="宋体" w:cs="宋体"/>
                <w:kern w:val="0"/>
                <w:szCs w:val="21"/>
                <w:bdr w:val="none" w:color="auto" w:sz="0" w:space="0"/>
                <w:lang w:val="en-US"/>
              </w:rPr>
              <w:t>2</w:t>
            </w:r>
          </w:p>
        </w:tc>
        <w:tc>
          <w:tcPr>
            <w:tcW w:w="118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bdr w:val="none" w:color="auto" w:sz="0" w:space="0"/>
                <w:lang w:val="en-US"/>
              </w:rPr>
            </w:pPr>
            <w:r>
              <w:rPr>
                <w:rFonts w:hint="eastAsia" w:ascii="宋体" w:hAnsi="宋体" w:eastAsia="宋体" w:cs="宋体"/>
                <w:kern w:val="0"/>
                <w:szCs w:val="21"/>
                <w:bdr w:val="none" w:color="auto" w:sz="0" w:space="0"/>
                <w:lang w:val="en-US"/>
              </w:rPr>
              <w:t>3</w:t>
            </w:r>
          </w:p>
        </w:tc>
        <w:tc>
          <w:tcPr>
            <w:tcW w:w="118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bdr w:val="none" w:color="auto" w:sz="0" w:space="0"/>
                <w:lang w:val="en-US"/>
              </w:rPr>
            </w:pPr>
            <w:r>
              <w:rPr>
                <w:rFonts w:hint="eastAsia" w:ascii="宋体" w:hAnsi="宋体" w:eastAsia="宋体" w:cs="宋体"/>
                <w:kern w:val="0"/>
                <w:szCs w:val="21"/>
                <w:bdr w:val="none" w:color="auto" w:sz="0" w:space="0"/>
                <w:lang w:val="en-US"/>
              </w:rPr>
              <w:t>4</w:t>
            </w:r>
          </w:p>
        </w:tc>
        <w:tc>
          <w:tcPr>
            <w:tcW w:w="118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bdr w:val="none" w:color="auto" w:sz="0" w:space="0"/>
                <w:lang w:val="en-US"/>
              </w:rPr>
            </w:pPr>
            <w:r>
              <w:rPr>
                <w:rFonts w:hint="eastAsia" w:ascii="宋体" w:hAnsi="宋体" w:eastAsia="宋体" w:cs="宋体"/>
                <w:kern w:val="0"/>
                <w:szCs w:val="21"/>
                <w:bdr w:val="none" w:color="auto" w:sz="0" w:space="0"/>
                <w:lang w:val="en-US"/>
              </w:rPr>
              <w:t>5</w:t>
            </w:r>
          </w:p>
        </w:tc>
        <w:tc>
          <w:tcPr>
            <w:tcW w:w="118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bdr w:val="none" w:color="auto" w:sz="0" w:space="0"/>
                <w:lang w:val="en-US"/>
              </w:rPr>
            </w:pPr>
            <w:r>
              <w:rPr>
                <w:rFonts w:hint="eastAsia" w:ascii="宋体" w:hAnsi="宋体" w:eastAsia="宋体" w:cs="宋体"/>
                <w:kern w:val="0"/>
                <w:szCs w:val="21"/>
                <w:bdr w:val="none" w:color="auto" w:sz="0" w:space="0"/>
                <w:lang w:val="en-US"/>
              </w:rPr>
              <w:t>6</w:t>
            </w:r>
          </w:p>
        </w:tc>
        <w:tc>
          <w:tcPr>
            <w:tcW w:w="118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bdr w:val="none" w:color="auto" w:sz="0" w:space="0"/>
                <w:lang w:val="en-US"/>
              </w:rPr>
            </w:pPr>
            <w:r>
              <w:rPr>
                <w:rFonts w:hint="eastAsia" w:ascii="宋体" w:hAnsi="宋体" w:eastAsia="宋体" w:cs="宋体"/>
                <w:kern w:val="0"/>
                <w:szCs w:val="21"/>
                <w:bdr w:val="none" w:color="auto" w:sz="0" w:space="0"/>
                <w:lang w:val="en-US"/>
              </w:rPr>
              <w:t>7</w:t>
            </w:r>
          </w:p>
        </w:tc>
        <w:tc>
          <w:tcPr>
            <w:tcW w:w="118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bdr w:val="none" w:color="auto" w:sz="0" w:space="0"/>
                <w:lang w:val="en-US"/>
              </w:rPr>
            </w:pPr>
            <w:r>
              <w:rPr>
                <w:rFonts w:hint="eastAsia" w:ascii="宋体" w:hAnsi="宋体" w:eastAsia="宋体" w:cs="宋体"/>
                <w:kern w:val="0"/>
                <w:szCs w:val="21"/>
                <w:bdr w:val="none" w:color="auto" w:sz="0" w:space="0"/>
                <w:lang w:val="en-US"/>
              </w:rPr>
              <w:t>8</w:t>
            </w:r>
          </w:p>
        </w:tc>
        <w:tc>
          <w:tcPr>
            <w:tcW w:w="118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bdr w:val="none" w:color="auto" w:sz="0" w:space="0"/>
                <w:lang w:val="en-US"/>
              </w:rPr>
            </w:pPr>
            <w:r>
              <w:rPr>
                <w:rFonts w:hint="eastAsia" w:ascii="宋体" w:hAnsi="宋体" w:eastAsia="宋体" w:cs="宋体"/>
                <w:kern w:val="0"/>
                <w:szCs w:val="21"/>
                <w:bdr w:val="none" w:color="auto" w:sz="0" w:space="0"/>
                <w:lang w:val="en-US"/>
              </w:rPr>
              <w:t>9</w:t>
            </w:r>
          </w:p>
        </w:tc>
        <w:tc>
          <w:tcPr>
            <w:tcW w:w="118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bdr w:val="none" w:color="auto" w:sz="0" w:space="0"/>
                <w:lang w:val="en-US"/>
              </w:rPr>
            </w:pPr>
            <w:r>
              <w:rPr>
                <w:rFonts w:hint="eastAsia" w:ascii="宋体" w:hAnsi="宋体" w:eastAsia="宋体" w:cs="宋体"/>
                <w:kern w:val="0"/>
                <w:szCs w:val="21"/>
                <w:bdr w:val="none" w:color="auto" w:sz="0" w:space="0"/>
                <w:lang w:val="en-US"/>
              </w:rPr>
              <w:t>10</w:t>
            </w:r>
          </w:p>
        </w:tc>
        <w:tc>
          <w:tcPr>
            <w:tcW w:w="118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bdr w:val="none" w:color="auto" w:sz="0" w:space="0"/>
                <w:lang w:val="en-US"/>
              </w:rPr>
            </w:pPr>
            <w:r>
              <w:rPr>
                <w:rFonts w:hint="eastAsia" w:ascii="宋体" w:hAnsi="宋体" w:eastAsia="宋体" w:cs="宋体"/>
                <w:kern w:val="0"/>
                <w:szCs w:val="21"/>
                <w:bdr w:val="none" w:color="auto" w:sz="0" w:space="0"/>
                <w:lang w:val="en-US"/>
              </w:rPr>
              <w:t>11</w:t>
            </w:r>
          </w:p>
        </w:tc>
        <w:tc>
          <w:tcPr>
            <w:tcW w:w="117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bdr w:val="none" w:color="auto" w:sz="0" w:space="0"/>
                <w:lang w:val="en-US"/>
              </w:rPr>
            </w:pPr>
            <w:r>
              <w:rPr>
                <w:rFonts w:hint="eastAsia" w:ascii="宋体" w:hAnsi="宋体" w:eastAsia="宋体" w:cs="宋体"/>
                <w:kern w:val="0"/>
                <w:szCs w:val="21"/>
                <w:bdr w:val="none" w:color="auto" w:sz="0" w:space="0"/>
                <w:lang w:val="en-US"/>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18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Cs w:val="21"/>
                <w:bdr w:val="none" w:color="auto" w:sz="0" w:space="0"/>
                <w:lang w:val="en-US"/>
              </w:rPr>
            </w:pPr>
            <w:r>
              <w:rPr>
                <w:rFonts w:hint="eastAsia" w:ascii="宋体" w:hAnsi="宋体" w:eastAsia="宋体" w:cs="宋体"/>
                <w:kern w:val="0"/>
                <w:szCs w:val="21"/>
                <w:bdr w:val="none" w:color="auto" w:sz="0" w:space="0"/>
                <w:lang w:val="en-US"/>
              </w:rPr>
              <w:t>11.00</w:t>
            </w:r>
          </w:p>
        </w:tc>
        <w:tc>
          <w:tcPr>
            <w:tcW w:w="118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Cs w:val="21"/>
                <w:bdr w:val="none" w:color="auto" w:sz="0" w:space="0"/>
                <w:lang w:val="en-US"/>
              </w:rPr>
            </w:pPr>
            <w:r>
              <w:rPr>
                <w:rFonts w:hint="eastAsia" w:ascii="宋体" w:hAnsi="宋体" w:eastAsia="宋体" w:cs="宋体"/>
                <w:kern w:val="0"/>
                <w:szCs w:val="21"/>
                <w:bdr w:val="none" w:color="auto" w:sz="0" w:space="0"/>
                <w:lang w:val="en-US"/>
              </w:rPr>
              <w:t>0.00</w:t>
            </w:r>
          </w:p>
        </w:tc>
        <w:tc>
          <w:tcPr>
            <w:tcW w:w="118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Cs w:val="21"/>
                <w:bdr w:val="none" w:color="auto" w:sz="0" w:space="0"/>
                <w:lang w:val="en-US"/>
              </w:rPr>
            </w:pPr>
            <w:r>
              <w:rPr>
                <w:rFonts w:hint="eastAsia" w:ascii="宋体" w:hAnsi="宋体" w:eastAsia="宋体" w:cs="宋体"/>
                <w:kern w:val="0"/>
                <w:szCs w:val="21"/>
                <w:bdr w:val="none" w:color="auto" w:sz="0" w:space="0"/>
                <w:lang w:val="en-US"/>
              </w:rPr>
              <w:t>5.00</w:t>
            </w:r>
          </w:p>
        </w:tc>
        <w:tc>
          <w:tcPr>
            <w:tcW w:w="118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Cs w:val="21"/>
                <w:bdr w:val="none" w:color="auto" w:sz="0" w:space="0"/>
                <w:lang w:val="en-US"/>
              </w:rPr>
            </w:pPr>
            <w:r>
              <w:rPr>
                <w:rFonts w:hint="eastAsia" w:ascii="宋体" w:hAnsi="宋体" w:eastAsia="宋体" w:cs="宋体"/>
                <w:kern w:val="0"/>
                <w:szCs w:val="21"/>
                <w:bdr w:val="none" w:color="auto" w:sz="0" w:space="0"/>
                <w:lang w:val="en-US"/>
              </w:rPr>
              <w:t>0.00</w:t>
            </w:r>
          </w:p>
        </w:tc>
        <w:tc>
          <w:tcPr>
            <w:tcW w:w="118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Cs w:val="21"/>
                <w:bdr w:val="none" w:color="auto" w:sz="0" w:space="0"/>
                <w:lang w:val="en-US"/>
              </w:rPr>
            </w:pPr>
            <w:r>
              <w:rPr>
                <w:rFonts w:hint="eastAsia" w:ascii="宋体" w:hAnsi="宋体" w:eastAsia="宋体" w:cs="宋体"/>
                <w:kern w:val="0"/>
                <w:szCs w:val="21"/>
                <w:bdr w:val="none" w:color="auto" w:sz="0" w:space="0"/>
                <w:lang w:val="en-US"/>
              </w:rPr>
              <w:t>5.00</w:t>
            </w:r>
          </w:p>
        </w:tc>
        <w:tc>
          <w:tcPr>
            <w:tcW w:w="118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Cs w:val="21"/>
                <w:bdr w:val="none" w:color="auto" w:sz="0" w:space="0"/>
                <w:lang w:val="en-US"/>
              </w:rPr>
            </w:pPr>
            <w:r>
              <w:rPr>
                <w:rFonts w:hint="eastAsia" w:ascii="宋体" w:hAnsi="宋体" w:eastAsia="宋体" w:cs="宋体"/>
                <w:kern w:val="0"/>
                <w:szCs w:val="21"/>
                <w:bdr w:val="none" w:color="auto" w:sz="0" w:space="0"/>
                <w:lang w:val="en-US"/>
              </w:rPr>
              <w:t>6.00</w:t>
            </w:r>
          </w:p>
        </w:tc>
        <w:tc>
          <w:tcPr>
            <w:tcW w:w="118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Cs w:val="21"/>
                <w:bdr w:val="none" w:color="auto" w:sz="0" w:space="0"/>
                <w:lang w:val="en-US"/>
              </w:rPr>
            </w:pPr>
            <w:r>
              <w:rPr>
                <w:rFonts w:hint="eastAsia" w:ascii="宋体" w:hAnsi="宋体" w:eastAsia="宋体" w:cs="宋体"/>
                <w:kern w:val="0"/>
                <w:szCs w:val="21"/>
                <w:bdr w:val="none" w:color="auto" w:sz="0" w:space="0"/>
                <w:lang w:val="en-US"/>
              </w:rPr>
              <w:t>10.92</w:t>
            </w:r>
          </w:p>
        </w:tc>
        <w:tc>
          <w:tcPr>
            <w:tcW w:w="118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Cs w:val="21"/>
                <w:bdr w:val="none" w:color="auto" w:sz="0" w:space="0"/>
                <w:lang w:val="en-US"/>
              </w:rPr>
            </w:pPr>
            <w:r>
              <w:rPr>
                <w:rFonts w:hint="eastAsia" w:ascii="宋体" w:hAnsi="宋体" w:eastAsia="宋体" w:cs="宋体"/>
                <w:kern w:val="0"/>
                <w:szCs w:val="21"/>
                <w:bdr w:val="none" w:color="auto" w:sz="0" w:space="0"/>
                <w:lang w:val="en-US"/>
              </w:rPr>
              <w:t>0.00</w:t>
            </w:r>
          </w:p>
        </w:tc>
        <w:tc>
          <w:tcPr>
            <w:tcW w:w="118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Cs w:val="21"/>
                <w:bdr w:val="none" w:color="auto" w:sz="0" w:space="0"/>
                <w:lang w:val="en-US"/>
              </w:rPr>
            </w:pPr>
            <w:r>
              <w:rPr>
                <w:rFonts w:hint="eastAsia" w:ascii="宋体" w:hAnsi="宋体" w:eastAsia="宋体" w:cs="宋体"/>
                <w:kern w:val="0"/>
                <w:szCs w:val="21"/>
                <w:bdr w:val="none" w:color="auto" w:sz="0" w:space="0"/>
                <w:lang w:val="en-US"/>
              </w:rPr>
              <w:t>5.00</w:t>
            </w:r>
          </w:p>
        </w:tc>
        <w:tc>
          <w:tcPr>
            <w:tcW w:w="118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Cs w:val="21"/>
                <w:bdr w:val="none" w:color="auto" w:sz="0" w:space="0"/>
                <w:lang w:val="en-US"/>
              </w:rPr>
            </w:pPr>
            <w:r>
              <w:rPr>
                <w:rFonts w:hint="eastAsia" w:ascii="宋体" w:hAnsi="宋体" w:eastAsia="宋体" w:cs="宋体"/>
                <w:kern w:val="0"/>
                <w:szCs w:val="21"/>
                <w:bdr w:val="none" w:color="auto" w:sz="0" w:space="0"/>
                <w:lang w:val="en-US"/>
              </w:rPr>
              <w:t>0.00</w:t>
            </w:r>
          </w:p>
        </w:tc>
        <w:tc>
          <w:tcPr>
            <w:tcW w:w="118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Cs w:val="21"/>
                <w:bdr w:val="none" w:color="auto" w:sz="0" w:space="0"/>
                <w:lang w:val="en-US"/>
              </w:rPr>
            </w:pPr>
            <w:r>
              <w:rPr>
                <w:rFonts w:hint="eastAsia" w:ascii="宋体" w:hAnsi="宋体" w:eastAsia="宋体" w:cs="宋体"/>
                <w:kern w:val="0"/>
                <w:szCs w:val="21"/>
                <w:bdr w:val="none" w:color="auto" w:sz="0" w:space="0"/>
                <w:lang w:val="en-US"/>
              </w:rPr>
              <w:t>5.00</w:t>
            </w:r>
          </w:p>
        </w:tc>
        <w:tc>
          <w:tcPr>
            <w:tcW w:w="117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Cs w:val="21"/>
                <w:bdr w:val="none" w:color="auto" w:sz="0" w:space="0"/>
                <w:lang w:val="en-US"/>
              </w:rPr>
            </w:pPr>
            <w:r>
              <w:rPr>
                <w:rFonts w:hint="eastAsia" w:ascii="宋体" w:hAnsi="宋体" w:eastAsia="宋体" w:cs="宋体"/>
                <w:kern w:val="0"/>
                <w:szCs w:val="21"/>
                <w:bdr w:val="none" w:color="auto" w:sz="0" w:space="0"/>
                <w:lang w:val="en-US"/>
              </w:rPr>
              <w:t>5.92</w:t>
            </w:r>
          </w:p>
        </w:tc>
      </w:tr>
      <w:bookmarkEnd w:id="0"/>
    </w:tbl>
    <w:p>
      <w:pPr>
        <w:keepNext w:val="0"/>
        <w:keepLines w:val="0"/>
        <w:widowControl w:val="0"/>
        <w:suppressLineNumbers w:val="0"/>
        <w:spacing w:before="0" w:beforeAutospacing="0" w:after="0" w:afterAutospacing="0" w:line="288" w:lineRule="auto"/>
        <w:ind w:left="0" w:right="0"/>
        <w:jc w:val="both"/>
        <w:rPr>
          <w:rFonts w:hint="eastAsia" w:ascii="宋体" w:hAnsi="宋体" w:eastAsia="宋体" w:cs="宋体"/>
          <w:kern w:val="2"/>
          <w:sz w:val="21"/>
          <w:szCs w:val="21"/>
          <w:lang w:val="en-US" w:eastAsia="zh-CN" w:bidi="ar"/>
        </w:rPr>
      </w:pPr>
    </w:p>
    <w:p>
      <w:pPr>
        <w:keepNext w:val="0"/>
        <w:keepLines w:val="0"/>
        <w:widowControl w:val="0"/>
        <w:suppressLineNumbers w:val="0"/>
        <w:spacing w:before="0" w:beforeAutospacing="0" w:after="0" w:afterAutospacing="0" w:line="288" w:lineRule="auto"/>
        <w:ind w:left="0" w:right="0"/>
        <w:jc w:val="both"/>
        <w:rPr>
          <w:rFonts w:hint="eastAsia" w:ascii="宋体" w:hAnsi="宋体" w:eastAsia="宋体" w:cs="宋体"/>
          <w:sz w:val="28"/>
          <w:szCs w:val="28"/>
          <w:lang w:val="en-US"/>
        </w:rPr>
      </w:pPr>
      <w:r>
        <w:rPr>
          <w:rFonts w:hint="eastAsia" w:ascii="宋体" w:hAnsi="宋体" w:eastAsia="宋体" w:cs="宋体"/>
          <w:kern w:val="2"/>
          <w:sz w:val="21"/>
          <w:szCs w:val="21"/>
          <w:lang w:val="en-US" w:eastAsia="zh-CN" w:bidi="ar"/>
        </w:rPr>
        <w:t>注：本表反映部门本年度财政拨款“三公”经费支出情况。其中，预算数为“三公”经费年初预算数，决算数是包括当年一般公共预算财政拨款和以前年度结转资金安排的实际支出。本表金额转换为万元时，因四舍五入可能存在尾差。</w:t>
      </w:r>
      <w:r>
        <w:rPr>
          <w:rFonts w:hint="eastAsia" w:ascii="宋体" w:hAnsi="宋体" w:eastAsia="宋体" w:cs="宋体"/>
          <w:kern w:val="2"/>
          <w:sz w:val="28"/>
          <w:szCs w:val="28"/>
          <w:lang w:val="en-US" w:eastAsia="zh-CN" w:bidi="ar"/>
        </w:rPr>
        <w:t xml:space="preserve"> </w:t>
      </w:r>
    </w:p>
    <w:p>
      <w:bookmarkStart w:id="2" w:name="_GoBack"/>
      <w:bookmarkEnd w:id="2"/>
    </w:p>
    <w:sectPr>
      <w:pgSz w:w="15840" w:h="12240" w:orient="landscape"/>
      <w:pgMar w:top="1800" w:right="1440" w:bottom="1800" w:left="1440" w:header="720" w:footer="720"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宋体">
    <w:panose1 w:val="02010600030101010101"/>
    <w:charset w:val="86"/>
    <w:family w:val="auto"/>
    <w:pitch w:val="variable"/>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862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Office_10.8.2.7098_F1E327BC-269C-435d-A152-05C5408002CA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2020-09-22T08:51:44Z</cp:lastPrinted>
  <dcterms:modified xsi:type="dcterms:W3CDTF">2020-09-22T08:51:47Z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2052-10.8.2.7098</vt:lpwstr>
  </property>
  <property fmtid="{D5CDD505-2E9C-101B-9397-08002B2CF9AE}" pid="3" name="ribbonExt">
    <vt:lpwstr>{"WPSExtOfficeTab":{"OnGetEnabled":false,"OnGetVisible":false}}</vt:lpwstr>
  </property>
</Properties>
</file>