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bookmarkStart w:id="0" w:name="_GoBack"/>
      <w:bookmarkEnd w:id="0"/>
      <w:r>
        <w:rPr>
          <w:rFonts w:hint="eastAsia" w:ascii="方正小标宋_GBK" w:hAnsi="方正小标宋_GBK" w:eastAsia="方正小标宋_GBK"/>
          <w:b w:val="0"/>
          <w:bCs w:val="0"/>
          <w:sz w:val="30"/>
        </w:rPr>
        <w:t>农村集体土地征收基层政务公开标准目录</w:t>
      </w:r>
    </w:p>
    <w:tbl>
      <w:tblPr>
        <w:tblStyle w:val="3"/>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noWrap w:val="0"/>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noWrap w:val="0"/>
            <w:vAlign w:val="center"/>
          </w:tcPr>
          <w:p>
            <w:pPr>
              <w:widowControl/>
              <w:jc w:val="left"/>
              <w:rPr>
                <w:rFonts w:ascii="Times New Roman" w:hAnsi="Times New Roman"/>
                <w:color w:val="000000"/>
                <w:kern w:val="0"/>
                <w:sz w:val="22"/>
              </w:rPr>
            </w:pP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26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98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62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786" w:type="dxa"/>
            <w:vMerge w:val="continue"/>
            <w:shd w:val="clear" w:color="auto" w:fill="auto"/>
            <w:noWrap w:val="0"/>
            <w:vAlign w:val="center"/>
          </w:tcPr>
          <w:p>
            <w:pPr>
              <w:widowControl/>
              <w:jc w:val="left"/>
              <w:rPr>
                <w:rFonts w:ascii="黑体" w:hAnsi="宋体" w:eastAsia="黑体" w:cs="宋体"/>
                <w:kern w:val="0"/>
                <w:sz w:val="22"/>
              </w:rPr>
            </w:pPr>
          </w:p>
        </w:tc>
        <w:tc>
          <w:tcPr>
            <w:tcW w:w="554"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1</w:t>
            </w:r>
          </w:p>
        </w:tc>
        <w:tc>
          <w:tcPr>
            <w:tcW w:w="720" w:type="dxa"/>
            <w:shd w:val="clear" w:color="auto" w:fill="auto"/>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征地管理政策</w:t>
            </w:r>
          </w:p>
        </w:tc>
        <w:tc>
          <w:tcPr>
            <w:tcW w:w="720" w:type="dxa"/>
            <w:shd w:val="clear" w:color="auto" w:fill="auto"/>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2714" w:type="dxa"/>
            <w:shd w:val="clear" w:color="auto" w:fill="auto"/>
            <w:noWrap w:val="0"/>
            <w:vAlign w:val="center"/>
          </w:tcPr>
          <w:p>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260" w:type="dxa"/>
            <w:shd w:val="clear" w:color="auto" w:fill="auto"/>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《政府信息公开条例》</w:t>
            </w:r>
          </w:p>
        </w:tc>
        <w:tc>
          <w:tcPr>
            <w:tcW w:w="1980" w:type="dxa"/>
            <w:shd w:val="clear" w:color="auto" w:fill="auto"/>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自该信息形成或者变更之日起20个工作日内予以公开，法律法规另有规定的除外。</w:t>
            </w:r>
          </w:p>
        </w:tc>
        <w:tc>
          <w:tcPr>
            <w:tcW w:w="1620" w:type="dxa"/>
            <w:shd w:val="clear" w:color="auto" w:fill="auto"/>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shd w:val="clear" w:color="auto" w:fill="auto"/>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■征地信息公开平台      </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■政务服务中心</w:t>
            </w:r>
          </w:p>
          <w:p>
            <w:pPr>
              <w:widowControl/>
              <w:spacing w:line="240" w:lineRule="exact"/>
              <w:rPr>
                <w:rFonts w:hint="eastAsia" w:ascii="仿宋_GB2312" w:eastAsia="仿宋_GB2312"/>
                <w:color w:val="000000"/>
                <w:sz w:val="18"/>
                <w:szCs w:val="18"/>
              </w:rPr>
            </w:pPr>
          </w:p>
        </w:tc>
        <w:tc>
          <w:tcPr>
            <w:tcW w:w="554" w:type="dxa"/>
            <w:shd w:val="clear" w:color="auto" w:fill="auto"/>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noWrap w:val="0"/>
            <w:vAlign w:val="center"/>
          </w:tcPr>
          <w:p>
            <w:pPr>
              <w:widowControl/>
              <w:spacing w:line="240" w:lineRule="exact"/>
              <w:jc w:val="center"/>
              <w:rPr>
                <w:rFonts w:hint="eastAsia" w:ascii="仿宋_GB2312" w:eastAsia="仿宋_GB2312"/>
                <w:color w:val="000000"/>
                <w:sz w:val="18"/>
                <w:szCs w:val="18"/>
              </w:rPr>
            </w:pPr>
          </w:p>
        </w:tc>
        <w:tc>
          <w:tcPr>
            <w:tcW w:w="551" w:type="dxa"/>
            <w:shd w:val="clear" w:color="auto" w:fill="auto"/>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widowControl/>
              <w:spacing w:line="240" w:lineRule="exact"/>
              <w:jc w:val="center"/>
              <w:rPr>
                <w:rFonts w:hint="eastAsia" w:ascii="仿宋_GB2312" w:eastAsia="仿宋_GB2312"/>
                <w:color w:val="000000"/>
                <w:sz w:val="18"/>
                <w:szCs w:val="18"/>
              </w:rPr>
            </w:pPr>
          </w:p>
        </w:tc>
        <w:tc>
          <w:tcPr>
            <w:tcW w:w="720" w:type="dxa"/>
            <w:shd w:val="clear" w:color="auto" w:fill="auto"/>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widowControl/>
              <w:spacing w:line="240" w:lineRule="exact"/>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restart"/>
            <w:shd w:val="clear" w:color="auto" w:fill="auto"/>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shd w:val="clear" w:color="auto" w:fill="auto"/>
            <w:noWrap w:val="0"/>
            <w:vAlign w:val="center"/>
          </w:tcPr>
          <w:p>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shd w:val="clear" w:color="auto" w:fill="auto"/>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shd w:val="clear" w:color="auto" w:fill="auto"/>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spacing w:line="240" w:lineRule="exact"/>
              <w:rPr>
                <w:rFonts w:hint="eastAsia" w:ascii="仿宋_GB2312" w:eastAsia="仿宋_GB2312"/>
                <w:color w:val="000000"/>
                <w:sz w:val="18"/>
                <w:szCs w:val="18"/>
              </w:rPr>
            </w:pPr>
          </w:p>
        </w:tc>
        <w:tc>
          <w:tcPr>
            <w:tcW w:w="1620" w:type="dxa"/>
            <w:vMerge w:val="restart"/>
            <w:shd w:val="clear" w:color="auto" w:fill="auto"/>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县（市、区）自然资源主管部门以及负责实施农村集体土地征收的有关部门（含乡镇政府等）</w:t>
            </w:r>
          </w:p>
        </w:tc>
        <w:tc>
          <w:tcPr>
            <w:tcW w:w="1786" w:type="dxa"/>
            <w:vMerge w:val="restart"/>
            <w:shd w:val="clear" w:color="auto" w:fill="auto"/>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▲征地信息公开平台</w:t>
            </w:r>
          </w:p>
          <w:p>
            <w:pPr>
              <w:widowControl/>
              <w:spacing w:line="240" w:lineRule="exact"/>
              <w:rPr>
                <w:rFonts w:hint="eastAsia" w:ascii="仿宋_GB2312" w:eastAsia="仿宋_GB2312"/>
                <w:color w:val="000000"/>
                <w:sz w:val="18"/>
                <w:szCs w:val="18"/>
              </w:rPr>
            </w:pPr>
          </w:p>
        </w:tc>
        <w:tc>
          <w:tcPr>
            <w:tcW w:w="554" w:type="dxa"/>
            <w:shd w:val="clear" w:color="auto" w:fill="auto"/>
            <w:noWrap w:val="0"/>
            <w:vAlign w:val="center"/>
          </w:tcPr>
          <w:p>
            <w:pPr>
              <w:widowControl/>
              <w:spacing w:line="240" w:lineRule="exact"/>
              <w:jc w:val="center"/>
              <w:rPr>
                <w:rFonts w:hint="eastAsia" w:ascii="仿宋_GB2312" w:eastAsia="仿宋_GB2312"/>
                <w:color w:val="000000"/>
                <w:sz w:val="18"/>
                <w:szCs w:val="18"/>
              </w:rPr>
            </w:pPr>
          </w:p>
        </w:tc>
        <w:tc>
          <w:tcPr>
            <w:tcW w:w="875" w:type="dxa"/>
            <w:shd w:val="clear" w:color="auto" w:fill="auto"/>
            <w:noWrap w:val="0"/>
            <w:vAlign w:val="center"/>
          </w:tcPr>
          <w:p>
            <w:pPr>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noWrap w:val="0"/>
            <w:vAlign w:val="center"/>
          </w:tcPr>
          <w:p>
            <w:pPr>
              <w:widowControl/>
              <w:spacing w:line="240" w:lineRule="exact"/>
              <w:jc w:val="center"/>
              <w:rPr>
                <w:rFonts w:hint="eastAsia" w:ascii="仿宋_GB2312" w:eastAsia="仿宋_GB2312"/>
                <w:color w:val="000000"/>
                <w:sz w:val="18"/>
                <w:szCs w:val="18"/>
              </w:rPr>
            </w:pPr>
          </w:p>
        </w:tc>
        <w:tc>
          <w:tcPr>
            <w:tcW w:w="720" w:type="dxa"/>
            <w:vMerge w:val="restart"/>
            <w:shd w:val="clear" w:color="auto" w:fill="auto"/>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noWrap w:val="0"/>
            <w:vAlign w:val="center"/>
          </w:tcPr>
          <w:p>
            <w:pPr>
              <w:widowControl/>
              <w:jc w:val="center"/>
              <w:rPr>
                <w:rFonts w:ascii="仿宋_GB2312" w:eastAsia="仿宋_GB2312"/>
                <w:color w:val="000000"/>
                <w:sz w:val="18"/>
                <w:szCs w:val="18"/>
              </w:rPr>
            </w:pPr>
          </w:p>
        </w:tc>
        <w:tc>
          <w:tcPr>
            <w:tcW w:w="720" w:type="dxa"/>
            <w:vMerge w:val="continue"/>
            <w:shd w:val="clear" w:color="auto" w:fill="auto"/>
            <w:noWrap w:val="0"/>
            <w:vAlign w:val="center"/>
          </w:tcPr>
          <w:p>
            <w:pPr>
              <w:widowControl/>
              <w:jc w:val="center"/>
              <w:rPr>
                <w:rFonts w:hint="eastAsia" w:ascii="仿宋_GB2312" w:eastAsia="仿宋_GB2312"/>
                <w:color w:val="000000"/>
                <w:sz w:val="18"/>
                <w:szCs w:val="18"/>
              </w:rPr>
            </w:pPr>
          </w:p>
        </w:tc>
        <w:tc>
          <w:tcPr>
            <w:tcW w:w="720" w:type="dxa"/>
            <w:vMerge w:val="continue"/>
            <w:shd w:val="clear" w:color="auto" w:fill="auto"/>
            <w:noWrap w:val="0"/>
            <w:vAlign w:val="center"/>
          </w:tcPr>
          <w:p>
            <w:pPr>
              <w:widowControl/>
              <w:spacing w:line="320" w:lineRule="exact"/>
              <w:jc w:val="center"/>
              <w:rPr>
                <w:rFonts w:hint="eastAsia" w:ascii="仿宋_GB2312" w:eastAsia="仿宋_GB2312"/>
                <w:color w:val="000000"/>
                <w:sz w:val="18"/>
                <w:szCs w:val="18"/>
              </w:rPr>
            </w:pPr>
          </w:p>
        </w:tc>
        <w:tc>
          <w:tcPr>
            <w:tcW w:w="2714" w:type="dxa"/>
            <w:vMerge w:val="continue"/>
            <w:shd w:val="clear" w:color="auto" w:fill="auto"/>
            <w:noWrap w:val="0"/>
            <w:vAlign w:val="center"/>
          </w:tcPr>
          <w:p>
            <w:pPr>
              <w:widowControl/>
              <w:jc w:val="left"/>
              <w:rPr>
                <w:rFonts w:hint="eastAsia" w:ascii="仿宋_GB2312" w:eastAsia="仿宋_GB2312"/>
                <w:color w:val="000000"/>
                <w:sz w:val="18"/>
                <w:szCs w:val="18"/>
              </w:rPr>
            </w:pPr>
          </w:p>
        </w:tc>
        <w:tc>
          <w:tcPr>
            <w:tcW w:w="1260" w:type="dxa"/>
            <w:vMerge w:val="continue"/>
            <w:shd w:val="clear" w:color="auto" w:fill="auto"/>
            <w:noWrap w:val="0"/>
            <w:vAlign w:val="center"/>
          </w:tcPr>
          <w:p>
            <w:pPr>
              <w:widowControl/>
              <w:rPr>
                <w:rFonts w:hint="eastAsia" w:ascii="仿宋_GB2312" w:eastAsia="仿宋_GB2312"/>
                <w:color w:val="000000"/>
                <w:sz w:val="18"/>
                <w:szCs w:val="18"/>
              </w:rPr>
            </w:pPr>
          </w:p>
        </w:tc>
        <w:tc>
          <w:tcPr>
            <w:tcW w:w="1980" w:type="dxa"/>
            <w:shd w:val="clear" w:color="auto" w:fill="auto"/>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shd w:val="clear" w:color="auto" w:fill="auto"/>
            <w:noWrap w:val="0"/>
            <w:vAlign w:val="center"/>
          </w:tcPr>
          <w:p>
            <w:pPr>
              <w:widowControl/>
              <w:rPr>
                <w:rFonts w:hint="eastAsia" w:ascii="仿宋_GB2312" w:eastAsia="仿宋_GB2312"/>
                <w:color w:val="000000"/>
                <w:sz w:val="18"/>
                <w:szCs w:val="18"/>
              </w:rPr>
            </w:pPr>
          </w:p>
        </w:tc>
        <w:tc>
          <w:tcPr>
            <w:tcW w:w="1786" w:type="dxa"/>
            <w:vMerge w:val="continue"/>
            <w:shd w:val="clear" w:color="auto" w:fill="auto"/>
            <w:noWrap w:val="0"/>
            <w:vAlign w:val="center"/>
          </w:tcPr>
          <w:p>
            <w:pPr>
              <w:widowControl/>
              <w:rPr>
                <w:rFonts w:hint="eastAsia" w:ascii="仿宋_GB2312" w:eastAsia="仿宋_GB2312"/>
                <w:color w:val="000000"/>
                <w:sz w:val="18"/>
                <w:szCs w:val="18"/>
              </w:rPr>
            </w:pPr>
          </w:p>
        </w:tc>
        <w:tc>
          <w:tcPr>
            <w:tcW w:w="554" w:type="dxa"/>
            <w:shd w:val="clear" w:color="auto" w:fill="auto"/>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noWrap w:val="0"/>
            <w:vAlign w:val="center"/>
          </w:tcPr>
          <w:p>
            <w:pPr>
              <w:jc w:val="center"/>
              <w:rPr>
                <w:rFonts w:hint="eastAsia" w:ascii="仿宋_GB2312" w:eastAsia="仿宋_GB2312"/>
                <w:color w:val="000000"/>
                <w:sz w:val="18"/>
                <w:szCs w:val="18"/>
              </w:rPr>
            </w:pPr>
          </w:p>
        </w:tc>
        <w:tc>
          <w:tcPr>
            <w:tcW w:w="551" w:type="dxa"/>
            <w:vMerge w:val="continue"/>
            <w:shd w:val="clear" w:color="auto" w:fill="auto"/>
            <w:noWrap w:val="0"/>
            <w:vAlign w:val="center"/>
          </w:tcPr>
          <w:p>
            <w:pPr>
              <w:widowControl/>
              <w:spacing w:line="240" w:lineRule="exact"/>
              <w:jc w:val="center"/>
              <w:rPr>
                <w:rFonts w:hint="eastAsia" w:ascii="仿宋_GB2312" w:eastAsia="仿宋_GB2312"/>
                <w:color w:val="000000"/>
                <w:sz w:val="18"/>
                <w:szCs w:val="18"/>
              </w:rPr>
            </w:pPr>
          </w:p>
        </w:tc>
        <w:tc>
          <w:tcPr>
            <w:tcW w:w="720" w:type="dxa"/>
            <w:vMerge w:val="continue"/>
            <w:shd w:val="clear" w:color="auto" w:fill="auto"/>
            <w:noWrap w:val="0"/>
            <w:vAlign w:val="center"/>
          </w:tcPr>
          <w:p>
            <w:pPr>
              <w:widowControl/>
              <w:spacing w:line="240" w:lineRule="exact"/>
              <w:jc w:val="center"/>
              <w:rPr>
                <w:rFonts w:hint="eastAsia" w:ascii="仿宋_GB2312" w:eastAsia="仿宋_GB2312"/>
                <w:color w:val="000000"/>
                <w:sz w:val="18"/>
                <w:szCs w:val="18"/>
              </w:rPr>
            </w:pPr>
          </w:p>
        </w:tc>
        <w:tc>
          <w:tcPr>
            <w:tcW w:w="720" w:type="dxa"/>
            <w:vMerge w:val="continue"/>
            <w:shd w:val="clear" w:color="auto" w:fill="auto"/>
            <w:noWrap w:val="0"/>
            <w:vAlign w:val="center"/>
          </w:tcPr>
          <w:p>
            <w:pPr>
              <w:widowControl/>
              <w:spacing w:line="240" w:lineRule="exact"/>
              <w:jc w:val="center"/>
              <w:rPr>
                <w:rFonts w:hint="eastAsia" w:ascii="仿宋_GB2312" w:eastAsia="仿宋_GB2312"/>
                <w:color w:val="000000"/>
                <w:sz w:val="18"/>
                <w:szCs w:val="18"/>
              </w:rPr>
            </w:pPr>
          </w:p>
        </w:tc>
        <w:tc>
          <w:tcPr>
            <w:tcW w:w="720" w:type="dxa"/>
            <w:vMerge w:val="continue"/>
            <w:shd w:val="clear" w:color="auto" w:fill="auto"/>
            <w:noWrap w:val="0"/>
            <w:vAlign w:val="center"/>
          </w:tcPr>
          <w:p>
            <w:pPr>
              <w:widowControl/>
              <w:spacing w:line="240" w:lineRule="exact"/>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restart"/>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noWrap w:val="0"/>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shd w:val="clear" w:color="auto" w:fill="auto"/>
            <w:noWrap w:val="0"/>
            <w:vAlign w:val="center"/>
          </w:tcPr>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1.征收土地勘测调查表；</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2.地上附着物和青苗调查登记表；</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pPr>
              <w:widowControl/>
              <w:rPr>
                <w:rFonts w:ascii="仿宋_GB2312" w:eastAsia="仿宋_GB2312"/>
                <w:color w:val="000000"/>
                <w:sz w:val="18"/>
                <w:szCs w:val="18"/>
              </w:rPr>
            </w:pPr>
          </w:p>
        </w:tc>
        <w:tc>
          <w:tcPr>
            <w:tcW w:w="1260" w:type="dxa"/>
            <w:vMerge w:val="restart"/>
            <w:shd w:val="clear" w:color="auto" w:fill="auto"/>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shd w:val="clear" w:color="auto" w:fill="auto"/>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shd w:val="clear" w:color="auto" w:fill="auto"/>
            <w:noWrap w:val="0"/>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vMerge w:val="restart"/>
            <w:shd w:val="clear" w:color="auto" w:fill="auto"/>
            <w:noWrap w:val="0"/>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rPr>
                <w:rFonts w:ascii="仿宋_GB2312" w:eastAsia="仿宋_GB2312"/>
                <w:color w:val="000000"/>
                <w:sz w:val="18"/>
                <w:szCs w:val="18"/>
              </w:rPr>
            </w:pPr>
            <w:r>
              <w:rPr>
                <w:rFonts w:hint="eastAsia" w:ascii="仿宋_GB2312" w:eastAsia="仿宋_GB2312"/>
                <w:color w:val="000000"/>
                <w:sz w:val="18"/>
                <w:szCs w:val="18"/>
              </w:rPr>
              <w:t>▲征地信息公开平台</w:t>
            </w:r>
            <w:r>
              <w:rPr>
                <w:rFonts w:hint="eastAsia" w:ascii="仿宋_GB2312" w:eastAsia="仿宋_GB2312"/>
                <w:color w:val="000000"/>
                <w:sz w:val="18"/>
                <w:szCs w:val="18"/>
              </w:rPr>
              <w:br w:type="textWrapping"/>
            </w:r>
          </w:p>
        </w:tc>
        <w:tc>
          <w:tcPr>
            <w:tcW w:w="554" w:type="dxa"/>
            <w:shd w:val="clear" w:color="auto" w:fill="auto"/>
            <w:noWrap w:val="0"/>
            <w:vAlign w:val="center"/>
          </w:tcPr>
          <w:p>
            <w:pPr>
              <w:widowControl/>
              <w:jc w:val="center"/>
              <w:rPr>
                <w:rFonts w:ascii="仿宋_GB2312" w:eastAsia="仿宋_GB2312"/>
                <w:color w:val="000000"/>
                <w:sz w:val="18"/>
                <w:szCs w:val="18"/>
              </w:rPr>
            </w:pPr>
          </w:p>
        </w:tc>
        <w:tc>
          <w:tcPr>
            <w:tcW w:w="875" w:type="dxa"/>
            <w:shd w:val="clear" w:color="auto" w:fill="auto"/>
            <w:noWrap w:val="0"/>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noWrap w:val="0"/>
            <w:vAlign w:val="center"/>
          </w:tcPr>
          <w:p>
            <w:pPr>
              <w:widowControl/>
              <w:jc w:val="center"/>
              <w:rPr>
                <w:rFonts w:ascii="仿宋_GB2312" w:eastAsia="仿宋_GB2312"/>
                <w:color w:val="000000"/>
                <w:sz w:val="18"/>
                <w:szCs w:val="18"/>
              </w:rPr>
            </w:pPr>
          </w:p>
        </w:tc>
        <w:tc>
          <w:tcPr>
            <w:tcW w:w="720" w:type="dxa"/>
            <w:vMerge w:val="restart"/>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noWrap w:val="0"/>
            <w:vAlign w:val="center"/>
          </w:tcPr>
          <w:p>
            <w:pPr>
              <w:widowControl/>
              <w:jc w:val="center"/>
              <w:rPr>
                <w:rFonts w:ascii="仿宋_GB2312" w:eastAsia="仿宋_GB2312"/>
                <w:color w:val="000000"/>
                <w:sz w:val="18"/>
                <w:szCs w:val="18"/>
              </w:rPr>
            </w:pPr>
          </w:p>
        </w:tc>
        <w:tc>
          <w:tcPr>
            <w:tcW w:w="720" w:type="dxa"/>
            <w:vMerge w:val="continue"/>
            <w:shd w:val="clear" w:color="auto" w:fill="auto"/>
            <w:noWrap w:val="0"/>
            <w:vAlign w:val="center"/>
          </w:tcPr>
          <w:p>
            <w:pPr>
              <w:widowControl/>
              <w:jc w:val="center"/>
              <w:rPr>
                <w:rFonts w:hint="eastAsia" w:ascii="仿宋_GB2312" w:eastAsia="仿宋_GB2312"/>
                <w:color w:val="000000"/>
                <w:sz w:val="18"/>
                <w:szCs w:val="18"/>
              </w:rPr>
            </w:pPr>
          </w:p>
        </w:tc>
        <w:tc>
          <w:tcPr>
            <w:tcW w:w="720" w:type="dxa"/>
            <w:vMerge w:val="continue"/>
            <w:shd w:val="clear" w:color="auto" w:fill="auto"/>
            <w:noWrap w:val="0"/>
            <w:vAlign w:val="center"/>
          </w:tcPr>
          <w:p>
            <w:pPr>
              <w:widowControl/>
              <w:spacing w:line="320" w:lineRule="exact"/>
              <w:jc w:val="center"/>
              <w:rPr>
                <w:rFonts w:hint="eastAsia" w:ascii="仿宋_GB2312" w:eastAsia="仿宋_GB2312"/>
                <w:color w:val="000000"/>
                <w:sz w:val="18"/>
                <w:szCs w:val="18"/>
              </w:rPr>
            </w:pPr>
          </w:p>
        </w:tc>
        <w:tc>
          <w:tcPr>
            <w:tcW w:w="2714" w:type="dxa"/>
            <w:vMerge w:val="continue"/>
            <w:shd w:val="clear" w:color="auto" w:fill="auto"/>
            <w:noWrap w:val="0"/>
            <w:vAlign w:val="center"/>
          </w:tcPr>
          <w:p>
            <w:pPr>
              <w:rPr>
                <w:rFonts w:hint="eastAsia" w:ascii="仿宋_GB2312" w:eastAsia="仿宋_GB2312"/>
                <w:color w:val="000000"/>
                <w:sz w:val="18"/>
                <w:szCs w:val="18"/>
              </w:rPr>
            </w:pPr>
          </w:p>
        </w:tc>
        <w:tc>
          <w:tcPr>
            <w:tcW w:w="1260" w:type="dxa"/>
            <w:vMerge w:val="continue"/>
            <w:shd w:val="clear" w:color="auto" w:fill="auto"/>
            <w:noWrap w:val="0"/>
            <w:vAlign w:val="center"/>
          </w:tcPr>
          <w:p>
            <w:pPr>
              <w:widowControl/>
              <w:rPr>
                <w:rFonts w:ascii="仿宋_GB2312" w:eastAsia="仿宋_GB2312"/>
                <w:color w:val="000000"/>
                <w:sz w:val="18"/>
                <w:szCs w:val="18"/>
              </w:rPr>
            </w:pPr>
          </w:p>
        </w:tc>
        <w:tc>
          <w:tcPr>
            <w:tcW w:w="1980" w:type="dxa"/>
            <w:shd w:val="clear" w:color="auto" w:fill="auto"/>
            <w:noWrap w:val="0"/>
            <w:vAlign w:val="center"/>
          </w:tcPr>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shd w:val="clear" w:color="auto" w:fill="auto"/>
            <w:noWrap w:val="0"/>
            <w:vAlign w:val="center"/>
          </w:tcPr>
          <w:p>
            <w:pPr>
              <w:widowControl/>
              <w:spacing w:line="320" w:lineRule="exact"/>
              <w:jc w:val="center"/>
              <w:rPr>
                <w:rFonts w:hint="eastAsia" w:ascii="仿宋_GB2312" w:eastAsia="仿宋_GB2312"/>
                <w:color w:val="000000"/>
                <w:sz w:val="18"/>
                <w:szCs w:val="18"/>
              </w:rPr>
            </w:pPr>
          </w:p>
        </w:tc>
        <w:tc>
          <w:tcPr>
            <w:tcW w:w="1786" w:type="dxa"/>
            <w:vMerge w:val="continue"/>
            <w:shd w:val="clear" w:color="auto" w:fill="auto"/>
            <w:noWrap w:val="0"/>
            <w:vAlign w:val="center"/>
          </w:tcPr>
          <w:p>
            <w:pPr>
              <w:widowControl/>
              <w:rPr>
                <w:rFonts w:hint="eastAsia" w:ascii="仿宋_GB2312" w:eastAsia="仿宋_GB2312"/>
                <w:color w:val="000000"/>
                <w:sz w:val="18"/>
                <w:szCs w:val="18"/>
              </w:rPr>
            </w:pPr>
          </w:p>
        </w:tc>
        <w:tc>
          <w:tcPr>
            <w:tcW w:w="554"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noWrap w:val="0"/>
            <w:vAlign w:val="center"/>
          </w:tcPr>
          <w:p>
            <w:pPr>
              <w:jc w:val="center"/>
              <w:rPr>
                <w:rFonts w:hint="eastAsia" w:ascii="仿宋_GB2312" w:eastAsia="仿宋_GB2312"/>
                <w:color w:val="000000"/>
                <w:sz w:val="18"/>
                <w:szCs w:val="18"/>
              </w:rPr>
            </w:pPr>
          </w:p>
        </w:tc>
        <w:tc>
          <w:tcPr>
            <w:tcW w:w="551" w:type="dxa"/>
            <w:vMerge w:val="continue"/>
            <w:shd w:val="clear" w:color="auto" w:fill="auto"/>
            <w:noWrap w:val="0"/>
            <w:vAlign w:val="center"/>
          </w:tcPr>
          <w:p>
            <w:pPr>
              <w:widowControl/>
              <w:jc w:val="center"/>
              <w:rPr>
                <w:rFonts w:hint="eastAsia" w:ascii="仿宋_GB2312" w:eastAsia="仿宋_GB2312"/>
                <w:color w:val="000000"/>
                <w:sz w:val="18"/>
                <w:szCs w:val="18"/>
              </w:rPr>
            </w:pPr>
          </w:p>
        </w:tc>
        <w:tc>
          <w:tcPr>
            <w:tcW w:w="720" w:type="dxa"/>
            <w:vMerge w:val="continue"/>
            <w:shd w:val="clear" w:color="auto" w:fill="auto"/>
            <w:noWrap w:val="0"/>
            <w:vAlign w:val="center"/>
          </w:tcPr>
          <w:p>
            <w:pPr>
              <w:widowControl/>
              <w:jc w:val="center"/>
              <w:rPr>
                <w:rFonts w:ascii="仿宋_GB2312" w:eastAsia="仿宋_GB2312"/>
                <w:color w:val="000000"/>
                <w:sz w:val="18"/>
                <w:szCs w:val="18"/>
              </w:rPr>
            </w:pPr>
          </w:p>
        </w:tc>
        <w:tc>
          <w:tcPr>
            <w:tcW w:w="720" w:type="dxa"/>
            <w:vMerge w:val="continue"/>
            <w:shd w:val="clear" w:color="auto" w:fill="auto"/>
            <w:noWrap w:val="0"/>
            <w:vAlign w:val="center"/>
          </w:tcPr>
          <w:p>
            <w:pPr>
              <w:widowControl/>
              <w:jc w:val="center"/>
              <w:rPr>
                <w:rFonts w:hint="eastAsia" w:ascii="仿宋_GB2312" w:eastAsia="仿宋_GB2312"/>
                <w:color w:val="000000"/>
                <w:sz w:val="18"/>
                <w:szCs w:val="18"/>
              </w:rPr>
            </w:pPr>
          </w:p>
        </w:tc>
        <w:tc>
          <w:tcPr>
            <w:tcW w:w="720" w:type="dxa"/>
            <w:vMerge w:val="continue"/>
            <w:shd w:val="clear" w:color="auto" w:fill="auto"/>
            <w:noWrap w:val="0"/>
            <w:vAlign w:val="center"/>
          </w:tcPr>
          <w:p>
            <w:pPr>
              <w:widowControl/>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continue"/>
            <w:shd w:val="clear" w:color="auto" w:fill="auto"/>
            <w:noWrap w:val="0"/>
            <w:vAlign w:val="center"/>
          </w:tcPr>
          <w:p>
            <w:pPr>
              <w:widowControl/>
              <w:jc w:val="center"/>
              <w:rPr>
                <w:rFonts w:ascii="仿宋_GB2312" w:eastAsia="仿宋_GB2312"/>
                <w:color w:val="000000"/>
                <w:sz w:val="18"/>
                <w:szCs w:val="18"/>
              </w:rPr>
            </w:pPr>
          </w:p>
        </w:tc>
        <w:tc>
          <w:tcPr>
            <w:tcW w:w="720" w:type="dxa"/>
            <w:vMerge w:val="restart"/>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shd w:val="clear" w:color="auto" w:fill="auto"/>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pPr>
              <w:rPr>
                <w:rFonts w:hint="eastAsia" w:ascii="仿宋_GB2312" w:eastAsia="仿宋_GB2312"/>
                <w:color w:val="000000"/>
                <w:sz w:val="18"/>
                <w:szCs w:val="18"/>
              </w:rPr>
            </w:pPr>
            <w:r>
              <w:rPr>
                <w:rFonts w:hint="eastAsia" w:ascii="仿宋_GB2312" w:eastAsia="仿宋_GB2312"/>
                <w:color w:val="000000"/>
                <w:sz w:val="18"/>
                <w:szCs w:val="18"/>
              </w:rPr>
              <w:t>1.《听证通知书》；</w:t>
            </w:r>
          </w:p>
          <w:p>
            <w:pPr>
              <w:rPr>
                <w:rFonts w:hint="eastAsia" w:ascii="仿宋_GB2312" w:eastAsia="仿宋_GB2312"/>
                <w:color w:val="000000"/>
                <w:sz w:val="18"/>
                <w:szCs w:val="18"/>
              </w:rPr>
            </w:pPr>
            <w:r>
              <w:rPr>
                <w:rFonts w:hint="eastAsia" w:ascii="仿宋_GB2312" w:eastAsia="仿宋_GB2312"/>
                <w:color w:val="000000"/>
                <w:sz w:val="18"/>
                <w:szCs w:val="18"/>
              </w:rPr>
              <w:t>2.听证处理意见；</w:t>
            </w:r>
          </w:p>
          <w:p>
            <w:pPr>
              <w:rPr>
                <w:rFonts w:hint="eastAsia"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shd w:val="clear" w:color="auto" w:fill="auto"/>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shd w:val="clear" w:color="auto" w:fill="auto"/>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shd w:val="clear" w:color="auto" w:fill="auto"/>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vMerge w:val="restart"/>
            <w:shd w:val="clear" w:color="auto" w:fill="auto"/>
            <w:noWrap w:val="0"/>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rPr>
                <w:rFonts w:ascii="仿宋_GB2312" w:eastAsia="仿宋_GB2312"/>
                <w:color w:val="000000"/>
                <w:sz w:val="18"/>
                <w:szCs w:val="18"/>
              </w:rPr>
            </w:pPr>
            <w:r>
              <w:rPr>
                <w:rFonts w:hint="eastAsia" w:ascii="仿宋_GB2312" w:eastAsia="仿宋_GB2312"/>
                <w:color w:val="000000"/>
                <w:sz w:val="18"/>
                <w:szCs w:val="18"/>
              </w:rPr>
              <w:t>▲征地信息公开平台</w:t>
            </w:r>
            <w:r>
              <w:rPr>
                <w:rFonts w:hint="eastAsia" w:ascii="仿宋_GB2312" w:eastAsia="仿宋_GB2312"/>
                <w:color w:val="000000"/>
                <w:sz w:val="18"/>
                <w:szCs w:val="18"/>
              </w:rPr>
              <w:br w:type="textWrapping"/>
            </w:r>
          </w:p>
        </w:tc>
        <w:tc>
          <w:tcPr>
            <w:tcW w:w="554" w:type="dxa"/>
            <w:shd w:val="clear" w:color="auto" w:fill="auto"/>
            <w:noWrap w:val="0"/>
            <w:vAlign w:val="center"/>
          </w:tcPr>
          <w:p>
            <w:pPr>
              <w:widowControl/>
              <w:jc w:val="center"/>
              <w:rPr>
                <w:rFonts w:ascii="仿宋_GB2312" w:eastAsia="仿宋_GB2312"/>
                <w:color w:val="000000"/>
                <w:sz w:val="18"/>
                <w:szCs w:val="18"/>
              </w:rPr>
            </w:pPr>
          </w:p>
        </w:tc>
        <w:tc>
          <w:tcPr>
            <w:tcW w:w="875"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noWrap w:val="0"/>
            <w:vAlign w:val="center"/>
          </w:tcPr>
          <w:p>
            <w:pPr>
              <w:widowControl/>
              <w:jc w:val="center"/>
              <w:rPr>
                <w:rFonts w:ascii="仿宋_GB2312" w:eastAsia="仿宋_GB2312"/>
                <w:color w:val="000000"/>
                <w:sz w:val="18"/>
                <w:szCs w:val="18"/>
              </w:rPr>
            </w:pPr>
          </w:p>
        </w:tc>
        <w:tc>
          <w:tcPr>
            <w:tcW w:w="720" w:type="dxa"/>
            <w:vMerge w:val="restart"/>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noWrap w:val="0"/>
            <w:vAlign w:val="center"/>
          </w:tcPr>
          <w:p>
            <w:pPr>
              <w:widowControl/>
              <w:jc w:val="center"/>
              <w:rPr>
                <w:rFonts w:ascii="仿宋_GB2312" w:eastAsia="仿宋_GB2312"/>
                <w:color w:val="000000"/>
                <w:sz w:val="18"/>
                <w:szCs w:val="18"/>
              </w:rPr>
            </w:pPr>
          </w:p>
        </w:tc>
        <w:tc>
          <w:tcPr>
            <w:tcW w:w="720" w:type="dxa"/>
            <w:vMerge w:val="continue"/>
            <w:shd w:val="clear" w:color="auto" w:fill="auto"/>
            <w:noWrap w:val="0"/>
            <w:vAlign w:val="center"/>
          </w:tcPr>
          <w:p>
            <w:pPr>
              <w:widowControl/>
              <w:jc w:val="center"/>
              <w:rPr>
                <w:rFonts w:ascii="仿宋_GB2312" w:eastAsia="仿宋_GB2312"/>
                <w:color w:val="000000"/>
                <w:sz w:val="18"/>
                <w:szCs w:val="18"/>
              </w:rPr>
            </w:pPr>
          </w:p>
        </w:tc>
        <w:tc>
          <w:tcPr>
            <w:tcW w:w="720" w:type="dxa"/>
            <w:vMerge w:val="continue"/>
            <w:shd w:val="clear" w:color="auto" w:fill="auto"/>
            <w:noWrap w:val="0"/>
            <w:vAlign w:val="center"/>
          </w:tcPr>
          <w:p>
            <w:pPr>
              <w:widowControl/>
              <w:spacing w:line="320" w:lineRule="exact"/>
              <w:jc w:val="center"/>
              <w:rPr>
                <w:rFonts w:ascii="仿宋_GB2312" w:eastAsia="仿宋_GB2312"/>
                <w:color w:val="000000"/>
                <w:sz w:val="18"/>
                <w:szCs w:val="18"/>
              </w:rPr>
            </w:pPr>
          </w:p>
        </w:tc>
        <w:tc>
          <w:tcPr>
            <w:tcW w:w="2714" w:type="dxa"/>
            <w:vMerge w:val="continue"/>
            <w:shd w:val="clear" w:color="auto" w:fill="auto"/>
            <w:noWrap w:val="0"/>
            <w:vAlign w:val="center"/>
          </w:tcPr>
          <w:p>
            <w:pPr>
              <w:widowControl/>
              <w:rPr>
                <w:rFonts w:ascii="仿宋_GB2312" w:eastAsia="仿宋_GB2312"/>
                <w:color w:val="000000"/>
                <w:sz w:val="18"/>
                <w:szCs w:val="18"/>
              </w:rPr>
            </w:pPr>
          </w:p>
        </w:tc>
        <w:tc>
          <w:tcPr>
            <w:tcW w:w="1260" w:type="dxa"/>
            <w:vMerge w:val="continue"/>
            <w:shd w:val="clear" w:color="auto" w:fill="auto"/>
            <w:noWrap w:val="0"/>
            <w:vAlign w:val="center"/>
          </w:tcPr>
          <w:p>
            <w:pPr>
              <w:widowControl/>
              <w:rPr>
                <w:rFonts w:ascii="仿宋_GB2312" w:eastAsia="仿宋_GB2312"/>
                <w:color w:val="000000"/>
                <w:sz w:val="18"/>
                <w:szCs w:val="18"/>
              </w:rPr>
            </w:pPr>
          </w:p>
        </w:tc>
        <w:tc>
          <w:tcPr>
            <w:tcW w:w="1980" w:type="dxa"/>
            <w:shd w:val="clear" w:color="auto" w:fill="auto"/>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shd w:val="clear" w:color="auto" w:fill="auto"/>
            <w:noWrap w:val="0"/>
            <w:vAlign w:val="center"/>
          </w:tcPr>
          <w:p>
            <w:pPr>
              <w:widowControl/>
              <w:spacing w:line="320" w:lineRule="exact"/>
              <w:jc w:val="center"/>
              <w:rPr>
                <w:rFonts w:ascii="仿宋_GB2312" w:eastAsia="仿宋_GB2312"/>
                <w:color w:val="000000"/>
                <w:sz w:val="18"/>
                <w:szCs w:val="18"/>
              </w:rPr>
            </w:pPr>
          </w:p>
        </w:tc>
        <w:tc>
          <w:tcPr>
            <w:tcW w:w="1786" w:type="dxa"/>
            <w:vMerge w:val="continue"/>
            <w:shd w:val="clear" w:color="auto" w:fill="auto"/>
            <w:noWrap w:val="0"/>
            <w:vAlign w:val="center"/>
          </w:tcPr>
          <w:p>
            <w:pPr>
              <w:widowControl/>
              <w:rPr>
                <w:rFonts w:ascii="仿宋_GB2312" w:eastAsia="仿宋_GB2312"/>
                <w:color w:val="000000"/>
                <w:sz w:val="18"/>
                <w:szCs w:val="18"/>
              </w:rPr>
            </w:pPr>
          </w:p>
        </w:tc>
        <w:tc>
          <w:tcPr>
            <w:tcW w:w="554"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noWrap w:val="0"/>
            <w:vAlign w:val="center"/>
          </w:tcPr>
          <w:p>
            <w:pPr>
              <w:jc w:val="center"/>
              <w:rPr>
                <w:rFonts w:ascii="仿宋_GB2312" w:eastAsia="仿宋_GB2312"/>
                <w:color w:val="000000"/>
                <w:sz w:val="18"/>
                <w:szCs w:val="18"/>
              </w:rPr>
            </w:pPr>
          </w:p>
        </w:tc>
        <w:tc>
          <w:tcPr>
            <w:tcW w:w="551" w:type="dxa"/>
            <w:vMerge w:val="continue"/>
            <w:shd w:val="clear" w:color="auto" w:fill="auto"/>
            <w:noWrap w:val="0"/>
            <w:vAlign w:val="center"/>
          </w:tcPr>
          <w:p>
            <w:pPr>
              <w:widowControl/>
              <w:jc w:val="center"/>
              <w:rPr>
                <w:rFonts w:ascii="仿宋_GB2312" w:eastAsia="仿宋_GB2312"/>
                <w:color w:val="000000"/>
                <w:sz w:val="18"/>
                <w:szCs w:val="18"/>
              </w:rPr>
            </w:pPr>
          </w:p>
        </w:tc>
        <w:tc>
          <w:tcPr>
            <w:tcW w:w="720" w:type="dxa"/>
            <w:vMerge w:val="continue"/>
            <w:shd w:val="clear" w:color="auto" w:fill="auto"/>
            <w:noWrap w:val="0"/>
            <w:vAlign w:val="center"/>
          </w:tcPr>
          <w:p>
            <w:pPr>
              <w:widowControl/>
              <w:jc w:val="center"/>
              <w:rPr>
                <w:rFonts w:ascii="仿宋_GB2312" w:eastAsia="仿宋_GB2312"/>
                <w:color w:val="000000"/>
                <w:sz w:val="18"/>
                <w:szCs w:val="18"/>
              </w:rPr>
            </w:pPr>
          </w:p>
        </w:tc>
        <w:tc>
          <w:tcPr>
            <w:tcW w:w="720" w:type="dxa"/>
            <w:vMerge w:val="continue"/>
            <w:shd w:val="clear" w:color="auto" w:fill="auto"/>
            <w:noWrap w:val="0"/>
            <w:vAlign w:val="center"/>
          </w:tcPr>
          <w:p>
            <w:pPr>
              <w:widowControl/>
              <w:jc w:val="center"/>
              <w:rPr>
                <w:rFonts w:ascii="仿宋_GB2312" w:eastAsia="仿宋_GB2312"/>
                <w:color w:val="000000"/>
                <w:sz w:val="18"/>
                <w:szCs w:val="18"/>
              </w:rPr>
            </w:pPr>
          </w:p>
        </w:tc>
        <w:tc>
          <w:tcPr>
            <w:tcW w:w="720" w:type="dxa"/>
            <w:vMerge w:val="continue"/>
            <w:shd w:val="clear" w:color="auto" w:fill="auto"/>
            <w:noWrap w:val="0"/>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widowControl/>
              <w:ind w:firstLine="90" w:firstLineChars="50"/>
              <w:rPr>
                <w:rFonts w:ascii="仿宋_GB2312" w:eastAsia="仿宋_GB2312"/>
                <w:color w:val="000000"/>
                <w:sz w:val="18"/>
                <w:szCs w:val="18"/>
              </w:rPr>
            </w:pPr>
            <w:r>
              <w:rPr>
                <w:rFonts w:ascii="仿宋_GB2312" w:eastAsia="仿宋_GB2312"/>
                <w:color w:val="000000"/>
                <w:sz w:val="18"/>
                <w:szCs w:val="18"/>
              </w:rPr>
              <w:t>5</w:t>
            </w:r>
          </w:p>
        </w:tc>
        <w:tc>
          <w:tcPr>
            <w:tcW w:w="720" w:type="dxa"/>
            <w:vMerge w:val="restart"/>
            <w:shd w:val="clear" w:color="auto" w:fill="auto"/>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征地审查报批</w:t>
            </w:r>
          </w:p>
        </w:tc>
        <w:tc>
          <w:tcPr>
            <w:tcW w:w="720" w:type="dxa"/>
            <w:shd w:val="clear" w:color="auto" w:fill="auto"/>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征地报批材料</w:t>
            </w:r>
          </w:p>
        </w:tc>
        <w:tc>
          <w:tcPr>
            <w:tcW w:w="2714" w:type="dxa"/>
            <w:shd w:val="clear" w:color="auto" w:fill="auto"/>
            <w:noWrap w:val="0"/>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县（市、区）人民政府按照建设用地审查报批有关规定，组织用地报批过程中的相关报批材料予以公开。</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1.县（市、区）人民政府建设用地请示；</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2.县（市、区）自然资源主管部门建设用地审查意见；</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3.建设用地呈报说明书、农用地转用方案、补充耕地方案、征收土地方案、供地方案；</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〔*其他相关文字报批材料和图件由各省（区、市）确定公开方式〕。</w:t>
            </w:r>
          </w:p>
        </w:tc>
        <w:tc>
          <w:tcPr>
            <w:tcW w:w="1260" w:type="dxa"/>
            <w:shd w:val="clear" w:color="auto" w:fill="auto"/>
            <w:noWrap w:val="0"/>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《政府信息公开条例》、建设用地审查报批有关规定。</w:t>
            </w:r>
          </w:p>
        </w:tc>
        <w:tc>
          <w:tcPr>
            <w:tcW w:w="1980" w:type="dxa"/>
            <w:shd w:val="clear" w:color="auto" w:fill="auto"/>
            <w:noWrap w:val="0"/>
            <w:vAlign w:val="center"/>
          </w:tcPr>
          <w:p>
            <w:pPr>
              <w:widowControl/>
              <w:spacing w:before="156" w:beforeLines="50" w:after="156" w:afterLines="50"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w:t>
            </w:r>
            <w:r>
              <w:rPr>
                <w:rFonts w:ascii="仿宋_GB2312" w:eastAsia="仿宋_GB2312"/>
                <w:color w:val="000000"/>
                <w:sz w:val="18"/>
                <w:szCs w:val="18"/>
              </w:rPr>
              <w:t>个工作日</w:t>
            </w:r>
            <w:r>
              <w:rPr>
                <w:rFonts w:hint="eastAsia" w:ascii="仿宋_GB2312" w:eastAsia="仿宋_GB2312"/>
                <w:color w:val="000000"/>
                <w:sz w:val="18"/>
                <w:szCs w:val="18"/>
              </w:rPr>
              <w:t>内公开。</w:t>
            </w:r>
          </w:p>
        </w:tc>
        <w:tc>
          <w:tcPr>
            <w:tcW w:w="1620" w:type="dxa"/>
            <w:shd w:val="clear" w:color="auto" w:fill="auto"/>
            <w:noWrap w:val="0"/>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县（市、区）自然资源主管部门</w:t>
            </w:r>
          </w:p>
        </w:tc>
        <w:tc>
          <w:tcPr>
            <w:tcW w:w="1786" w:type="dxa"/>
            <w:shd w:val="clear" w:color="auto" w:fill="auto"/>
            <w:noWrap w:val="0"/>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▲征地信息公开平台</w:t>
            </w:r>
          </w:p>
          <w:p>
            <w:pPr>
              <w:widowControl/>
              <w:spacing w:line="260" w:lineRule="exact"/>
              <w:rPr>
                <w:rFonts w:ascii="仿宋_GB2312" w:eastAsia="仿宋_GB2312"/>
                <w:color w:val="000000"/>
                <w:sz w:val="18"/>
                <w:szCs w:val="18"/>
              </w:rPr>
            </w:pPr>
          </w:p>
        </w:tc>
        <w:tc>
          <w:tcPr>
            <w:tcW w:w="554" w:type="dxa"/>
            <w:shd w:val="clear" w:color="auto" w:fill="auto"/>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noWrap w:val="0"/>
            <w:vAlign w:val="center"/>
          </w:tcPr>
          <w:p>
            <w:pPr>
              <w:widowControl/>
              <w:spacing w:line="300" w:lineRule="exact"/>
              <w:jc w:val="center"/>
              <w:rPr>
                <w:rFonts w:ascii="仿宋_GB2312" w:eastAsia="仿宋_GB2312"/>
                <w:color w:val="000000"/>
                <w:sz w:val="18"/>
                <w:szCs w:val="18"/>
              </w:rPr>
            </w:pPr>
          </w:p>
        </w:tc>
        <w:tc>
          <w:tcPr>
            <w:tcW w:w="551" w:type="dxa"/>
            <w:shd w:val="clear" w:color="auto" w:fill="auto"/>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widowControl/>
              <w:spacing w:line="30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6</w:t>
            </w:r>
          </w:p>
        </w:tc>
        <w:tc>
          <w:tcPr>
            <w:tcW w:w="720" w:type="dxa"/>
            <w:vMerge w:val="continue"/>
            <w:shd w:val="clear" w:color="auto" w:fill="auto"/>
            <w:noWrap w:val="0"/>
            <w:vAlign w:val="center"/>
          </w:tcPr>
          <w:p>
            <w:pPr>
              <w:widowControl/>
              <w:spacing w:line="300" w:lineRule="exact"/>
              <w:jc w:val="center"/>
              <w:rPr>
                <w:rFonts w:ascii="仿宋_GB2312" w:eastAsia="仿宋_GB2312"/>
                <w:color w:val="000000"/>
                <w:sz w:val="18"/>
                <w:szCs w:val="18"/>
              </w:rPr>
            </w:pPr>
          </w:p>
        </w:tc>
        <w:tc>
          <w:tcPr>
            <w:tcW w:w="720" w:type="dxa"/>
            <w:shd w:val="clear" w:color="auto" w:fill="auto"/>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shd w:val="clear" w:color="auto" w:fill="auto"/>
            <w:noWrap w:val="0"/>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4.地方人民政府转发用地批复文件；</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shd w:val="clear" w:color="auto" w:fill="auto"/>
            <w:noWrap w:val="0"/>
            <w:vAlign w:val="center"/>
          </w:tcPr>
          <w:p>
            <w:pPr>
              <w:widowControl/>
              <w:spacing w:line="260" w:lineRule="exact"/>
              <w:jc w:val="left"/>
              <w:rPr>
                <w:rFonts w:hint="eastAsia" w:ascii="仿宋_GB2312" w:eastAsia="仿宋_GB2312"/>
                <w:color w:val="000000"/>
                <w:sz w:val="18"/>
                <w:szCs w:val="18"/>
              </w:rPr>
            </w:pPr>
            <w:r>
              <w:rPr>
                <w:rFonts w:hint="eastAsia" w:ascii="仿宋_GB2312" w:eastAsia="仿宋_GB2312"/>
                <w:color w:val="000000"/>
                <w:sz w:val="18"/>
                <w:szCs w:val="18"/>
              </w:rPr>
              <w:t>《土地管理法》、《政府信息公开条例》</w:t>
            </w:r>
          </w:p>
          <w:p>
            <w:pPr>
              <w:widowControl/>
              <w:spacing w:line="260" w:lineRule="exact"/>
              <w:jc w:val="left"/>
              <w:rPr>
                <w:rFonts w:ascii="仿宋_GB2312" w:eastAsia="仿宋_GB2312"/>
                <w:color w:val="000000"/>
                <w:sz w:val="18"/>
                <w:szCs w:val="18"/>
              </w:rPr>
            </w:pPr>
          </w:p>
        </w:tc>
        <w:tc>
          <w:tcPr>
            <w:tcW w:w="1980" w:type="dxa"/>
            <w:shd w:val="clear" w:color="auto" w:fill="auto"/>
            <w:noWrap w:val="0"/>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shd w:val="clear" w:color="auto" w:fill="auto"/>
            <w:noWrap w:val="0"/>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县（市、区）自然资源主管部门</w:t>
            </w:r>
          </w:p>
        </w:tc>
        <w:tc>
          <w:tcPr>
            <w:tcW w:w="1786" w:type="dxa"/>
            <w:shd w:val="clear" w:color="auto" w:fill="auto"/>
            <w:noWrap w:val="0"/>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▲征地信息公开平台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noWrap w:val="0"/>
            <w:vAlign w:val="center"/>
          </w:tcPr>
          <w:p>
            <w:pPr>
              <w:widowControl/>
              <w:spacing w:line="300" w:lineRule="exact"/>
              <w:jc w:val="center"/>
              <w:rPr>
                <w:rFonts w:ascii="仿宋_GB2312" w:eastAsia="仿宋_GB2312"/>
                <w:color w:val="000000"/>
                <w:sz w:val="18"/>
                <w:szCs w:val="18"/>
              </w:rPr>
            </w:pPr>
          </w:p>
        </w:tc>
        <w:tc>
          <w:tcPr>
            <w:tcW w:w="551" w:type="dxa"/>
            <w:shd w:val="clear" w:color="auto" w:fill="auto"/>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widowControl/>
              <w:spacing w:line="300" w:lineRule="exact"/>
              <w:jc w:val="center"/>
              <w:rPr>
                <w:rFonts w:ascii="仿宋_GB2312" w:eastAsia="仿宋_GB2312"/>
                <w:color w:val="000000"/>
                <w:sz w:val="18"/>
                <w:szCs w:val="18"/>
              </w:rPr>
            </w:pPr>
          </w:p>
        </w:tc>
        <w:tc>
          <w:tcPr>
            <w:tcW w:w="720" w:type="dxa"/>
            <w:shd w:val="clear" w:color="auto" w:fill="auto"/>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shd w:val="clear" w:color="auto" w:fill="auto"/>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shd w:val="clear" w:color="auto" w:fill="auto"/>
            <w:noWrap w:val="0"/>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5.救济途径。</w:t>
            </w:r>
          </w:p>
        </w:tc>
        <w:tc>
          <w:tcPr>
            <w:tcW w:w="1260" w:type="dxa"/>
            <w:shd w:val="clear" w:color="auto" w:fill="auto"/>
            <w:noWrap w:val="0"/>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shd w:val="clear" w:color="auto" w:fill="auto"/>
            <w:noWrap w:val="0"/>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shd w:val="clear" w:color="auto" w:fill="auto"/>
            <w:noWrap w:val="0"/>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shd w:val="clear" w:color="auto" w:fill="auto"/>
            <w:noWrap w:val="0"/>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▲征地信息公开平台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noWrap w:val="0"/>
            <w:vAlign w:val="center"/>
          </w:tcPr>
          <w:p>
            <w:pPr>
              <w:widowControl/>
              <w:spacing w:line="300" w:lineRule="exact"/>
              <w:jc w:val="center"/>
              <w:rPr>
                <w:rFonts w:ascii="仿宋_GB2312" w:eastAsia="仿宋_GB2312"/>
                <w:color w:val="000000"/>
                <w:sz w:val="18"/>
                <w:szCs w:val="18"/>
              </w:rPr>
            </w:pPr>
          </w:p>
        </w:tc>
        <w:tc>
          <w:tcPr>
            <w:tcW w:w="551" w:type="dxa"/>
            <w:shd w:val="clear" w:color="auto" w:fill="auto"/>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widowControl/>
              <w:spacing w:line="300" w:lineRule="exact"/>
              <w:jc w:val="center"/>
              <w:rPr>
                <w:rFonts w:ascii="仿宋_GB2312" w:eastAsia="仿宋_GB2312"/>
                <w:color w:val="000000"/>
                <w:sz w:val="18"/>
                <w:szCs w:val="18"/>
              </w:rPr>
            </w:pPr>
          </w:p>
        </w:tc>
        <w:tc>
          <w:tcPr>
            <w:tcW w:w="720" w:type="dxa"/>
            <w:shd w:val="clear" w:color="auto" w:fill="auto"/>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restart"/>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noWrap w:val="0"/>
            <w:vAlign w:val="center"/>
          </w:tcPr>
          <w:p>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shd w:val="clear" w:color="auto" w:fill="auto"/>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征地补偿登记汇总表。</w:t>
            </w:r>
          </w:p>
          <w:p>
            <w:pPr>
              <w:rPr>
                <w:rFonts w:hint="eastAsia"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shd w:val="clear" w:color="auto" w:fill="auto"/>
            <w:noWrap w:val="0"/>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80" w:type="dxa"/>
            <w:shd w:val="clear" w:color="auto" w:fill="auto"/>
            <w:noWrap w:val="0"/>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shd w:val="clear" w:color="auto" w:fill="auto"/>
            <w:noWrap w:val="0"/>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shd w:val="clear" w:color="auto" w:fill="auto"/>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 xml:space="preserve">村公示栏（电子屏）  </w:t>
            </w:r>
          </w:p>
        </w:tc>
        <w:tc>
          <w:tcPr>
            <w:tcW w:w="554" w:type="dxa"/>
            <w:shd w:val="clear" w:color="auto" w:fill="auto"/>
            <w:noWrap w:val="0"/>
            <w:vAlign w:val="center"/>
          </w:tcPr>
          <w:p>
            <w:pPr>
              <w:widowControl/>
              <w:jc w:val="center"/>
              <w:rPr>
                <w:rFonts w:ascii="仿宋_GB2312" w:eastAsia="仿宋_GB2312"/>
                <w:color w:val="000000"/>
                <w:sz w:val="18"/>
                <w:szCs w:val="18"/>
              </w:rPr>
            </w:pPr>
          </w:p>
        </w:tc>
        <w:tc>
          <w:tcPr>
            <w:tcW w:w="875"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shd w:val="clear" w:color="auto" w:fill="auto"/>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pPr>
              <w:rPr>
                <w:rFonts w:hint="eastAsia"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pPr>
              <w:rPr>
                <w:rFonts w:hint="eastAsia"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pPr>
              <w:rPr>
                <w:rFonts w:hint="eastAsia"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pPr>
              <w:rPr>
                <w:rFonts w:hint="eastAsia" w:ascii="仿宋_GB2312" w:eastAsia="仿宋_GB2312"/>
                <w:color w:val="000000"/>
                <w:sz w:val="18"/>
                <w:szCs w:val="18"/>
              </w:rPr>
            </w:pPr>
            <w:r>
              <w:rPr>
                <w:rFonts w:hint="eastAsia" w:ascii="仿宋_GB2312" w:eastAsia="仿宋_GB2312"/>
                <w:color w:val="000000"/>
                <w:sz w:val="18"/>
                <w:szCs w:val="18"/>
              </w:rPr>
              <w:t>5.农业人员安置具体途径；</w:t>
            </w:r>
          </w:p>
          <w:p>
            <w:pPr>
              <w:rPr>
                <w:rFonts w:hint="eastAsia" w:ascii="仿宋_GB2312" w:eastAsia="仿宋_GB2312"/>
                <w:color w:val="000000"/>
                <w:sz w:val="18"/>
                <w:szCs w:val="18"/>
              </w:rPr>
            </w:pPr>
            <w:r>
              <w:rPr>
                <w:rFonts w:hint="eastAsia" w:ascii="仿宋_GB2312" w:eastAsia="仿宋_GB2312"/>
                <w:color w:val="000000"/>
                <w:sz w:val="18"/>
                <w:szCs w:val="18"/>
              </w:rPr>
              <w:t>6.其他有关征地补偿、安置的具体措施；</w:t>
            </w:r>
          </w:p>
          <w:p>
            <w:pPr>
              <w:rPr>
                <w:rFonts w:hint="eastAsia" w:ascii="仿宋_GB2312" w:eastAsia="仿宋_GB2312"/>
                <w:color w:val="000000"/>
                <w:sz w:val="18"/>
                <w:szCs w:val="18"/>
              </w:rPr>
            </w:pPr>
            <w:r>
              <w:rPr>
                <w:rFonts w:hint="eastAsia" w:ascii="仿宋_GB2312" w:eastAsia="仿宋_GB2312"/>
                <w:color w:val="000000"/>
                <w:sz w:val="18"/>
                <w:szCs w:val="18"/>
              </w:rPr>
              <w:t>7.听证等救济途径；</w:t>
            </w:r>
          </w:p>
          <w:p>
            <w:pPr>
              <w:rPr>
                <w:rFonts w:hint="eastAsia"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shd w:val="clear" w:color="auto" w:fill="auto"/>
            <w:noWrap w:val="0"/>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shd w:val="clear" w:color="auto" w:fill="auto"/>
            <w:noWrap w:val="0"/>
            <w:vAlign w:val="center"/>
          </w:tcPr>
          <w:p>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公示结束后，转为依申请公开。</w:t>
            </w:r>
          </w:p>
          <w:p>
            <w:pPr>
              <w:widowControl/>
              <w:spacing w:line="320" w:lineRule="exact"/>
              <w:rPr>
                <w:rFonts w:hint="eastAsia" w:ascii="仿宋_GB2312" w:eastAsia="仿宋_GB2312"/>
                <w:color w:val="000000"/>
                <w:sz w:val="18"/>
                <w:szCs w:val="18"/>
              </w:rPr>
            </w:pPr>
          </w:p>
        </w:tc>
        <w:tc>
          <w:tcPr>
            <w:tcW w:w="1620" w:type="dxa"/>
            <w:shd w:val="clear" w:color="auto" w:fill="auto"/>
            <w:noWrap w:val="0"/>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shd w:val="clear" w:color="auto" w:fill="auto"/>
            <w:noWrap w:val="0"/>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widowControl/>
              <w:rPr>
                <w:rFonts w:hint="eastAsia" w:ascii="仿宋_GB2312" w:eastAsia="仿宋_GB2312"/>
                <w:color w:val="000000"/>
                <w:sz w:val="18"/>
                <w:szCs w:val="18"/>
              </w:rPr>
            </w:pPr>
          </w:p>
        </w:tc>
        <w:tc>
          <w:tcPr>
            <w:tcW w:w="554" w:type="dxa"/>
            <w:shd w:val="clear" w:color="auto" w:fill="auto"/>
            <w:noWrap w:val="0"/>
            <w:vAlign w:val="center"/>
          </w:tcPr>
          <w:p>
            <w:pPr>
              <w:widowControl/>
              <w:jc w:val="center"/>
              <w:rPr>
                <w:rFonts w:ascii="仿宋_GB2312" w:eastAsia="仿宋_GB2312"/>
                <w:color w:val="000000"/>
                <w:sz w:val="18"/>
                <w:szCs w:val="18"/>
              </w:rPr>
            </w:pPr>
          </w:p>
        </w:tc>
        <w:tc>
          <w:tcPr>
            <w:tcW w:w="875" w:type="dxa"/>
            <w:shd w:val="clear" w:color="auto" w:fill="auto"/>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noWrap w:val="0"/>
            <w:vAlign w:val="center"/>
          </w:tcPr>
          <w:p>
            <w:pPr>
              <w:widowControl/>
              <w:spacing w:line="32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shd w:val="clear" w:color="auto" w:fill="auto"/>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pPr>
              <w:rPr>
                <w:rFonts w:hint="eastAsia" w:ascii="仿宋_GB2312" w:eastAsia="仿宋_GB2312"/>
                <w:color w:val="000000"/>
                <w:sz w:val="18"/>
                <w:szCs w:val="18"/>
              </w:rPr>
            </w:pPr>
            <w:r>
              <w:rPr>
                <w:rFonts w:hint="eastAsia" w:ascii="仿宋_GB2312" w:eastAsia="仿宋_GB2312"/>
                <w:color w:val="000000"/>
                <w:sz w:val="18"/>
                <w:szCs w:val="18"/>
              </w:rPr>
              <w:t>1.《听证通知书》；</w:t>
            </w:r>
          </w:p>
          <w:p>
            <w:pPr>
              <w:rPr>
                <w:rFonts w:hint="eastAsia"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shd w:val="clear" w:color="auto" w:fill="auto"/>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shd w:val="clear" w:color="auto" w:fill="auto"/>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shd w:val="clear" w:color="auto" w:fill="auto"/>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shd w:val="clear" w:color="auto" w:fill="auto"/>
            <w:noWrap w:val="0"/>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widowControl/>
              <w:rPr>
                <w:rFonts w:ascii="仿宋_GB2312" w:eastAsia="仿宋_GB2312"/>
                <w:color w:val="000000"/>
                <w:sz w:val="18"/>
                <w:szCs w:val="18"/>
              </w:rPr>
            </w:pPr>
          </w:p>
        </w:tc>
        <w:tc>
          <w:tcPr>
            <w:tcW w:w="554" w:type="dxa"/>
            <w:shd w:val="clear" w:color="auto" w:fill="auto"/>
            <w:noWrap w:val="0"/>
            <w:vAlign w:val="center"/>
          </w:tcPr>
          <w:p>
            <w:pPr>
              <w:widowControl/>
              <w:jc w:val="center"/>
              <w:rPr>
                <w:rFonts w:ascii="仿宋_GB2312" w:eastAsia="仿宋_GB2312"/>
                <w:color w:val="000000"/>
                <w:sz w:val="18"/>
                <w:szCs w:val="18"/>
              </w:rPr>
            </w:pPr>
          </w:p>
        </w:tc>
        <w:tc>
          <w:tcPr>
            <w:tcW w:w="875"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shd w:val="clear" w:color="auto" w:fill="auto"/>
            <w:noWrap w:val="0"/>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征地补偿费用支付凭证。</w:t>
            </w:r>
          </w:p>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shd w:val="clear" w:color="auto" w:fill="auto"/>
            <w:noWrap w:val="0"/>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《政府信息公开条例》、《征收土地公告办法》</w:t>
            </w:r>
          </w:p>
          <w:p>
            <w:pPr>
              <w:widowControl/>
              <w:spacing w:line="320" w:lineRule="exact"/>
              <w:rPr>
                <w:rFonts w:ascii="仿宋_GB2312" w:eastAsia="仿宋_GB2312"/>
                <w:color w:val="000000"/>
                <w:sz w:val="18"/>
                <w:szCs w:val="18"/>
              </w:rPr>
            </w:pPr>
          </w:p>
        </w:tc>
        <w:tc>
          <w:tcPr>
            <w:tcW w:w="1980" w:type="dxa"/>
            <w:shd w:val="clear" w:color="auto" w:fill="auto"/>
            <w:noWrap w:val="0"/>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shd w:val="clear" w:color="auto" w:fill="auto"/>
            <w:noWrap w:val="0"/>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shd w:val="clear" w:color="auto" w:fill="auto"/>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noWrap w:val="0"/>
            <w:vAlign w:val="center"/>
          </w:tcPr>
          <w:p>
            <w:pPr>
              <w:widowControl/>
              <w:jc w:val="center"/>
              <w:rPr>
                <w:rFonts w:ascii="仿宋_GB2312" w:eastAsia="仿宋_GB2312"/>
                <w:color w:val="000000"/>
                <w:sz w:val="18"/>
                <w:szCs w:val="18"/>
              </w:rPr>
            </w:pPr>
          </w:p>
        </w:tc>
        <w:tc>
          <w:tcPr>
            <w:tcW w:w="875"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pPr>
        <w:jc w:val="left"/>
        <w:rPr>
          <w:rFonts w:hint="eastAsia" w:ascii="宋体" w:hAnsi="宋体"/>
          <w:sz w:val="18"/>
          <w:szCs w:val="18"/>
        </w:rPr>
      </w:pPr>
      <w:r>
        <w:rPr>
          <w:rFonts w:hint="eastAsia" w:ascii="宋体" w:hAnsi="宋体"/>
          <w:sz w:val="18"/>
          <w:szCs w:val="18"/>
        </w:rPr>
        <w:t>注：1.公开内容中标注为“*”标记的，为可选项，由各地根据实际情况确定。</w:t>
      </w:r>
    </w:p>
    <w:p>
      <w:pPr>
        <w:ind w:firstLine="360" w:firstLineChars="200"/>
        <w:jc w:val="left"/>
        <w:rPr>
          <w:rFonts w:ascii="宋体" w:hAnsi="宋体"/>
          <w:sz w:val="28"/>
          <w:szCs w:val="28"/>
        </w:rPr>
      </w:pPr>
      <w:r>
        <w:rPr>
          <w:rFonts w:hint="eastAsia" w:ascii="宋体" w:hAnsi="宋体"/>
          <w:sz w:val="18"/>
          <w:szCs w:val="18"/>
        </w:rPr>
        <w:t>2.公开渠道中标注为“■”标记的，为征地实施中的公开渠道；标注为“▲”标记的，为征地批准后的公开渠道。</w:t>
      </w:r>
    </w:p>
    <w:p/>
    <w:sectPr>
      <w:pgSz w:w="16838" w:h="11906" w:orient="landscape"/>
      <w:pgMar w:top="1803" w:right="1440" w:bottom="1803" w:left="1440" w:header="851" w:footer="992" w:gutter="0"/>
      <w:paperSrc/>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bordersDoNotSurroundHeader w:val="1"/>
  <w:bordersDoNotSurroundFooter w:val="1"/>
  <w:documentProtection w:enforcement="0"/>
  <w:defaultTabStop w:val="42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82278"/>
    <w:rsid w:val="1E0605D8"/>
    <w:rsid w:val="30101807"/>
    <w:rsid w:val="317F3D3A"/>
    <w:rsid w:val="59682278"/>
    <w:rsid w:val="5A375D7F"/>
    <w:rsid w:val="64F378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2020-09-15T10:44:00Z</dcterms:created>
  <dc:creator>Administrator</dc:creator>
  <cp:lastModifiedBy>Administrator</cp:lastModifiedBy>
  <cp:lastPrinted>2020-09-15T10:45:00Z</cp:lastPrinted>
  <dcterms:modified xsi:type="dcterms:W3CDTF">2020-09-15T11:00:09Z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