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bdr w:val="none" w:color="auto" w:sz="0" w:space="0"/>
          <w:shd w:val="clear" w:fill="FFFFFF"/>
        </w:rPr>
        <w:t>财政部 税务总局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bdr w:val="none" w:color="auto" w:sz="0" w:space="0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bdr w:val="none" w:color="auto" w:sz="0" w:space="0"/>
          <w:shd w:val="clear" w:fill="FFFFFF"/>
        </w:rPr>
        <w:t>关于延长小规模纳税人减免增值税政策执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bdr w:val="none" w:color="auto" w:sz="0" w:space="0"/>
          <w:shd w:val="clear" w:fill="FFFFFF"/>
        </w:rPr>
        <w:t>行期限的公告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财政部 税务总局公告2020年第24号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为进一步支持广大个体工商户和小微企业全面复工复业，现将有关税收政策公告如下：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《财政部 税务总局关于支持个体工商户复工复业增值税政策的公告》（财政部 税务总局公告2020年第13号）规定的税收优惠政策实施期限延长到2020年12月31日。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特此公告。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right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财政部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 税务总局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2020年4月30日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56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2020-07-09T02:23:33Z</dcterms:created>
  <dc:creator>Administrator</dc:creator>
  <cp:lastModifiedBy>廖波</cp:lastModifiedBy>
  <dcterms:modified xsi:type="dcterms:W3CDTF">2020-07-09T02:25:13Z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