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bdr w:val="none" w:color="auto" w:sz="0" w:space="0"/>
          <w:shd w:val="clear" w:fill="FFFFFF"/>
        </w:rPr>
        <w:t>财政部 税务总局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关于提高部分产品出口退税率的公告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财政部 税务总局公告2020年第15号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现就提高部分产品出口退税率有关事项公告如下: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一、将瓷制卫生器具等1084项产品出口退税率提高至13%；将植物生长调节剂等380项产品出口退税率提高至9%。具体产品清单见附件。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二、本公告自2020年3月20日起实施。本公告所列货物适用的出口退税率，以出口货物报关单上注明的出口日期界定。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附件：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bdr w:val="none" w:color="auto" w:sz="0" w:space="0"/>
          <w:shd w:val="clear" w:fill="FFFFFF"/>
        </w:rPr>
        <w:instrText xml:space="preserve"> HYPERLINK "http://www.chinatax.gov.cn/chinatax/n810341/n810755/c5146338/5146338/files/21409341624341b3a24e2004960f8347.xls" \t "http://www.chinatax.gov.cn/chinatax/n810341/n810755/c5146338/_blank"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bdr w:val="none" w:color="auto" w:sz="0" w:space="0"/>
          <w:shd w:val="clear" w:fill="FFFFFF"/>
        </w:rPr>
        <w:t>提高出口退税率的产品清单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财政部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 税务总局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2020年3月17日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7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2020-07-09T02:08:56Z</dcterms:created>
  <dc:creator>Administrator</dc:creator>
  <cp:lastModifiedBy>廖波</cp:lastModifiedBy>
  <dcterms:modified xsi:type="dcterms:W3CDTF">2020-07-09T02:10:13Z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