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b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positio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auto"/>
          <w:position w:val="0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Times New Roman" w:hAnsi="Times New Roman" w:eastAsia="Times New Roman"/>
          <w:b/>
          <w:color w:val="auto"/>
          <w:position w:val="0"/>
          <w:sz w:val="44"/>
          <w:szCs w:val="44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44"/>
          <w:szCs w:val="44"/>
        </w:rPr>
        <w:t>编制说明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outlineLvl w:val="0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bookmarkStart w:id="0" w:name="_Toc7018"/>
      <w:bookmarkStart w:id="1" w:name="_Toc378670356"/>
      <w:bookmarkStart w:id="2" w:name="_Toc384876586"/>
      <w:bookmarkStart w:id="3" w:name="_Toc295939078"/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编制</w:t>
      </w:r>
      <w:bookmarkEnd w:id="0"/>
      <w:bookmarkEnd w:id="1"/>
      <w:bookmarkEnd w:id="2"/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背景</w:t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近年来，随着我市机动车保有量不断增大，机动车尾气排放污染源，特别是黑烟车尾气排放污染源已严重影响我市大气空气质量、市民身体健康、城市整体形象，如图：</w:t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color w:val="auto"/>
          <w:sz w:val="20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69215</wp:posOffset>
            </wp:positionV>
            <wp:extent cx="5207635" cy="2872105"/>
            <wp:effectExtent l="0" t="0" r="12065" b="4445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287274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0"/>
        <w:jc w:val="center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图1 韶关市区黑烟车</w:t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0"/>
        <w:jc w:val="center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图2 韶关市区黑烟车</w:t>
      </w:r>
      <w:r>
        <w:rPr>
          <w:color w:val="auto"/>
          <w:sz w:val="20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105410</wp:posOffset>
            </wp:positionV>
            <wp:extent cx="5137150" cy="3625850"/>
            <wp:effectExtent l="0" t="0" r="6350" b="12700"/>
            <wp:wrapSquare wrapText="bothSides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6264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因此，黑烟车尾气排放污染源整治已成为现阶段广大市民关注的重点，根据第三方研究机构对我市大气污染源解析，2019年机动车尾气排放污染源占比已上升到首位，今年年初，我省出台了《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关于全省决战决胜污染防治攻坚战的命令》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，要求各地要加大柴油车整治，依法划定禁止冒黑烟等可视污染物车辆行驶的区域，加强用车大户管理，基本消灭黑烟车。因此，我市加大对机动车尾气排放源进行管控已迫在眉睫。</w:t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黑烟车是指排放黑烟等可视污染物或者烟度值超过林格曼1级的机动车。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其排放的颗粒物和氮氧化物，已成为移动源排放污染的重要来源之一。根据机动车大气污染物排放统计数据，“黑烟车”</w:t>
      </w:r>
      <w:r>
        <w:rPr>
          <w:rStyle w:val="6"/>
          <w:rFonts w:hint="eastAsia" w:eastAsia="宋体"/>
          <w:color w:val="auto"/>
          <w:position w:val="0"/>
          <w:sz w:val="32"/>
          <w:szCs w:val="32"/>
          <w:lang w:eastAsia="zh-CN"/>
        </w:rPr>
        <w:t>、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“柴油货车”</w:t>
      </w:r>
      <w:r>
        <w:rPr>
          <w:rStyle w:val="6"/>
          <w:rFonts w:hint="eastAsia" w:eastAsia="宋体"/>
          <w:color w:val="auto"/>
          <w:position w:val="0"/>
          <w:sz w:val="32"/>
          <w:szCs w:val="32"/>
          <w:lang w:eastAsia="zh-CN"/>
        </w:rPr>
        <w:t>、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“重型运输车辆”等高排放机动车的废气污染物排放贡献量远高于轻型汽油车，严重影响环境空气质量和城市形象。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为积极响应广大市民的关注，经与有关部门多次沟通及调研，依据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《广东省大气污染防治条例》和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《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关于全省决战决胜污染防治攻坚战的命令》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的规定，我市已着手草拟了《韶关市人民政府关于韶关市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  <w:lang w:eastAsia="zh-CN"/>
        </w:rPr>
        <w:t>区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禁止黑烟车行驶区域的通告》（征求意见稿），将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依法划定禁止冒黑烟等可视污染物车辆限行时间和行驶区域，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在该区域禁止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排放黑烟等可视污染物或者烟度值超过林格曼1级的机动车行驶。本《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通告》出台后，将成为我市管理、处罚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“黑烟车”上路,开展人工执法、遥感监测辅助抓拍执法的依据。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我市“黑烟车”监控现状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目前，我市针对该类“黑烟车”的管控效率不高，还停留于联合公安、</w:t>
      </w: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、交通</w:t>
      </w: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运输</w:t>
      </w:r>
      <w:bookmarkStart w:id="8" w:name="_GoBack"/>
      <w:bookmarkEnd w:id="8"/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相关职能部门上路拦截、现场监测、超标处罚等传统人工执法，由于人工执法的频率无法对“黑烟车”上路起到遏制作用，路面上仍有较多车辆存在冒黑烟现象，对我市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环境空气质量造成一定的影响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bookmarkStart w:id="4" w:name="_Toc25288"/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国内经验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（一）广东省佛山市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佛山市于2017年11月1日起实施限制黑烟车上路行驶。全天24小时禁止黑烟车在佛山市行政区域内道路（包含佛山“一环”公路）通行。自2017年12月1日起，车辆违规进入限行区域的，由公安机关交通管理部门正式对违规行为进行处罚，处以200元罚款并记3分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广东省肇庆市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 xml:space="preserve"> 肇庆市于2020年3月5日在肇庆市政府网发布《肇庆市生态环境局关于公开征求对〈肇庆市人民政府关于限制黑烟车上路行驶的通告（征求意见稿）〉意见的函》，公开请求社会意见，拟于4月1日起施行。车辆违规进入限行区域的，由公安机关交通管理部门正式对违规行为进行处罚，处以200元罚款并记3分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编制过程</w:t>
      </w:r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根据省委省政府工作要求以及市委市政府的工作部署，我市将依法划定禁止冒黑烟等可视污染物车辆行驶的区域，加强执法力度，限制“黑烟车”上路行驶。依据《广东省大气污染防治条例》、《关于全省决战决胜污染防治攻坚战的命令》等相关规定，参照省内佛山市、肇庆的做法，结合我市“黑烟车”现状及“黑烟车”尾气排放污染源强分析研究等实际情况，制定《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韶关市人民政府关于韶关市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  <w:lang w:eastAsia="zh-CN"/>
        </w:rPr>
        <w:t>区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禁止黑烟车行驶区域的通告</w:t>
      </w: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（代拟稿）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》（征求意见稿）。</w:t>
      </w:r>
      <w:bookmarkEnd w:id="3"/>
      <w:bookmarkEnd w:id="4"/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bookmarkStart w:id="5" w:name="_Toc6399"/>
      <w:bookmarkStart w:id="6" w:name="_Toc295939080"/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主要内容</w:t>
      </w:r>
      <w:bookmarkEnd w:id="5"/>
      <w:bookmarkEnd w:id="6"/>
    </w:p>
    <w:p>
      <w:pPr>
        <w:numPr>
          <w:ilvl w:val="0"/>
          <w:numId w:val="0"/>
        </w:numPr>
        <w:tabs>
          <w:tab w:val="left" w:pos="216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bookmarkStart w:id="7" w:name="_Toc13846"/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本通告包括：实施日期、限行时间和区域、处罚措施和限行标志牌四方面内容，通过调查摸底、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加大黑烟车整治，依法划定禁止冒黑烟等可视污染物车辆行驶的区域，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将禁止“黑烟车”在我市行驶，进一步改善我市空气环境质量、保护广大市民身体健康、维护城市整体形象。</w:t>
      </w:r>
      <w:bookmarkEnd w:id="7"/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rightChars="0" w:firstLine="640" w:firstLineChars="20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其他说明事项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6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（一）本《</w:t>
      </w:r>
      <w:r>
        <w:rPr>
          <w:rStyle w:val="6"/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通告》出台后，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我市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highlight w:val="none"/>
        </w:rPr>
        <w:t>将建成</w:t>
      </w:r>
      <w:r>
        <w:rPr>
          <w:rFonts w:hint="eastAsia" w:eastAsia="宋体"/>
          <w:color w:val="auto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highlight w:val="none"/>
        </w:rPr>
        <w:t>套机动车遥感监测系统和</w:t>
      </w:r>
      <w:r>
        <w:rPr>
          <w:rFonts w:hint="eastAsia" w:eastAsia="宋体"/>
          <w:color w:val="auto"/>
          <w:position w:val="0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highlight w:val="none"/>
        </w:rPr>
        <w:t>套黑烟车智能识别系统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，分</w:t>
      </w: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别加装在市区各主要路段出入口，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并实现国家、省、市三级联网，相关检测管控手段较为成熟，既能解决现阶段上路执法人力物力投入大、费效比低等问题，还能利用高科技手段逐步实现多点位、全覆盖对“黑烟车”进行有效管控。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6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（二）黑烟车智能识别系统可抓取到车辆排放黑烟时段的视频、相片、车牌号及其尾气林格曼烟度等相关信息，形成固定证据链，可供查证。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6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（三）经调研，车辆排放黑烟现象主要集中在柴油货车、重型运输车辆、超载车辆及超过使用年限车辆等。</w:t>
      </w:r>
    </w:p>
    <w:p>
      <w:pPr>
        <w:numPr>
          <w:ilvl w:val="0"/>
          <w:numId w:val="0"/>
        </w:numPr>
        <w:autoSpaceDE/>
        <w:autoSpaceDN/>
        <w:spacing w:before="0" w:after="160" w:line="600" w:lineRule="exact"/>
        <w:ind w:right="0" w:firstLine="646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（四）</w:t>
      </w:r>
      <w:r>
        <w:rPr>
          <w:rFonts w:hint="eastAsia" w:eastAsia="宋体"/>
          <w:color w:val="auto"/>
          <w:position w:val="0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>行区的划定可大大降低黑烟车排气污染对城区的污染，改善城市空气环境质量，保障群众身体健康，助力打造宜居宜商的城市环境，提升城市品位和竞争力，促进区域经济发展。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332105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3274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autoSpaceDE/>
                            <w:autoSpaceDN/>
                            <w:snapToGrid w:val="0"/>
                            <w:spacing w:before="0" w:after="160" w:line="240" w:lineRule="auto"/>
                            <w:ind w:right="0" w:firstLine="0"/>
                            <w:jc w:val="both"/>
                            <w:rPr>
                              <w:rFonts w:hint="default" w:ascii="Times New Roman" w:hAnsi="仿宋_GB2312" w:eastAsia="仿宋_GB2312"/>
                              <w:color w:val="auto"/>
                              <w:positio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宋体" w:hAnsi="宋体" w:eastAsia="宋体"/>
                              <w:color w:val="auto"/>
                              <w:positio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/>
                              <w:color w:val="auto"/>
                              <w:position w:val="0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宋体" w:hAnsi="宋体" w:eastAsia="宋体"/>
                              <w:color w:val="auto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1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矩形 1" o:spid="_x0000_s1026" o:spt="202" type="#_x0000_t202" style="position:absolute;left:0pt;margin-top:0pt;height:26.15pt;width:35pt;mso-position-horizontal:outside;mso-position-horizontal-relative:margin;mso-wrap-style:none;z-index:251625472;v-text-anchor:middle;mso-width-relative:page;mso-height-relative:page;" filled="f" stroked="f" coordsize="21600,21600" o:gfxdata="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tHqQNIAAAADAQAADwAAAAAAAAAB&#10;ACAAAAAiAAAAZHJzL2Rvd25yZXYueG1sUEsBAhQAFAAAAAgAh07iQDHYXQ0WAgAAEgQAAA4AAAAA&#10;AAAAAQAgAAAAIQ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numPr>
                        <w:ilvl w:val="0"/>
                        <w:numId w:val="0"/>
                      </w:numPr>
                      <w:autoSpaceDE/>
                      <w:autoSpaceDN/>
                      <w:snapToGrid w:val="0"/>
                      <w:spacing w:before="0" w:after="160" w:line="240" w:lineRule="auto"/>
                      <w:ind w:right="0" w:firstLine="0"/>
                      <w:jc w:val="both"/>
                      <w:rPr>
                        <w:rFonts w:hint="default" w:ascii="Times New Roman" w:hAnsi="仿宋_GB2312" w:eastAsia="仿宋_GB2312"/>
                        <w:color w:val="auto"/>
                        <w:position w:val="0"/>
                        <w:sz w:val="18"/>
                        <w:szCs w:val="18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both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076E5"/>
    <w:rsid w:val="03042C42"/>
    <w:rsid w:val="0B1B317E"/>
    <w:rsid w:val="296F3343"/>
    <w:rsid w:val="40D10936"/>
    <w:rsid w:val="625076E5"/>
    <w:rsid w:val="720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32"/>
      <w:szCs w:val="32"/>
      <w:shd w:val="cle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3">
    <w:name w:val="head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both"/>
    </w:pPr>
    <w:rPr>
      <w:rFonts w:ascii="Times New Roman" w:hAnsi="Times New Roman" w:eastAsia="Times New Roman"/>
      <w:w w:val="100"/>
      <w:sz w:val="18"/>
      <w:szCs w:val="18"/>
      <w:shd w:val="clear"/>
    </w:rPr>
  </w:style>
  <w:style w:type="character" w:customStyle="1" w:styleId="6">
    <w:name w:val="样式 仿宋_GB2312 三号3"/>
    <w:qFormat/>
    <w:uiPriority w:val="154"/>
    <w:rPr>
      <w:rFonts w:ascii="Times New Roman" w:hAnsi="Times New Roman" w:eastAsia="Times New Roman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2020-03-17T03:46:00Z</dcterms:created>
  <dc:creator>刘艺华</dc:creator>
  <cp:lastModifiedBy>只睡半边床</cp:lastModifiedBy>
  <dcterms:modified xsi:type="dcterms:W3CDTF">2020-07-02T11:16:21Z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ribbonExt">
    <vt:lpwstr>{"WPSExtOfficeTab":{"OnGetEnabled":false,"OnGetVisible":false}}</vt:lpwstr>
  </property>
</Properties>
</file>