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rPr>
          <w:rFonts w:hint="eastAsia" w:ascii="宋体" w:hAnsi="宋体" w:eastAsia="宋体" w:cs="宋体"/>
          <w:b/>
          <w:bCs/>
          <w:sz w:val="32"/>
          <w:lang w:val="en-US" w:eastAsia="zh-CN"/>
        </w:rPr>
      </w:pPr>
      <w:bookmarkStart w:id="1" w:name="_GoBack"/>
      <w:bookmarkEnd w:id="1"/>
      <w:r>
        <w:rPr>
          <w:rFonts w:hint="eastAsia" w:ascii="宋体" w:hAnsi="宋体" w:eastAsia="宋体" w:cs="宋体"/>
          <w:b/>
          <w:bCs/>
          <w:sz w:val="32"/>
        </w:rPr>
        <w:t>附件</w:t>
      </w:r>
      <w:r>
        <w:rPr>
          <w:rFonts w:hint="eastAsia" w:ascii="宋体" w:hAnsi="宋体" w:eastAsia="宋体" w:cs="宋体"/>
          <w:b/>
          <w:bCs/>
          <w:sz w:val="32"/>
          <w:lang w:val="en-US" w:eastAsia="zh-CN"/>
        </w:rPr>
        <w:t>1</w:t>
      </w:r>
      <w:r>
        <w:rPr>
          <w:rFonts w:hint="eastAsia" w:ascii="宋体" w:hAnsi="宋体" w:eastAsia="宋体" w:cs="宋体"/>
          <w:b/>
          <w:bCs/>
          <w:sz w:val="32"/>
        </w:rPr>
        <w:t>：</w:t>
      </w:r>
    </w:p>
    <w:p>
      <w:pPr>
        <w:snapToGrid w:val="0"/>
        <w:spacing w:line="600" w:lineRule="exact"/>
        <w:jc w:val="center"/>
        <w:rPr>
          <w:rFonts w:hint="eastAsia" w:ascii="宋体" w:hAnsi="宋体" w:eastAsia="宋体" w:cs="宋体"/>
          <w:sz w:val="32"/>
        </w:rPr>
      </w:pPr>
    </w:p>
    <w:p>
      <w:pPr>
        <w:spacing w:line="600" w:lineRule="exact"/>
        <w:jc w:val="center"/>
        <w:rPr>
          <w:rFonts w:hint="eastAsia" w:ascii="宋体" w:hAnsi="宋体" w:eastAsia="宋体" w:cs="宋体"/>
          <w:b/>
          <w:bCs/>
          <w:sz w:val="44"/>
          <w:szCs w:val="44"/>
        </w:rPr>
      </w:pPr>
      <w:r>
        <w:rPr>
          <w:rFonts w:hint="eastAsia" w:ascii="宋体" w:hAnsi="宋体" w:eastAsia="宋体" w:cs="宋体"/>
          <w:b/>
          <w:bCs/>
          <w:sz w:val="44"/>
          <w:szCs w:val="44"/>
        </w:rPr>
        <w:t>韶关市人民政府</w:t>
      </w:r>
    </w:p>
    <w:p>
      <w:pPr>
        <w:spacing w:line="600" w:lineRule="exact"/>
        <w:jc w:val="center"/>
        <w:rPr>
          <w:rFonts w:hint="eastAsia" w:ascii="宋体" w:hAnsi="宋体" w:eastAsia="宋体" w:cs="宋体"/>
          <w:b/>
          <w:bCs/>
          <w:sz w:val="44"/>
          <w:szCs w:val="44"/>
        </w:rPr>
      </w:pPr>
      <w:r>
        <w:rPr>
          <w:rFonts w:hint="eastAsia" w:ascii="宋体" w:hAnsi="宋体" w:eastAsia="宋体" w:cs="宋体"/>
          <w:b/>
          <w:bCs/>
          <w:sz w:val="44"/>
          <w:szCs w:val="44"/>
        </w:rPr>
        <w:t>关于韶关市</w:t>
      </w:r>
      <w:r>
        <w:rPr>
          <w:rFonts w:hint="eastAsia" w:ascii="宋体" w:hAnsi="宋体" w:eastAsia="宋体" w:cs="宋体"/>
          <w:b/>
          <w:bCs/>
          <w:sz w:val="44"/>
          <w:szCs w:val="44"/>
          <w:lang w:eastAsia="zh-CN"/>
        </w:rPr>
        <w:t>区</w:t>
      </w:r>
      <w:r>
        <w:rPr>
          <w:rFonts w:hint="eastAsia" w:ascii="宋体" w:hAnsi="宋体" w:eastAsia="宋体" w:cs="宋体"/>
          <w:b/>
          <w:bCs/>
          <w:sz w:val="44"/>
          <w:szCs w:val="44"/>
        </w:rPr>
        <w:t>禁止黑烟车行驶区域的通告</w:t>
      </w:r>
    </w:p>
    <w:p>
      <w:pPr>
        <w:spacing w:line="600" w:lineRule="exact"/>
        <w:jc w:val="center"/>
        <w:rPr>
          <w:rFonts w:hint="eastAsia" w:ascii="宋体" w:hAnsi="宋体" w:eastAsia="宋体" w:cs="宋体"/>
          <w:sz w:val="32"/>
          <w:szCs w:val="32"/>
        </w:rPr>
      </w:pPr>
      <w:r>
        <w:rPr>
          <w:rFonts w:hint="eastAsia" w:ascii="宋体" w:hAnsi="宋体" w:eastAsia="宋体" w:cs="宋体"/>
          <w:sz w:val="32"/>
          <w:szCs w:val="32"/>
        </w:rPr>
        <w:t>（</w:t>
      </w:r>
      <w:r>
        <w:rPr>
          <w:rFonts w:hint="eastAsia" w:ascii="宋体" w:hAnsi="宋体" w:cs="宋体"/>
          <w:sz w:val="32"/>
          <w:szCs w:val="32"/>
          <w:lang w:eastAsia="zh-CN"/>
        </w:rPr>
        <w:t>代拟稿、</w:t>
      </w:r>
      <w:r>
        <w:rPr>
          <w:rFonts w:hint="eastAsia" w:ascii="宋体" w:hAnsi="宋体" w:eastAsia="宋体" w:cs="宋体"/>
          <w:sz w:val="32"/>
          <w:szCs w:val="32"/>
        </w:rPr>
        <w:t>征求意见稿）</w:t>
      </w:r>
    </w:p>
    <w:p>
      <w:pPr>
        <w:spacing w:line="600" w:lineRule="exact"/>
        <w:rPr>
          <w:rFonts w:hint="eastAsia" w:ascii="宋体" w:hAnsi="宋体" w:eastAsia="宋体" w:cs="宋体"/>
          <w:sz w:val="32"/>
          <w:szCs w:val="32"/>
        </w:rPr>
      </w:pP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为加大黑烟车整治力度，进一步改善我市空气环境质量</w:t>
      </w:r>
      <w:r>
        <w:rPr>
          <w:rFonts w:hint="eastAsia" w:ascii="宋体" w:hAnsi="宋体" w:eastAsia="宋体" w:cs="宋体"/>
          <w:sz w:val="32"/>
          <w:szCs w:val="32"/>
          <w:lang w:eastAsia="zh-CN"/>
        </w:rPr>
        <w:t>、保护</w:t>
      </w:r>
      <w:r>
        <w:rPr>
          <w:rStyle w:val="7"/>
          <w:rFonts w:hint="eastAsia" w:ascii="宋体" w:hAnsi="宋体" w:eastAsia="宋体" w:cs="宋体"/>
          <w:color w:val="auto"/>
          <w:position w:val="0"/>
          <w:sz w:val="32"/>
          <w:szCs w:val="32"/>
        </w:rPr>
        <w:t>市民身体健康、</w:t>
      </w:r>
      <w:r>
        <w:rPr>
          <w:rStyle w:val="7"/>
          <w:rFonts w:hint="eastAsia" w:ascii="宋体" w:hAnsi="宋体" w:eastAsia="宋体" w:cs="宋体"/>
          <w:color w:val="auto"/>
          <w:position w:val="0"/>
          <w:sz w:val="32"/>
          <w:szCs w:val="32"/>
          <w:lang w:eastAsia="zh-CN"/>
        </w:rPr>
        <w:t>维护</w:t>
      </w:r>
      <w:r>
        <w:rPr>
          <w:rStyle w:val="7"/>
          <w:rFonts w:hint="eastAsia" w:ascii="宋体" w:hAnsi="宋体" w:eastAsia="宋体" w:cs="宋体"/>
          <w:color w:val="auto"/>
          <w:position w:val="0"/>
          <w:sz w:val="32"/>
          <w:szCs w:val="32"/>
        </w:rPr>
        <w:t>城市整体形象</w:t>
      </w:r>
      <w:r>
        <w:rPr>
          <w:rFonts w:hint="eastAsia" w:ascii="宋体" w:hAnsi="宋体" w:eastAsia="宋体" w:cs="宋体"/>
          <w:sz w:val="32"/>
          <w:szCs w:val="32"/>
        </w:rPr>
        <w:t>，依据《广东省大气污染防治条例》</w:t>
      </w:r>
      <w:r>
        <w:rPr>
          <w:rFonts w:hint="eastAsia" w:ascii="宋体" w:hAnsi="宋体" w:cs="宋体"/>
          <w:sz w:val="32"/>
          <w:szCs w:val="32"/>
          <w:lang w:eastAsia="zh-CN"/>
        </w:rPr>
        <w:t>、</w:t>
      </w:r>
      <w:r>
        <w:rPr>
          <w:rFonts w:hint="eastAsia" w:ascii="宋体" w:hAnsi="宋体" w:eastAsia="宋体" w:cs="宋体"/>
          <w:sz w:val="32"/>
          <w:szCs w:val="32"/>
        </w:rPr>
        <w:t>《关于全省决战决胜污染防治攻坚战的命令》规定，我市</w:t>
      </w:r>
      <w:r>
        <w:rPr>
          <w:rFonts w:hint="eastAsia" w:ascii="宋体" w:hAnsi="宋体" w:eastAsia="宋体" w:cs="宋体"/>
          <w:sz w:val="32"/>
          <w:szCs w:val="32"/>
          <w:lang w:eastAsia="zh-CN"/>
        </w:rPr>
        <w:t>市区</w:t>
      </w:r>
      <w:r>
        <w:rPr>
          <w:rFonts w:hint="eastAsia" w:ascii="宋体" w:hAnsi="宋体" w:eastAsia="宋体" w:cs="宋体"/>
          <w:sz w:val="32"/>
          <w:szCs w:val="32"/>
        </w:rPr>
        <w:t>依法划定禁止冒黑烟等可视污染物车辆行驶区域。现将有关事项通告如下：</w:t>
      </w:r>
    </w:p>
    <w:p>
      <w:pPr>
        <w:spacing w:line="600" w:lineRule="exact"/>
        <w:ind w:firstLine="640" w:firstLineChars="200"/>
        <w:outlineLvl w:val="0"/>
        <w:rPr>
          <w:rFonts w:hint="eastAsia" w:ascii="宋体" w:hAnsi="宋体" w:eastAsia="宋体" w:cs="宋体"/>
          <w:sz w:val="32"/>
          <w:szCs w:val="32"/>
        </w:rPr>
      </w:pPr>
      <w:r>
        <w:rPr>
          <w:rFonts w:hint="eastAsia" w:ascii="宋体" w:hAnsi="宋体" w:eastAsia="宋体" w:cs="宋体"/>
          <w:sz w:val="32"/>
          <w:szCs w:val="32"/>
        </w:rPr>
        <w:t>一、禁行区域</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禁行区域由东、南、西、北四条边界所围蔽区域。</w:t>
      </w:r>
    </w:p>
    <w:p>
      <w:pPr>
        <w:spacing w:line="600" w:lineRule="exact"/>
        <w:ind w:firstLine="643" w:firstLineChars="200"/>
        <w:rPr>
          <w:rFonts w:hint="eastAsia" w:ascii="宋体" w:hAnsi="宋体" w:eastAsia="宋体" w:cs="宋体"/>
          <w:sz w:val="32"/>
          <w:szCs w:val="32"/>
        </w:rPr>
      </w:pPr>
      <w:r>
        <w:rPr>
          <w:rFonts w:hint="eastAsia" w:ascii="宋体" w:hAnsi="宋体" w:eastAsia="宋体" w:cs="宋体"/>
          <w:b/>
          <w:sz w:val="32"/>
          <w:szCs w:val="32"/>
        </w:rPr>
        <w:t>东界：</w:t>
      </w:r>
      <w:r>
        <w:rPr>
          <w:rFonts w:hint="eastAsia" w:ascii="宋体" w:hAnsi="宋体" w:eastAsia="宋体" w:cs="宋体"/>
          <w:sz w:val="32"/>
          <w:szCs w:val="32"/>
        </w:rPr>
        <w:t>金汇大道（玉矿路）、花典路、X849县道（与X847县道交汇处的西段）、X847县道、X312县道（与X847交汇处至与X315交汇处段）、X315县道、莲花大道（X315县道至韶钢工业大道段）、韶钢工业大道（莲花大道南端至厂前大道段）、无名路（厂前大道至南园路段），南园路西端至马坝大道南端地理连线（边界跨接连线）。</w:t>
      </w:r>
    </w:p>
    <w:p>
      <w:pPr>
        <w:spacing w:line="600" w:lineRule="exact"/>
        <w:ind w:firstLine="643" w:firstLineChars="200"/>
        <w:rPr>
          <w:rFonts w:hint="eastAsia" w:ascii="宋体" w:hAnsi="宋体" w:eastAsia="宋体" w:cs="宋体"/>
          <w:sz w:val="32"/>
          <w:szCs w:val="32"/>
        </w:rPr>
      </w:pPr>
      <w:r>
        <w:rPr>
          <w:rFonts w:hint="eastAsia" w:ascii="宋体" w:hAnsi="宋体" w:eastAsia="宋体" w:cs="宋体"/>
          <w:b/>
          <w:sz w:val="32"/>
          <w:szCs w:val="32"/>
        </w:rPr>
        <w:t>南界：</w:t>
      </w:r>
      <w:r>
        <w:rPr>
          <w:rFonts w:hint="eastAsia" w:ascii="宋体" w:hAnsi="宋体" w:eastAsia="宋体" w:cs="宋体"/>
          <w:sz w:val="32"/>
          <w:szCs w:val="32"/>
        </w:rPr>
        <w:t>马坝大道南端至韶南大道与G240国道交汇处的地理连线（边界跨接连线）。</w:t>
      </w:r>
    </w:p>
    <w:p>
      <w:pPr>
        <w:spacing w:line="600" w:lineRule="exact"/>
        <w:ind w:firstLine="643" w:firstLineChars="200"/>
        <w:rPr>
          <w:rFonts w:hint="eastAsia" w:ascii="宋体" w:hAnsi="宋体" w:eastAsia="宋体" w:cs="宋体"/>
          <w:sz w:val="32"/>
          <w:szCs w:val="32"/>
        </w:rPr>
      </w:pPr>
      <w:r>
        <w:rPr>
          <w:rFonts w:hint="eastAsia" w:ascii="宋体" w:hAnsi="宋体" w:eastAsia="宋体" w:cs="宋体"/>
          <w:b/>
          <w:sz w:val="32"/>
          <w:szCs w:val="32"/>
        </w:rPr>
        <w:t>西界：</w:t>
      </w:r>
      <w:r>
        <w:rPr>
          <w:rFonts w:hint="eastAsia" w:ascii="宋体" w:hAnsi="宋体" w:eastAsia="宋体" w:cs="宋体"/>
          <w:sz w:val="32"/>
          <w:szCs w:val="32"/>
        </w:rPr>
        <w:t>G240国道（与韶南大道交汇处至白土北江大桥东段）、白土北江大桥至北江大桥北江段、沐溪大道与沐溪一路交汇处与北江大桥西间的地理连线（边界跨接连线）、沐溪一路、沐阳大道、韶关大道北（与沐阳大道交汇处的北段）、碧亭路或S246省道（与韶关大道北交汇处的北段）。</w:t>
      </w:r>
    </w:p>
    <w:p>
      <w:pPr>
        <w:spacing w:line="600" w:lineRule="exact"/>
        <w:ind w:firstLine="643" w:firstLineChars="200"/>
        <w:rPr>
          <w:rFonts w:hint="eastAsia" w:ascii="宋体" w:hAnsi="宋体" w:eastAsia="宋体" w:cs="宋体"/>
          <w:sz w:val="32"/>
          <w:szCs w:val="32"/>
        </w:rPr>
      </w:pPr>
      <w:r>
        <w:rPr>
          <w:rFonts w:hint="eastAsia" w:ascii="宋体" w:hAnsi="宋体" w:eastAsia="宋体" w:cs="宋体"/>
          <w:b/>
          <w:sz w:val="32"/>
          <w:szCs w:val="32"/>
        </w:rPr>
        <w:t>北界：</w:t>
      </w:r>
      <w:r>
        <w:rPr>
          <w:rFonts w:hint="eastAsia" w:ascii="宋体" w:hAnsi="宋体" w:eastAsia="宋体" w:cs="宋体"/>
          <w:sz w:val="32"/>
          <w:szCs w:val="32"/>
        </w:rPr>
        <w:t>S248省道（与S246省道交汇处至前进路段）、前进路（与S248省道交汇处至保利紫山段）、黄岗山南（保利紫山和韶关碧桂园间的北界至X796县道）、Y133乡道靠韶关碧桂园段、X796县道与X848县道交汇处至Y133乡道间韶关碧桂园边界段、X848县道至浈江的韶关碧桂园段。</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禁行区域位置如下图所示。</w:t>
      </w:r>
    </w:p>
    <w:p>
      <w:pPr>
        <w:widowControl/>
        <w:jc w:val="left"/>
        <w:rPr>
          <w:rFonts w:hint="eastAsia" w:ascii="宋体" w:hAnsi="宋体" w:eastAsia="宋体" w:cs="宋体"/>
          <w:lang w:val="en-US" w:eastAsia="zh-CN"/>
        </w:rPr>
        <w:sectPr>
          <w:headerReference r:id="rId3" w:type="default"/>
          <w:footerReference r:id="rId4" w:type="default"/>
          <w:pgSz w:w="11906" w:h="16838"/>
          <w:pgMar w:top="2098" w:right="1474" w:bottom="1985" w:left="1588" w:header="851" w:footer="992" w:gutter="0"/>
          <w:cols w:space="720" w:num="1"/>
          <w:docGrid w:type="lines" w:linePitch="312" w:charSpace="0"/>
        </w:sectPr>
      </w:pPr>
      <w:r>
        <w:rPr>
          <w:rFonts w:hint="eastAsia" w:ascii="宋体" w:hAnsi="宋体" w:eastAsia="宋体" w:cs="宋体"/>
          <w:sz w:val="32"/>
          <w:szCs w:val="32"/>
        </w:rPr>
        <w:br w:type="page"/>
      </w:r>
    </w:p>
    <w:p>
      <w:pPr>
        <w:widowControl/>
        <w:jc w:val="left"/>
        <w:rPr>
          <w:rFonts w:hint="eastAsia"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12432665" cy="86785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432665" cy="8678545"/>
                        </a:xfrm>
                        <a:prstGeom prst="rect">
                          <a:avLst/>
                        </a:prstGeom>
                        <a:noFill/>
                        <a:ln>
                          <a:noFill/>
                        </a:ln>
                      </wps:spPr>
                      <wps:txbx>
                        <w:txbxContent>
                          <w:p>
                            <w:pPr>
                              <w:rPr>
                                <w:rFonts w:hint="eastAsia"/>
                              </w:rPr>
                            </w:pPr>
                            <w:r>
                              <w:drawing>
                                <wp:inline distT="0" distB="0" distL="0" distR="0">
                                  <wp:extent cx="12124690" cy="8255000"/>
                                  <wp:effectExtent l="0" t="0" r="1016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12141210" cy="8265920"/>
                                          </a:xfrm>
                                          <a:prstGeom prst="rect">
                                            <a:avLst/>
                                          </a:prstGeom>
                                          <a:noFill/>
                                          <a:ln w="9525">
                                            <a:noFill/>
                                            <a:miter lim="800000"/>
                                            <a:headEnd/>
                                            <a:tailEnd/>
                                          </a:ln>
                                        </pic:spPr>
                                      </pic:pic>
                                    </a:graphicData>
                                  </a:graphic>
                                </wp:inline>
                              </w:drawing>
                            </w:r>
                          </w:p>
                          <w:p/>
                        </w:txbxContent>
                      </wps:txbx>
                      <wps:bodyPr upright="1"/>
                    </wps:wsp>
                  </a:graphicData>
                </a:graphic>
              </wp:anchor>
            </w:drawing>
          </mc:Choice>
          <mc:Fallback>
            <w:pict>
              <v:shape id="_x0000_s1026" o:spid="_x0000_s1026" o:spt="202" type="#_x0000_t202" style="position:absolute;left:0pt;margin-top:0pt;height:683.35pt;width:978.95pt;mso-position-horizontal:center;z-index:251662336;mso-width-relative:page;mso-height-relative:page;" filled="f" stroked="f" coordsize="21600,21600" o:gfxdata="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upAbdUAAAAHAQAADwAAAAAAAAABACAAAAAiAAAAZHJzL2Rvd25y&#10;ZXYueG1sUEsBAhQAFAAAAAgAh07iQChT+E2PAQAAAgMAAA4AAAAAAAAAAQAgAAAAJAEAAGRycy9l&#10;Mm9Eb2MueG1sUEsFBgAAAAAGAAYAWQEAACUFAAAAAA==&#10;">
                <v:fill on="f" focussize="0,0"/>
                <v:stroke on="f"/>
                <v:imagedata o:title=""/>
                <o:lock v:ext="edit" aspectratio="f"/>
                <v:textbox>
                  <w:txbxContent>
                    <w:p>
                      <w:pPr>
                        <w:rPr>
                          <w:rFonts w:hint="eastAsia"/>
                        </w:rPr>
                      </w:pPr>
                      <w:r>
                        <w:drawing>
                          <wp:inline distT="0" distB="0" distL="0" distR="0">
                            <wp:extent cx="12124690" cy="8255000"/>
                            <wp:effectExtent l="0" t="0" r="1016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12141210" cy="8265920"/>
                                    </a:xfrm>
                                    <a:prstGeom prst="rect">
                                      <a:avLst/>
                                    </a:prstGeom>
                                    <a:noFill/>
                                    <a:ln w="9525">
                                      <a:noFill/>
                                      <a:miter lim="800000"/>
                                      <a:headEnd/>
                                      <a:tailEnd/>
                                    </a:ln>
                                  </pic:spPr>
                                </pic:pic>
                              </a:graphicData>
                            </a:graphic>
                          </wp:inline>
                        </w:drawing>
                      </w:r>
                    </w:p>
                    <w:p/>
                  </w:txbxContent>
                </v:textbox>
              </v:shape>
            </w:pict>
          </mc:Fallback>
        </mc:AlternateContent>
      </w:r>
    </w:p>
    <w:p>
      <w:pPr>
        <w:widowControl/>
        <w:jc w:val="left"/>
        <w:rPr>
          <w:rFonts w:hint="eastAsia" w:ascii="宋体" w:hAnsi="宋体" w:eastAsia="宋体" w:cs="宋体"/>
          <w:sz w:val="32"/>
          <w:szCs w:val="32"/>
        </w:rPr>
      </w:pPr>
    </w:p>
    <w:p>
      <w:pPr>
        <w:widowControl/>
        <w:jc w:val="left"/>
        <w:rPr>
          <w:rFonts w:hint="eastAsia" w:ascii="宋体" w:hAnsi="宋体" w:eastAsia="宋体" w:cs="宋体"/>
          <w:sz w:val="32"/>
          <w:szCs w:val="32"/>
        </w:rPr>
        <w:sectPr>
          <w:pgSz w:w="23814" w:h="16839" w:orient="landscape"/>
          <w:pgMar w:top="1474" w:right="1985" w:bottom="1588" w:left="2098" w:header="851" w:footer="992" w:gutter="0"/>
          <w:cols w:space="720" w:num="1"/>
          <w:docGrid w:type="linesAndChars" w:linePitch="312" w:charSpace="0"/>
        </w:sectPr>
      </w:pPr>
    </w:p>
    <w:p>
      <w:pPr>
        <w:spacing w:line="600" w:lineRule="exact"/>
        <w:ind w:firstLine="640" w:firstLineChars="200"/>
        <w:outlineLvl w:val="0"/>
        <w:rPr>
          <w:rFonts w:hint="eastAsia" w:ascii="宋体" w:hAnsi="宋体" w:eastAsia="宋体" w:cs="宋体"/>
          <w:sz w:val="32"/>
          <w:szCs w:val="32"/>
        </w:rPr>
      </w:pPr>
      <w:r>
        <w:rPr>
          <w:rFonts w:hint="eastAsia" w:ascii="宋体" w:hAnsi="宋体" w:eastAsia="宋体" w:cs="宋体"/>
          <w:sz w:val="32"/>
          <w:szCs w:val="32"/>
        </w:rPr>
        <w:t>二、禁行时间</w:t>
      </w:r>
    </w:p>
    <w:p>
      <w:pPr>
        <w:spacing w:line="600" w:lineRule="exact"/>
        <w:ind w:firstLine="640" w:firstLineChars="200"/>
        <w:rPr>
          <w:rFonts w:hint="eastAsia" w:ascii="宋体" w:hAnsi="宋体" w:eastAsia="宋体" w:cs="宋体"/>
          <w:sz w:val="32"/>
          <w:szCs w:val="32"/>
        </w:rPr>
      </w:pPr>
      <w:r>
        <w:rPr>
          <w:rFonts w:hint="eastAsia" w:ascii="宋体" w:hAnsi="宋体" w:cs="宋体"/>
          <w:sz w:val="32"/>
          <w:szCs w:val="32"/>
          <w:lang w:eastAsia="zh-CN"/>
        </w:rPr>
        <w:t>被纳入禁行对象的黑烟车</w:t>
      </w:r>
      <w:r>
        <w:rPr>
          <w:rFonts w:hint="eastAsia" w:ascii="宋体" w:hAnsi="宋体" w:eastAsia="宋体" w:cs="宋体"/>
          <w:sz w:val="32"/>
          <w:szCs w:val="32"/>
        </w:rPr>
        <w:t>全天24小时禁止在禁行区域内道路通行。</w:t>
      </w:r>
    </w:p>
    <w:p>
      <w:pPr>
        <w:spacing w:line="600" w:lineRule="exact"/>
        <w:ind w:firstLine="640" w:firstLineChars="200"/>
        <w:outlineLvl w:val="0"/>
        <w:rPr>
          <w:rFonts w:hint="eastAsia" w:ascii="宋体" w:hAnsi="宋体" w:eastAsia="宋体" w:cs="宋体"/>
          <w:sz w:val="32"/>
          <w:szCs w:val="32"/>
        </w:rPr>
      </w:pPr>
      <w:r>
        <w:rPr>
          <w:rFonts w:hint="eastAsia" w:ascii="宋体" w:hAnsi="宋体" w:cs="宋体"/>
          <w:sz w:val="32"/>
          <w:szCs w:val="32"/>
          <w:lang w:eastAsia="zh-CN"/>
        </w:rPr>
        <w:t>三</w:t>
      </w:r>
      <w:r>
        <w:rPr>
          <w:rFonts w:hint="eastAsia" w:ascii="宋体" w:hAnsi="宋体" w:eastAsia="宋体" w:cs="宋体"/>
          <w:sz w:val="32"/>
          <w:szCs w:val="32"/>
        </w:rPr>
        <w:t>、处罚措施</w:t>
      </w:r>
    </w:p>
    <w:p>
      <w:pPr>
        <w:spacing w:line="600" w:lineRule="exact"/>
        <w:ind w:firstLine="640" w:firstLineChars="200"/>
        <w:rPr>
          <w:rFonts w:hint="eastAsia" w:ascii="宋体" w:hAnsi="宋体" w:eastAsia="宋体" w:cs="宋体"/>
          <w:sz w:val="32"/>
          <w:szCs w:val="32"/>
        </w:rPr>
      </w:pPr>
      <w:r>
        <w:rPr>
          <w:rFonts w:hint="eastAsia" w:ascii="宋体" w:hAnsi="宋体" w:cs="宋体"/>
          <w:sz w:val="32"/>
          <w:szCs w:val="32"/>
          <w:lang w:eastAsia="zh-CN"/>
        </w:rPr>
        <w:t>黑烟车</w:t>
      </w:r>
      <w:r>
        <w:rPr>
          <w:rFonts w:hint="eastAsia" w:ascii="宋体" w:hAnsi="宋体" w:eastAsia="宋体" w:cs="宋体"/>
          <w:sz w:val="32"/>
          <w:szCs w:val="32"/>
        </w:rPr>
        <w:t>违规进入禁行区域的，</w:t>
      </w:r>
      <w:r>
        <w:rPr>
          <w:rFonts w:hint="eastAsia" w:ascii="宋体" w:hAnsi="宋体" w:cs="宋体"/>
          <w:sz w:val="32"/>
          <w:szCs w:val="32"/>
          <w:lang w:eastAsia="zh-CN"/>
        </w:rPr>
        <w:t>由生态环境主管部门及其环境执法机构会同公安机关交通管理部门可以采取现场检查监测、电子监控、摄像拍照、自动监测、遥感监测、远红外摄像等方式，对在道路上行驶的黑烟车进行调查取证，并</w:t>
      </w:r>
      <w:r>
        <w:rPr>
          <w:rFonts w:hint="eastAsia" w:ascii="宋体" w:hAnsi="宋体" w:eastAsia="宋体" w:cs="宋体"/>
          <w:sz w:val="32"/>
          <w:szCs w:val="32"/>
        </w:rPr>
        <w:t>由公安机关交通管理部门</w:t>
      </w:r>
      <w:r>
        <w:rPr>
          <w:rFonts w:hint="eastAsia" w:ascii="宋体" w:hAnsi="宋体" w:cs="宋体"/>
          <w:sz w:val="32"/>
          <w:szCs w:val="32"/>
          <w:lang w:eastAsia="zh-CN"/>
        </w:rPr>
        <w:t>依法</w:t>
      </w:r>
      <w:r>
        <w:rPr>
          <w:rFonts w:hint="eastAsia" w:ascii="宋体" w:hAnsi="宋体" w:eastAsia="宋体" w:cs="宋体"/>
          <w:sz w:val="32"/>
          <w:szCs w:val="32"/>
        </w:rPr>
        <w:t>进行处罚。本通告实施后的第一个月为禁行措施试行期，对试行期内的违规行为，由公安机关交通管理部门进行批评教育，暂不实施处罚。试行期届满后，违反交通禁令标志指示的，公安机关交通管理部门正式对机动车驾驶员处以记3分并罚款200元。</w:t>
      </w:r>
    </w:p>
    <w:p>
      <w:pPr>
        <w:spacing w:line="600" w:lineRule="exact"/>
        <w:ind w:firstLine="640" w:firstLineChars="200"/>
        <w:outlineLvl w:val="0"/>
        <w:rPr>
          <w:rFonts w:hint="eastAsia" w:ascii="宋体" w:hAnsi="宋体" w:eastAsia="宋体" w:cs="宋体"/>
          <w:sz w:val="32"/>
          <w:szCs w:val="32"/>
        </w:rPr>
      </w:pPr>
      <w:bookmarkStart w:id="0" w:name="OLE_LINK1"/>
      <w:r>
        <w:rPr>
          <w:rFonts w:hint="eastAsia" w:ascii="宋体" w:hAnsi="宋体" w:cs="宋体"/>
          <w:sz w:val="32"/>
          <w:szCs w:val="32"/>
          <w:lang w:eastAsia="zh-CN"/>
        </w:rPr>
        <w:t>四</w:t>
      </w:r>
      <w:r>
        <w:rPr>
          <w:rFonts w:hint="eastAsia" w:ascii="宋体" w:hAnsi="宋体" w:eastAsia="宋体" w:cs="宋体"/>
          <w:sz w:val="32"/>
          <w:szCs w:val="32"/>
        </w:rPr>
        <w:t>、禁行标志牌</w:t>
      </w:r>
    </w:p>
    <w:bookmarkEnd w:id="0"/>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黑烟车禁行标志牌主标为国家规定的“禁止机动车通行”禁令标志，下面辅以“黑烟车</w:t>
      </w:r>
      <w:r>
        <w:rPr>
          <w:rFonts w:hint="eastAsia" w:ascii="宋体" w:hAnsi="宋体" w:cs="宋体"/>
          <w:sz w:val="32"/>
          <w:szCs w:val="32"/>
          <w:lang w:eastAsia="zh-CN"/>
        </w:rPr>
        <w:t>、排放检验不合格机动车</w:t>
      </w:r>
      <w:r>
        <w:rPr>
          <w:rFonts w:hint="eastAsia" w:ascii="宋体" w:hAnsi="宋体" w:eastAsia="宋体" w:cs="宋体"/>
          <w:sz w:val="32"/>
          <w:szCs w:val="32"/>
        </w:rPr>
        <w:t>”等文字（式样见下图）。</w:t>
      </w:r>
    </w:p>
    <w:p>
      <w:pPr>
        <w:spacing w:line="600" w:lineRule="exact"/>
        <w:ind w:firstLine="420" w:firstLineChars="200"/>
        <w:rPr>
          <w:rFonts w:hint="eastAsia" w:ascii="宋体" w:hAnsi="宋体" w:eastAsia="宋体" w:cs="宋体"/>
          <w:sz w:val="32"/>
          <w:szCs w:val="32"/>
        </w:rPr>
      </w:pPr>
      <w:r>
        <w:rPr>
          <w:rFonts w:hint="eastAsia" w:ascii="宋体" w:hAnsi="宋体" w:eastAsia="宋体" w:cs="宋体"/>
        </w:rPr>
        <w:drawing>
          <wp:anchor distT="0" distB="0" distL="114300" distR="114300" simplePos="0" relativeHeight="251660288" behindDoc="0" locked="0" layoutInCell="1" allowOverlap="1">
            <wp:simplePos x="0" y="0"/>
            <wp:positionH relativeFrom="page">
              <wp:posOffset>3001645</wp:posOffset>
            </wp:positionH>
            <wp:positionV relativeFrom="page">
              <wp:posOffset>7608570</wp:posOffset>
            </wp:positionV>
            <wp:extent cx="1308100" cy="1752600"/>
            <wp:effectExtent l="0" t="0" r="6350"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7"/>
                    <a:srcRect/>
                    <a:stretch>
                      <a:fillRect/>
                    </a:stretch>
                  </pic:blipFill>
                  <pic:spPr>
                    <a:xfrm>
                      <a:off x="0" y="0"/>
                      <a:ext cx="1308100" cy="1752600"/>
                    </a:xfrm>
                    <a:prstGeom prst="rect">
                      <a:avLst/>
                    </a:prstGeom>
                    <a:noFill/>
                  </pic:spPr>
                </pic:pic>
              </a:graphicData>
            </a:graphic>
          </wp:anchor>
        </w:drawing>
      </w:r>
    </w:p>
    <w:p>
      <w:pPr>
        <w:widowControl/>
        <w:spacing w:line="600" w:lineRule="exact"/>
        <w:jc w:val="center"/>
        <w:rPr>
          <w:rFonts w:hint="eastAsia" w:ascii="宋体" w:hAnsi="宋体" w:eastAsia="宋体" w:cs="宋体"/>
        </w:rPr>
      </w:pPr>
    </w:p>
    <w:p>
      <w:pPr>
        <w:widowControl/>
        <w:spacing w:line="600" w:lineRule="exact"/>
        <w:jc w:val="center"/>
        <w:rPr>
          <w:rFonts w:hint="eastAsia" w:ascii="宋体" w:hAnsi="宋体" w:eastAsia="宋体" w:cs="宋体"/>
        </w:rPr>
      </w:pPr>
    </w:p>
    <w:p>
      <w:pPr>
        <w:widowControl/>
        <w:spacing w:line="600" w:lineRule="exact"/>
        <w:jc w:val="center"/>
        <w:rPr>
          <w:rFonts w:hint="eastAsia" w:ascii="宋体" w:hAnsi="宋体" w:eastAsia="宋体" w:cs="宋体"/>
        </w:rPr>
      </w:pPr>
    </w:p>
    <w:p>
      <w:pPr>
        <w:widowControl/>
        <w:spacing w:line="600" w:lineRule="exact"/>
        <w:jc w:val="center"/>
        <w:rPr>
          <w:rFonts w:hint="eastAsia" w:ascii="宋体" w:hAnsi="宋体" w:eastAsia="宋体" w:cs="宋体"/>
        </w:rPr>
      </w:pPr>
    </w:p>
    <w:p>
      <w:pPr>
        <w:pStyle w:val="8"/>
        <w:spacing w:line="600" w:lineRule="exact"/>
        <w:jc w:val="center"/>
        <w:rPr>
          <w:rFonts w:hint="eastAsia" w:ascii="宋体" w:hAnsi="宋体" w:eastAsia="宋体" w:cs="宋体"/>
          <w:sz w:val="32"/>
          <w:szCs w:val="32"/>
        </w:rPr>
      </w:pPr>
      <w:r>
        <w:rPr>
          <w:rFonts w:hint="eastAsia" w:ascii="宋体" w:hAnsi="宋体" w:eastAsia="宋体" w:cs="宋体"/>
          <w:sz w:val="32"/>
          <w:szCs w:val="32"/>
        </w:rPr>
        <w:t>韶关市黑烟车禁行标志牌式样</w:t>
      </w:r>
    </w:p>
    <w:p>
      <w:pPr>
        <w:spacing w:line="600" w:lineRule="exact"/>
        <w:ind w:firstLine="640" w:firstLineChars="200"/>
        <w:outlineLvl w:val="0"/>
        <w:rPr>
          <w:rFonts w:hint="eastAsia" w:ascii="宋体" w:hAnsi="宋体" w:eastAsia="宋体" w:cs="宋体"/>
          <w:sz w:val="32"/>
          <w:szCs w:val="32"/>
        </w:rPr>
      </w:pPr>
      <w:r>
        <w:rPr>
          <w:rFonts w:hint="eastAsia" w:ascii="宋体" w:hAnsi="宋体" w:eastAsia="宋体" w:cs="宋体"/>
          <w:sz w:val="32"/>
          <w:szCs w:val="32"/>
        </w:rPr>
        <w:t>四、附则</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本通告所称黑烟车是指排放黑烟等可视污染物或者烟度值超过林格曼1级的机动车。</w:t>
      </w:r>
    </w:p>
    <w:p>
      <w:pPr>
        <w:rPr>
          <w:rFonts w:hint="eastAsia" w:ascii="宋体" w:hAnsi="宋体" w:eastAsia="宋体" w:cs="宋体"/>
        </w:rPr>
      </w:pPr>
    </w:p>
    <w:sectPr>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1321" w:h="357" w:hRule="exact" w:wrap="around" w:vAnchor="page" w:hAnchor="page" w:x="9130" w:y="15083"/>
      <w:rPr>
        <w:rStyle w:val="5"/>
        <w:rFonts w:ascii="宋体" w:hAnsi="宋体"/>
        <w:sz w:val="28"/>
      </w:rPr>
    </w:pPr>
    <w:r>
      <w:rPr>
        <w:rStyle w:val="5"/>
        <w:rFonts w:hint="eastAsia" w:ascii="宋体" w:hAnsi="宋体"/>
        <w:sz w:val="28"/>
      </w:rPr>
      <w:t>—</w:t>
    </w:r>
    <w:r>
      <w:rPr>
        <w:rFonts w:ascii="宋体" w:hAnsi="宋体"/>
        <w:sz w:val="28"/>
      </w:rPr>
      <w:fldChar w:fldCharType="begin"/>
    </w:r>
    <w:r>
      <w:rPr>
        <w:rStyle w:val="5"/>
        <w:rFonts w:ascii="宋体" w:hAnsi="宋体"/>
        <w:sz w:val="28"/>
      </w:rPr>
      <w:instrText xml:space="preserve">PAGE  </w:instrText>
    </w:r>
    <w:r>
      <w:rPr>
        <w:rFonts w:ascii="宋体" w:hAnsi="宋体"/>
        <w:sz w:val="28"/>
      </w:rPr>
      <w:fldChar w:fldCharType="separate"/>
    </w:r>
    <w:r>
      <w:rPr>
        <w:rStyle w:val="5"/>
        <w:rFonts w:ascii="宋体" w:hAnsi="宋体"/>
        <w:sz w:val="28"/>
      </w:rPr>
      <w:t>5</w:t>
    </w:r>
    <w:r>
      <w:rPr>
        <w:rFonts w:ascii="宋体" w:hAnsi="宋体"/>
        <w:sz w:val="28"/>
      </w:rPr>
      <w:fldChar w:fldCharType="end"/>
    </w:r>
    <w:r>
      <w:rPr>
        <w:rStyle w:val="5"/>
        <w:rFonts w:hint="eastAsia" w:ascii="宋体" w:hAnsi="宋体"/>
        <w:sz w:val="28"/>
      </w:rPr>
      <w:t>—</w:t>
    </w:r>
  </w:p>
  <w:p>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0B56D1"/>
    <w:rsid w:val="01C603F4"/>
    <w:rsid w:val="03145BC8"/>
    <w:rsid w:val="07CC7BFB"/>
    <w:rsid w:val="08B477A1"/>
    <w:rsid w:val="1A1B4937"/>
    <w:rsid w:val="270B56D1"/>
    <w:rsid w:val="29B83ADF"/>
    <w:rsid w:val="2A163DDE"/>
    <w:rsid w:val="49D61293"/>
    <w:rsid w:val="5C0E04EF"/>
    <w:rsid w:val="627B7539"/>
    <w:rsid w:val="648C6A70"/>
    <w:rsid w:val="74E5439C"/>
    <w:rsid w:val="7D677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rPr>
  </w:style>
  <w:style w:type="character" w:styleId="5">
    <w:name w:val="page number"/>
    <w:basedOn w:val="4"/>
    <w:qFormat/>
    <w:uiPriority w:val="0"/>
  </w:style>
  <w:style w:type="character" w:customStyle="1" w:styleId="7">
    <w:name w:val="样式 仿宋_GB2312 三号3"/>
    <w:qFormat/>
    <w:uiPriority w:val="154"/>
    <w:rPr>
      <w:rFonts w:ascii="Times New Roman" w:hAnsi="Times New Roman" w:eastAsia="Times New Roman"/>
      <w:w w:val="100"/>
      <w:sz w:val="32"/>
      <w:szCs w:val="32"/>
      <w:shd w:val="clear"/>
    </w:rPr>
  </w:style>
  <w:style w:type="paragraph" w:customStyle="1" w:styleId="8">
    <w:name w:val="正文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Office_10.8.2.7098_F1E327BC-269C-435d-A152-05C5408002CA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2020-03-17T02:09:00Z</dcterms:created>
  <dc:creator>刘艺华</dc:creator>
  <cp:lastModifiedBy>Administrator</cp:lastModifiedBy>
  <dcterms:modified xsi:type="dcterms:W3CDTF">2020-06-12T02:49:35Z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2052-10.8.2.7098</vt:lpwstr>
  </property>
  <property fmtid="{D5CDD505-2E9C-101B-9397-08002B2CF9AE}" pid="3" name="ribbonExt">
    <vt:lpwstr>{"WPSExtOfficeTab":{"OnGetEnabled":false,"OnGetVisible":false}}</vt:lpwstr>
  </property>
</Properties>
</file>