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89" w:rsidRDefault="009B419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韶关市曲江区市场监督管理局</w:t>
      </w:r>
    </w:p>
    <w:p w:rsidR="00720989" w:rsidRDefault="009B419C">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行政处罚决定书</w:t>
      </w:r>
    </w:p>
    <w:p w:rsidR="00720989" w:rsidRDefault="00720989">
      <w:pPr>
        <w:spacing w:line="560" w:lineRule="exact"/>
        <w:jc w:val="center"/>
        <w:rPr>
          <w:rFonts w:ascii="方正小标宋简体" w:eastAsia="方正小标宋简体" w:hAnsi="方正小标宋简体" w:cs="方正小标宋简体"/>
          <w:bCs/>
          <w:sz w:val="44"/>
          <w:szCs w:val="44"/>
        </w:rPr>
      </w:pPr>
    </w:p>
    <w:p w:rsidR="00720989" w:rsidRDefault="009B419C">
      <w:pPr>
        <w:widowControl/>
        <w:snapToGrid w:val="0"/>
        <w:spacing w:line="360" w:lineRule="auto"/>
        <w:ind w:right="55"/>
        <w:jc w:val="center"/>
        <w:rPr>
          <w:rFonts w:ascii="仿宋" w:eastAsia="仿宋" w:hAnsi="仿宋" w:cs="仿宋"/>
          <w:sz w:val="32"/>
          <w:szCs w:val="32"/>
        </w:rPr>
      </w:pPr>
      <w:proofErr w:type="gramStart"/>
      <w:r>
        <w:rPr>
          <w:rFonts w:ascii="仿宋" w:eastAsia="仿宋" w:hAnsi="仿宋" w:cs="仿宋" w:hint="eastAsia"/>
          <w:bCs/>
          <w:sz w:val="32"/>
          <w:szCs w:val="32"/>
        </w:rPr>
        <w:t>韶</w:t>
      </w:r>
      <w:proofErr w:type="gramEnd"/>
      <w:r>
        <w:rPr>
          <w:rFonts w:ascii="仿宋" w:eastAsia="仿宋" w:hAnsi="仿宋" w:cs="仿宋" w:hint="eastAsia"/>
          <w:bCs/>
          <w:sz w:val="32"/>
          <w:szCs w:val="32"/>
        </w:rPr>
        <w:t>曲</w:t>
      </w:r>
      <w:proofErr w:type="gramStart"/>
      <w:r>
        <w:rPr>
          <w:rFonts w:ascii="仿宋" w:eastAsia="仿宋" w:hAnsi="仿宋" w:cs="仿宋" w:hint="eastAsia"/>
          <w:bCs/>
          <w:sz w:val="32"/>
          <w:szCs w:val="32"/>
        </w:rPr>
        <w:t>市监罚</w:t>
      </w:r>
      <w:proofErr w:type="gramEnd"/>
      <w:r>
        <w:rPr>
          <w:rFonts w:ascii="仿宋" w:eastAsia="仿宋" w:hAnsi="仿宋" w:cs="仿宋" w:hint="eastAsia"/>
          <w:bCs/>
          <w:sz w:val="32"/>
          <w:szCs w:val="32"/>
        </w:rPr>
        <w:t>〔2020〕3号</w:t>
      </w:r>
      <w:r w:rsidR="002F21A2">
        <w:rPr>
          <w:rFonts w:ascii="仿宋" w:eastAsia="仿宋" w:hAnsi="仿宋" w:cs="仿宋"/>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3pt;margin-top:1638pt;width:453.7pt;height:.05pt;z-index:251658240;mso-position-horizontal-relative:text;mso-position-vertical-relative:text;v-text-anchor:middle" o:connectortype="straight" o:preferrelative="t" o:allowoverlap="f" strokeweight="1.5pt">
            <v:stroke miterlimit="2"/>
            <v:textbox inset="7pt,4pt,7pt,4pt">
              <w:txbxContent>
                <w:p w:rsidR="00720989" w:rsidRDefault="00720989">
                  <w:pPr>
                    <w:wordWrap w:val="0"/>
                    <w:rPr>
                      <w:rFonts w:ascii="宋体" w:hAnsi="宋体"/>
                      <w:sz w:val="20"/>
                      <w:szCs w:val="20"/>
                    </w:rPr>
                  </w:pPr>
                </w:p>
              </w:txbxContent>
            </v:textbox>
          </v:shape>
        </w:pict>
      </w:r>
    </w:p>
    <w:p w:rsidR="00720989" w:rsidRPr="009258B2" w:rsidRDefault="009B419C" w:rsidP="009258B2">
      <w:pPr>
        <w:snapToGrid w:val="0"/>
        <w:spacing w:line="360" w:lineRule="auto"/>
        <w:rPr>
          <w:rFonts w:ascii="仿宋" w:eastAsia="仿宋" w:hAnsi="仿宋" w:cs="仿宋"/>
          <w:kern w:val="1"/>
          <w:sz w:val="32"/>
          <w:szCs w:val="32"/>
        </w:rPr>
      </w:pPr>
      <w:r w:rsidRPr="009258B2">
        <w:rPr>
          <w:rFonts w:ascii="仿宋" w:eastAsia="仿宋" w:hAnsi="仿宋" w:cs="仿宋" w:hint="eastAsia"/>
          <w:kern w:val="1"/>
          <w:sz w:val="32"/>
          <w:szCs w:val="32"/>
        </w:rPr>
        <w:t xml:space="preserve">当事人：广东南华置业有限公司            </w:t>
      </w:r>
    </w:p>
    <w:p w:rsidR="00720989" w:rsidRPr="009258B2" w:rsidRDefault="009B419C" w:rsidP="009258B2">
      <w:pPr>
        <w:snapToGrid w:val="0"/>
        <w:spacing w:line="360" w:lineRule="auto"/>
        <w:rPr>
          <w:rFonts w:ascii="仿宋" w:eastAsia="仿宋" w:hAnsi="仿宋" w:cs="仿宋"/>
          <w:kern w:val="1"/>
          <w:sz w:val="32"/>
          <w:szCs w:val="32"/>
        </w:rPr>
      </w:pPr>
      <w:r w:rsidRPr="009258B2">
        <w:rPr>
          <w:rFonts w:ascii="仿宋" w:eastAsia="仿宋" w:hAnsi="仿宋" w:cs="仿宋" w:hint="eastAsia"/>
          <w:kern w:val="1"/>
          <w:sz w:val="32"/>
          <w:szCs w:val="32"/>
        </w:rPr>
        <w:t>主体资格证照</w:t>
      </w:r>
      <w:r>
        <w:rPr>
          <w:rFonts w:ascii="仿宋" w:eastAsia="仿宋" w:hAnsi="仿宋" w:cs="仿宋" w:hint="eastAsia"/>
          <w:kern w:val="1"/>
          <w:sz w:val="32"/>
          <w:szCs w:val="32"/>
        </w:rPr>
        <w:t>名称：</w:t>
      </w:r>
      <w:r w:rsidRPr="009258B2">
        <w:rPr>
          <w:rFonts w:ascii="仿宋" w:eastAsia="仿宋" w:hAnsi="仿宋" w:cs="仿宋" w:hint="eastAsia"/>
          <w:kern w:val="1"/>
          <w:sz w:val="32"/>
          <w:szCs w:val="32"/>
        </w:rPr>
        <w:t>《营业执照》</w:t>
      </w:r>
      <w:r>
        <w:rPr>
          <w:rFonts w:ascii="仿宋" w:eastAsia="仿宋" w:hAnsi="仿宋" w:cs="仿宋" w:hint="eastAsia"/>
          <w:kern w:val="1"/>
          <w:sz w:val="32"/>
          <w:szCs w:val="32"/>
        </w:rPr>
        <w:t xml:space="preserve">                      </w:t>
      </w:r>
    </w:p>
    <w:p w:rsidR="00720989" w:rsidRDefault="009B419C" w:rsidP="009258B2">
      <w:pPr>
        <w:snapToGrid w:val="0"/>
        <w:spacing w:line="360" w:lineRule="auto"/>
        <w:rPr>
          <w:rFonts w:ascii="仿宋" w:eastAsia="仿宋" w:hAnsi="仿宋" w:cs="仿宋"/>
          <w:kern w:val="1"/>
          <w:sz w:val="32"/>
          <w:szCs w:val="32"/>
        </w:rPr>
      </w:pPr>
      <w:r w:rsidRPr="009258B2">
        <w:rPr>
          <w:rFonts w:ascii="仿宋" w:eastAsia="仿宋" w:hAnsi="仿宋" w:cs="仿宋" w:hint="eastAsia"/>
          <w:kern w:val="1"/>
          <w:sz w:val="32"/>
          <w:szCs w:val="32"/>
        </w:rPr>
        <w:t xml:space="preserve">统一社会信用代码：91440205588287769U  </w:t>
      </w:r>
    </w:p>
    <w:p w:rsidR="00720989" w:rsidRPr="009258B2" w:rsidRDefault="009B419C">
      <w:pPr>
        <w:snapToGrid w:val="0"/>
        <w:spacing w:line="360" w:lineRule="auto"/>
        <w:rPr>
          <w:rFonts w:ascii="仿宋" w:eastAsia="仿宋" w:hAnsi="仿宋" w:cs="仿宋"/>
          <w:kern w:val="1"/>
          <w:sz w:val="32"/>
          <w:szCs w:val="32"/>
        </w:rPr>
      </w:pPr>
      <w:r>
        <w:rPr>
          <w:rFonts w:ascii="仿宋" w:eastAsia="仿宋" w:hAnsi="仿宋" w:cs="仿宋" w:hint="eastAsia"/>
          <w:kern w:val="1"/>
          <w:sz w:val="32"/>
          <w:szCs w:val="32"/>
        </w:rPr>
        <w:t>住所（住址）：</w:t>
      </w:r>
      <w:r w:rsidRPr="009258B2">
        <w:rPr>
          <w:rFonts w:ascii="仿宋" w:eastAsia="仿宋" w:hAnsi="仿宋" w:cs="仿宋" w:hint="eastAsia"/>
          <w:kern w:val="1"/>
          <w:sz w:val="32"/>
          <w:szCs w:val="32"/>
        </w:rPr>
        <w:t>韶关市曲江区江畔花园1期住房公积金管理中心曲江区办事处二楼（一照多址）</w:t>
      </w:r>
    </w:p>
    <w:p w:rsidR="00720989" w:rsidRPr="009258B2" w:rsidRDefault="009B419C">
      <w:pPr>
        <w:snapToGrid w:val="0"/>
        <w:spacing w:line="360" w:lineRule="auto"/>
        <w:rPr>
          <w:rFonts w:ascii="仿宋" w:eastAsia="仿宋" w:hAnsi="仿宋" w:cs="仿宋"/>
          <w:kern w:val="1"/>
          <w:sz w:val="32"/>
          <w:szCs w:val="32"/>
        </w:rPr>
      </w:pPr>
      <w:r w:rsidRPr="009258B2">
        <w:rPr>
          <w:rFonts w:ascii="仿宋" w:eastAsia="仿宋" w:hAnsi="仿宋" w:cs="仿宋" w:hint="eastAsia"/>
          <w:kern w:val="1"/>
          <w:sz w:val="32"/>
          <w:szCs w:val="32"/>
        </w:rPr>
        <w:t>法定代表人：</w:t>
      </w:r>
      <w:proofErr w:type="gramStart"/>
      <w:r w:rsidRPr="009258B2">
        <w:rPr>
          <w:rFonts w:ascii="仿宋" w:eastAsia="仿宋" w:hAnsi="仿宋" w:cs="仿宋" w:hint="eastAsia"/>
          <w:kern w:val="1"/>
          <w:sz w:val="32"/>
          <w:szCs w:val="32"/>
        </w:rPr>
        <w:t>钟练文</w:t>
      </w:r>
      <w:proofErr w:type="gramEnd"/>
    </w:p>
    <w:p w:rsidR="00460B96" w:rsidRDefault="00460B96" w:rsidP="00460B96">
      <w:pPr>
        <w:snapToGrid w:val="0"/>
        <w:spacing w:line="360" w:lineRule="auto"/>
        <w:rPr>
          <w:rFonts w:ascii="仿宋_GB2312" w:eastAsia="仿宋_GB2312" w:hAnsi="仿宋_GB2312" w:cs="仿宋_GB2312"/>
          <w:bCs/>
          <w:sz w:val="32"/>
          <w:szCs w:val="32"/>
        </w:rPr>
      </w:pPr>
      <w:r>
        <w:rPr>
          <w:rFonts w:ascii="仿宋" w:eastAsia="仿宋" w:hAnsi="仿宋" w:cs="仿宋" w:hint="eastAsia"/>
          <w:kern w:val="1"/>
          <w:sz w:val="32"/>
          <w:szCs w:val="32"/>
        </w:rPr>
        <w:t>身份证号码：******************</w:t>
      </w:r>
    </w:p>
    <w:p w:rsidR="00720989" w:rsidRPr="009258B2" w:rsidRDefault="00460B96" w:rsidP="00460B96">
      <w:pPr>
        <w:snapToGrid w:val="0"/>
        <w:spacing w:line="360" w:lineRule="auto"/>
        <w:rPr>
          <w:rFonts w:ascii="仿宋" w:eastAsia="仿宋" w:hAnsi="仿宋" w:cs="仿宋"/>
          <w:kern w:val="1"/>
          <w:sz w:val="32"/>
          <w:szCs w:val="32"/>
        </w:rPr>
      </w:pPr>
      <w:r>
        <w:rPr>
          <w:rFonts w:ascii="仿宋" w:eastAsia="仿宋" w:hAnsi="仿宋" w:cs="仿宋" w:hint="eastAsia"/>
          <w:kern w:val="1"/>
          <w:sz w:val="32"/>
          <w:szCs w:val="32"/>
        </w:rPr>
        <w:t xml:space="preserve">联系电话：*********** </w:t>
      </w:r>
      <w:r>
        <w:rPr>
          <w:rFonts w:ascii="仿宋_GB2312" w:eastAsia="仿宋_GB2312" w:hAnsi="仿宋_GB2312" w:cs="仿宋_GB2312" w:hint="eastAsia"/>
          <w:bCs/>
          <w:sz w:val="32"/>
          <w:szCs w:val="32"/>
        </w:rPr>
        <w:t xml:space="preserve"> </w:t>
      </w:r>
      <w:r>
        <w:rPr>
          <w:rFonts w:ascii="仿宋" w:eastAsia="仿宋" w:hAnsi="仿宋" w:cs="仿宋" w:hint="eastAsia"/>
          <w:kern w:val="1"/>
          <w:sz w:val="32"/>
          <w:szCs w:val="32"/>
        </w:rPr>
        <w:t xml:space="preserve">    其他联系方式：  /   </w:t>
      </w:r>
      <w:r w:rsidR="009B419C">
        <w:rPr>
          <w:rFonts w:ascii="仿宋" w:eastAsia="仿宋" w:hAnsi="仿宋" w:cs="仿宋" w:hint="eastAsia"/>
          <w:kern w:val="1"/>
          <w:sz w:val="32"/>
          <w:szCs w:val="32"/>
        </w:rPr>
        <w:t xml:space="preserve">         </w:t>
      </w:r>
    </w:p>
    <w:p w:rsidR="00720989" w:rsidRPr="009258B2" w:rsidRDefault="009B419C">
      <w:pPr>
        <w:snapToGrid w:val="0"/>
        <w:spacing w:line="360" w:lineRule="auto"/>
        <w:rPr>
          <w:rFonts w:ascii="仿宋" w:eastAsia="仿宋" w:hAnsi="仿宋" w:cs="仿宋"/>
          <w:kern w:val="1"/>
          <w:sz w:val="32"/>
          <w:szCs w:val="32"/>
        </w:rPr>
      </w:pPr>
      <w:r w:rsidRPr="009258B2">
        <w:rPr>
          <w:rFonts w:ascii="仿宋" w:eastAsia="仿宋" w:hAnsi="仿宋" w:cs="仿宋" w:hint="eastAsia"/>
          <w:kern w:val="1"/>
          <w:sz w:val="32"/>
          <w:szCs w:val="32"/>
        </w:rPr>
        <w:t>联系地址：韶关市曲江区江畔花园1期住房公积金管理中心曲江区办事处二楼（一照多址）</w:t>
      </w:r>
    </w:p>
    <w:p w:rsid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2019年8月10日，韶关市市场监督管理局委托深圳中检联检测有限公司对当事人生产经营的饮用纯净水（商标：松山沁；生产日期：2019.08.08；规格：380ml/瓶；）进行监督抽检。2019年9月9日，我局收到</w:t>
      </w:r>
      <w:proofErr w:type="gramStart"/>
      <w:r w:rsidRPr="009258B2">
        <w:rPr>
          <w:rFonts w:ascii="仿宋" w:eastAsia="仿宋" w:hAnsi="仿宋" w:cs="仿宋" w:hint="eastAsia"/>
          <w:kern w:val="1"/>
          <w:sz w:val="32"/>
          <w:szCs w:val="32"/>
        </w:rPr>
        <w:t>韶市监执</w:t>
      </w:r>
      <w:proofErr w:type="gramEnd"/>
      <w:r w:rsidRPr="009258B2">
        <w:rPr>
          <w:rFonts w:ascii="仿宋" w:eastAsia="仿宋" w:hAnsi="仿宋" w:cs="仿宋" w:hint="eastAsia"/>
          <w:kern w:val="1"/>
          <w:sz w:val="32"/>
          <w:szCs w:val="32"/>
        </w:rPr>
        <w:t>三[2019]S78号《关于对抽检不合格食品进行核查的通知》和核查通知附件深圳中检联检测有限公司《检验报告》（No.:F1908S2529），该《检验报告》显示当事人在2019年8月8日生产经营的饮用纯净水（商标：松山沁；生产日期：2019.08.08；规格：380ml/瓶）的检验结论是：经抽样检验，铜绿假单胞</w:t>
      </w:r>
      <w:proofErr w:type="gramStart"/>
      <w:r w:rsidRPr="009258B2">
        <w:rPr>
          <w:rFonts w:ascii="仿宋" w:eastAsia="仿宋" w:hAnsi="仿宋" w:cs="仿宋" w:hint="eastAsia"/>
          <w:kern w:val="1"/>
          <w:sz w:val="32"/>
          <w:szCs w:val="32"/>
        </w:rPr>
        <w:t>菌项目</w:t>
      </w:r>
      <w:proofErr w:type="gramEnd"/>
      <w:r w:rsidRPr="009258B2">
        <w:rPr>
          <w:rFonts w:ascii="仿宋" w:eastAsia="仿宋" w:hAnsi="仿宋" w:cs="仿宋" w:hint="eastAsia"/>
          <w:kern w:val="1"/>
          <w:sz w:val="32"/>
          <w:szCs w:val="32"/>
        </w:rPr>
        <w:lastRenderedPageBreak/>
        <w:t>不符合《食品安全国家标准 包装饮用水》GB19298-2014要求，检验结论为不合格。[深圳中检联检测有限公司《检验报告》（No.:F1908S2529），不合格项：铜绿假单胞菌（标准限值：n:5，c:0，m:0</w:t>
      </w:r>
      <w:r w:rsidR="00A4098A">
        <w:rPr>
          <w:rFonts w:ascii="仿宋" w:eastAsia="仿宋" w:hAnsi="仿宋" w:cs="仿宋" w:hint="eastAsia"/>
          <w:kern w:val="1"/>
          <w:sz w:val="32"/>
          <w:szCs w:val="32"/>
        </w:rPr>
        <w:t>）</w:t>
      </w:r>
      <w:r w:rsidRPr="009258B2">
        <w:rPr>
          <w:rFonts w:ascii="仿宋" w:eastAsia="仿宋" w:hAnsi="仿宋" w:cs="仿宋" w:hint="eastAsia"/>
          <w:kern w:val="1"/>
          <w:sz w:val="32"/>
          <w:szCs w:val="32"/>
        </w:rPr>
        <w:t>；单项判定：不符合。]。2019年9月10日下午，我局执法人员将深圳中检联检测有限公司《检验报告》（No.:F1908S2529）送达当事人并对当事人进行了现场检查，执法人员现场未发现当事人生产车间等场所存放有上述批次饮用纯净水，执法人员现场未采取行政强制措施。当事人生产不符合食品安全标准的食品饮用纯净水的行为，涉嫌违反了《中华人民共和国食品安全法》第三十四条第一款第（十三）项的规定，经局领导批准，我局对当事人涉嫌生产经营不符合食品安全标准的食品饮用纯净</w:t>
      </w:r>
      <w:proofErr w:type="gramStart"/>
      <w:r w:rsidRPr="009258B2">
        <w:rPr>
          <w:rFonts w:ascii="仿宋" w:eastAsia="仿宋" w:hAnsi="仿宋" w:cs="仿宋" w:hint="eastAsia"/>
          <w:kern w:val="1"/>
          <w:sz w:val="32"/>
          <w:szCs w:val="32"/>
        </w:rPr>
        <w:t>水行为</w:t>
      </w:r>
      <w:proofErr w:type="gramEnd"/>
      <w:r w:rsidRPr="009258B2">
        <w:rPr>
          <w:rFonts w:ascii="仿宋" w:eastAsia="仿宋" w:hAnsi="仿宋" w:cs="仿宋" w:hint="eastAsia"/>
          <w:kern w:val="1"/>
          <w:sz w:val="32"/>
          <w:szCs w:val="32"/>
        </w:rPr>
        <w:t>进行立案调查。</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经查，当事人于2019年8月8日共生</w:t>
      </w:r>
      <w:proofErr w:type="gramStart"/>
      <w:r w:rsidRPr="009258B2">
        <w:rPr>
          <w:rFonts w:ascii="仿宋" w:eastAsia="仿宋" w:hAnsi="仿宋" w:cs="仿宋" w:hint="eastAsia"/>
          <w:kern w:val="1"/>
          <w:sz w:val="32"/>
          <w:szCs w:val="32"/>
        </w:rPr>
        <w:t>产上述</w:t>
      </w:r>
      <w:proofErr w:type="gramEnd"/>
      <w:r w:rsidRPr="009258B2">
        <w:rPr>
          <w:rFonts w:ascii="仿宋" w:eastAsia="仿宋" w:hAnsi="仿宋" w:cs="仿宋" w:hint="eastAsia"/>
          <w:kern w:val="1"/>
          <w:sz w:val="32"/>
          <w:szCs w:val="32"/>
        </w:rPr>
        <w:t>批次饮用纯净水的数量是24000瓶（380ml/瓶），成本价是0.85元/瓶，销售价是0.96元/瓶，当事人销售上述批次饮用纯净水的总货值是23040元，当事人已销售上述批次饮用纯净水23664瓶，当事人于2019年9月11日召回上述批次饮用纯净水336瓶，当事人销售上述批次饮用纯净水所获得的违法所得是2603.04元。当事人能提供《2019年8月12日韶钢饮料厂支装水配送日报表》、2019年8月9日</w:t>
      </w:r>
      <w:proofErr w:type="gramStart"/>
      <w:r w:rsidRPr="009258B2">
        <w:rPr>
          <w:rFonts w:ascii="仿宋" w:eastAsia="仿宋" w:hAnsi="仿宋" w:cs="仿宋" w:hint="eastAsia"/>
          <w:kern w:val="1"/>
          <w:sz w:val="32"/>
          <w:szCs w:val="32"/>
        </w:rPr>
        <w:t>韶</w:t>
      </w:r>
      <w:proofErr w:type="gramEnd"/>
      <w:r w:rsidRPr="009258B2">
        <w:rPr>
          <w:rFonts w:ascii="仿宋" w:eastAsia="仿宋" w:hAnsi="仿宋" w:cs="仿宋" w:hint="eastAsia"/>
          <w:kern w:val="1"/>
          <w:sz w:val="32"/>
          <w:szCs w:val="32"/>
        </w:rPr>
        <w:t>钢饮料厂支装水</w:t>
      </w:r>
      <w:proofErr w:type="gramStart"/>
      <w:r w:rsidRPr="009258B2">
        <w:rPr>
          <w:rFonts w:ascii="仿宋" w:eastAsia="仿宋" w:hAnsi="仿宋" w:cs="仿宋" w:hint="eastAsia"/>
          <w:kern w:val="1"/>
          <w:sz w:val="32"/>
          <w:szCs w:val="32"/>
        </w:rPr>
        <w:t>配送日</w:t>
      </w:r>
      <w:proofErr w:type="gramEnd"/>
      <w:r w:rsidRPr="009258B2">
        <w:rPr>
          <w:rFonts w:ascii="仿宋" w:eastAsia="仿宋" w:hAnsi="仿宋" w:cs="仿宋" w:hint="eastAsia"/>
          <w:kern w:val="1"/>
          <w:sz w:val="32"/>
          <w:szCs w:val="32"/>
        </w:rPr>
        <w:t>报表</w:t>
      </w:r>
      <w:proofErr w:type="gramStart"/>
      <w:r w:rsidRPr="009258B2">
        <w:rPr>
          <w:rFonts w:ascii="仿宋" w:eastAsia="仿宋" w:hAnsi="仿宋" w:cs="仿宋" w:hint="eastAsia"/>
          <w:kern w:val="1"/>
          <w:sz w:val="32"/>
          <w:szCs w:val="32"/>
        </w:rPr>
        <w:t>》</w:t>
      </w:r>
      <w:proofErr w:type="gramEnd"/>
      <w:r w:rsidRPr="009258B2">
        <w:rPr>
          <w:rFonts w:ascii="仿宋" w:eastAsia="仿宋" w:hAnsi="仿宋" w:cs="仿宋" w:hint="eastAsia"/>
          <w:kern w:val="1"/>
          <w:sz w:val="32"/>
          <w:szCs w:val="32"/>
        </w:rPr>
        <w:t>和2019年9月11日召回上述批次不合格</w:t>
      </w:r>
      <w:r w:rsidRPr="009258B2">
        <w:rPr>
          <w:rFonts w:ascii="仿宋" w:eastAsia="仿宋" w:hAnsi="仿宋" w:cs="仿宋" w:hint="eastAsia"/>
          <w:kern w:val="1"/>
          <w:sz w:val="32"/>
          <w:szCs w:val="32"/>
        </w:rPr>
        <w:lastRenderedPageBreak/>
        <w:t>饮用纯净水的《不合格产品召回记录》，当事人生产上述批次饮用纯净水进行了出厂检验，能提供《韶钢饮料厂检验室检验报告》（生产日期2019年8月8日），当事人在出厂销售上述批次饮用纯净水前，未送第三方检验机构进行检验。2019年9月10日，当事人收到我局执法人员送达的深圳中检联检测有限公司《检验报告》（No.:F1908S2529）后，采取了产品召回、在生产车间门口张贴《召回公告》、电话通知购货者等措施进行产品召回，能提供召回上述批次不合格饮用纯净水的公告等资料和召回的不合格饮用纯净水产品336瓶。2020年2月25日，在我局执法人员监督下，当事人对召回的上述批次不合格饮用纯净水产品进行了销毁，销毁数量336瓶。</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当事人生产铜绿假单胞</w:t>
      </w:r>
      <w:proofErr w:type="gramStart"/>
      <w:r w:rsidRPr="009258B2">
        <w:rPr>
          <w:rFonts w:ascii="仿宋" w:eastAsia="仿宋" w:hAnsi="仿宋" w:cs="仿宋" w:hint="eastAsia"/>
          <w:kern w:val="1"/>
          <w:sz w:val="32"/>
          <w:szCs w:val="32"/>
        </w:rPr>
        <w:t>菌项目</w:t>
      </w:r>
      <w:proofErr w:type="gramEnd"/>
      <w:r w:rsidRPr="009258B2">
        <w:rPr>
          <w:rFonts w:ascii="仿宋" w:eastAsia="仿宋" w:hAnsi="仿宋" w:cs="仿宋" w:hint="eastAsia"/>
          <w:kern w:val="1"/>
          <w:sz w:val="32"/>
          <w:szCs w:val="32"/>
        </w:rPr>
        <w:t>不符合《食品安全国家标准 包装饮用水》GB19298-2014要求的饮用纯净水的行为，根据《中华人民共和国食品安全法》第三十四条第一款“禁止生产经营下列食品、食品添加剂、食品相关产品：（十三）其他不符合法律、法规或者食品安全标准的食品、食品添加剂、食品相关产品。”的规定，应定性为生产不符合食品安全标准的饮用纯净水。</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上述事实，主要有以下证据证明：</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1.当事人《营业执照》、《食品生产许可证》、当事人《居民身份证》等复印件各1份1页，证明当事人生产经营的主</w:t>
      </w:r>
      <w:r w:rsidRPr="009258B2">
        <w:rPr>
          <w:rFonts w:ascii="仿宋" w:eastAsia="仿宋" w:hAnsi="仿宋" w:cs="仿宋" w:hint="eastAsia"/>
          <w:kern w:val="1"/>
          <w:sz w:val="32"/>
          <w:szCs w:val="32"/>
        </w:rPr>
        <w:lastRenderedPageBreak/>
        <w:t>体资格；</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2.我局制作的《现场笔录》1份4页、《询问笔录》1份4页，证明当事人生产经营不符合食品安全标准的食品的违法事实；</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3. 《2019年8月12日韶钢饮料厂支装水配送日报表》、《2019年8月9日韶钢饮料厂支装水配送日报表》和《不合格产品召回记录》复印件各1份1页，证明当事人生产经营不符合食品安全标准的食品的违法事实；</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4.授权委托书1份共1页，证明当事人委托的权限、期限；</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5.《国家食品安全抽样检验抽样单》原件1份共1页、样品名称为饮用纯净水的深圳中检联检测有限公司《检验报告》（No.:F1908S2529）原件1份共4页，证明当事人提供样品饮用纯净水的事实和饮用纯净水样品经检验机构检验结果不符合《食品安全国家标准 包装饮用水》GB19298-2014要求的事实。</w:t>
      </w:r>
    </w:p>
    <w:p w:rsid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6.其他证据5份共12页，证明当事人生产经营不符合食品安全标准的食品的违法事实。</w:t>
      </w:r>
      <w:bookmarkStart w:id="0" w:name="_GoBack"/>
      <w:bookmarkEnd w:id="0"/>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我局于2020年3月6日向当事人下达了《行政处罚听证告知书》（</w:t>
      </w:r>
      <w:proofErr w:type="gramStart"/>
      <w:r w:rsidRPr="009258B2">
        <w:rPr>
          <w:rFonts w:ascii="仿宋" w:eastAsia="仿宋" w:hAnsi="仿宋" w:cs="仿宋" w:hint="eastAsia"/>
          <w:kern w:val="1"/>
          <w:sz w:val="32"/>
          <w:szCs w:val="32"/>
        </w:rPr>
        <w:t>韶</w:t>
      </w:r>
      <w:proofErr w:type="gramEnd"/>
      <w:r w:rsidRPr="009258B2">
        <w:rPr>
          <w:rFonts w:ascii="仿宋" w:eastAsia="仿宋" w:hAnsi="仿宋" w:cs="仿宋" w:hint="eastAsia"/>
          <w:kern w:val="1"/>
          <w:sz w:val="32"/>
          <w:szCs w:val="32"/>
        </w:rPr>
        <w:t>曲</w:t>
      </w:r>
      <w:proofErr w:type="gramStart"/>
      <w:r w:rsidRPr="009258B2">
        <w:rPr>
          <w:rFonts w:ascii="仿宋" w:eastAsia="仿宋" w:hAnsi="仿宋" w:cs="仿宋" w:hint="eastAsia"/>
          <w:kern w:val="1"/>
          <w:sz w:val="32"/>
          <w:szCs w:val="32"/>
        </w:rPr>
        <w:t>市监罚听告</w:t>
      </w:r>
      <w:proofErr w:type="gramEnd"/>
      <w:r w:rsidRPr="009258B2">
        <w:rPr>
          <w:rFonts w:ascii="仿宋" w:eastAsia="仿宋" w:hAnsi="仿宋" w:cs="仿宋" w:hint="eastAsia"/>
          <w:kern w:val="1"/>
          <w:sz w:val="32"/>
          <w:szCs w:val="32"/>
        </w:rPr>
        <w:t>〔2020〕1号）和《行政处罚告知书》（</w:t>
      </w:r>
      <w:proofErr w:type="gramStart"/>
      <w:r w:rsidRPr="009258B2">
        <w:rPr>
          <w:rFonts w:ascii="仿宋" w:eastAsia="仿宋" w:hAnsi="仿宋" w:cs="仿宋" w:hint="eastAsia"/>
          <w:kern w:val="1"/>
          <w:sz w:val="32"/>
          <w:szCs w:val="32"/>
        </w:rPr>
        <w:t>韶</w:t>
      </w:r>
      <w:proofErr w:type="gramEnd"/>
      <w:r w:rsidRPr="009258B2">
        <w:rPr>
          <w:rFonts w:ascii="仿宋" w:eastAsia="仿宋" w:hAnsi="仿宋" w:cs="仿宋" w:hint="eastAsia"/>
          <w:kern w:val="1"/>
          <w:sz w:val="32"/>
          <w:szCs w:val="32"/>
        </w:rPr>
        <w:t>曲</w:t>
      </w:r>
      <w:proofErr w:type="gramStart"/>
      <w:r w:rsidRPr="009258B2">
        <w:rPr>
          <w:rFonts w:ascii="仿宋" w:eastAsia="仿宋" w:hAnsi="仿宋" w:cs="仿宋" w:hint="eastAsia"/>
          <w:kern w:val="1"/>
          <w:sz w:val="32"/>
          <w:szCs w:val="32"/>
        </w:rPr>
        <w:t>市监罚告</w:t>
      </w:r>
      <w:proofErr w:type="gramEnd"/>
      <w:r w:rsidRPr="009258B2">
        <w:rPr>
          <w:rFonts w:ascii="仿宋" w:eastAsia="仿宋" w:hAnsi="仿宋" w:cs="仿宋" w:hint="eastAsia"/>
          <w:kern w:val="1"/>
          <w:sz w:val="32"/>
          <w:szCs w:val="32"/>
        </w:rPr>
        <w:t>〔2020〕3号），当事人在法定期限内未提出听证要求，但在2020年3月11日提出“货值按照</w:t>
      </w:r>
      <w:r w:rsidRPr="009258B2">
        <w:rPr>
          <w:rFonts w:ascii="仿宋" w:eastAsia="仿宋" w:hAnsi="仿宋" w:cs="仿宋" w:hint="eastAsia"/>
          <w:kern w:val="1"/>
          <w:sz w:val="32"/>
          <w:szCs w:val="32"/>
        </w:rPr>
        <w:lastRenderedPageBreak/>
        <w:t>7142.4元核定，降低处罚额度”的陈述、申辩意见，</w:t>
      </w:r>
      <w:r>
        <w:rPr>
          <w:rFonts w:ascii="仿宋" w:eastAsia="仿宋" w:hAnsi="仿宋" w:cs="仿宋" w:hint="eastAsia"/>
          <w:kern w:val="1"/>
          <w:sz w:val="32"/>
          <w:szCs w:val="32"/>
        </w:rPr>
        <w:t>经我</w:t>
      </w:r>
      <w:r w:rsidRPr="009258B2">
        <w:rPr>
          <w:rFonts w:ascii="仿宋" w:eastAsia="仿宋" w:hAnsi="仿宋" w:cs="仿宋" w:hint="eastAsia"/>
          <w:kern w:val="1"/>
          <w:sz w:val="32"/>
          <w:szCs w:val="32"/>
        </w:rPr>
        <w:t>局复核，当事人陈述申辩理由不成立，故不予采纳，理由如下：一、我局对当事人提出“发货人员将该批次产品数量与当日生产数量混淆，将当日生产的24000误报为本次抽取样品的产品基数，实际2019年8月8日下午生产批次抽检产品数量为10200瓶。”的说法不予认可。抽检产品生产日期在瓶身标注为20190808，且当事人提交的《韶钢饮料厂检验室检验报告》和《生产情况》均证明2019年8月8日生产的产品为24000瓶，上午和下午生产的产品并未进行区分。二、我局对当事人提出“2019年8月8日当天生产的24000瓶纯净水中，包括了14400瓶用于防暑降温赠品，以及2160瓶用于公司内部自用产品，共有16560瓶实质上没有销售。”的说法不予认可。抽检人员对当事人进行抽检前已向当事人送达了《国家食品安全抽样检验报告书》，要求当事人认真阅读报告书背面的《国家食品安全抽样检验被抽单位须知》，须知第3点标明“样品应由抽样人员从食品生产者的成品库待销产品中或者从食品经营者仓库和用于经营的食品中随机抽取......”我局认为，针对食品生产者，样品应由抽样人员从食品生产者的成品库待销产品中随机抽取；针对食品经营者，样品应由抽样人员从食品经营者仓库和用于经营的食品中随机抽取。《国家食品安全抽样检验抽样单》中注明了“抽样地点”在“生产环节”的“已检区”，当事人在该</w:t>
      </w:r>
      <w:r w:rsidRPr="009258B2">
        <w:rPr>
          <w:rFonts w:ascii="仿宋" w:eastAsia="仿宋" w:hAnsi="仿宋" w:cs="仿宋" w:hint="eastAsia"/>
          <w:kern w:val="1"/>
          <w:sz w:val="32"/>
          <w:szCs w:val="32"/>
        </w:rPr>
        <w:lastRenderedPageBreak/>
        <w:t>抽样单签名确认，在《询问笔录》中当事人对此未提出异议。不管当事人生产的该批次产品是赠送还是内部使用，当事人均应对生产的食品安全负责，依法承担法律责任。</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当事人生产经营铜绿假单胞</w:t>
      </w:r>
      <w:proofErr w:type="gramStart"/>
      <w:r w:rsidRPr="009258B2">
        <w:rPr>
          <w:rFonts w:ascii="仿宋" w:eastAsia="仿宋" w:hAnsi="仿宋" w:cs="仿宋" w:hint="eastAsia"/>
          <w:kern w:val="1"/>
          <w:sz w:val="32"/>
          <w:szCs w:val="32"/>
        </w:rPr>
        <w:t>菌项目</w:t>
      </w:r>
      <w:proofErr w:type="gramEnd"/>
      <w:r w:rsidRPr="009258B2">
        <w:rPr>
          <w:rFonts w:ascii="仿宋" w:eastAsia="仿宋" w:hAnsi="仿宋" w:cs="仿宋" w:hint="eastAsia"/>
          <w:kern w:val="1"/>
          <w:sz w:val="32"/>
          <w:szCs w:val="32"/>
        </w:rPr>
        <w:t>不符合《食品安全国家标准 包装饮用水》GB19298-2014要求的饮用纯净水行为，根据《中华人民共和国食品安全法》第三十四条第一款“禁止生产经营下列食品、食品添加剂、食品相关产品：（十三）其他不符合法律、法规或者食品安全标准的食品、食品添加剂、食品相关产品。”的规定，构成了生产经营不符合食品安全标准的食品的违法事实。鉴于当事人能积极配合执法机关相关工作，生产经营不符合食品安全标准的食品饮用纯净水属初次，并采取主动召回不合格产品，减轻社会危害性。经我局2020年3月5日的重大行政处罚案件单位负责人集体讨论会讨论认为，本案中当事人的行为符合《广东省食品药品监督管理局规范行政处罚自由裁量权适用规则》第七条第一款“当事人有下列情形之一的，应当依法从轻处罚：（二）无主观恶意且违法行为未造成严重后果的；（三）能主动改正或者及时中止违法行为，且违法行为未造成严重后果的；”和第八条“当事人的违法行为未造成严重后果且有下列情形之一的，应当依法减轻处罚：（一）主动及时消除或者减轻违法行为危害后果的；”的情形，决定依据《食品召回管理办法》第四十三条第二款“食品生产经营者主动采取停止生</w:t>
      </w:r>
      <w:r w:rsidRPr="009258B2">
        <w:rPr>
          <w:rFonts w:ascii="仿宋" w:eastAsia="仿宋" w:hAnsi="仿宋" w:cs="仿宋" w:hint="eastAsia"/>
          <w:kern w:val="1"/>
          <w:sz w:val="32"/>
          <w:szCs w:val="32"/>
        </w:rPr>
        <w:lastRenderedPageBreak/>
        <w:t xml:space="preserve">产经营、召回和处置不安全食品措施，消除或者减轻危害后果的，依法从轻或者减轻处罚；违法情节轻微并及时纠正，没有造成危害后果的，不予行政处罚。”和《中华人民共和国行政处罚法》第二十七条第一款“当事人有下列情形之一的，应当依法从轻或者减轻行政处罚:（四）其他依法从轻或者减轻行政处罚的。”的规定，依法处以货值金额十倍的罚款的一半即人民币一十一万五千二百元的减轻处罚。 </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依据《中华人民共和国食品安全法》第一百二十四条第一款“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和第二款“除前款和本法第一百二十三条、第一百二十五条规定的情形外，生产经营不符合法律、法规或者食品安全标准的食品、食品添加剂的，依照前款规定给予处罚。”的规定，依法应当给予行政处罚。</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我局决定对当事人给予以下行政处罚如下：</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1.没收违法所得人民币</w:t>
      </w:r>
      <w:r w:rsidR="009258B2">
        <w:rPr>
          <w:rFonts w:ascii="仿宋" w:eastAsia="仿宋" w:hAnsi="仿宋" w:cs="仿宋" w:hint="eastAsia"/>
          <w:kern w:val="1"/>
          <w:sz w:val="32"/>
          <w:szCs w:val="32"/>
        </w:rPr>
        <w:t>贰仟陆佰零叁圆肆分</w:t>
      </w:r>
      <w:r w:rsidRPr="009258B2">
        <w:rPr>
          <w:rFonts w:ascii="仿宋" w:eastAsia="仿宋" w:hAnsi="仿宋" w:cs="仿宋" w:hint="eastAsia"/>
          <w:kern w:val="1"/>
          <w:sz w:val="32"/>
          <w:szCs w:val="32"/>
        </w:rPr>
        <w:t>（2603.04元）；</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lastRenderedPageBreak/>
        <w:t>2.</w:t>
      </w:r>
      <w:proofErr w:type="gramStart"/>
      <w:r w:rsidRPr="009258B2">
        <w:rPr>
          <w:rFonts w:ascii="仿宋" w:eastAsia="仿宋" w:hAnsi="仿宋" w:cs="仿宋" w:hint="eastAsia"/>
          <w:kern w:val="1"/>
          <w:sz w:val="32"/>
          <w:szCs w:val="32"/>
        </w:rPr>
        <w:t>并处货值</w:t>
      </w:r>
      <w:proofErr w:type="gramEnd"/>
      <w:r w:rsidRPr="009258B2">
        <w:rPr>
          <w:rFonts w:ascii="仿宋" w:eastAsia="仿宋" w:hAnsi="仿宋" w:cs="仿宋" w:hint="eastAsia"/>
          <w:kern w:val="1"/>
          <w:sz w:val="32"/>
          <w:szCs w:val="32"/>
        </w:rPr>
        <w:t>金额十倍的罚款的一半即人民币</w:t>
      </w:r>
      <w:r w:rsidR="009258B2">
        <w:rPr>
          <w:rFonts w:ascii="仿宋" w:eastAsia="仿宋" w:hAnsi="仿宋" w:cs="仿宋" w:hint="eastAsia"/>
          <w:kern w:val="1"/>
          <w:sz w:val="32"/>
          <w:szCs w:val="32"/>
        </w:rPr>
        <w:t xml:space="preserve">壹拾壹万伍仟贰佰圆 </w:t>
      </w:r>
      <w:r w:rsidRPr="009258B2">
        <w:rPr>
          <w:rFonts w:ascii="仿宋" w:eastAsia="仿宋" w:hAnsi="仿宋" w:cs="仿宋" w:hint="eastAsia"/>
          <w:kern w:val="1"/>
          <w:sz w:val="32"/>
          <w:szCs w:val="32"/>
        </w:rPr>
        <w:t>（115200元）。</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请在接到本处罚决定书之日起15日内将</w:t>
      </w:r>
      <w:proofErr w:type="gramStart"/>
      <w:r w:rsidRPr="009258B2">
        <w:rPr>
          <w:rFonts w:ascii="仿宋" w:eastAsia="仿宋" w:hAnsi="仿宋" w:cs="仿宋" w:hint="eastAsia"/>
          <w:kern w:val="1"/>
          <w:sz w:val="32"/>
          <w:szCs w:val="32"/>
        </w:rPr>
        <w:t>罚没款缴到</w:t>
      </w:r>
      <w:proofErr w:type="gramEnd"/>
      <w:r w:rsidRPr="009258B2">
        <w:rPr>
          <w:rFonts w:ascii="仿宋" w:eastAsia="仿宋" w:hAnsi="仿宋" w:cs="仿宋" w:hint="eastAsia"/>
          <w:kern w:val="1"/>
          <w:sz w:val="32"/>
          <w:szCs w:val="32"/>
        </w:rPr>
        <w:t>中国邮政银行、农业银行任何一间综合性网点银行。逾期不缴纳罚款的，根据《中华人民共和国行政处罚法》第五十一条第一项的规定，将依法每日按罚款数额的3%加处罚款。</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如不服本处罚决定，可在接到本处罚决定书之日起60日内向韶关市市场监督管理局或者韶关市曲江区人民政府申请行政复议，也可以于6个月内依法向韶关市武江区人民法院提起行政诉讼。</w:t>
      </w:r>
    </w:p>
    <w:p w:rsidR="00720989" w:rsidRPr="009258B2" w:rsidRDefault="009B419C" w:rsidP="009258B2">
      <w:pPr>
        <w:snapToGrid w:val="0"/>
        <w:spacing w:line="360" w:lineRule="auto"/>
        <w:ind w:firstLine="645"/>
        <w:rPr>
          <w:rFonts w:ascii="仿宋" w:eastAsia="仿宋" w:hAnsi="仿宋" w:cs="仿宋"/>
          <w:kern w:val="1"/>
          <w:sz w:val="32"/>
          <w:szCs w:val="32"/>
        </w:rPr>
      </w:pPr>
      <w:r w:rsidRPr="009258B2">
        <w:rPr>
          <w:rFonts w:ascii="仿宋" w:eastAsia="仿宋" w:hAnsi="仿宋" w:cs="仿宋" w:hint="eastAsia"/>
          <w:kern w:val="1"/>
          <w:sz w:val="32"/>
          <w:szCs w:val="32"/>
        </w:rPr>
        <w:t xml:space="preserve">在法定期限内不申请行政复议或者不提起行政诉讼，又不履行行政处罚决定的，本机关将依法申请人民法院强制执行。                     </w:t>
      </w:r>
    </w:p>
    <w:p w:rsidR="00720989" w:rsidRPr="009258B2" w:rsidRDefault="00720989" w:rsidP="009258B2">
      <w:pPr>
        <w:snapToGrid w:val="0"/>
        <w:spacing w:line="360" w:lineRule="auto"/>
        <w:ind w:firstLine="645"/>
        <w:rPr>
          <w:rFonts w:ascii="仿宋" w:eastAsia="仿宋" w:hAnsi="仿宋" w:cs="仿宋"/>
          <w:kern w:val="1"/>
          <w:sz w:val="32"/>
          <w:szCs w:val="32"/>
        </w:rPr>
      </w:pPr>
    </w:p>
    <w:p w:rsidR="00720989" w:rsidRPr="009258B2" w:rsidRDefault="00720989" w:rsidP="009258B2">
      <w:pPr>
        <w:snapToGrid w:val="0"/>
        <w:spacing w:line="360" w:lineRule="auto"/>
        <w:ind w:firstLine="645"/>
        <w:rPr>
          <w:rFonts w:ascii="仿宋" w:eastAsia="仿宋" w:hAnsi="仿宋" w:cs="仿宋"/>
          <w:kern w:val="1"/>
          <w:sz w:val="32"/>
          <w:szCs w:val="32"/>
        </w:rPr>
      </w:pPr>
    </w:p>
    <w:p w:rsidR="00720989" w:rsidRPr="009258B2" w:rsidRDefault="00720989" w:rsidP="009258B2">
      <w:pPr>
        <w:snapToGrid w:val="0"/>
        <w:spacing w:line="360" w:lineRule="auto"/>
        <w:ind w:firstLine="645"/>
        <w:rPr>
          <w:rFonts w:ascii="仿宋" w:eastAsia="仿宋" w:hAnsi="仿宋" w:cs="仿宋"/>
          <w:kern w:val="1"/>
          <w:sz w:val="32"/>
          <w:szCs w:val="32"/>
        </w:rPr>
      </w:pPr>
    </w:p>
    <w:p w:rsidR="00720989" w:rsidRPr="009258B2" w:rsidRDefault="009B419C" w:rsidP="009258B2">
      <w:pPr>
        <w:snapToGrid w:val="0"/>
        <w:spacing w:line="360" w:lineRule="auto"/>
        <w:ind w:firstLineChars="1250" w:firstLine="4000"/>
        <w:rPr>
          <w:rFonts w:ascii="仿宋" w:eastAsia="仿宋" w:hAnsi="仿宋" w:cs="仿宋"/>
          <w:kern w:val="1"/>
          <w:sz w:val="32"/>
          <w:szCs w:val="32"/>
        </w:rPr>
      </w:pPr>
      <w:r w:rsidRPr="009258B2">
        <w:rPr>
          <w:rFonts w:ascii="仿宋" w:eastAsia="仿宋" w:hAnsi="仿宋" w:cs="仿宋" w:hint="eastAsia"/>
          <w:kern w:val="1"/>
          <w:sz w:val="32"/>
          <w:szCs w:val="32"/>
        </w:rPr>
        <w:t xml:space="preserve">韶关市曲江区市场监督管理局 </w:t>
      </w:r>
    </w:p>
    <w:p w:rsidR="00720989" w:rsidRDefault="009258B2" w:rsidP="009258B2">
      <w:pPr>
        <w:snapToGrid w:val="0"/>
        <w:spacing w:line="360" w:lineRule="auto"/>
        <w:ind w:firstLine="645"/>
        <w:rPr>
          <w:rFonts w:ascii="仿宋" w:eastAsia="仿宋" w:hAnsi="仿宋" w:cs="仿宋"/>
          <w:kern w:val="1"/>
          <w:sz w:val="32"/>
          <w:szCs w:val="32"/>
        </w:rPr>
      </w:pPr>
      <w:r>
        <w:rPr>
          <w:rFonts w:ascii="仿宋" w:eastAsia="仿宋" w:hAnsi="仿宋" w:cs="仿宋" w:hint="eastAsia"/>
          <w:kern w:val="1"/>
          <w:sz w:val="32"/>
          <w:szCs w:val="32"/>
        </w:rPr>
        <w:t xml:space="preserve">                       </w:t>
      </w:r>
      <w:r w:rsidR="00460B96">
        <w:rPr>
          <w:rFonts w:ascii="仿宋" w:eastAsia="仿宋" w:hAnsi="仿宋" w:cs="仿宋" w:hint="eastAsia"/>
          <w:kern w:val="1"/>
          <w:sz w:val="32"/>
          <w:szCs w:val="32"/>
        </w:rPr>
        <w:t xml:space="preserve"> </w:t>
      </w:r>
      <w:r>
        <w:rPr>
          <w:rFonts w:ascii="仿宋" w:eastAsia="仿宋" w:hAnsi="仿宋" w:cs="仿宋" w:hint="eastAsia"/>
          <w:kern w:val="1"/>
          <w:sz w:val="32"/>
          <w:szCs w:val="32"/>
        </w:rPr>
        <w:t xml:space="preserve">   </w:t>
      </w:r>
      <w:r w:rsidR="00460B96">
        <w:rPr>
          <w:rFonts w:ascii="仿宋" w:eastAsia="仿宋" w:hAnsi="仿宋" w:cs="仿宋" w:hint="eastAsia"/>
          <w:kern w:val="1"/>
          <w:sz w:val="32"/>
          <w:szCs w:val="32"/>
        </w:rPr>
        <w:t>2020</w:t>
      </w:r>
      <w:r w:rsidR="009B419C" w:rsidRPr="009258B2">
        <w:rPr>
          <w:rFonts w:ascii="仿宋" w:eastAsia="仿宋" w:hAnsi="仿宋" w:cs="仿宋" w:hint="eastAsia"/>
          <w:kern w:val="1"/>
          <w:sz w:val="32"/>
          <w:szCs w:val="32"/>
        </w:rPr>
        <w:t>年</w:t>
      </w:r>
      <w:r w:rsidR="00460B96">
        <w:rPr>
          <w:rFonts w:ascii="仿宋" w:eastAsia="仿宋" w:hAnsi="仿宋" w:cs="仿宋" w:hint="eastAsia"/>
          <w:kern w:val="1"/>
          <w:sz w:val="32"/>
          <w:szCs w:val="32"/>
        </w:rPr>
        <w:t>3</w:t>
      </w:r>
      <w:r w:rsidR="009B419C" w:rsidRPr="009258B2">
        <w:rPr>
          <w:rFonts w:ascii="仿宋" w:eastAsia="仿宋" w:hAnsi="仿宋" w:cs="仿宋" w:hint="eastAsia"/>
          <w:kern w:val="1"/>
          <w:sz w:val="32"/>
          <w:szCs w:val="32"/>
        </w:rPr>
        <w:t>月</w:t>
      </w:r>
      <w:r w:rsidR="00460B96">
        <w:rPr>
          <w:rFonts w:ascii="仿宋" w:eastAsia="仿宋" w:hAnsi="仿宋" w:cs="仿宋" w:hint="eastAsia"/>
          <w:kern w:val="1"/>
          <w:sz w:val="32"/>
          <w:szCs w:val="32"/>
        </w:rPr>
        <w:t>31</w:t>
      </w:r>
      <w:r w:rsidR="009B419C" w:rsidRPr="009258B2">
        <w:rPr>
          <w:rFonts w:ascii="仿宋" w:eastAsia="仿宋" w:hAnsi="仿宋" w:cs="仿宋" w:hint="eastAsia"/>
          <w:kern w:val="1"/>
          <w:sz w:val="32"/>
          <w:szCs w:val="32"/>
        </w:rPr>
        <w:t>日</w:t>
      </w:r>
    </w:p>
    <w:p w:rsidR="009258B2" w:rsidRPr="009258B2" w:rsidRDefault="009258B2" w:rsidP="009258B2">
      <w:pPr>
        <w:snapToGrid w:val="0"/>
        <w:spacing w:line="360" w:lineRule="auto"/>
        <w:ind w:firstLine="645"/>
        <w:rPr>
          <w:rFonts w:ascii="仿宋" w:eastAsia="仿宋" w:hAnsi="仿宋" w:cs="仿宋"/>
          <w:kern w:val="1"/>
          <w:sz w:val="32"/>
          <w:szCs w:val="32"/>
        </w:rPr>
      </w:pPr>
    </w:p>
    <w:p w:rsidR="00720989" w:rsidRPr="009258B2" w:rsidRDefault="00720989" w:rsidP="009258B2">
      <w:pPr>
        <w:snapToGrid w:val="0"/>
        <w:spacing w:line="360" w:lineRule="auto"/>
        <w:ind w:firstLine="645"/>
        <w:rPr>
          <w:rFonts w:ascii="仿宋" w:eastAsia="仿宋" w:hAnsi="仿宋" w:cs="仿宋"/>
          <w:kern w:val="1"/>
          <w:sz w:val="32"/>
          <w:szCs w:val="32"/>
        </w:rPr>
      </w:pPr>
    </w:p>
    <w:p w:rsidR="00720989" w:rsidRDefault="002F21A2">
      <w:pPr>
        <w:pStyle w:val="a3"/>
        <w:spacing w:before="1"/>
        <w:rPr>
          <w:rFonts w:ascii="Times New Roman" w:eastAsia="仿宋_GB2312" w:cs="仿宋"/>
          <w:bCs/>
          <w:sz w:val="44"/>
          <w:szCs w:val="44"/>
        </w:rPr>
      </w:pPr>
      <w:r w:rsidRPr="002F21A2">
        <w:rPr>
          <w:rFonts w:ascii="Times New Roman" w:eastAsia="仿宋_GB2312"/>
        </w:rPr>
        <w:pict>
          <v:line id="直线 4" o:spid="_x0000_s1027" style="position:absolute;z-index:251660288" from="-.95pt,27.3pt" to="436.05pt,27.35pt" o:preferrelative="t" strokeweight="1.25pt">
            <v:stroke miterlimit="2"/>
          </v:line>
        </w:pict>
      </w:r>
      <w:r w:rsidR="009B419C">
        <w:rPr>
          <w:rFonts w:ascii="黑体" w:eastAsia="黑体" w:hAnsi="黑体" w:hint="eastAsia"/>
          <w:spacing w:val="-16"/>
        </w:rPr>
        <w:t>（市场监督管理部门将依法向社会公示本行政处罚决定信息）</w:t>
      </w:r>
    </w:p>
    <w:p w:rsidR="00720989" w:rsidRPr="009258B2" w:rsidRDefault="002F21A2" w:rsidP="009258B2">
      <w:pPr>
        <w:snapToGrid w:val="0"/>
        <w:spacing w:line="360" w:lineRule="auto"/>
        <w:rPr>
          <w:rFonts w:ascii="仿宋" w:eastAsia="仿宋" w:hAnsi="仿宋" w:cs="仿宋"/>
          <w:kern w:val="1"/>
          <w:sz w:val="32"/>
          <w:szCs w:val="32"/>
        </w:rPr>
      </w:pPr>
      <w:r>
        <w:rPr>
          <w:rFonts w:ascii="仿宋" w:eastAsia="仿宋" w:hAnsi="仿宋" w:cs="仿宋"/>
          <w:kern w:val="1"/>
          <w:sz w:val="32"/>
          <w:szCs w:val="32"/>
        </w:rPr>
        <w:pict>
          <v:line id="图像25" o:spid="_x0000_s1028" style="position:absolute;left:0;text-align:left;z-index:251659264" from="0,1638.35pt" to="453.75pt,1638.45pt" o:preferrelative="t">
            <v:stroke miterlimit="2"/>
          </v:line>
        </w:pict>
      </w:r>
      <w:r w:rsidR="009B419C" w:rsidRPr="009258B2">
        <w:rPr>
          <w:rFonts w:ascii="仿宋" w:eastAsia="仿宋" w:hAnsi="仿宋" w:cs="仿宋" w:hint="eastAsia"/>
          <w:kern w:val="1"/>
          <w:sz w:val="32"/>
          <w:szCs w:val="32"/>
        </w:rPr>
        <w:t>本文书一式 二 份， 一 份送达，一份归档。</w:t>
      </w:r>
    </w:p>
    <w:p w:rsidR="00720989" w:rsidRDefault="00720989">
      <w:pPr>
        <w:snapToGrid w:val="0"/>
        <w:spacing w:line="360" w:lineRule="auto"/>
      </w:pPr>
    </w:p>
    <w:sectPr w:rsidR="00720989" w:rsidSect="007209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98" w:rsidRDefault="00EA2B98" w:rsidP="009258B2">
      <w:r>
        <w:separator/>
      </w:r>
    </w:p>
  </w:endnote>
  <w:endnote w:type="continuationSeparator" w:id="0">
    <w:p w:rsidR="00EA2B98" w:rsidRDefault="00EA2B98" w:rsidP="00925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98" w:rsidRDefault="00EA2B98" w:rsidP="009258B2">
      <w:r>
        <w:separator/>
      </w:r>
    </w:p>
  </w:footnote>
  <w:footnote w:type="continuationSeparator" w:id="0">
    <w:p w:rsidR="00EA2B98" w:rsidRDefault="00EA2B98" w:rsidP="00925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D2D52"/>
    <w:rsid w:val="00036E08"/>
    <w:rsid w:val="00090295"/>
    <w:rsid w:val="000A4951"/>
    <w:rsid w:val="00110987"/>
    <w:rsid w:val="00160A8A"/>
    <w:rsid w:val="001845E0"/>
    <w:rsid w:val="001D2D52"/>
    <w:rsid w:val="001E242B"/>
    <w:rsid w:val="002442B9"/>
    <w:rsid w:val="002C3779"/>
    <w:rsid w:val="002F21A2"/>
    <w:rsid w:val="002F64C2"/>
    <w:rsid w:val="003222E6"/>
    <w:rsid w:val="003E2394"/>
    <w:rsid w:val="004012E5"/>
    <w:rsid w:val="004402A2"/>
    <w:rsid w:val="00460B96"/>
    <w:rsid w:val="00533927"/>
    <w:rsid w:val="00543463"/>
    <w:rsid w:val="00566AF5"/>
    <w:rsid w:val="005942CF"/>
    <w:rsid w:val="005D5410"/>
    <w:rsid w:val="006059D1"/>
    <w:rsid w:val="00647FC3"/>
    <w:rsid w:val="006E05FF"/>
    <w:rsid w:val="00720989"/>
    <w:rsid w:val="007978CC"/>
    <w:rsid w:val="00805B26"/>
    <w:rsid w:val="0091630A"/>
    <w:rsid w:val="009258B2"/>
    <w:rsid w:val="00973DC7"/>
    <w:rsid w:val="009A06D2"/>
    <w:rsid w:val="009B419C"/>
    <w:rsid w:val="009E7143"/>
    <w:rsid w:val="00A4098A"/>
    <w:rsid w:val="00AE36A0"/>
    <w:rsid w:val="00B166BB"/>
    <w:rsid w:val="00B27765"/>
    <w:rsid w:val="00BD260E"/>
    <w:rsid w:val="00BE3477"/>
    <w:rsid w:val="00CB5477"/>
    <w:rsid w:val="00CB6367"/>
    <w:rsid w:val="00CD2F1B"/>
    <w:rsid w:val="00CE15C8"/>
    <w:rsid w:val="00D076D7"/>
    <w:rsid w:val="00D224DA"/>
    <w:rsid w:val="00DE4ACD"/>
    <w:rsid w:val="00E821D7"/>
    <w:rsid w:val="00EA2B98"/>
    <w:rsid w:val="00EF797A"/>
    <w:rsid w:val="00F2113D"/>
    <w:rsid w:val="00F2309B"/>
    <w:rsid w:val="00F4120A"/>
    <w:rsid w:val="00F95584"/>
    <w:rsid w:val="00FC7F90"/>
    <w:rsid w:val="08FB2C4C"/>
    <w:rsid w:val="1A4347A6"/>
    <w:rsid w:val="26113EF8"/>
    <w:rsid w:val="30B04DCA"/>
    <w:rsid w:val="48DF2D41"/>
    <w:rsid w:val="4AB3205A"/>
    <w:rsid w:val="63C75805"/>
    <w:rsid w:val="6BAA3A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9cbee0" strokecolor="#739cc3">
      <v:fill color="#9cbee0" color2="#bbd5f0" type="gradient">
        <o:fill v:ext="view" type="gradientUnscaled"/>
      </v:fill>
      <v:stroke color="#739cc3" weight="1.25pt" miterlimit="2"/>
    </o:shapedefaults>
    <o:shapelayout v:ext="edit">
      <o:idmap v:ext="edit" data="1"/>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uiPriority w:val="1"/>
    <w:qFormat/>
    <w:rsid w:val="00720989"/>
    <w:pPr>
      <w:autoSpaceDE w:val="0"/>
      <w:autoSpaceDN w:val="0"/>
      <w:adjustRightInd w:val="0"/>
      <w:jc w:val="left"/>
    </w:pPr>
    <w:rPr>
      <w:rFonts w:ascii="Arial Unicode MS" w:eastAsia="Arial Unicode MS" w:cs="Arial Unicode MS"/>
      <w:sz w:val="32"/>
      <w:szCs w:val="32"/>
    </w:rPr>
  </w:style>
  <w:style w:type="paragraph" w:styleId="a4">
    <w:name w:val="Date"/>
    <w:basedOn w:val="a"/>
    <w:next w:val="a"/>
    <w:link w:val="Char"/>
    <w:uiPriority w:val="99"/>
    <w:unhideWhenUsed/>
    <w:rsid w:val="00720989"/>
    <w:pPr>
      <w:ind w:leftChars="2500" w:left="100"/>
    </w:pPr>
  </w:style>
  <w:style w:type="paragraph" w:styleId="a5">
    <w:name w:val="footer"/>
    <w:basedOn w:val="a"/>
    <w:link w:val="Char0"/>
    <w:uiPriority w:val="99"/>
    <w:unhideWhenUsed/>
    <w:qFormat/>
    <w:rsid w:val="00720989"/>
    <w:pPr>
      <w:tabs>
        <w:tab w:val="center" w:pos="4153"/>
        <w:tab w:val="right" w:pos="8306"/>
      </w:tabs>
      <w:snapToGrid w:val="0"/>
      <w:jc w:val="left"/>
    </w:pPr>
    <w:rPr>
      <w:rFonts w:ascii="Calibri" w:hAnsi="Calibri" w:cs="黑体"/>
      <w:sz w:val="18"/>
      <w:szCs w:val="18"/>
    </w:rPr>
  </w:style>
  <w:style w:type="paragraph" w:styleId="a6">
    <w:name w:val="header"/>
    <w:basedOn w:val="a"/>
    <w:link w:val="Char2"/>
    <w:uiPriority w:val="99"/>
    <w:unhideWhenUsed/>
    <w:qFormat/>
    <w:rsid w:val="00720989"/>
    <w:pPr>
      <w:pBdr>
        <w:bottom w:val="single" w:sz="6" w:space="1" w:color="auto"/>
      </w:pBdr>
      <w:tabs>
        <w:tab w:val="center" w:pos="4153"/>
        <w:tab w:val="right" w:pos="8306"/>
      </w:tabs>
      <w:snapToGrid w:val="0"/>
      <w:jc w:val="center"/>
    </w:pPr>
    <w:rPr>
      <w:rFonts w:ascii="Calibri" w:hAnsi="Calibri" w:cs="黑体"/>
      <w:sz w:val="18"/>
      <w:szCs w:val="18"/>
    </w:rPr>
  </w:style>
  <w:style w:type="character" w:customStyle="1" w:styleId="Char2">
    <w:name w:val="页眉 Char"/>
    <w:basedOn w:val="a0"/>
    <w:link w:val="a6"/>
    <w:uiPriority w:val="99"/>
    <w:semiHidden/>
    <w:qFormat/>
    <w:rsid w:val="00720989"/>
    <w:rPr>
      <w:sz w:val="18"/>
      <w:szCs w:val="18"/>
    </w:rPr>
  </w:style>
  <w:style w:type="character" w:customStyle="1" w:styleId="Char0">
    <w:name w:val="页脚 Char"/>
    <w:basedOn w:val="a0"/>
    <w:link w:val="a5"/>
    <w:uiPriority w:val="99"/>
    <w:semiHidden/>
    <w:qFormat/>
    <w:rsid w:val="00720989"/>
    <w:rPr>
      <w:sz w:val="18"/>
      <w:szCs w:val="18"/>
    </w:rPr>
  </w:style>
  <w:style w:type="character" w:customStyle="1" w:styleId="Char3">
    <w:name w:val="正文文本 Char"/>
    <w:basedOn w:val="a0"/>
    <w:link w:val="a3"/>
    <w:uiPriority w:val="1"/>
    <w:qFormat/>
    <w:rsid w:val="00720989"/>
    <w:rPr>
      <w:rFonts w:ascii="Arial Unicode MS" w:eastAsia="Arial Unicode MS" w:hAnsi="Times New Roman" w:cs="Arial Unicode MS"/>
      <w:sz w:val="32"/>
      <w:szCs w:val="32"/>
    </w:rPr>
  </w:style>
  <w:style w:type="character" w:customStyle="1" w:styleId="Char1">
    <w:name w:val="正文文本 Char1"/>
    <w:basedOn w:val="a0"/>
    <w:link w:val="a3"/>
    <w:uiPriority w:val="99"/>
    <w:semiHidden/>
    <w:qFormat/>
    <w:rsid w:val="00720989"/>
    <w:rPr>
      <w:rFonts w:ascii="Times New Roman" w:eastAsia="宋体" w:hAnsi="Times New Roman" w:cs="Times New Roman"/>
      <w:szCs w:val="24"/>
    </w:rPr>
  </w:style>
  <w:style w:type="character" w:customStyle="1" w:styleId="Char">
    <w:name w:val="日期 Char"/>
    <w:basedOn w:val="a0"/>
    <w:link w:val="a4"/>
    <w:uiPriority w:val="99"/>
    <w:semiHidden/>
    <w:rsid w:val="00720989"/>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647</Words>
  <Characters>3690</Characters>
  <Application>Microsoft Office Word</Application>
  <DocSecurity>0</DocSecurity>
  <Lines>30</Lines>
  <Paragraphs>8</Paragraphs>
  <ScaleCrop>false</ScaleCrop>
  <Company>微软中国</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韶关市曲江区市场监督管理局</dc:title>
  <dc:creator>罗俊平</dc:creator>
  <cp:lastModifiedBy>刘文哲</cp:lastModifiedBy>
  <cp:revision>3</cp:revision>
  <dcterms:created xsi:type="dcterms:W3CDTF">2020-04-01T07:18:00Z</dcterms:created>
  <dcterms:modified xsi:type="dcterms:W3CDTF">2020-04-01T07:27:00Z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