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b/>
          <w:bCs/>
          <w:sz w:val="18"/>
          <w:szCs w:val="16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附件1：招聘岗位一览表</w:t>
      </w:r>
    </w:p>
    <w:tbl>
      <w:tblPr>
        <w:tblStyle w:val="4"/>
        <w:tblpPr w:leftFromText="180" w:rightFromText="180" w:vertAnchor="text" w:horzAnchor="page" w:tblpXSpec="center" w:tblpY="195"/>
        <w:tblOverlap w:val="never"/>
        <w:tblW w:w="13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50"/>
        <w:gridCol w:w="630"/>
        <w:gridCol w:w="735"/>
        <w:gridCol w:w="1020"/>
        <w:gridCol w:w="1500"/>
        <w:gridCol w:w="1575"/>
        <w:gridCol w:w="4275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招聘职位与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代码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招聘人数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岗位职责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及任职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</w:rPr>
              <w:t>要求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eastAsia="zh-CN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副总经理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男女不限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本科及本科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40周岁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1980年1月1日后出生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）（特别优秀者年龄放宽至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43周岁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分管财务部门及资本运营，投融资管理。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会计、财务管理等相关专业。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具有相关工作经验。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具有与专业相关的资格证书或中级及以上职称。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曾在同类国企或大型企业（尤其是供销社系统大型企业）任职者优先考虑。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中共党员优先考虑。</w:t>
            </w:r>
          </w:p>
        </w:tc>
        <w:tc>
          <w:tcPr>
            <w:tcW w:w="21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税前年薪人民币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10-25万元（基本工资+业绩工资）。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提供廉租房。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副总经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男女不限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本科及本科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40周岁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1980年1月1日后出生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）（特别优秀者年龄放宽至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43周岁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分管资产经营、物业管理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1、物业管理、企业管理等相关专业。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具有相关工作经验。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曾在同类国企或大型企业（尤其是供销社系统大型企业）任职者优先考虑。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中共党员优先考虑。</w:t>
            </w:r>
          </w:p>
        </w:tc>
        <w:tc>
          <w:tcPr>
            <w:tcW w:w="21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税前年薪人民币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10-25万元（基本工资+业绩工资）。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2、提供廉租房。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1620"/>
    <w:multiLevelType w:val="singleLevel"/>
    <w:tmpl w:val="5A6916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21BCE1"/>
    <w:multiLevelType w:val="singleLevel"/>
    <w:tmpl w:val="7F21B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2FED"/>
    <w:rsid w:val="25B51C9A"/>
    <w:rsid w:val="26772FED"/>
    <w:rsid w:val="674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2020-03-08T13:37:00Z</dcterms:created>
  <dc:creator>牛</dc:creator>
  <cp:lastModifiedBy> xiao_</cp:lastModifiedBy>
  <dcterms:modified xsi:type="dcterms:W3CDTF">2020-03-09T06:14:03Z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