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韶关市林业局2019年政府信息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napToGrid/>
          <w:color w:val="333333"/>
          <w:sz w:val="32"/>
          <w:shd w:val="clear" w:color="auto" w:fill="FFFFFF"/>
        </w:rPr>
      </w:pP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根据《中华人民共和国政府信息公开条例》（以下简称《条例》）和《韶关市政府信息公开办法》（以下简称《办法》）的要求，特向社会公布韶关市林业局201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年度政府信息公开工作年度报告。本报告由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总体情况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、主动公开政府信息情况、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收到和处理政府信息公开申请情况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政府信息公开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行政复议和行政诉讼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情况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、存在主要问题及改进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情况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共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个部分组成。本报告中所列数据的统计期限自201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年1月1日起至201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年12月31日止。如对本报告有任何疑问，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可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与韶关市林业局联系 (地址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市浈江区文化街5号；邮编：512000；电话：0751-8885348；电子邮箱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 xml:space="preserve">sgslyj01@163.com)。 </w:t>
      </w: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napToGrid/>
          <w:color w:val="333333"/>
          <w:sz w:val="32"/>
          <w:shd w:val="clear" w:color="auto" w:fill="FFFFFF"/>
        </w:rPr>
      </w:pP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201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在市委、市政府的正确领导下，我局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认真贯彻落实《条例》和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《办法》，根据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市政府信息公开工作领导小组办公室要求，突出重点，狠抓落实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在保障公民、法人和其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它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组织依法获取我局政府信息，提高业务工作透明度方面取得明显成效。</w:t>
      </w:r>
      <w:r>
        <w:rPr>
          <w:rFonts w:hint="default" w:ascii="Times New Roman" w:hAnsi="Times New Roman" w:eastAsia="仿宋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完善政府信息公开工作机制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根据人员岗位变动，及时调整我局政府信息公开工作领导小组及其办公室成员，进一步加强了我局该项工作的监督和指导，进一步加强政府信息公开工作的组织建设，确保政务信息公开工作组织有力，推进有序。</w:t>
      </w:r>
      <w:r>
        <w:rPr>
          <w:rFonts w:hint="default" w:ascii="Times New Roman" w:hAnsi="Times New Roman" w:eastAsia="仿宋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二是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加强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平台建设。在推进政府信息公开工作中，注重以韶关林业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网和政府信息公开平台为依托，着力健全信息发布和舆论引导机制，积极开展政务公开工作。</w:t>
      </w:r>
      <w:r>
        <w:rPr>
          <w:rFonts w:hint="default" w:ascii="Times New Roman" w:hAnsi="Times New Roman" w:eastAsia="仿宋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三是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增强公开实效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。我局针对市政府的“网络问政”工作，对问政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信息作出快速反应，认真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详细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答复办理，提高工作效能。在工作开展中，实行监测收集、受理督办、反馈回复工作机制，及时掌握网络舆情，在线受理、答复、处理网民反映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的相关重点、要点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事项，积极开展网络宣传引导等工作。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1"/>
        <w:gridCol w:w="1786"/>
        <w:gridCol w:w="2146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本年新制作数量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本年新公开数量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规范性文件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4710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669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其他对外管理服务事项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上一年项目数量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本年增/减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减少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采购项目数量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政府集中采购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1161万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3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1190"/>
        <w:gridCol w:w="1823"/>
        <w:gridCol w:w="709"/>
        <w:gridCol w:w="662"/>
        <w:gridCol w:w="662"/>
        <w:gridCol w:w="709"/>
        <w:gridCol w:w="839"/>
        <w:gridCol w:w="627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349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商业企业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科研机构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6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3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54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62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575"/>
        <w:gridCol w:w="573"/>
        <w:gridCol w:w="574"/>
        <w:gridCol w:w="575"/>
        <w:gridCol w:w="574"/>
        <w:gridCol w:w="575"/>
        <w:gridCol w:w="575"/>
        <w:gridCol w:w="575"/>
        <w:gridCol w:w="576"/>
        <w:gridCol w:w="576"/>
        <w:gridCol w:w="574"/>
        <w:gridCol w:w="575"/>
        <w:gridCol w:w="576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554" w:hRule="atLeast"/>
          <w:tblCellSpacing w:w="0" w:type="dxa"/>
          <w:jc w:val="center"/>
        </w:trPr>
        <w:tc>
          <w:tcPr>
            <w:tcW w:w="287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574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CellSpacing w:w="0" w:type="dxa"/>
          <w:jc w:val="center"/>
        </w:trPr>
        <w:tc>
          <w:tcPr>
            <w:tcW w:w="5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5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5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5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5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287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28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tblCellSpacing w:w="0" w:type="dxa"/>
          <w:jc w:val="center"/>
        </w:trPr>
        <w:tc>
          <w:tcPr>
            <w:tcW w:w="5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结果维持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结果纠正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其他结果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尚未审结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321" w:firstLineChars="1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（一）主要问题</w:t>
      </w: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201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年，我局在政府信息公开上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虽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取得一定成效，</w:t>
      </w:r>
      <w:r>
        <w:rPr>
          <w:rFonts w:hint="eastAsia" w:ascii="仿宋_GB2312" w:hAnsi="仿宋_GB2312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但与</w:t>
      </w:r>
      <w:r>
        <w:rPr>
          <w:rFonts w:hint="eastAsia" w:ascii="仿宋_GB2312" w:hAnsi="仿宋_GB2312" w:eastAsia="仿宋_GB2312"/>
          <w:color w:val="000000"/>
          <w:sz w:val="32"/>
        </w:rPr>
        <w:t>公众期望仍有差距，信息公开的工作水平仍需进一步提高。</w:t>
      </w:r>
      <w:r>
        <w:rPr>
          <w:rFonts w:hint="eastAsia" w:ascii="Times New Roman" w:hAnsi="Times New Roman" w:eastAsia="仿宋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创新工作方式方法仍然不足，需加大钻研力度，科学有效的开展政务公开工作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；</w:t>
      </w:r>
      <w:r>
        <w:rPr>
          <w:rFonts w:hint="eastAsia" w:ascii="Times New Roman" w:hAnsi="Times New Roman" w:eastAsia="仿宋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二是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政府信息公开意识及内容需要进一步深化，及时准确回应关切的能力有待提高。</w:t>
      </w: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 w:firstLine="321" w:firstLineChars="100"/>
        <w:jc w:val="both"/>
        <w:textAlignment w:val="auto"/>
        <w:outlineLvl w:val="9"/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（二</w:t>
      </w:r>
      <w:r>
        <w:rPr>
          <w:rFonts w:hint="default" w:ascii="Times New Roman" w:hAnsi="Times New Roman" w:eastAsia="楷体_GB2312" w:cs="Times New Roman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下一步</w:t>
      </w:r>
      <w:r>
        <w:rPr>
          <w:rFonts w:hint="default" w:ascii="Times New Roman" w:hAnsi="Times New Roman" w:eastAsia="楷体_GB2312" w:cs="Times New Roman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改</w:t>
      </w:r>
      <w:r>
        <w:rPr>
          <w:rFonts w:hint="eastAsia" w:ascii="楷体_GB2312" w:hAnsi="楷体_GB2312" w:eastAsia="楷体_GB2312"/>
          <w:b/>
          <w:bCs/>
          <w:snapToGrid/>
          <w:color w:val="000000"/>
          <w:kern w:val="0"/>
          <w:sz w:val="32"/>
          <w:shd w:val="clear" w:color="auto" w:fill="FFFFFF"/>
          <w:lang w:eastAsia="zh-CN"/>
        </w:rPr>
        <w:t>进措施</w:t>
      </w:r>
      <w:r>
        <w:rPr>
          <w:rFonts w:hint="default" w:ascii="Times New Roman" w:hAnsi="Times New Roman" w:eastAsia="仿宋_GB2312"/>
          <w:snapToGrid/>
          <w:color w:val="333333"/>
          <w:sz w:val="32"/>
          <w:shd w:val="clear" w:color="auto" w:fill="FFFFFF"/>
        </w:rPr>
        <w:br w:type="textWrapping"/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 xml:space="preserve">    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进一步加强信息公开工作的日常管理。继续强化专人负责信息公开工作的职责，在规定的政府信息公开范围内，及时发布和更新依法应主动公开的政府信息，并做好答复依申请公开政府信息工作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充分利用好韶关林业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网等平台，实现政务信息公开化，切实提高办事透明度，努力提高政府行政效能和公信力，为公众提供更加便利的服务。适时梳理信息公开内容，修正、更新行政服务指南，制定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并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完善有关制度，扎实推进政府信息公开各项工作。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/>
          <w:snapToGrid/>
          <w:color w:val="000000"/>
          <w:kern w:val="0"/>
          <w:sz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napToGrid/>
          <w:color w:val="000000"/>
          <w:kern w:val="0"/>
          <w:sz w:val="32"/>
          <w:shd w:val="clear" w:color="auto" w:fill="FFFFFF"/>
          <w:lang w:val="en-US" w:eastAsia="zh-CN"/>
        </w:rPr>
        <w:t xml:space="preserve">    2.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进一步丰富信息公开的方式方法。以社会需求为导向，在不断深化政府信息公开内容的同时，努力做到公开方式的灵活多样。本着规范、实用、简便、易行的原则，加强政务公开的基础设施建设，通过开设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微信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微博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新闻发布会</w:t>
      </w:r>
      <w:r>
        <w:rPr>
          <w:rFonts w:hint="default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等多种便于公众知晓的方式进行公开，更好地为经济社会发展和人民群众服务。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将按照省和市委、市政府有关政府信息公开工作部署，认真贯彻落实《中华人民共和国政府信息公开条例》，不断深入推进政府信息（政务）公开，全面做好政府网站和政务新媒体监管，依法办理政府信息公开申请，不断推进治理体系和治理能力现代化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5120" w:firstLineChars="1600"/>
        <w:jc w:val="left"/>
      </w:pPr>
      <w:r>
        <w:rPr>
          <w:rFonts w:hint="eastAsia" w:ascii="仿宋" w:hAnsi="仿宋" w:eastAsia="仿宋"/>
          <w:snapToGrid/>
          <w:color w:val="000000"/>
          <w:kern w:val="0"/>
          <w:sz w:val="32"/>
          <w:shd w:val="clear" w:color="auto" w:fill="FFFFFF"/>
          <w:lang w:val="en-US" w:eastAsia="zh-CN"/>
        </w:rPr>
        <w:t>韶关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 xml:space="preserve">市林业局                                      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20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仿宋_GB2312"/>
          <w:snapToGrid/>
          <w:color w:val="000000"/>
          <w:kern w:val="0"/>
          <w:sz w:val="32"/>
          <w:shd w:val="clear" w:color="auto" w:fill="FFFFFF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1A4F69FD"/>
    <w:rsid w:val="257F7CDD"/>
    <w:rsid w:val="388D78C9"/>
    <w:rsid w:val="62CA2291"/>
    <w:rsid w:val="785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邓光忠</cp:lastModifiedBy>
  <dcterms:modified xsi:type="dcterms:W3CDTF">2020-01-28T03:15:52Z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