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责令改正违法行为决定书</w:t>
      </w:r>
    </w:p>
    <w:p>
      <w:pPr>
        <w:jc w:val="center"/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  <w:t>韶环责改字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〔2019〕25</w:t>
      </w:r>
      <w:r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  <w:t>号（曲江）</w:t>
      </w:r>
    </w:p>
    <w:p>
      <w:pPr>
        <w:spacing w:line="540" w:lineRule="exact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刘尚衡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default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eastAsia="zh-CN"/>
        </w:rPr>
        <w:t>统一社会信用代码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/身份证号码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440221195607066215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地址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/住址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韶关市曲江区白土镇上乡村委会大厅队14号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环境违法事实、理由和证据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接白土镇政府报告，白土镇上乡村委会有野外用火行为，2019年11月6日我局执法人员到达焚烧现场进行勘察，现场有面积约0.1亩的焚烧痕迹。经核实，你未向白土镇上乡村委会报告，于2019年11月4日17时10分许在白土镇上乡村委会自家农田内焚烧稻杆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你的上述行为违反了《韶关市野外用火管理条例》第十条第一项的规定。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以上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事实有《现场检查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（勘验）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笔录》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《询问笔录》及现场照片为证。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责令改正的依据、种类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根据《韶关市野外用火管理条例》第十九条，</w:t>
      </w:r>
      <w:r>
        <w:rPr>
          <w:rFonts w:hint="eastAsia" w:ascii="仿宋" w:hAnsi="仿宋" w:eastAsia="仿宋" w:cs="仿宋"/>
          <w:sz w:val="30"/>
          <w:szCs w:val="30"/>
        </w:rPr>
        <w:t>责令你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立即改正违法焚烧行为。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拒不改正或拒不停止违法行为的法律后果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我局将对你改正违法行为的情况实施行政执法后督察，如你拒不改正违法行为的，我局将依法从重进行行政处罚。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88" w:firstLineChars="196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四、申请行政复议或提起行政诉讼的途径和期限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如你对本决定不服，可在收到本决定书之日起六十日内向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广东省生态环境厅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或者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韶关市人民政府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申请行政复议，也可在收到本决定书之日六个月内向人民法院提起行政诉讼。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righ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韶关市生态环境局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294" w:firstLineChars="98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 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2019年11月11日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764169"/>
    <w:multiLevelType w:val="singleLevel"/>
    <w:tmpl w:val="D47641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90FCD"/>
    <w:rsid w:val="03190FCD"/>
    <w:rsid w:val="29347B2E"/>
    <w:rsid w:val="3906541A"/>
    <w:rsid w:val="39B6404D"/>
    <w:rsid w:val="55FF5744"/>
    <w:rsid w:val="796E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2019-11-08T03:00:00Z</dcterms:created>
  <dc:creator>Administrator</dc:creator>
  <cp:lastModifiedBy>Administrator</cp:lastModifiedBy>
  <cp:lastPrinted>2019-11-11T04:07:44Z</cp:lastPrinted>
  <dcterms:modified xsi:type="dcterms:W3CDTF">2019-11-11T04:09:43Z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