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jc w:val="center"/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>韶环责改字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〔2019〕24</w:t>
      </w: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>号（曲江）</w:t>
      </w:r>
    </w:p>
    <w:p>
      <w:pPr>
        <w:spacing w:line="540" w:lineRule="exact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钟先同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身份证号码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440221195605276219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住址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韶关市曲江区白土镇上乡村委会上厅队11号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我局接白土镇政府报告，白土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镇上乡村委会有野外用火行为，2019年11月6日我局执法人员到达焚烧现场进行勘察，现场有面积约2亩的焚烧痕迹。经核实，你未向白土镇上乡村委会报告，于2019年11月4日17时10分许在白土镇上乡村委会自家农田内焚烧稻杆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（勘验）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笔录》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0"/>
          <w:szCs w:val="30"/>
        </w:rPr>
        <w:t>责令你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88" w:firstLineChars="196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如你对本决定不服，可在收到本决定书之日起六十日内向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或者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申请行政复议，也可在收到本决定书之日六个月内向人民法院提起行政诉讼。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294" w:firstLineChars="98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                              2019年11月11日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08C84633"/>
    <w:rsid w:val="39B6404D"/>
    <w:rsid w:val="493F278A"/>
    <w:rsid w:val="55FF5744"/>
    <w:rsid w:val="652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2019-11-11T04:04:16Z</cp:lastPrinted>
  <dcterms:modified xsi:type="dcterms:W3CDTF">2019-11-11T04:09:49Z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