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Pr>
        <w:jc w:val="center"/>
        <w:rPr>
          <w:b/>
          <w:sz w:val="52"/>
          <w:szCs w:val="52"/>
        </w:rPr>
      </w:pPr>
      <w:r>
        <w:rPr>
          <w:rFonts w:hint="eastAsia"/>
          <w:b/>
          <w:sz w:val="52"/>
          <w:szCs w:val="52"/>
        </w:rPr>
        <w:t>始兴县文化广电旅游体育局</w:t>
      </w:r>
    </w:p>
    <w:p>
      <w:pPr>
        <w:jc w:val="center"/>
        <w:rPr>
          <w:b/>
          <w:sz w:val="52"/>
          <w:szCs w:val="52"/>
        </w:rPr>
      </w:pPr>
      <w:r>
        <w:rPr>
          <w:rFonts w:hint="eastAsia"/>
          <w:b/>
          <w:sz w:val="52"/>
          <w:szCs w:val="52"/>
        </w:rPr>
        <w:t xml:space="preserve">旅游节庆活动奖补经费 </w:t>
      </w:r>
    </w:p>
    <w:p>
      <w:pPr>
        <w:jc w:val="center"/>
        <w:rPr>
          <w:b/>
          <w:sz w:val="52"/>
          <w:szCs w:val="52"/>
        </w:rPr>
      </w:pPr>
    </w:p>
    <w:p>
      <w:pPr>
        <w:jc w:val="center"/>
        <w:rPr>
          <w:b/>
          <w:sz w:val="52"/>
          <w:szCs w:val="52"/>
        </w:rPr>
      </w:pPr>
    </w:p>
    <w:p>
      <w:pPr>
        <w:jc w:val="center"/>
        <w:rPr>
          <w:b/>
          <w:sz w:val="52"/>
          <w:szCs w:val="52"/>
        </w:rPr>
      </w:pPr>
      <w:r>
        <w:rPr>
          <w:rFonts w:hint="eastAsia"/>
          <w:b/>
          <w:sz w:val="52"/>
          <w:szCs w:val="52"/>
        </w:rPr>
        <w:t>第三方绩效评价报告</w:t>
      </w:r>
    </w:p>
    <w:p>
      <w:pPr>
        <w:jc w:val="center"/>
        <w:rPr>
          <w:rFonts w:hint="eastAsia"/>
          <w:sz w:val="24"/>
          <w:szCs w:val="24"/>
        </w:rPr>
      </w:pPr>
      <w:bookmarkStart w:id="2" w:name="_GoBack"/>
      <w:bookmarkEnd w:id="2"/>
    </w:p>
    <w:p>
      <w:pPr>
        <w:jc w:val="center"/>
        <w:rPr>
          <w:sz w:val="24"/>
          <w:szCs w:val="24"/>
        </w:rPr>
      </w:pPr>
      <w:r>
        <w:rPr>
          <w:rFonts w:hint="eastAsia"/>
          <w:sz w:val="24"/>
          <w:szCs w:val="24"/>
        </w:rPr>
        <w:t>报告号：韶中一专字[2019]190132</w:t>
      </w:r>
      <w:r>
        <w:rPr>
          <w:rFonts w:hint="eastAsia"/>
          <w:sz w:val="24"/>
          <w:szCs w:val="24"/>
          <w:lang w:val="en-US" w:eastAsia="zh-CN"/>
        </w:rPr>
        <w:t>4</w:t>
      </w:r>
      <w:r>
        <w:rPr>
          <w:rFonts w:hint="eastAsia"/>
          <w:sz w:val="24"/>
          <w:szCs w:val="24"/>
        </w:rPr>
        <w:t>001</w:t>
      </w:r>
      <w:r>
        <w:rPr>
          <w:rFonts w:hint="eastAsia"/>
          <w:sz w:val="24"/>
          <w:szCs w:val="24"/>
          <w:lang w:val="en-US" w:eastAsia="zh-CN"/>
        </w:rPr>
        <w:t>8</w:t>
      </w:r>
      <w:r>
        <w:rPr>
          <w:rFonts w:hint="eastAsia"/>
          <w:sz w:val="24"/>
          <w:szCs w:val="24"/>
        </w:rPr>
        <w:t>号</w:t>
      </w:r>
    </w:p>
    <w:p>
      <w:pPr>
        <w:rPr>
          <w:rFonts w:hint="default" w:eastAsia="宋体"/>
          <w:lang w:val="en-US" w:eastAsia="zh-CN"/>
        </w:rPr>
      </w:pPr>
    </w:p>
    <w:p/>
    <w:p/>
    <w:p/>
    <w:p/>
    <w:p/>
    <w:p/>
    <w:p/>
    <w:p/>
    <w:p/>
    <w:p/>
    <w:p/>
    <w:p/>
    <w:p/>
    <w:p>
      <w:pPr>
        <w:jc w:val="center"/>
        <w:rPr>
          <w:sz w:val="32"/>
          <w:szCs w:val="32"/>
        </w:rPr>
      </w:pPr>
      <w:r>
        <w:rPr>
          <w:rFonts w:hint="eastAsia"/>
          <w:sz w:val="32"/>
          <w:szCs w:val="32"/>
        </w:rPr>
        <w:t>委托单位：始兴县财政局</w:t>
      </w:r>
    </w:p>
    <w:p>
      <w:pPr>
        <w:jc w:val="center"/>
        <w:rPr>
          <w:sz w:val="32"/>
          <w:szCs w:val="32"/>
        </w:rPr>
      </w:pPr>
      <w:r>
        <w:rPr>
          <w:rFonts w:hint="eastAsia"/>
          <w:sz w:val="32"/>
          <w:szCs w:val="32"/>
        </w:rPr>
        <w:t>评价机构：韶关中一会计师事务所有限公司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二〇一九年九月二十三日</w:t>
      </w: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3</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3</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二、实地核查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3</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四、存在问题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五、相关建议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六、综合评价结论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spacing w:line="620" w:lineRule="exact"/>
        <w:rPr>
          <w:rFonts w:ascii="仿宋_GB2312" w:hAnsi="仿宋_GB2312" w:eastAsia="仿宋_GB2312"/>
          <w:szCs w:val="24"/>
        </w:rPr>
      </w:pP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433101636"/>
      <w:bookmarkStart w:id="1" w:name="_Toc361387939"/>
      <w:r>
        <w:rPr>
          <w:rFonts w:hint="eastAsia" w:ascii="仿宋_GB2312" w:hAnsi="仿宋_GB2312" w:eastAsia="仿宋_GB2312"/>
          <w:b/>
          <w:spacing w:val="5"/>
          <w:kern w:val="0"/>
          <w:sz w:val="32"/>
          <w:szCs w:val="32"/>
        </w:rPr>
        <w:t>一、项目基本情况</w:t>
      </w:r>
      <w:bookmarkEnd w:id="0"/>
      <w:bookmarkEnd w:id="1"/>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为贯彻落实县委、县政府“全景始兴·全域旅游”的发展理念，加快推进我县创建“广东省全域旅游示范区”，进一步弘扬、传播始兴县生态和民俗文化，宣传、扩大始兴旅游的影响力，为确保各乡镇顺利举办旅游节庆活动，特安排我县10个乡镇举办旅游节庆活动奖补经费共50万元整。</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项目主管部门：始兴县文化广电旅游体育局。</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资金使用单位：始兴县太平镇、城南镇、马市镇、罗坝镇等10个乡镇人民政府。</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始兴县文化广电旅游体育局旅游节庆活动奖补经费财政预算共50万元，始兴县财政局分两次直接支付给始兴县各乡镇人民政府。</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合理运用旅游节庆活动奖补经费，鼓励各乡镇结合本镇特色举办旅游节庆活动，打造一镇一品牌，进一步弘扬、传播始兴县生态和民俗文化，宣传、扩大始兴旅游的影响力，加快推进我县创建“广东省全域旅游示范区”。</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旅游节庆活动奖补经费落实、管理、使用情况，以及了解项目经费实施效益情况，进而总结经验，发现问题，加强管理，改进工作，推动始兴县旅游节庆活动进一步发展，确保项目资金安全并发挥效益，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（一）始兴县财政局文件《关于开展财政支出项目委托第三方评估工作的通知》（始财﹝2019﹞38号）；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（二）始兴县旅游局文件《关于要求安排旅游节庆活动奖补经费的请示》（始旅请﹝2018﹞11号）；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（四）资金使用单位提交的《绩效自评报告》、《基础信息表》及《绩效评价指标》。</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2019年7月份始兴县文化广电旅游体育局对旅游节庆活动奖补经费进行了考核，考核得分100分，绩效等级为“优”。详见《始兴县文化广电旅游体育局旅游节庆活动奖补经费绩效自评情况表》（附件4）。</w:t>
      </w: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成立绩效评价小组（附件1），初审始兴县文化广电旅游体育局提供的考核资料，对漏报、错报和佐证材料不足等事项，要求补充更正。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资金使用单位检查专项经费账务资料和相关文件，重点核实专项经费到位和管理使用情况，以及旅游节庆活动奖补经费的实际完成情况。并进行现场考核，查阅专项资金收付账务资料以及开展旅游节庆活动工作成效资料。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（一）项目经费内容</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始兴县文化广电旅游体育局旅游节庆活动奖补经费主要用于：始兴县各乡镇人民政府用于举办旅游节庆活动。</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（二）项目资金来源</w:t>
      </w:r>
    </w:p>
    <w:p>
      <w:pPr>
        <w:ind w:firstLine="825" w:firstLineChars="25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2018年县财政下达预算指标50万元。</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二、资金拨付和使用情况</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始兴县文化广电旅游体育局旅游节庆活动奖补经费共50万元，始兴县财政局分两次直接支付给始兴县各乡镇人民政府，分别于2018年7月、2</w:t>
      </w:r>
      <w:r>
        <w:rPr>
          <w:rFonts w:ascii="仿宋_GB2312" w:hAnsi="仿宋_GB2312" w:eastAsia="仿宋_GB2312"/>
          <w:spacing w:val="5"/>
          <w:kern w:val="0"/>
          <w:sz w:val="32"/>
          <w:szCs w:val="32"/>
        </w:rPr>
        <w:t>018</w:t>
      </w:r>
      <w:r>
        <w:rPr>
          <w:rFonts w:hint="eastAsia" w:ascii="仿宋_GB2312" w:hAnsi="仿宋_GB2312" w:eastAsia="仿宋_GB2312"/>
          <w:spacing w:val="5"/>
          <w:kern w:val="0"/>
          <w:sz w:val="32"/>
          <w:szCs w:val="32"/>
        </w:rPr>
        <w:t>年11月支付了30万元、20万元。详见《项目资金收入情况表》（附件2）。2018年度旅游节庆活动奖补经费实际支出50万元，资金使用率100%。详见《项目资金使用情况表》（附件3）。</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2018年旅游节庆活动奖补经费投入50万元，主要用于支付始兴县各乡镇人民政府用于举办旅游节庆活动。其中始兴县城南镇人民政府5万元，始兴县马市镇人民政府5万元，始兴县罗坝镇人民政府5万元，始兴县司前镇人民政府5万元，始兴县太平镇人民政府5万元，始兴县顿岗镇人民政府5万元，始兴县沈所镇人民政府5万元，始兴县澄江镇人民政府5万元，始兴县深度水乡人民政府5万元，始兴县隘子镇人民政府5万元。2018年旅游节庆活动奖补经费落实不仅从经济上解决了始兴县各乡镇人民政府举办旅游节庆活动经费问题，同时为旅游节庆活动各项工作顺利开展提供有力保障，进一步弘扬、传播始兴县生态和民俗文化，宣传、扩大始兴旅游的影响力。</w:t>
      </w:r>
      <w:r>
        <w:rPr>
          <w:rFonts w:ascii="仿宋_GB2312" w:hAnsi="仿宋_GB2312" w:eastAsia="仿宋_GB2312"/>
          <w:spacing w:val="5"/>
          <w:kern w:val="0"/>
          <w:sz w:val="32"/>
          <w:szCs w:val="32"/>
        </w:rPr>
        <w:t xml:space="preserve"> </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四、存在问题</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项目无后续的管理措施或机构人员，项目主管部门拨付专项资金后未跟进专项资金的使用情况。</w:t>
      </w:r>
    </w:p>
    <w:p>
      <w:pPr>
        <w:spacing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五、相关建议</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建议项目主管部门要加强项目后续管理工作，严格按照预算计划支出项目经费，及时拨付专项资金至各责任单位，履行自身承担的工作职责，进行相关培训、发放资料，并定期进行实地检查考核。</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财政配套资金对2018年度始兴县文化广电旅游体育局旅游节庆活动奖补经费的大力支持，统一安排预算内活动经费，加强2018年旅游节庆活动各项经费保障，促进了旅游业的良好发展，对促进全县经济发展取得了显著成效。</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综合评价始兴县文化广电旅游体育局旅游节庆活动奖补经费使用绩效为99分，等级为“优”。详见《始兴县文化广电旅游体育局旅游节庆活动奖补经费绩效考核评分表》（附件5）。</w:t>
      </w: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ind w:firstLine="903" w:firstLineChars="200"/>
        <w:jc w:val="center"/>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hint="eastAsia"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p>
      <w:pPr>
        <w:spacing w:line="620" w:lineRule="exact"/>
        <w:rPr>
          <w:rFonts w:asciiTheme="minorEastAsia" w:hAnsiTheme="minorEastAsia" w:eastAsiaTheme="minorEastAsia"/>
          <w:b/>
          <w:spacing w:val="5"/>
          <w:kern w:val="0"/>
          <w:sz w:val="44"/>
          <w:szCs w:val="44"/>
        </w:rPr>
      </w:pP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1989"/>
    <w:rsid w:val="00002FB0"/>
    <w:rsid w:val="0000781C"/>
    <w:rsid w:val="0002076F"/>
    <w:rsid w:val="000245F9"/>
    <w:rsid w:val="000342D0"/>
    <w:rsid w:val="00041DDE"/>
    <w:rsid w:val="000543E1"/>
    <w:rsid w:val="0005675B"/>
    <w:rsid w:val="000708E7"/>
    <w:rsid w:val="00095BEA"/>
    <w:rsid w:val="000A4E82"/>
    <w:rsid w:val="000A6A6E"/>
    <w:rsid w:val="000B2779"/>
    <w:rsid w:val="000D05F7"/>
    <w:rsid w:val="000E209D"/>
    <w:rsid w:val="000E2807"/>
    <w:rsid w:val="000E67D9"/>
    <w:rsid w:val="00111243"/>
    <w:rsid w:val="001233EA"/>
    <w:rsid w:val="001330E0"/>
    <w:rsid w:val="001349A4"/>
    <w:rsid w:val="0013570C"/>
    <w:rsid w:val="00140E87"/>
    <w:rsid w:val="00142395"/>
    <w:rsid w:val="001544A6"/>
    <w:rsid w:val="00165354"/>
    <w:rsid w:val="0016579D"/>
    <w:rsid w:val="00170DB1"/>
    <w:rsid w:val="00177831"/>
    <w:rsid w:val="001A01B9"/>
    <w:rsid w:val="001B439A"/>
    <w:rsid w:val="001C0AB3"/>
    <w:rsid w:val="001D0751"/>
    <w:rsid w:val="001E46C4"/>
    <w:rsid w:val="001F7584"/>
    <w:rsid w:val="002002F5"/>
    <w:rsid w:val="002023F7"/>
    <w:rsid w:val="00203DB9"/>
    <w:rsid w:val="002261B2"/>
    <w:rsid w:val="00234163"/>
    <w:rsid w:val="002563DE"/>
    <w:rsid w:val="0026165E"/>
    <w:rsid w:val="002707E8"/>
    <w:rsid w:val="0027148F"/>
    <w:rsid w:val="00271D39"/>
    <w:rsid w:val="00277E14"/>
    <w:rsid w:val="00286D97"/>
    <w:rsid w:val="0029025E"/>
    <w:rsid w:val="00292899"/>
    <w:rsid w:val="0029457A"/>
    <w:rsid w:val="00297C96"/>
    <w:rsid w:val="002A3366"/>
    <w:rsid w:val="002B6E63"/>
    <w:rsid w:val="002C1968"/>
    <w:rsid w:val="002C1C9F"/>
    <w:rsid w:val="002C5CAE"/>
    <w:rsid w:val="002D0A04"/>
    <w:rsid w:val="002E0C32"/>
    <w:rsid w:val="002E2B3B"/>
    <w:rsid w:val="002E6B20"/>
    <w:rsid w:val="00300A23"/>
    <w:rsid w:val="00314098"/>
    <w:rsid w:val="00325E5C"/>
    <w:rsid w:val="00327917"/>
    <w:rsid w:val="00342654"/>
    <w:rsid w:val="00342E19"/>
    <w:rsid w:val="00345076"/>
    <w:rsid w:val="003514AC"/>
    <w:rsid w:val="00365929"/>
    <w:rsid w:val="0037051B"/>
    <w:rsid w:val="003817C4"/>
    <w:rsid w:val="00392FB4"/>
    <w:rsid w:val="003A5F02"/>
    <w:rsid w:val="003B72DF"/>
    <w:rsid w:val="003C05E4"/>
    <w:rsid w:val="003C36CD"/>
    <w:rsid w:val="003C7CCC"/>
    <w:rsid w:val="003D08C0"/>
    <w:rsid w:val="003D7D8F"/>
    <w:rsid w:val="00401ECD"/>
    <w:rsid w:val="0041039A"/>
    <w:rsid w:val="00421C84"/>
    <w:rsid w:val="00426C69"/>
    <w:rsid w:val="004308B5"/>
    <w:rsid w:val="0044644A"/>
    <w:rsid w:val="00461739"/>
    <w:rsid w:val="0046211F"/>
    <w:rsid w:val="00475341"/>
    <w:rsid w:val="004834EC"/>
    <w:rsid w:val="00487268"/>
    <w:rsid w:val="0049154D"/>
    <w:rsid w:val="004A2740"/>
    <w:rsid w:val="004C0C39"/>
    <w:rsid w:val="004C4D5F"/>
    <w:rsid w:val="004D5D0C"/>
    <w:rsid w:val="00505F0A"/>
    <w:rsid w:val="005134CF"/>
    <w:rsid w:val="00524066"/>
    <w:rsid w:val="00533741"/>
    <w:rsid w:val="00533B39"/>
    <w:rsid w:val="00534BFA"/>
    <w:rsid w:val="00557BEF"/>
    <w:rsid w:val="00586209"/>
    <w:rsid w:val="00586FFD"/>
    <w:rsid w:val="005873DA"/>
    <w:rsid w:val="00590989"/>
    <w:rsid w:val="00591CD0"/>
    <w:rsid w:val="005A0F1B"/>
    <w:rsid w:val="005A28EE"/>
    <w:rsid w:val="005A551F"/>
    <w:rsid w:val="005B263E"/>
    <w:rsid w:val="005C0E2A"/>
    <w:rsid w:val="005D1C25"/>
    <w:rsid w:val="005D4849"/>
    <w:rsid w:val="005E18E7"/>
    <w:rsid w:val="005E3816"/>
    <w:rsid w:val="005E793B"/>
    <w:rsid w:val="005F650D"/>
    <w:rsid w:val="00610CB0"/>
    <w:rsid w:val="00615682"/>
    <w:rsid w:val="00627614"/>
    <w:rsid w:val="00637368"/>
    <w:rsid w:val="00640341"/>
    <w:rsid w:val="00645C48"/>
    <w:rsid w:val="00650594"/>
    <w:rsid w:val="00652AD4"/>
    <w:rsid w:val="00652C09"/>
    <w:rsid w:val="00657D22"/>
    <w:rsid w:val="00657E0D"/>
    <w:rsid w:val="006738D7"/>
    <w:rsid w:val="0067741B"/>
    <w:rsid w:val="00693249"/>
    <w:rsid w:val="006A604C"/>
    <w:rsid w:val="006C3BDE"/>
    <w:rsid w:val="006C3E1D"/>
    <w:rsid w:val="006C70DF"/>
    <w:rsid w:val="006C7FCF"/>
    <w:rsid w:val="006E753D"/>
    <w:rsid w:val="007052F7"/>
    <w:rsid w:val="00713A42"/>
    <w:rsid w:val="00724B50"/>
    <w:rsid w:val="00724E01"/>
    <w:rsid w:val="0072702B"/>
    <w:rsid w:val="00733F67"/>
    <w:rsid w:val="00742000"/>
    <w:rsid w:val="00756C50"/>
    <w:rsid w:val="0076145B"/>
    <w:rsid w:val="00761780"/>
    <w:rsid w:val="00763378"/>
    <w:rsid w:val="00772487"/>
    <w:rsid w:val="007736C1"/>
    <w:rsid w:val="00773EE0"/>
    <w:rsid w:val="00775046"/>
    <w:rsid w:val="00781402"/>
    <w:rsid w:val="007A5AC0"/>
    <w:rsid w:val="007C0934"/>
    <w:rsid w:val="007C28A0"/>
    <w:rsid w:val="007C3C28"/>
    <w:rsid w:val="007D56B6"/>
    <w:rsid w:val="007E15EB"/>
    <w:rsid w:val="00823B92"/>
    <w:rsid w:val="00824C13"/>
    <w:rsid w:val="008370FD"/>
    <w:rsid w:val="008471B9"/>
    <w:rsid w:val="00847445"/>
    <w:rsid w:val="00857DDC"/>
    <w:rsid w:val="00860F15"/>
    <w:rsid w:val="00892D20"/>
    <w:rsid w:val="00894940"/>
    <w:rsid w:val="008A01AB"/>
    <w:rsid w:val="008D1726"/>
    <w:rsid w:val="008D17DC"/>
    <w:rsid w:val="008F4623"/>
    <w:rsid w:val="00907C0A"/>
    <w:rsid w:val="0091395D"/>
    <w:rsid w:val="00916DD9"/>
    <w:rsid w:val="00917B81"/>
    <w:rsid w:val="00920AAC"/>
    <w:rsid w:val="00921FE9"/>
    <w:rsid w:val="009234EE"/>
    <w:rsid w:val="00925BC9"/>
    <w:rsid w:val="009311C5"/>
    <w:rsid w:val="00947B6C"/>
    <w:rsid w:val="00950313"/>
    <w:rsid w:val="009516A4"/>
    <w:rsid w:val="009561C9"/>
    <w:rsid w:val="0096662B"/>
    <w:rsid w:val="00986253"/>
    <w:rsid w:val="00986C85"/>
    <w:rsid w:val="009C0DD8"/>
    <w:rsid w:val="009E5757"/>
    <w:rsid w:val="009F5AA4"/>
    <w:rsid w:val="00A004AA"/>
    <w:rsid w:val="00A10DB5"/>
    <w:rsid w:val="00A2353E"/>
    <w:rsid w:val="00A24A81"/>
    <w:rsid w:val="00A256E6"/>
    <w:rsid w:val="00A56523"/>
    <w:rsid w:val="00A566B0"/>
    <w:rsid w:val="00A81EC0"/>
    <w:rsid w:val="00A84C7A"/>
    <w:rsid w:val="00AA0CEB"/>
    <w:rsid w:val="00AB6BCB"/>
    <w:rsid w:val="00AD2846"/>
    <w:rsid w:val="00AD43BF"/>
    <w:rsid w:val="00AD7731"/>
    <w:rsid w:val="00AE27EA"/>
    <w:rsid w:val="00AE39C2"/>
    <w:rsid w:val="00AE44FE"/>
    <w:rsid w:val="00AF7B9F"/>
    <w:rsid w:val="00B02F49"/>
    <w:rsid w:val="00B07770"/>
    <w:rsid w:val="00B20095"/>
    <w:rsid w:val="00B40F79"/>
    <w:rsid w:val="00B443F1"/>
    <w:rsid w:val="00B472D1"/>
    <w:rsid w:val="00B4789A"/>
    <w:rsid w:val="00B57CA9"/>
    <w:rsid w:val="00B62C87"/>
    <w:rsid w:val="00B8515B"/>
    <w:rsid w:val="00B93F2D"/>
    <w:rsid w:val="00BA0113"/>
    <w:rsid w:val="00BB13BC"/>
    <w:rsid w:val="00BB46D3"/>
    <w:rsid w:val="00BC545F"/>
    <w:rsid w:val="00BC5630"/>
    <w:rsid w:val="00BD01D3"/>
    <w:rsid w:val="00BD5E29"/>
    <w:rsid w:val="00BE195A"/>
    <w:rsid w:val="00BE7F50"/>
    <w:rsid w:val="00BF1E23"/>
    <w:rsid w:val="00BF72D6"/>
    <w:rsid w:val="00BF7F1C"/>
    <w:rsid w:val="00C02B3B"/>
    <w:rsid w:val="00C06FC2"/>
    <w:rsid w:val="00C12772"/>
    <w:rsid w:val="00C16923"/>
    <w:rsid w:val="00C25CB6"/>
    <w:rsid w:val="00C32F73"/>
    <w:rsid w:val="00C71037"/>
    <w:rsid w:val="00C735AA"/>
    <w:rsid w:val="00C76C45"/>
    <w:rsid w:val="00C85436"/>
    <w:rsid w:val="00C96E92"/>
    <w:rsid w:val="00CB4372"/>
    <w:rsid w:val="00CD4694"/>
    <w:rsid w:val="00CD551B"/>
    <w:rsid w:val="00CF06E5"/>
    <w:rsid w:val="00CF153B"/>
    <w:rsid w:val="00CF75DF"/>
    <w:rsid w:val="00D30A24"/>
    <w:rsid w:val="00D3764B"/>
    <w:rsid w:val="00D4128A"/>
    <w:rsid w:val="00D4253D"/>
    <w:rsid w:val="00D520EB"/>
    <w:rsid w:val="00D74CF7"/>
    <w:rsid w:val="00D80AA9"/>
    <w:rsid w:val="00D93418"/>
    <w:rsid w:val="00D94CBF"/>
    <w:rsid w:val="00DB1C0D"/>
    <w:rsid w:val="00DB208C"/>
    <w:rsid w:val="00DE22A2"/>
    <w:rsid w:val="00DE537F"/>
    <w:rsid w:val="00DF0C4C"/>
    <w:rsid w:val="00DF2151"/>
    <w:rsid w:val="00DF56C2"/>
    <w:rsid w:val="00E01414"/>
    <w:rsid w:val="00E0195C"/>
    <w:rsid w:val="00E31C58"/>
    <w:rsid w:val="00E3711A"/>
    <w:rsid w:val="00E503DE"/>
    <w:rsid w:val="00E5133C"/>
    <w:rsid w:val="00E51A7D"/>
    <w:rsid w:val="00E571FA"/>
    <w:rsid w:val="00E64293"/>
    <w:rsid w:val="00E87E11"/>
    <w:rsid w:val="00E95FB1"/>
    <w:rsid w:val="00EA5A6B"/>
    <w:rsid w:val="00EB15BB"/>
    <w:rsid w:val="00ED41FC"/>
    <w:rsid w:val="00F00DE8"/>
    <w:rsid w:val="00F021D7"/>
    <w:rsid w:val="00F04DDE"/>
    <w:rsid w:val="00F061EF"/>
    <w:rsid w:val="00F207D0"/>
    <w:rsid w:val="00F27651"/>
    <w:rsid w:val="00F32DC5"/>
    <w:rsid w:val="00F3624D"/>
    <w:rsid w:val="00F4338B"/>
    <w:rsid w:val="00F45813"/>
    <w:rsid w:val="00F47544"/>
    <w:rsid w:val="00F53FB3"/>
    <w:rsid w:val="00F64B5D"/>
    <w:rsid w:val="00F65241"/>
    <w:rsid w:val="00F71D9D"/>
    <w:rsid w:val="00F75ED0"/>
    <w:rsid w:val="00F844C0"/>
    <w:rsid w:val="00F92272"/>
    <w:rsid w:val="00F9230D"/>
    <w:rsid w:val="00FA4EE2"/>
    <w:rsid w:val="00FA6487"/>
    <w:rsid w:val="00FB1EEE"/>
    <w:rsid w:val="00FB3045"/>
    <w:rsid w:val="00FC3E41"/>
    <w:rsid w:val="00FC6AD0"/>
    <w:rsid w:val="00FC7D3D"/>
    <w:rsid w:val="00FD3F7F"/>
    <w:rsid w:val="00FE1D60"/>
    <w:rsid w:val="00FE7798"/>
    <w:rsid w:val="00FF05A9"/>
    <w:rsid w:val="00FF18A8"/>
    <w:rsid w:val="00FF43A3"/>
    <w:rsid w:val="00FF5414"/>
    <w:rsid w:val="00FF5603"/>
    <w:rsid w:val="00FF66D3"/>
    <w:rsid w:val="13537B29"/>
    <w:rsid w:val="489311C5"/>
    <w:rsid w:val="6A7E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2"/>
    <w:semiHidden/>
    <w:qFormat/>
    <w:uiPriority w:val="99"/>
    <w:rPr>
      <w:kern w:val="2"/>
      <w:sz w:val="21"/>
    </w:rPr>
  </w:style>
  <w:style w:type="paragraph" w:customStyle="1" w:styleId="12">
    <w:name w:val="Char Char1 Char Char Char Char"/>
    <w:basedOn w:val="1"/>
    <w:qFormat/>
    <w:uiPriority w:val="0"/>
    <w:rPr>
      <w:rFonts w:eastAsia="仿宋_GB2312"/>
      <w:sz w:val="32"/>
      <w:szCs w:val="32"/>
    </w:rPr>
  </w:style>
  <w:style w:type="paragraph" w:customStyle="1" w:styleId="13">
    <w:name w:val="Char Char Char Char"/>
    <w:basedOn w:val="1"/>
    <w:qFormat/>
    <w:uiPriority w:val="0"/>
    <w:pPr>
      <w:widowControl/>
      <w:adjustRightInd w:val="0"/>
      <w:snapToGrid w:val="0"/>
      <w:spacing w:after="160" w:line="240" w:lineRule="exact"/>
      <w:jc w:val="left"/>
    </w:pPr>
    <w:rPr>
      <w:kern w:val="0"/>
    </w:r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83E4A-3B9F-4332-B690-F400EF5525C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407</Words>
  <Characters>2326</Characters>
  <Lines>19</Lines>
  <Paragraphs>5</Paragraphs>
  <TotalTime>1</TotalTime>
  <ScaleCrop>false</ScaleCrop>
  <LinksUpToDate>false</LinksUpToDate>
  <CharactersWithSpaces>2728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大思</cp:lastModifiedBy>
  <cp:lastPrinted>2019-09-19T12:48:00Z</cp:lastPrinted>
  <dcterms:modified xsi:type="dcterms:W3CDTF">2019-12-16T08:08:39Z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