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t>关于韶关市201</w:t>
      </w:r>
      <w:r>
        <w:rPr>
          <w:rFonts w:hint="eastAsia"/>
          <w:lang w:val="en-US" w:eastAsia="zh-CN"/>
        </w:rPr>
        <w:t>9</w:t>
      </w:r>
      <w:r>
        <w:t>年政策性水稻种植保险承保和财政保费补贴情况的公示</w:t>
      </w:r>
      <w:r>
        <w:rPr>
          <w:rFonts w:hint="eastAsia"/>
          <w:lang w:eastAsia="zh-CN"/>
        </w:rPr>
        <w:t>（人财保险）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仿宋" w:hAnsi="仿宋" w:eastAsia="仿宋" w:cs="仿宋"/>
          <w:color w:val="333333"/>
          <w:spacing w:val="0"/>
          <w:sz w:val="32"/>
          <w:szCs w:val="32"/>
        </w:rPr>
        <w:t>根据有关文件的精神和要求，现将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我市201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年政策性水稻种植保险承保和财政保费补贴情况予以公示。公示期为2019年7月25日至2019年7月31日。如有异议，请在公示期内向韶关市农业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局、市财政局实名反映。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_GB2312" w:eastAsia="仿宋_GB2312" w:cs="仿宋_GB2312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color w:val="333333"/>
          <w:spacing w:val="0"/>
          <w:sz w:val="28"/>
          <w:szCs w:val="28"/>
        </w:rPr>
        <w:t>联系电话：市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农业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eastAsia="zh-CN"/>
        </w:rPr>
        <w:t>农村</w:t>
      </w:r>
      <w:r>
        <w:rPr>
          <w:rFonts w:ascii="仿宋_GB2312" w:eastAsia="仿宋_GB2312" w:cs="仿宋_GB2312"/>
          <w:color w:val="333333"/>
          <w:spacing w:val="0"/>
          <w:sz w:val="28"/>
          <w:szCs w:val="28"/>
        </w:rPr>
        <w:t>局</w:t>
      </w:r>
      <w:r>
        <w:rPr>
          <w:rFonts w:ascii="Arial" w:hAnsi="Arial" w:eastAsia="仿宋_GB2312" w:cs="Arial"/>
          <w:color w:val="333333"/>
          <w:spacing w:val="0"/>
          <w:sz w:val="28"/>
          <w:szCs w:val="28"/>
        </w:rPr>
        <w:t> </w:t>
      </w: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0751-88</w:t>
      </w:r>
      <w:r>
        <w:rPr>
          <w:rFonts w:hint="eastAsia" w:asci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97524</w:t>
      </w: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          </w:t>
      </w:r>
      <w:r>
        <w:rPr>
          <w:rFonts w:hint="eastAsia" w:ascii="仿宋_GB2312" w:eastAsia="仿宋_GB2312" w:cs="仿宋_GB2312"/>
          <w:color w:val="333333"/>
          <w:spacing w:val="0"/>
          <w:sz w:val="28"/>
          <w:szCs w:val="28"/>
          <w:lang w:val="en-US" w:eastAsia="zh-CN"/>
        </w:rPr>
        <w:t xml:space="preserve">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1960" w:firstLineChars="700"/>
        <w:jc w:val="both"/>
      </w:pP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市财政局</w:t>
      </w:r>
      <w:r>
        <w:rPr>
          <w:rFonts w:hint="default" w:ascii="Arial" w:hAnsi="Arial" w:eastAsia="仿宋_GB2312" w:cs="Arial"/>
          <w:color w:val="333333"/>
          <w:spacing w:val="0"/>
          <w:sz w:val="28"/>
          <w:szCs w:val="28"/>
        </w:rPr>
        <w:t> </w:t>
      </w: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0751-8177081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6" w:right="0" w:hanging="126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      附件：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1、关于申请2019年度全年政策性农业保险财政保费补贴资金的函【韶人保财险发（2019）96号】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Chars="300" w:right="0" w:rightChars="0" w:firstLine="320" w:firstLineChars="10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韶关市政策性水稻种植保险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承保季度汇总表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（早造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含县级汇总表）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Chars="300" w:right="0" w:rightChars="0" w:firstLine="320" w:firstLineChars="10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韶关市政策性水稻种植保险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承保季度汇总表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中晚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造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含县级汇总表）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Chars="300" w:right="0" w:rightChars="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960" w:firstLineChars="300"/>
        <w:jc w:val="both"/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 xml:space="preserve">    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 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韶关市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农业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eastAsia="zh-CN"/>
        </w:rPr>
        <w:t>农村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局</w:t>
      </w:r>
      <w:r>
        <w:rPr>
          <w:rFonts w:hint="default" w:ascii="Arial" w:hAnsi="Arial" w:eastAsia="仿宋_GB2312" w:cs="Arial"/>
          <w:color w:val="333333"/>
          <w:spacing w:val="0"/>
          <w:sz w:val="32"/>
          <w:szCs w:val="32"/>
        </w:rPr>
        <w:t>            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韶关市财政局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                                                201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5D7E"/>
    <w:rsid w:val="17B7365D"/>
    <w:rsid w:val="21B04071"/>
    <w:rsid w:val="349D041D"/>
    <w:rsid w:val="37B504BF"/>
    <w:rsid w:val="3F51383D"/>
    <w:rsid w:val="4469480C"/>
    <w:rsid w:val="66775D7E"/>
    <w:rsid w:val="6A104445"/>
    <w:rsid w:val="6C0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2019-07-17T01:36:00Z</dcterms:created>
  <dc:creator>财务科</dc:creator>
  <cp:lastModifiedBy>Administrator</cp:lastModifiedBy>
  <dcterms:modified xsi:type="dcterms:W3CDTF">2019-07-24T09:24:14Z</dcterms:modified>
  <dc:title>关于韶关市2019年政策性水稻种植保险承保和财政保费补贴情况的公示（人财保险）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