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韶关市土地储备中心“数字政府”政务云平台</w:t>
      </w:r>
    </w:p>
    <w:p>
      <w:pPr>
        <w:spacing w:line="4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韶关节点2025-2026年服务项目</w:t>
      </w:r>
    </w:p>
    <w:p>
      <w:pPr>
        <w:spacing w:line="480" w:lineRule="exact"/>
        <w:jc w:val="center"/>
        <w:rPr>
          <w:rFonts w:ascii="方正小标宋简体" w:hAnsi="方正小标宋简体" w:eastAsia="方正小标宋简体" w:cs="方正小标宋简体"/>
          <w:color w:val="1F2329"/>
          <w:kern w:val="0"/>
          <w:sz w:val="44"/>
          <w:szCs w:val="44"/>
        </w:rPr>
      </w:pPr>
      <w:r>
        <w:rPr>
          <w:rFonts w:hint="eastAsia" w:ascii="方正小标宋简体" w:hAnsi="方正小标宋简体" w:eastAsia="方正小标宋简体" w:cs="方正小标宋简体"/>
          <w:color w:val="1F2329"/>
          <w:kern w:val="0"/>
          <w:sz w:val="44"/>
          <w:szCs w:val="44"/>
        </w:rPr>
        <w:t>用户需求书</w:t>
      </w:r>
    </w:p>
    <w:p>
      <w:pPr>
        <w:rPr>
          <w:rFonts w:ascii="方正小标宋简体" w:hAnsi="仿宋" w:eastAsia="方正小标宋简体" w:cs="Segoe UI"/>
          <w:color w:val="1F2329"/>
          <w:kern w:val="0"/>
          <w:sz w:val="36"/>
          <w:szCs w:val="36"/>
        </w:rPr>
      </w:pPr>
    </w:p>
    <w:p>
      <w:pPr>
        <w:ind w:firstLine="640" w:firstLineChars="200"/>
        <w:rPr>
          <w:rFonts w:ascii="黑体" w:hAnsi="黑体" w:eastAsia="黑体" w:cs="Segoe UI"/>
          <w:color w:val="1F2329"/>
          <w:kern w:val="0"/>
          <w:sz w:val="32"/>
          <w:szCs w:val="32"/>
        </w:rPr>
      </w:pPr>
      <w:r>
        <w:rPr>
          <w:rFonts w:hint="eastAsia" w:ascii="黑体" w:hAnsi="黑体" w:eastAsia="黑体" w:cs="Segoe UI"/>
          <w:color w:val="1F2329"/>
          <w:kern w:val="0"/>
          <w:sz w:val="32"/>
          <w:szCs w:val="32"/>
        </w:rPr>
        <w:t>一、项目内容</w:t>
      </w:r>
    </w:p>
    <w:p>
      <w:r>
        <w:rPr>
          <w:rFonts w:hint="eastAsia" w:ascii="黑体" w:hAnsi="黑体" w:eastAsia="黑体" w:cs="Segoe UI"/>
          <w:color w:val="1F2329"/>
          <w:kern w:val="0"/>
          <w:sz w:val="30"/>
          <w:szCs w:val="30"/>
        </w:rPr>
        <w:t xml:space="preserve">   （一）</w:t>
      </w:r>
      <w:r>
        <w:rPr>
          <w:sz w:val="28"/>
        </w:rPr>
        <w:t>服务技术要求</w:t>
      </w:r>
    </w:p>
    <w:p>
      <w:pPr>
        <w:pStyle w:val="10"/>
        <w:ind w:firstLine="560"/>
        <w:rPr>
          <w:rFonts w:hint="default"/>
        </w:rPr>
      </w:pPr>
      <w:r>
        <w:rPr>
          <w:sz w:val="28"/>
          <w:lang w:eastAsia="zh-CN"/>
        </w:rPr>
        <w:t>1.</w:t>
      </w:r>
      <w:r>
        <w:rPr>
          <w:sz w:val="28"/>
        </w:rPr>
        <w:t>政务云</w:t>
      </w:r>
      <w:r>
        <w:rPr>
          <w:sz w:val="28"/>
          <w:lang w:eastAsia="zh-CN"/>
        </w:rPr>
        <w:t>资源服务</w:t>
      </w:r>
      <w:r>
        <w:rPr>
          <w:sz w:val="28"/>
        </w:rPr>
        <w:t>需求</w:t>
      </w:r>
    </w:p>
    <w:p>
      <w:pPr>
        <w:pStyle w:val="10"/>
        <w:ind w:firstLine="560"/>
        <w:rPr>
          <w:rFonts w:hint="default" w:ascii="仿宋_GB2312" w:hAnsi="仿宋_GB2312" w:eastAsia="仿宋_GB2312" w:cs="仿宋_GB2312"/>
          <w:sz w:val="30"/>
          <w:szCs w:val="30"/>
        </w:rPr>
      </w:pPr>
      <w:r>
        <w:rPr>
          <w:rFonts w:ascii="仿宋_GB2312" w:hAnsi="仿宋_GB2312" w:eastAsia="仿宋_GB2312" w:cs="仿宋_GB2312"/>
          <w:sz w:val="30"/>
          <w:szCs w:val="30"/>
        </w:rPr>
        <w:t>政务云平台服务需参照《广东省财政厅广东省政务服务数据管理局关于修订印发&lt;省级政务信息化项目预算编制规范和标准基础设施服务分册&gt;的通知》（粤财行〔2024〕4号）</w:t>
      </w:r>
      <w:r>
        <w:rPr>
          <w:rFonts w:ascii="仿宋_GB2312" w:hAnsi="仿宋_GB2312" w:eastAsia="仿宋_GB2312" w:cs="仿宋_GB2312"/>
          <w:sz w:val="30"/>
          <w:szCs w:val="30"/>
          <w:lang w:eastAsia="zh-CN"/>
        </w:rPr>
        <w:t>要求</w:t>
      </w:r>
      <w:r>
        <w:rPr>
          <w:rFonts w:ascii="仿宋_GB2312" w:hAnsi="仿宋_GB2312" w:eastAsia="仿宋_GB2312" w:cs="仿宋_GB2312"/>
          <w:sz w:val="30"/>
          <w:szCs w:val="30"/>
        </w:rPr>
        <w:t>，</w:t>
      </w:r>
      <w:r>
        <w:rPr>
          <w:rFonts w:ascii="仿宋_GB2312" w:hAnsi="仿宋_GB2312" w:eastAsia="仿宋_GB2312" w:cs="仿宋_GB2312"/>
          <w:sz w:val="30"/>
          <w:szCs w:val="30"/>
          <w:lang w:eastAsia="zh-CN"/>
        </w:rPr>
        <w:t>服务内容主要是</w:t>
      </w:r>
      <w:r>
        <w:rPr>
          <w:rFonts w:ascii="仿宋_GB2312" w:hAnsi="仿宋_GB2312" w:eastAsia="仿宋_GB2312" w:cs="仿宋_GB2312"/>
          <w:sz w:val="30"/>
          <w:szCs w:val="30"/>
        </w:rPr>
        <w:t>基础设施即服务（IaaS）、平台即服务（PaaS）、容灾备份服务</w:t>
      </w:r>
      <w:r>
        <w:rPr>
          <w:rFonts w:ascii="仿宋_GB2312" w:hAnsi="仿宋_GB2312" w:eastAsia="仿宋_GB2312" w:cs="仿宋_GB2312"/>
          <w:sz w:val="30"/>
          <w:szCs w:val="30"/>
          <w:lang w:eastAsia="zh-CN"/>
        </w:rPr>
        <w:t>、安全服务</w:t>
      </w:r>
      <w:r>
        <w:rPr>
          <w:rFonts w:ascii="仿宋_GB2312" w:hAnsi="仿宋_GB2312" w:eastAsia="仿宋_GB2312" w:cs="仿宋_GB2312"/>
          <w:sz w:val="30"/>
          <w:szCs w:val="30"/>
        </w:rPr>
        <w:t>等政务云资源服务，结算时按资源实际使用种类和实际用量计算，结算金额不超出预算金额。</w:t>
      </w:r>
    </w:p>
    <w:p>
      <w:pPr>
        <w:pStyle w:val="10"/>
        <w:ind w:firstLine="560"/>
        <w:rPr>
          <w:rFonts w:hint="default" w:ascii="仿宋_GB2312" w:hAnsi="仿宋_GB2312" w:eastAsia="仿宋_GB2312" w:cs="仿宋_GB2312"/>
          <w:sz w:val="30"/>
          <w:szCs w:val="30"/>
          <w:lang w:eastAsia="zh-CN"/>
        </w:rPr>
      </w:pPr>
      <w:r>
        <w:rPr>
          <w:rFonts w:ascii="仿宋_GB2312" w:hAnsi="仿宋_GB2312" w:eastAsia="仿宋_GB2312" w:cs="仿宋_GB2312"/>
          <w:sz w:val="30"/>
          <w:szCs w:val="30"/>
          <w:lang w:eastAsia="zh-CN"/>
        </w:rPr>
        <w:t>中选单位</w:t>
      </w:r>
      <w:r>
        <w:rPr>
          <w:rFonts w:ascii="仿宋_GB2312" w:hAnsi="仿宋_GB2312" w:eastAsia="仿宋_GB2312" w:cs="仿宋_GB2312"/>
          <w:sz w:val="30"/>
          <w:szCs w:val="30"/>
        </w:rPr>
        <w:t>提供云服务的政务云平台必须达到等级保护三级的标准和要求，且必须符合广东省“数字政府”政务云平台建设技术标准及管理规范，能统一纳入省“数字政府”政务云平台的管理</w:t>
      </w:r>
      <w:r>
        <w:rPr>
          <w:rFonts w:ascii="仿宋_GB2312" w:hAnsi="仿宋_GB2312" w:eastAsia="仿宋_GB2312" w:cs="仿宋_GB2312"/>
          <w:sz w:val="30"/>
          <w:szCs w:val="30"/>
          <w:lang w:eastAsia="zh-CN"/>
        </w:rPr>
        <w:t>。</w:t>
      </w:r>
    </w:p>
    <w:p>
      <w:pPr>
        <w:pStyle w:val="10"/>
        <w:ind w:firstLine="560"/>
        <w:rPr>
          <w:rFonts w:hint="default"/>
          <w:highlight w:val="yellow"/>
          <w:lang w:eastAsia="zh-CN"/>
        </w:rPr>
      </w:pPr>
      <w:r>
        <w:rPr>
          <w:sz w:val="28"/>
          <w:lang w:eastAsia="zh-CN"/>
        </w:rPr>
        <w:t>2.</w:t>
      </w:r>
      <w:r>
        <w:rPr>
          <w:sz w:val="28"/>
        </w:rPr>
        <w:t>基础设施即服务（IaaS）服务要求</w:t>
      </w:r>
    </w:p>
    <w:p>
      <w:pPr>
        <w:pStyle w:val="10"/>
        <w:ind w:firstLine="560"/>
        <w:rPr>
          <w:rFonts w:hint="default"/>
        </w:rPr>
      </w:pPr>
      <w:r>
        <w:rPr>
          <w:sz w:val="28"/>
        </w:rPr>
        <w:t>（1）虚拟机服务要求</w:t>
      </w:r>
    </w:p>
    <w:tbl>
      <w:tblPr>
        <w:tblStyle w:val="6"/>
        <w:tblW w:w="8183"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13"/>
        <w:gridCol w:w="1170"/>
        <w:gridCol w:w="630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17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指标项</w:t>
            </w:r>
          </w:p>
        </w:tc>
        <w:tc>
          <w:tcPr>
            <w:tcW w:w="630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1</w:t>
            </w:r>
          </w:p>
        </w:tc>
        <w:tc>
          <w:tcPr>
            <w:tcW w:w="1170" w:type="dxa"/>
            <w:vMerge w:val="restart"/>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功能要求</w:t>
            </w:r>
          </w:p>
        </w:tc>
        <w:tc>
          <w:tcPr>
            <w:tcW w:w="630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支持主流的X86、ARM架构的操作系统，包括Windows、Linux的各种不同版本。</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2</w:t>
            </w:r>
          </w:p>
        </w:tc>
        <w:tc>
          <w:tcPr>
            <w:tcW w:w="1170" w:type="dxa"/>
            <w:vMerge w:val="continue"/>
            <w:tcBorders>
              <w:top w:val="nil"/>
              <w:left w:val="nil"/>
              <w:bottom w:val="single" w:color="000000" w:sz="4" w:space="0"/>
              <w:right w:val="single" w:color="000000" w:sz="4" w:space="0"/>
            </w:tcBorders>
            <w:vAlign w:val="center"/>
          </w:tcPr>
          <w:p/>
        </w:tc>
        <w:tc>
          <w:tcPr>
            <w:tcW w:w="630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支持虚拟机网络自定义，自由划分子网、设置网络访问策略。</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3</w:t>
            </w:r>
          </w:p>
        </w:tc>
        <w:tc>
          <w:tcPr>
            <w:tcW w:w="117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规格要求</w:t>
            </w:r>
          </w:p>
        </w:tc>
        <w:tc>
          <w:tcPr>
            <w:tcW w:w="630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能够支持多类型，多规格云服务器的选择和变更。支持多类型云服务供选择，可提供“通用型”云服务器满足项目通用需求，同时可提供特色云服务器类型“内存优化型”“GPU型”等满足个性化需求。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4</w:t>
            </w:r>
          </w:p>
        </w:tc>
        <w:tc>
          <w:tcPr>
            <w:tcW w:w="117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CPU定制化要求</w:t>
            </w:r>
          </w:p>
        </w:tc>
        <w:tc>
          <w:tcPr>
            <w:tcW w:w="630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提供定制化虚拟机，单台虚拟机的vCPU数量最大支持64核。</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5</w:t>
            </w:r>
          </w:p>
        </w:tc>
        <w:tc>
          <w:tcPr>
            <w:tcW w:w="117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内存定制化要求</w:t>
            </w:r>
          </w:p>
        </w:tc>
        <w:tc>
          <w:tcPr>
            <w:tcW w:w="630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提供定制化虚拟机，内存数量最大支持512G。</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6</w:t>
            </w:r>
          </w:p>
        </w:tc>
        <w:tc>
          <w:tcPr>
            <w:tcW w:w="117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管理要求</w:t>
            </w:r>
          </w:p>
        </w:tc>
        <w:tc>
          <w:tcPr>
            <w:tcW w:w="630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提供VNC控制台、远程终端和 API 等多种管理方式</w:t>
            </w:r>
          </w:p>
        </w:tc>
      </w:tr>
    </w:tbl>
    <w:p>
      <w:pPr>
        <w:pStyle w:val="10"/>
        <w:ind w:firstLine="448"/>
        <w:rPr>
          <w:rFonts w:hint="default"/>
        </w:rPr>
      </w:pPr>
      <w:r>
        <w:rPr>
          <w:sz w:val="28"/>
        </w:rPr>
        <w:t>（2）裸金属服务要求</w:t>
      </w:r>
    </w:p>
    <w:tbl>
      <w:tblPr>
        <w:tblStyle w:val="6"/>
        <w:tblW w:w="8198"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28"/>
        <w:gridCol w:w="1185"/>
        <w:gridCol w:w="628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1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指标项</w:t>
            </w:r>
          </w:p>
        </w:tc>
        <w:tc>
          <w:tcPr>
            <w:tcW w:w="62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1</w:t>
            </w:r>
          </w:p>
        </w:tc>
        <w:tc>
          <w:tcPr>
            <w:tcW w:w="1185" w:type="dxa"/>
            <w:vMerge w:val="restart"/>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功能要求</w:t>
            </w:r>
          </w:p>
        </w:tc>
        <w:tc>
          <w:tcPr>
            <w:tcW w:w="628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物理机服务能够为政务云用户承载一些重载类业务，如数据库、核心业务系统、大数据等，同时实现网络的自动化配置。</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2</w:t>
            </w:r>
          </w:p>
        </w:tc>
        <w:tc>
          <w:tcPr>
            <w:tcW w:w="1185" w:type="dxa"/>
            <w:vMerge w:val="continue"/>
            <w:tcBorders>
              <w:top w:val="nil"/>
              <w:left w:val="nil"/>
              <w:bottom w:val="single" w:color="000000" w:sz="4" w:space="0"/>
              <w:right w:val="single" w:color="000000" w:sz="4" w:space="0"/>
            </w:tcBorders>
            <w:vAlign w:val="center"/>
          </w:tcPr>
          <w:p/>
        </w:tc>
        <w:tc>
          <w:tcPr>
            <w:tcW w:w="628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网络自定义，自由规划裸金属服务器服务IP地址。</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3</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规格要求</w:t>
            </w:r>
          </w:p>
        </w:tc>
        <w:tc>
          <w:tcPr>
            <w:tcW w:w="628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根据不同的应用场景提供不同型号的服务器，包括计算型服务器、存储型服务器、高负载数据库服务器、计算型GPU服务器。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4</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管理要求</w:t>
            </w:r>
          </w:p>
        </w:tc>
        <w:tc>
          <w:tcPr>
            <w:tcW w:w="628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用户可以通过web页面或者开放API，同时管理一个、数百个、甚至数千个裸金属服务器服务实例。</w:t>
            </w:r>
          </w:p>
        </w:tc>
      </w:tr>
    </w:tbl>
    <w:p>
      <w:pPr>
        <w:pStyle w:val="10"/>
        <w:ind w:firstLine="560"/>
        <w:rPr>
          <w:rFonts w:hint="default"/>
        </w:rPr>
      </w:pPr>
      <w:r>
        <w:rPr>
          <w:sz w:val="28"/>
        </w:rPr>
        <w:t>（3）镜像服务要求</w:t>
      </w:r>
    </w:p>
    <w:tbl>
      <w:tblPr>
        <w:tblStyle w:val="6"/>
        <w:tblW w:w="8183"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58"/>
        <w:gridCol w:w="1185"/>
        <w:gridCol w:w="624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1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指标项</w:t>
            </w:r>
          </w:p>
        </w:tc>
        <w:tc>
          <w:tcPr>
            <w:tcW w:w="624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1</w:t>
            </w:r>
          </w:p>
        </w:tc>
        <w:tc>
          <w:tcPr>
            <w:tcW w:w="1185" w:type="dxa"/>
            <w:vMerge w:val="restart"/>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功能要求</w:t>
            </w:r>
          </w:p>
        </w:tc>
        <w:tc>
          <w:tcPr>
            <w:tcW w:w="624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为弹性云主机实例可选择的运行环境模板，一般包括操作系统和预装的软件。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2</w:t>
            </w:r>
          </w:p>
        </w:tc>
        <w:tc>
          <w:tcPr>
            <w:tcW w:w="1185" w:type="dxa"/>
            <w:vMerge w:val="continue"/>
            <w:tcBorders>
              <w:top w:val="nil"/>
              <w:left w:val="nil"/>
              <w:bottom w:val="single" w:color="000000" w:sz="4" w:space="0"/>
              <w:right w:val="single" w:color="000000" w:sz="4" w:space="0"/>
            </w:tcBorders>
            <w:vAlign w:val="center"/>
          </w:tcPr>
          <w:p/>
        </w:tc>
        <w:tc>
          <w:tcPr>
            <w:tcW w:w="624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提供公共镜像、私有镜像服务能力，通过镜像，可以在弹性云主机实例上实现应用场景的快速部署。</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3</w:t>
            </w:r>
          </w:p>
        </w:tc>
        <w:tc>
          <w:tcPr>
            <w:tcW w:w="1185" w:type="dxa"/>
            <w:vMerge w:val="continue"/>
            <w:tcBorders>
              <w:top w:val="nil"/>
              <w:left w:val="nil"/>
              <w:bottom w:val="single" w:color="000000" w:sz="4" w:space="0"/>
              <w:right w:val="single" w:color="000000" w:sz="4" w:space="0"/>
            </w:tcBorders>
            <w:vAlign w:val="center"/>
          </w:tcPr>
          <w:p/>
        </w:tc>
        <w:tc>
          <w:tcPr>
            <w:tcW w:w="624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提供对私有镜像的自助管理能力，用户可以从丰富的公共镜像库中选择或创建私有镜像，快速创建或批量复制弹性云服务器。</w:t>
            </w:r>
          </w:p>
        </w:tc>
      </w:tr>
    </w:tbl>
    <w:p>
      <w:pPr>
        <w:pStyle w:val="10"/>
        <w:ind w:firstLine="560"/>
        <w:rPr>
          <w:rFonts w:hint="default"/>
        </w:rPr>
      </w:pPr>
      <w:r>
        <w:rPr>
          <w:sz w:val="28"/>
        </w:rPr>
        <w:t>（4）存储服务要求</w:t>
      </w:r>
    </w:p>
    <w:p>
      <w:pPr>
        <w:pStyle w:val="10"/>
        <w:ind w:firstLine="840"/>
        <w:rPr>
          <w:rFonts w:hint="default"/>
        </w:rPr>
      </w:pPr>
      <w:r>
        <w:rPr>
          <w:sz w:val="28"/>
          <w:lang w:eastAsia="zh-CN"/>
        </w:rPr>
        <w:t>1</w:t>
      </w:r>
      <w:r>
        <w:rPr>
          <w:sz w:val="28"/>
        </w:rPr>
        <w:t>）块存储服务要求</w:t>
      </w:r>
    </w:p>
    <w:tbl>
      <w:tblPr>
        <w:tblStyle w:val="6"/>
        <w:tblW w:w="8153"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88"/>
        <w:gridCol w:w="1170"/>
        <w:gridCol w:w="619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17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指标项</w:t>
            </w:r>
          </w:p>
        </w:tc>
        <w:tc>
          <w:tcPr>
            <w:tcW w:w="619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1</w:t>
            </w:r>
          </w:p>
        </w:tc>
        <w:tc>
          <w:tcPr>
            <w:tcW w:w="1170" w:type="dxa"/>
            <w:vMerge w:val="restart"/>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功能要求</w:t>
            </w:r>
          </w:p>
        </w:tc>
        <w:tc>
          <w:tcPr>
            <w:tcW w:w="619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支持线上管理存储资源，对挂载到云服务器上的云硬盘做格式化、创建文件系统等操作，并对数据持久化存储。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2</w:t>
            </w:r>
          </w:p>
        </w:tc>
        <w:tc>
          <w:tcPr>
            <w:tcW w:w="1170" w:type="dxa"/>
            <w:vMerge w:val="continue"/>
            <w:tcBorders>
              <w:top w:val="nil"/>
              <w:left w:val="nil"/>
              <w:bottom w:val="single" w:color="000000" w:sz="4" w:space="0"/>
              <w:right w:val="single" w:color="000000" w:sz="4" w:space="0"/>
            </w:tcBorders>
            <w:vAlign w:val="center"/>
          </w:tcPr>
          <w:p/>
        </w:tc>
        <w:tc>
          <w:tcPr>
            <w:tcW w:w="619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支持不同类型（普通IO、高IO、超高IO）的云磁盘，用户可以根据应用场景对IO的需求进行选择。</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3</w:t>
            </w:r>
          </w:p>
        </w:tc>
        <w:tc>
          <w:tcPr>
            <w:tcW w:w="1170" w:type="dxa"/>
            <w:vMerge w:val="continue"/>
            <w:tcBorders>
              <w:top w:val="nil"/>
              <w:left w:val="nil"/>
              <w:bottom w:val="single" w:color="000000" w:sz="4" w:space="0"/>
              <w:right w:val="single" w:color="000000" w:sz="4" w:space="0"/>
            </w:tcBorders>
            <w:vAlign w:val="center"/>
          </w:tcPr>
          <w:p/>
        </w:tc>
        <w:tc>
          <w:tcPr>
            <w:tcW w:w="619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弹性扩容可以随时根据用户的需求扩展磁盘的容量，满足不断增长的业务对更多存储容量的需求。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4</w:t>
            </w:r>
          </w:p>
        </w:tc>
        <w:tc>
          <w:tcPr>
            <w:tcW w:w="117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规格要求</w:t>
            </w:r>
          </w:p>
        </w:tc>
        <w:tc>
          <w:tcPr>
            <w:tcW w:w="619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单块系统磁盘大小支持1GB-32TB，数据盘大小支持1GB-32TB，最大限度满足用户对不同存储容量云硬盘的需求。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5</w:t>
            </w:r>
          </w:p>
        </w:tc>
        <w:tc>
          <w:tcPr>
            <w:tcW w:w="117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管理要求</w:t>
            </w:r>
          </w:p>
        </w:tc>
        <w:tc>
          <w:tcPr>
            <w:tcW w:w="619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支持用户自助管理，包括创建、挂载、卸载、删除。</w:t>
            </w:r>
          </w:p>
        </w:tc>
      </w:tr>
    </w:tbl>
    <w:p>
      <w:pPr>
        <w:pStyle w:val="10"/>
        <w:ind w:firstLine="448"/>
        <w:rPr>
          <w:rFonts w:hint="default"/>
        </w:rPr>
      </w:pPr>
      <w:r>
        <w:rPr>
          <w:sz w:val="28"/>
          <w:lang w:eastAsia="zh-CN"/>
        </w:rPr>
        <w:t>2</w:t>
      </w:r>
      <w:r>
        <w:rPr>
          <w:sz w:val="28"/>
        </w:rPr>
        <w:t>）对象存储服务要求</w:t>
      </w:r>
    </w:p>
    <w:tbl>
      <w:tblPr>
        <w:tblStyle w:val="6"/>
        <w:tblW w:w="8168"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73"/>
        <w:gridCol w:w="1185"/>
        <w:gridCol w:w="621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1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指标项</w:t>
            </w:r>
          </w:p>
        </w:tc>
        <w:tc>
          <w:tcPr>
            <w:tcW w:w="621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1</w:t>
            </w:r>
          </w:p>
        </w:tc>
        <w:tc>
          <w:tcPr>
            <w:tcW w:w="1185" w:type="dxa"/>
            <w:vMerge w:val="restart"/>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功能要求</w:t>
            </w:r>
          </w:p>
        </w:tc>
        <w:tc>
          <w:tcPr>
            <w:tcW w:w="621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采用分布式架构，为用户提供海量、安全、高可靠、低成本的数据存储能力。</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2</w:t>
            </w:r>
          </w:p>
        </w:tc>
        <w:tc>
          <w:tcPr>
            <w:tcW w:w="1185" w:type="dxa"/>
            <w:vMerge w:val="continue"/>
            <w:tcBorders>
              <w:top w:val="nil"/>
              <w:left w:val="nil"/>
              <w:bottom w:val="single" w:color="000000" w:sz="4" w:space="0"/>
              <w:right w:val="single" w:color="000000" w:sz="4" w:space="0"/>
            </w:tcBorders>
            <w:vAlign w:val="center"/>
          </w:tcPr>
          <w:p/>
        </w:tc>
        <w:tc>
          <w:tcPr>
            <w:tcW w:w="621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支持创建、删除、查看桶和AK/SK密钥。支持桶ACL设置、对象ACL设置和桶策略设置。</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3</w:t>
            </w:r>
          </w:p>
        </w:tc>
        <w:tc>
          <w:tcPr>
            <w:tcW w:w="1185" w:type="dxa"/>
            <w:vMerge w:val="continue"/>
            <w:tcBorders>
              <w:top w:val="nil"/>
              <w:left w:val="nil"/>
              <w:bottom w:val="single" w:color="000000" w:sz="4" w:space="0"/>
              <w:right w:val="single" w:color="000000" w:sz="4" w:space="0"/>
            </w:tcBorders>
            <w:vAlign w:val="center"/>
          </w:tcPr>
          <w:p/>
        </w:tc>
        <w:tc>
          <w:tcPr>
            <w:tcW w:w="621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支持存储资源池在线扩展。</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4</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规格要求</w:t>
            </w:r>
          </w:p>
        </w:tc>
        <w:tc>
          <w:tcPr>
            <w:tcW w:w="621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单租户可创建桶数量不小于50个。</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5</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管理要求</w:t>
            </w:r>
          </w:p>
        </w:tc>
        <w:tc>
          <w:tcPr>
            <w:tcW w:w="621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支持创建、修改、删除桶，上传、下载、复制、修改、删除对象等。</w:t>
            </w:r>
          </w:p>
        </w:tc>
      </w:tr>
    </w:tbl>
    <w:p>
      <w:pPr>
        <w:pStyle w:val="10"/>
        <w:ind w:firstLine="560"/>
        <w:rPr>
          <w:rFonts w:hint="default"/>
        </w:rPr>
      </w:pPr>
      <w:r>
        <w:rPr>
          <w:sz w:val="28"/>
          <w:lang w:eastAsia="zh-CN"/>
        </w:rPr>
        <w:t>3</w:t>
      </w:r>
      <w:r>
        <w:rPr>
          <w:sz w:val="28"/>
        </w:rPr>
        <w:t>）文件存储服务要求</w:t>
      </w:r>
    </w:p>
    <w:tbl>
      <w:tblPr>
        <w:tblStyle w:val="6"/>
        <w:tblW w:w="8168"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58"/>
        <w:gridCol w:w="1200"/>
        <w:gridCol w:w="621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20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指标项</w:t>
            </w:r>
          </w:p>
        </w:tc>
        <w:tc>
          <w:tcPr>
            <w:tcW w:w="621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7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1</w:t>
            </w:r>
          </w:p>
        </w:tc>
        <w:tc>
          <w:tcPr>
            <w:tcW w:w="1200" w:type="dxa"/>
            <w:vMerge w:val="restart"/>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功能要求</w:t>
            </w:r>
          </w:p>
        </w:tc>
        <w:tc>
          <w:tcPr>
            <w:tcW w:w="621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为用户提供一个完全托管的共享文件存储，能够弹性伸缩至PB规模，具备高可用性和持久性，为海量数据、高带宽型应用提供有力支持。</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7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2</w:t>
            </w:r>
          </w:p>
        </w:tc>
        <w:tc>
          <w:tcPr>
            <w:tcW w:w="1200" w:type="dxa"/>
            <w:vMerge w:val="continue"/>
            <w:tcBorders>
              <w:top w:val="nil"/>
              <w:left w:val="nil"/>
              <w:bottom w:val="single" w:color="000000" w:sz="4" w:space="0"/>
              <w:right w:val="single" w:color="000000" w:sz="4" w:space="0"/>
            </w:tcBorders>
            <w:vAlign w:val="center"/>
          </w:tcPr>
          <w:p/>
        </w:tc>
        <w:tc>
          <w:tcPr>
            <w:tcW w:w="621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支持NFS、CIFS功能，为虚拟机和物理机提供存储资源。</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3</w:t>
            </w:r>
          </w:p>
        </w:tc>
        <w:tc>
          <w:tcPr>
            <w:tcW w:w="1200" w:type="dxa"/>
            <w:vMerge w:val="continue"/>
            <w:tcBorders>
              <w:top w:val="nil"/>
              <w:left w:val="nil"/>
              <w:bottom w:val="single" w:color="000000" w:sz="4" w:space="0"/>
              <w:right w:val="single" w:color="000000" w:sz="4" w:space="0"/>
            </w:tcBorders>
            <w:vAlign w:val="center"/>
          </w:tcPr>
          <w:p/>
        </w:tc>
        <w:tc>
          <w:tcPr>
            <w:tcW w:w="621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弹性伸缩，能够根据实际业务需求在线调整存储容量。</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4</w:t>
            </w:r>
          </w:p>
        </w:tc>
        <w:tc>
          <w:tcPr>
            <w:tcW w:w="120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权限控制要求</w:t>
            </w:r>
          </w:p>
        </w:tc>
        <w:tc>
          <w:tcPr>
            <w:tcW w:w="621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支持文件系统标准的目录/文件权限操作，支持用户/组的读/写/执行权限。</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5</w:t>
            </w:r>
          </w:p>
        </w:tc>
        <w:tc>
          <w:tcPr>
            <w:tcW w:w="120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数据共享要求</w:t>
            </w:r>
          </w:p>
        </w:tc>
        <w:tc>
          <w:tcPr>
            <w:tcW w:w="621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共享访问帮助多个云服务器获得相同的数据来源。</w:t>
            </w:r>
          </w:p>
        </w:tc>
      </w:tr>
    </w:tbl>
    <w:p>
      <w:pPr>
        <w:pStyle w:val="10"/>
        <w:ind w:firstLine="448"/>
        <w:rPr>
          <w:rFonts w:hint="default"/>
        </w:rPr>
      </w:pPr>
      <w:r>
        <w:rPr>
          <w:sz w:val="28"/>
        </w:rPr>
        <w:t>（</w:t>
      </w:r>
      <w:r>
        <w:rPr>
          <w:sz w:val="28"/>
          <w:lang w:eastAsia="zh-CN"/>
        </w:rPr>
        <w:t>5</w:t>
      </w:r>
      <w:r>
        <w:rPr>
          <w:sz w:val="28"/>
        </w:rPr>
        <w:t>）</w:t>
      </w:r>
      <w:r>
        <w:rPr>
          <w:sz w:val="28"/>
          <w:lang w:eastAsia="zh-CN"/>
        </w:rPr>
        <w:t>软件</w:t>
      </w:r>
      <w:r>
        <w:rPr>
          <w:sz w:val="28"/>
        </w:rPr>
        <w:t>要求</w:t>
      </w:r>
    </w:p>
    <w:tbl>
      <w:tblPr>
        <w:tblStyle w:val="6"/>
        <w:tblW w:w="8198"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43"/>
        <w:gridCol w:w="1215"/>
        <w:gridCol w:w="624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21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指标项</w:t>
            </w:r>
          </w:p>
        </w:tc>
        <w:tc>
          <w:tcPr>
            <w:tcW w:w="624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1</w:t>
            </w:r>
          </w:p>
        </w:tc>
        <w:tc>
          <w:tcPr>
            <w:tcW w:w="121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sz w:val="24"/>
              </w:rPr>
            </w:pPr>
            <w:r>
              <w:rPr>
                <w:sz w:val="24"/>
              </w:rPr>
              <w:t>软件运营服务</w:t>
            </w:r>
          </w:p>
        </w:tc>
        <w:tc>
          <w:tcPr>
            <w:tcW w:w="624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sz w:val="24"/>
                <w:lang w:eastAsia="zh-CN"/>
              </w:rPr>
            </w:pPr>
            <w:r>
              <w:rPr>
                <w:sz w:val="24"/>
              </w:rPr>
              <w:t>为服务器操作系统、数据库系统、中间件等各类软件提供运营服务,包括技术支撑服务和服务管理服务</w:t>
            </w:r>
            <w:r>
              <w:rPr>
                <w:sz w:val="24"/>
                <w:lang w:eastAsia="zh-CN"/>
              </w:rPr>
              <w:t>。</w:t>
            </w:r>
          </w:p>
        </w:tc>
      </w:tr>
    </w:tbl>
    <w:p>
      <w:pPr>
        <w:pStyle w:val="10"/>
        <w:ind w:firstLine="448"/>
        <w:rPr>
          <w:rFonts w:hint="default"/>
        </w:rPr>
      </w:pPr>
      <w:r>
        <w:rPr>
          <w:sz w:val="28"/>
        </w:rPr>
        <w:t>（</w:t>
      </w:r>
      <w:r>
        <w:rPr>
          <w:sz w:val="28"/>
          <w:lang w:eastAsia="zh-CN"/>
        </w:rPr>
        <w:t>6</w:t>
      </w:r>
      <w:r>
        <w:rPr>
          <w:sz w:val="28"/>
        </w:rPr>
        <w:t>）网络服务要求</w:t>
      </w:r>
    </w:p>
    <w:p>
      <w:pPr>
        <w:pStyle w:val="10"/>
        <w:ind w:firstLine="840"/>
        <w:rPr>
          <w:rFonts w:hint="default"/>
        </w:rPr>
      </w:pPr>
      <w:r>
        <w:rPr>
          <w:sz w:val="28"/>
          <w:lang w:eastAsia="zh-CN"/>
        </w:rPr>
        <w:t>1</w:t>
      </w:r>
      <w:r>
        <w:rPr>
          <w:sz w:val="28"/>
        </w:rPr>
        <w:t>）虚拟私有云服务要求</w:t>
      </w:r>
    </w:p>
    <w:tbl>
      <w:tblPr>
        <w:tblStyle w:val="6"/>
        <w:tblW w:w="8198"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43"/>
        <w:gridCol w:w="1215"/>
        <w:gridCol w:w="624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74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21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指标项</w:t>
            </w:r>
          </w:p>
        </w:tc>
        <w:tc>
          <w:tcPr>
            <w:tcW w:w="624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1</w:t>
            </w:r>
          </w:p>
        </w:tc>
        <w:tc>
          <w:tcPr>
            <w:tcW w:w="1215" w:type="dxa"/>
            <w:vMerge w:val="restart"/>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功能要求</w:t>
            </w:r>
          </w:p>
        </w:tc>
        <w:tc>
          <w:tcPr>
            <w:tcW w:w="624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为用户在云中虚拟出一个私有的应用运行环境和安全域。能够提供安全、隔离的网络环境，为项目中的应用或虚拟机提供网络资源。</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2</w:t>
            </w:r>
          </w:p>
        </w:tc>
        <w:tc>
          <w:tcPr>
            <w:tcW w:w="1215" w:type="dxa"/>
            <w:vMerge w:val="continue"/>
            <w:tcBorders>
              <w:top w:val="nil"/>
              <w:left w:val="nil"/>
              <w:bottom w:val="single" w:color="000000" w:sz="4" w:space="0"/>
              <w:right w:val="single" w:color="000000" w:sz="4" w:space="0"/>
            </w:tcBorders>
            <w:vAlign w:val="center"/>
          </w:tcPr>
          <w:p/>
        </w:tc>
        <w:tc>
          <w:tcPr>
            <w:tcW w:w="624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可以在虚拟私有云网络中定义与传统网络无差别的虚拟网络，同时提供SNAT、多出口访问等高级网络服务，以满足更多的业务部署要求。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4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3</w:t>
            </w:r>
          </w:p>
        </w:tc>
        <w:tc>
          <w:tcPr>
            <w:tcW w:w="1215" w:type="dxa"/>
            <w:vMerge w:val="continue"/>
            <w:tcBorders>
              <w:top w:val="nil"/>
              <w:left w:val="nil"/>
              <w:bottom w:val="single" w:color="000000" w:sz="4" w:space="0"/>
              <w:right w:val="single" w:color="000000" w:sz="4" w:space="0"/>
            </w:tcBorders>
            <w:vAlign w:val="center"/>
          </w:tcPr>
          <w:p/>
        </w:tc>
        <w:tc>
          <w:tcPr>
            <w:tcW w:w="624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用户可以完全掌控自己的虚拟网络，包括创建自己的网络，配置DHCP、DNS。</w:t>
            </w:r>
          </w:p>
        </w:tc>
      </w:tr>
    </w:tbl>
    <w:p>
      <w:pPr>
        <w:pStyle w:val="10"/>
        <w:ind w:firstLine="840"/>
        <w:rPr>
          <w:rFonts w:hint="default"/>
        </w:rPr>
      </w:pPr>
      <w:r>
        <w:rPr>
          <w:sz w:val="28"/>
          <w:lang w:eastAsia="zh-CN"/>
        </w:rPr>
        <w:t>2</w:t>
      </w:r>
      <w:r>
        <w:rPr>
          <w:sz w:val="28"/>
        </w:rPr>
        <w:t>）安全组服务要求</w:t>
      </w:r>
    </w:p>
    <w:tbl>
      <w:tblPr>
        <w:tblStyle w:val="6"/>
        <w:tblW w:w="8243"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28"/>
        <w:gridCol w:w="1275"/>
        <w:gridCol w:w="624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27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指标项</w:t>
            </w:r>
          </w:p>
        </w:tc>
        <w:tc>
          <w:tcPr>
            <w:tcW w:w="624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1</w:t>
            </w:r>
          </w:p>
        </w:tc>
        <w:tc>
          <w:tcPr>
            <w:tcW w:w="1275" w:type="dxa"/>
            <w:vMerge w:val="restart"/>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功能要求</w:t>
            </w:r>
          </w:p>
        </w:tc>
        <w:tc>
          <w:tcPr>
            <w:tcW w:w="624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要求安全组实现组内和组间的访问控制，加强虚拟机的安全保护，实现VPC内部的网络隔离。</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2</w:t>
            </w:r>
          </w:p>
        </w:tc>
        <w:tc>
          <w:tcPr>
            <w:tcW w:w="1275" w:type="dxa"/>
            <w:vMerge w:val="continue"/>
            <w:tcBorders>
              <w:top w:val="nil"/>
              <w:left w:val="nil"/>
              <w:bottom w:val="single" w:color="000000" w:sz="4" w:space="0"/>
              <w:right w:val="single" w:color="000000" w:sz="4" w:space="0"/>
            </w:tcBorders>
            <w:vAlign w:val="center"/>
          </w:tcPr>
          <w:p/>
        </w:tc>
        <w:tc>
          <w:tcPr>
            <w:tcW w:w="624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支持将VPC内的虚拟机加入一个安全组，然后设定不同安全组间的访问规则。同一个安全组内的地址之间的访问不受限制，默认组间禁止访问。</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sz w:val="24"/>
              </w:rPr>
            </w:pPr>
            <w:r>
              <w:rPr>
                <w:sz w:val="24"/>
              </w:rPr>
              <w:t>3</w:t>
            </w:r>
          </w:p>
        </w:tc>
        <w:tc>
          <w:tcPr>
            <w:tcW w:w="1275" w:type="dxa"/>
            <w:vMerge w:val="continue"/>
            <w:tcBorders>
              <w:top w:val="nil"/>
              <w:left w:val="nil"/>
              <w:bottom w:val="single" w:color="000000" w:sz="4" w:space="0"/>
              <w:right w:val="single" w:color="000000" w:sz="4" w:space="0"/>
            </w:tcBorders>
            <w:vAlign w:val="center"/>
          </w:tcPr>
          <w:p/>
        </w:tc>
        <w:tc>
          <w:tcPr>
            <w:tcW w:w="624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支持为虚拟机提供粒度的安全访问控制。控制虚拟机网络消息的流入流出，只运行授权的消息通过。当云主机申请成功后，可以将云主机加入到某个安全组内，安全组上配置安全规则。</w:t>
            </w:r>
          </w:p>
        </w:tc>
      </w:tr>
    </w:tbl>
    <w:p>
      <w:pPr>
        <w:pStyle w:val="10"/>
        <w:ind w:firstLine="840"/>
        <w:rPr>
          <w:rFonts w:hint="default"/>
        </w:rPr>
      </w:pPr>
      <w:r>
        <w:rPr>
          <w:sz w:val="28"/>
          <w:lang w:eastAsia="zh-CN"/>
        </w:rPr>
        <w:t>3</w:t>
      </w:r>
      <w:r>
        <w:rPr>
          <w:sz w:val="28"/>
        </w:rPr>
        <w:t>）虚拟防火墙服务要求</w:t>
      </w:r>
    </w:p>
    <w:tbl>
      <w:tblPr>
        <w:tblStyle w:val="6"/>
        <w:tblW w:w="8228"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58"/>
        <w:gridCol w:w="1230"/>
        <w:gridCol w:w="624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23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指标项</w:t>
            </w:r>
          </w:p>
        </w:tc>
        <w:tc>
          <w:tcPr>
            <w:tcW w:w="624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rPr>
            </w:pPr>
            <w:r>
              <w:rPr>
                <w:sz w:val="24"/>
              </w:rPr>
              <w:t>1</w:t>
            </w:r>
          </w:p>
        </w:tc>
        <w:tc>
          <w:tcPr>
            <w:tcW w:w="123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功能要求</w:t>
            </w:r>
          </w:p>
        </w:tc>
        <w:tc>
          <w:tcPr>
            <w:tcW w:w="624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允许用户通过自服务门户进行系统管理及访问控制规则（ACL）的配置，可以从IP地址、端口、协议等多个维度对流量进行检测和控制。</w:t>
            </w:r>
          </w:p>
        </w:tc>
      </w:tr>
    </w:tbl>
    <w:p>
      <w:pPr>
        <w:pStyle w:val="10"/>
        <w:ind w:firstLine="840"/>
        <w:rPr>
          <w:rFonts w:hint="default"/>
        </w:rPr>
      </w:pPr>
      <w:r>
        <w:rPr>
          <w:sz w:val="28"/>
          <w:lang w:eastAsia="zh-CN"/>
        </w:rPr>
        <w:t>4</w:t>
      </w:r>
      <w:r>
        <w:rPr>
          <w:sz w:val="28"/>
        </w:rPr>
        <w:t>）弹性IP服务要求</w:t>
      </w:r>
    </w:p>
    <w:tbl>
      <w:tblPr>
        <w:tblStyle w:val="6"/>
        <w:tblW w:w="8243"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73"/>
        <w:gridCol w:w="1200"/>
        <w:gridCol w:w="627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20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指标项</w:t>
            </w:r>
          </w:p>
        </w:tc>
        <w:tc>
          <w:tcPr>
            <w:tcW w:w="627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rPr>
            </w:pPr>
            <w:r>
              <w:rPr>
                <w:sz w:val="24"/>
              </w:rPr>
              <w:t>1</w:t>
            </w:r>
          </w:p>
        </w:tc>
        <w:tc>
          <w:tcPr>
            <w:tcW w:w="1200" w:type="dxa"/>
            <w:vMerge w:val="restart"/>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功能要求</w:t>
            </w:r>
          </w:p>
        </w:tc>
        <w:tc>
          <w:tcPr>
            <w:tcW w:w="627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支持将静态外部IP地址映射到内网私有IP，实现外部网络与内部网络之间互访。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rPr>
            </w:pPr>
            <w:r>
              <w:rPr>
                <w:sz w:val="24"/>
              </w:rPr>
              <w:t>2</w:t>
            </w:r>
          </w:p>
        </w:tc>
        <w:tc>
          <w:tcPr>
            <w:tcW w:w="1200" w:type="dxa"/>
            <w:vMerge w:val="continue"/>
            <w:tcBorders>
              <w:top w:val="nil"/>
              <w:left w:val="nil"/>
              <w:bottom w:val="single" w:color="000000" w:sz="4" w:space="0"/>
              <w:right w:val="single" w:color="000000" w:sz="4" w:space="0"/>
            </w:tcBorders>
            <w:vAlign w:val="center"/>
          </w:tcPr>
          <w:p/>
        </w:tc>
        <w:tc>
          <w:tcPr>
            <w:tcW w:w="627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当所关联虚拟机故障或需要升级时，支持将弹性IP地址重新映射到另一个正常工作的备用虚拟机，无需变更虚拟机客户端的配置继续从备用虚拟机获得服务。</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rPr>
            </w:pPr>
            <w:r>
              <w:rPr>
                <w:sz w:val="24"/>
              </w:rPr>
              <w:t>3</w:t>
            </w:r>
          </w:p>
        </w:tc>
        <w:tc>
          <w:tcPr>
            <w:tcW w:w="1200" w:type="dxa"/>
            <w:vMerge w:val="continue"/>
            <w:tcBorders>
              <w:top w:val="nil"/>
              <w:left w:val="nil"/>
              <w:bottom w:val="single" w:color="000000" w:sz="4" w:space="0"/>
              <w:right w:val="single" w:color="000000" w:sz="4" w:space="0"/>
            </w:tcBorders>
            <w:vAlign w:val="center"/>
          </w:tcPr>
          <w:p/>
        </w:tc>
        <w:tc>
          <w:tcPr>
            <w:tcW w:w="627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支持从internet访问虚机的目的IP地址转换，支持从虚机访问internet的源IP地址转换，支持从internet访问LB的虚IP。</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rPr>
            </w:pPr>
            <w:r>
              <w:rPr>
                <w:sz w:val="24"/>
              </w:rPr>
              <w:t>4</w:t>
            </w:r>
          </w:p>
        </w:tc>
        <w:tc>
          <w:tcPr>
            <w:tcW w:w="120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管理要求</w:t>
            </w:r>
          </w:p>
        </w:tc>
        <w:tc>
          <w:tcPr>
            <w:tcW w:w="627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支持通过web管理控制台，让用户自主的完成服务的开通与关闭。</w:t>
            </w:r>
          </w:p>
        </w:tc>
      </w:tr>
    </w:tbl>
    <w:p>
      <w:pPr>
        <w:pStyle w:val="10"/>
        <w:ind w:firstLine="840"/>
        <w:rPr>
          <w:rFonts w:hint="default"/>
        </w:rPr>
      </w:pPr>
      <w:r>
        <w:rPr>
          <w:sz w:val="28"/>
          <w:lang w:eastAsia="zh-CN"/>
        </w:rPr>
        <w:t>5</w:t>
      </w:r>
      <w:r>
        <w:rPr>
          <w:sz w:val="28"/>
        </w:rPr>
        <w:t>）负载均衡服务要求</w:t>
      </w:r>
    </w:p>
    <w:tbl>
      <w:tblPr>
        <w:tblStyle w:val="6"/>
        <w:tblW w:w="8228"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73"/>
        <w:gridCol w:w="1170"/>
        <w:gridCol w:w="628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17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指标项</w:t>
            </w:r>
          </w:p>
        </w:tc>
        <w:tc>
          <w:tcPr>
            <w:tcW w:w="62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rPr>
            </w:pPr>
            <w:r>
              <w:rPr>
                <w:sz w:val="24"/>
              </w:rPr>
              <w:t>1</w:t>
            </w:r>
          </w:p>
        </w:tc>
        <w:tc>
          <w:tcPr>
            <w:tcW w:w="1170" w:type="dxa"/>
            <w:vMerge w:val="restart"/>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功能要求</w:t>
            </w:r>
          </w:p>
        </w:tc>
        <w:tc>
          <w:tcPr>
            <w:tcW w:w="628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TCP/UDP/HTTP/HTTPS等多种网络协议负载均衡器，将云主机关联到负载均衡器，负载均衡器根据用户设定的负载均衡策略，将业务请求均匀分发到与之关联的云主机上，使得各个云主机的业务负载均衡，保证业务的稳定性和可靠性。</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rPr>
            </w:pPr>
            <w:r>
              <w:rPr>
                <w:sz w:val="24"/>
              </w:rPr>
              <w:t>2</w:t>
            </w:r>
          </w:p>
        </w:tc>
        <w:tc>
          <w:tcPr>
            <w:tcW w:w="1170" w:type="dxa"/>
            <w:vMerge w:val="continue"/>
            <w:tcBorders>
              <w:top w:val="nil"/>
              <w:left w:val="nil"/>
              <w:bottom w:val="single" w:color="000000" w:sz="4" w:space="0"/>
              <w:right w:val="single" w:color="000000" w:sz="4" w:space="0"/>
            </w:tcBorders>
            <w:vAlign w:val="center"/>
          </w:tcPr>
          <w:p/>
        </w:tc>
        <w:tc>
          <w:tcPr>
            <w:tcW w:w="628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支持在已创建的弹性负载均衡实例上管理监听器，包括名称，描述，负载均衡协议及端口，负载均衡算法，会话保持等，并同时创建健康检查。</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rPr>
            </w:pPr>
            <w:r>
              <w:rPr>
                <w:sz w:val="24"/>
              </w:rPr>
              <w:t>3</w:t>
            </w:r>
          </w:p>
        </w:tc>
        <w:tc>
          <w:tcPr>
            <w:tcW w:w="1170" w:type="dxa"/>
            <w:vMerge w:val="continue"/>
            <w:tcBorders>
              <w:top w:val="nil"/>
              <w:left w:val="nil"/>
              <w:bottom w:val="single" w:color="000000" w:sz="4" w:space="0"/>
              <w:right w:val="single" w:color="000000" w:sz="4" w:space="0"/>
            </w:tcBorders>
            <w:vAlign w:val="center"/>
          </w:tcPr>
          <w:p/>
        </w:tc>
        <w:tc>
          <w:tcPr>
            <w:tcW w:w="628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用户为监听器配置健康检查，用于检查后端云主机的运行状态，包括健康检查协议，检查周期，超时时间，最大轮询次数等，与监听器创建合一。将后端云服务器/物理机添加到指定的监听器后面，设置Member的权重。</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4</w:t>
            </w:r>
          </w:p>
        </w:tc>
        <w:tc>
          <w:tcPr>
            <w:tcW w:w="117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rPr>
                <w:rFonts w:hint="default"/>
              </w:rPr>
            </w:pPr>
            <w:r>
              <w:rPr>
                <w:sz w:val="24"/>
              </w:rPr>
              <w:t>管理要求</w:t>
            </w:r>
          </w:p>
        </w:tc>
        <w:tc>
          <w:tcPr>
            <w:tcW w:w="628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支持通过web管理控制台，让用户自主的完成服务的开通与关闭，让用户灵活使用LB服务，达到即开即用，用完归还的目标。</w:t>
            </w:r>
          </w:p>
        </w:tc>
      </w:tr>
    </w:tbl>
    <w:p>
      <w:pPr>
        <w:pStyle w:val="10"/>
        <w:ind w:firstLine="448"/>
        <w:rPr>
          <w:rFonts w:hint="default"/>
        </w:rPr>
      </w:pPr>
      <w:r>
        <w:rPr>
          <w:sz w:val="28"/>
          <w:lang w:eastAsia="zh-CN"/>
        </w:rPr>
        <w:t>6</w:t>
      </w:r>
      <w:r>
        <w:rPr>
          <w:sz w:val="28"/>
        </w:rPr>
        <w:t>）硬件托管服务要求</w:t>
      </w:r>
    </w:p>
    <w:tbl>
      <w:tblPr>
        <w:tblStyle w:val="6"/>
        <w:tblW w:w="8198"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8"/>
        <w:gridCol w:w="1185"/>
        <w:gridCol w:w="619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1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指标项</w:t>
            </w:r>
          </w:p>
        </w:tc>
        <w:tc>
          <w:tcPr>
            <w:tcW w:w="619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1</w:t>
            </w:r>
          </w:p>
        </w:tc>
        <w:tc>
          <w:tcPr>
            <w:tcW w:w="1185" w:type="dxa"/>
            <w:vMerge w:val="restart"/>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功能要求</w:t>
            </w:r>
          </w:p>
        </w:tc>
        <w:tc>
          <w:tcPr>
            <w:tcW w:w="619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由IDC机房提供具有通信电源，并可存放一定数量服务器的标准机柜给用户，且具有配套的网络资源，如出口带宽等。</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2</w:t>
            </w:r>
          </w:p>
        </w:tc>
        <w:tc>
          <w:tcPr>
            <w:tcW w:w="1185" w:type="dxa"/>
            <w:vMerge w:val="continue"/>
            <w:tcBorders>
              <w:top w:val="nil"/>
              <w:left w:val="nil"/>
              <w:bottom w:val="single" w:color="000000" w:sz="4" w:space="0"/>
              <w:right w:val="single" w:color="000000" w:sz="4" w:space="0"/>
            </w:tcBorders>
            <w:vAlign w:val="center"/>
          </w:tcPr>
          <w:p/>
        </w:tc>
        <w:tc>
          <w:tcPr>
            <w:tcW w:w="619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按需提供机位，提供规格不限于1U、2U、整柜等。</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3</w:t>
            </w:r>
          </w:p>
        </w:tc>
        <w:tc>
          <w:tcPr>
            <w:tcW w:w="1185" w:type="dxa"/>
            <w:vMerge w:val="continue"/>
            <w:tcBorders>
              <w:top w:val="nil"/>
              <w:left w:val="nil"/>
              <w:bottom w:val="single" w:color="000000" w:sz="4" w:space="0"/>
              <w:right w:val="single" w:color="000000" w:sz="4" w:space="0"/>
            </w:tcBorders>
            <w:vAlign w:val="center"/>
          </w:tcPr>
          <w:p/>
        </w:tc>
        <w:tc>
          <w:tcPr>
            <w:tcW w:w="619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提供365天全天候运营服务，快速排除故障。</w:t>
            </w:r>
          </w:p>
        </w:tc>
      </w:tr>
    </w:tbl>
    <w:p>
      <w:pPr>
        <w:pStyle w:val="10"/>
        <w:ind w:firstLine="448"/>
        <w:rPr>
          <w:rFonts w:hint="default"/>
        </w:rPr>
      </w:pPr>
      <w:r>
        <w:rPr>
          <w:sz w:val="28"/>
          <w:lang w:eastAsia="zh-CN"/>
        </w:rPr>
        <w:t>3.</w:t>
      </w:r>
      <w:r>
        <w:rPr>
          <w:sz w:val="28"/>
        </w:rPr>
        <w:t>平台即服务（PaaS）要求</w:t>
      </w:r>
    </w:p>
    <w:p>
      <w:pPr>
        <w:pStyle w:val="10"/>
        <w:ind w:firstLine="560"/>
        <w:rPr>
          <w:rFonts w:hint="default"/>
        </w:rPr>
      </w:pPr>
      <w:r>
        <w:rPr>
          <w:sz w:val="28"/>
        </w:rPr>
        <w:t>（1）事务型数据库服务要求</w:t>
      </w:r>
    </w:p>
    <w:tbl>
      <w:tblPr>
        <w:tblStyle w:val="6"/>
        <w:tblW w:w="8063"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33"/>
        <w:gridCol w:w="1185"/>
        <w:gridCol w:w="604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1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服务项</w:t>
            </w:r>
          </w:p>
        </w:tc>
        <w:tc>
          <w:tcPr>
            <w:tcW w:w="604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服务要求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1</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rPr>
                <w:rFonts w:hint="default"/>
              </w:rPr>
            </w:pPr>
            <w:r>
              <w:rPr>
                <w:sz w:val="24"/>
              </w:rPr>
              <w:t>功能要求</w:t>
            </w:r>
          </w:p>
        </w:tc>
        <w:tc>
          <w:tcPr>
            <w:tcW w:w="604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rPr>
                <w:rFonts w:hint="default"/>
              </w:rPr>
            </w:pPr>
            <w:r>
              <w:rPr>
                <w:sz w:val="24"/>
              </w:rPr>
              <w:t>支持按使用单机数据库的方式使用事务，满足事务的ACID特性。支持对分布式事务的异常处理，产品保持发生故障异常过程中事务的完整性和数据的一致性。</w:t>
            </w:r>
          </w:p>
          <w:p>
            <w:pPr>
              <w:pStyle w:val="10"/>
              <w:spacing w:after="165"/>
              <w:jc w:val="both"/>
              <w:rPr>
                <w:rFonts w:hint="default"/>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2</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rPr>
                <w:rFonts w:hint="default"/>
              </w:rPr>
            </w:pPr>
            <w:r>
              <w:rPr>
                <w:sz w:val="24"/>
              </w:rPr>
              <w:t>兼容要求</w:t>
            </w:r>
          </w:p>
        </w:tc>
        <w:tc>
          <w:tcPr>
            <w:tcW w:w="604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rPr>
                <w:rFonts w:hint="default"/>
              </w:rPr>
            </w:pPr>
            <w:r>
              <w:rPr>
                <w:sz w:val="24"/>
              </w:rPr>
              <w:t>兼容SQL2003/2011。</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3</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rPr>
                <w:rFonts w:hint="default"/>
              </w:rPr>
            </w:pPr>
            <w:r>
              <w:rPr>
                <w:sz w:val="24"/>
              </w:rPr>
              <w:t>规格要求</w:t>
            </w:r>
          </w:p>
        </w:tc>
        <w:tc>
          <w:tcPr>
            <w:tcW w:w="604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rPr>
                <w:rFonts w:hint="default"/>
              </w:rPr>
            </w:pPr>
            <w:r>
              <w:rPr>
                <w:sz w:val="24"/>
              </w:rPr>
              <w:t>支持多种分布式数据库规格。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4</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rPr>
                <w:rFonts w:hint="default"/>
              </w:rPr>
            </w:pPr>
            <w:r>
              <w:rPr>
                <w:sz w:val="24"/>
              </w:rPr>
              <w:t>监控要求</w:t>
            </w:r>
          </w:p>
        </w:tc>
        <w:tc>
          <w:tcPr>
            <w:tcW w:w="604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rPr>
                <w:rFonts w:hint="default"/>
              </w:rPr>
            </w:pPr>
            <w:r>
              <w:rPr>
                <w:sz w:val="24"/>
              </w:rPr>
              <w:t>支持连接访问监控、慢查询监控等，支持自定义告警。</w:t>
            </w:r>
          </w:p>
        </w:tc>
      </w:tr>
    </w:tbl>
    <w:p>
      <w:pPr>
        <w:pStyle w:val="10"/>
        <w:ind w:firstLine="560"/>
        <w:rPr>
          <w:rFonts w:hint="default"/>
        </w:rPr>
      </w:pPr>
      <w:r>
        <w:rPr>
          <w:sz w:val="28"/>
        </w:rPr>
        <w:t>（2）大数据基础平台服务要求</w:t>
      </w:r>
    </w:p>
    <w:tbl>
      <w:tblPr>
        <w:tblStyle w:val="6"/>
        <w:tblW w:w="8078"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1110"/>
        <w:gridCol w:w="607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11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指标项</w:t>
            </w:r>
          </w:p>
        </w:tc>
        <w:tc>
          <w:tcPr>
            <w:tcW w:w="607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1</w:t>
            </w:r>
          </w:p>
        </w:tc>
        <w:tc>
          <w:tcPr>
            <w:tcW w:w="1110" w:type="dxa"/>
            <w:vMerge w:val="restart"/>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功能要求</w:t>
            </w:r>
          </w:p>
        </w:tc>
        <w:tc>
          <w:tcPr>
            <w:tcW w:w="607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采用分布式计算框架提供大规模数据存储与计算，可按需扩容。</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2</w:t>
            </w:r>
          </w:p>
        </w:tc>
        <w:tc>
          <w:tcPr>
            <w:tcW w:w="1110" w:type="dxa"/>
            <w:vMerge w:val="continue"/>
            <w:tcBorders>
              <w:top w:val="nil"/>
              <w:left w:val="nil"/>
              <w:bottom w:val="single" w:color="000000" w:sz="4" w:space="0"/>
              <w:right w:val="single" w:color="000000" w:sz="4" w:space="0"/>
            </w:tcBorders>
            <w:vAlign w:val="center"/>
          </w:tcPr>
          <w:p/>
        </w:tc>
        <w:tc>
          <w:tcPr>
            <w:tcW w:w="607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具有数据仓库建设、实时流式数据处理、离线数据处理、数据分析与探索挖掘等能力</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3</w:t>
            </w:r>
          </w:p>
        </w:tc>
        <w:tc>
          <w:tcPr>
            <w:tcW w:w="111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可视化要求</w:t>
            </w:r>
          </w:p>
        </w:tc>
        <w:tc>
          <w:tcPr>
            <w:tcW w:w="607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提供查询、报表、分析、图表/图形、仪表盘、事件管理、数据大屏等功能。</w:t>
            </w:r>
          </w:p>
        </w:tc>
      </w:tr>
    </w:tbl>
    <w:p>
      <w:pPr>
        <w:pStyle w:val="10"/>
        <w:ind w:firstLine="448"/>
        <w:rPr>
          <w:rFonts w:hint="default"/>
        </w:rPr>
      </w:pPr>
      <w:r>
        <w:rPr>
          <w:sz w:val="28"/>
          <w:lang w:eastAsia="zh-CN"/>
        </w:rPr>
        <w:t>4.</w:t>
      </w:r>
      <w:r>
        <w:rPr>
          <w:sz w:val="28"/>
        </w:rPr>
        <w:t>灾备服务要求</w:t>
      </w:r>
    </w:p>
    <w:p>
      <w:pPr>
        <w:pStyle w:val="10"/>
        <w:ind w:firstLine="840"/>
        <w:rPr>
          <w:rFonts w:hint="default"/>
        </w:rPr>
      </w:pPr>
      <w:r>
        <w:rPr>
          <w:sz w:val="28"/>
        </w:rPr>
        <w:t>（</w:t>
      </w:r>
      <w:r>
        <w:rPr>
          <w:sz w:val="28"/>
          <w:lang w:eastAsia="zh-CN"/>
        </w:rPr>
        <w:t>1</w:t>
      </w:r>
      <w:r>
        <w:rPr>
          <w:sz w:val="28"/>
        </w:rPr>
        <w:t>）本地备份服务要求</w:t>
      </w:r>
    </w:p>
    <w:tbl>
      <w:tblPr>
        <w:tblStyle w:val="6"/>
        <w:tblW w:w="8348"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13"/>
        <w:gridCol w:w="1005"/>
        <w:gridCol w:w="663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00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指标项</w:t>
            </w:r>
          </w:p>
        </w:tc>
        <w:tc>
          <w:tcPr>
            <w:tcW w:w="663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1</w:t>
            </w:r>
          </w:p>
        </w:tc>
        <w:tc>
          <w:tcPr>
            <w:tcW w:w="1005" w:type="dxa"/>
            <w:vMerge w:val="restart"/>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功能要求</w:t>
            </w:r>
          </w:p>
        </w:tc>
        <w:tc>
          <w:tcPr>
            <w:tcW w:w="663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在本地机房提供云平台主机承载的应用文件、数据库，以及云主机的数据备份资源。</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2</w:t>
            </w:r>
          </w:p>
        </w:tc>
        <w:tc>
          <w:tcPr>
            <w:tcW w:w="1005" w:type="dxa"/>
            <w:vMerge w:val="continue"/>
            <w:tcBorders>
              <w:top w:val="nil"/>
              <w:left w:val="nil"/>
              <w:bottom w:val="single" w:color="000000" w:sz="4" w:space="0"/>
              <w:right w:val="single" w:color="000000" w:sz="4" w:space="0"/>
            </w:tcBorders>
            <w:vAlign w:val="center"/>
          </w:tcPr>
          <w:p/>
        </w:tc>
        <w:tc>
          <w:tcPr>
            <w:tcW w:w="663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恢复数据点RPO&lt;24小时，恢复时间RTO&lt;6小时。</w:t>
            </w:r>
          </w:p>
        </w:tc>
      </w:tr>
    </w:tbl>
    <w:p>
      <w:pPr>
        <w:pStyle w:val="10"/>
        <w:ind w:firstLine="840"/>
        <w:rPr>
          <w:rFonts w:hint="default"/>
        </w:rPr>
      </w:pPr>
      <w:r>
        <w:rPr>
          <w:sz w:val="28"/>
        </w:rPr>
        <w:t>（</w:t>
      </w:r>
      <w:r>
        <w:rPr>
          <w:sz w:val="28"/>
          <w:lang w:eastAsia="zh-CN"/>
        </w:rPr>
        <w:t>2</w:t>
      </w:r>
      <w:r>
        <w:rPr>
          <w:sz w:val="28"/>
        </w:rPr>
        <w:t>）同城备份服务要求</w:t>
      </w:r>
    </w:p>
    <w:tbl>
      <w:tblPr>
        <w:tblStyle w:val="6"/>
        <w:tblW w:w="8333"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13"/>
        <w:gridCol w:w="1020"/>
        <w:gridCol w:w="660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02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指标项</w:t>
            </w:r>
          </w:p>
        </w:tc>
        <w:tc>
          <w:tcPr>
            <w:tcW w:w="660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指标要求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1</w:t>
            </w:r>
          </w:p>
        </w:tc>
        <w:tc>
          <w:tcPr>
            <w:tcW w:w="1020" w:type="dxa"/>
            <w:vMerge w:val="restart"/>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功能要求</w:t>
            </w:r>
          </w:p>
        </w:tc>
        <w:tc>
          <w:tcPr>
            <w:tcW w:w="660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基于本地备份服务在同城机房提供可恢复的业务数据副本，预防系统故障或数据丢失风险。</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2</w:t>
            </w:r>
          </w:p>
        </w:tc>
        <w:tc>
          <w:tcPr>
            <w:tcW w:w="1020" w:type="dxa"/>
            <w:vMerge w:val="continue"/>
            <w:tcBorders>
              <w:top w:val="nil"/>
              <w:left w:val="nil"/>
              <w:bottom w:val="single" w:color="000000" w:sz="4" w:space="0"/>
              <w:right w:val="single" w:color="000000" w:sz="4" w:space="0"/>
            </w:tcBorders>
            <w:vAlign w:val="center"/>
          </w:tcPr>
          <w:p/>
        </w:tc>
        <w:tc>
          <w:tcPr>
            <w:tcW w:w="660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恢复数据点RPO&lt;24小时，恢复时间RTO&lt;8小时。</w:t>
            </w:r>
          </w:p>
        </w:tc>
      </w:tr>
    </w:tbl>
    <w:p>
      <w:pPr>
        <w:pStyle w:val="10"/>
        <w:ind w:firstLine="448"/>
        <w:rPr>
          <w:rFonts w:hint="default"/>
        </w:rPr>
      </w:pPr>
      <w:r>
        <w:rPr>
          <w:sz w:val="28"/>
          <w:lang w:eastAsia="zh-CN"/>
        </w:rPr>
        <w:t>5.</w:t>
      </w:r>
      <w:r>
        <w:rPr>
          <w:sz w:val="28"/>
        </w:rPr>
        <w:t>安全服务要求</w:t>
      </w:r>
    </w:p>
    <w:tbl>
      <w:tblPr>
        <w:tblStyle w:val="6"/>
        <w:tblW w:w="8333"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13"/>
        <w:gridCol w:w="1080"/>
        <w:gridCol w:w="654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序号</w:t>
            </w:r>
          </w:p>
        </w:tc>
        <w:tc>
          <w:tcPr>
            <w:tcW w:w="108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服务项</w:t>
            </w:r>
          </w:p>
        </w:tc>
        <w:tc>
          <w:tcPr>
            <w:tcW w:w="654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服务要求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1</w:t>
            </w:r>
          </w:p>
        </w:tc>
        <w:tc>
          <w:tcPr>
            <w:tcW w:w="108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网络入侵防御服务</w:t>
            </w:r>
          </w:p>
        </w:tc>
        <w:tc>
          <w:tcPr>
            <w:tcW w:w="654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为网络层提供协议安全检测，实时主动拦截黑客攻击、蠕虫、网络病毒、后门木马、恶意文件、DoS等恶意流量，保障租户在网络层具备基础的安全防护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2</w:t>
            </w:r>
          </w:p>
        </w:tc>
        <w:tc>
          <w:tcPr>
            <w:tcW w:w="108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平台级抗DDoS服务</w:t>
            </w:r>
          </w:p>
        </w:tc>
        <w:tc>
          <w:tcPr>
            <w:tcW w:w="654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保障政务云平台流量安全稳定，提供反欺骗、协议行为模式分析、特定应用防护、用户行为模式分析、攻击包动态指纹识别、带宽控制等服务，保障政务云平台租户流量安全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3</w:t>
            </w:r>
          </w:p>
        </w:tc>
        <w:tc>
          <w:tcPr>
            <w:tcW w:w="108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主机安全防护服务</w:t>
            </w:r>
          </w:p>
        </w:tc>
        <w:tc>
          <w:tcPr>
            <w:tcW w:w="654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在虚拟主机上部署agent，提供统一主机安全防护组件及策略，实现对主机的安全防护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4</w:t>
            </w:r>
          </w:p>
        </w:tc>
        <w:tc>
          <w:tcPr>
            <w:tcW w:w="108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平台堡垒机服务</w:t>
            </w:r>
          </w:p>
        </w:tc>
        <w:tc>
          <w:tcPr>
            <w:tcW w:w="654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平台堡垒机服务，面向政务云平台提供统一身份管理和资源访问控制，保障运维操作安全，提升运维效率</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rPr>
            </w:pPr>
            <w:r>
              <w:rPr>
                <w:sz w:val="24"/>
                <w:lang w:eastAsia="zh-CN"/>
              </w:rPr>
              <w:t>5</w:t>
            </w:r>
          </w:p>
        </w:tc>
        <w:tc>
          <w:tcPr>
            <w:tcW w:w="108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平台高级可持续攻击防护服务</w:t>
            </w:r>
          </w:p>
        </w:tc>
        <w:tc>
          <w:tcPr>
            <w:tcW w:w="654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通过流量探针采集流量，并执行特定流量威胁日志分析，提供威胁感知、行为分析、威胁狩猎分析、威胁溯源、可视化展示、报表管理及系统管理等防护能力。</w:t>
            </w:r>
          </w:p>
        </w:tc>
      </w:tr>
    </w:tbl>
    <w:p>
      <w:pPr>
        <w:pStyle w:val="10"/>
        <w:ind w:firstLine="560"/>
        <w:rPr>
          <w:rFonts w:hint="default"/>
        </w:rPr>
      </w:pPr>
      <w:r>
        <w:rPr>
          <w:sz w:val="28"/>
          <w:lang w:eastAsia="zh-CN"/>
        </w:rPr>
        <w:t>6.</w:t>
      </w:r>
      <w:r>
        <w:rPr>
          <w:sz w:val="28"/>
        </w:rPr>
        <w:t>机房要求</w:t>
      </w:r>
    </w:p>
    <w:tbl>
      <w:tblPr>
        <w:tblStyle w:val="6"/>
        <w:tblW w:w="8423"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28"/>
        <w:gridCol w:w="1560"/>
        <w:gridCol w:w="613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b/>
                <w:sz w:val="24"/>
              </w:rPr>
              <w:t>序号</w:t>
            </w:r>
          </w:p>
        </w:tc>
        <w:tc>
          <w:tcPr>
            <w:tcW w:w="156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b/>
                <w:sz w:val="24"/>
              </w:rPr>
              <w:t>指标项</w:t>
            </w:r>
          </w:p>
        </w:tc>
        <w:tc>
          <w:tcPr>
            <w:tcW w:w="613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rPr>
            </w:pPr>
            <w:r>
              <w:rPr>
                <w:b/>
                <w:sz w:val="24"/>
              </w:rPr>
              <w:t>参数要求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1</w:t>
            </w:r>
          </w:p>
        </w:tc>
        <w:tc>
          <w:tcPr>
            <w:tcW w:w="1560" w:type="dxa"/>
            <w:vMerge w:val="restart"/>
            <w:tcBorders>
              <w:top w:val="nil"/>
              <w:left w:val="nil"/>
              <w:bottom w:val="nil"/>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lang w:eastAsia="zh-CN"/>
              </w:rPr>
              <w:t>可用性</w:t>
            </w:r>
            <w:r>
              <w:rPr>
                <w:sz w:val="24"/>
              </w:rPr>
              <w:t>要求</w:t>
            </w: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机房的全年服务可用性≥99.99%。</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2</w:t>
            </w:r>
          </w:p>
        </w:tc>
        <w:tc>
          <w:tcPr>
            <w:tcW w:w="1560" w:type="dxa"/>
            <w:vMerge w:val="continue"/>
            <w:tcBorders>
              <w:top w:val="nil"/>
              <w:left w:val="nil"/>
              <w:bottom w:val="nil"/>
              <w:right w:val="single" w:color="000000" w:sz="4" w:space="0"/>
            </w:tcBorders>
            <w:vAlign w:val="center"/>
          </w:tcP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lang w:eastAsia="zh-CN"/>
              </w:rPr>
            </w:pPr>
            <w:r>
              <w:rPr>
                <w:sz w:val="24"/>
              </w:rPr>
              <w:t>政务云</w:t>
            </w:r>
            <w:r>
              <w:rPr>
                <w:sz w:val="24"/>
                <w:lang w:eastAsia="zh-CN"/>
              </w:rPr>
              <w:t>平台</w:t>
            </w:r>
            <w:r>
              <w:rPr>
                <w:sz w:val="24"/>
              </w:rPr>
              <w:t>的IDC机房地点在韶关市市区</w:t>
            </w:r>
            <w:r>
              <w:rPr>
                <w:sz w:val="24"/>
                <w:lang w:eastAsia="zh-CN"/>
              </w:rPr>
              <w:t>。</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3</w:t>
            </w:r>
          </w:p>
        </w:tc>
        <w:tc>
          <w:tcPr>
            <w:tcW w:w="156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动力保障</w:t>
            </w: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电气系统满足1+1配电设计，实现一主一备。此外配置柴油发电机作为后备电源，可在满载情况下持续运行5小时以上。每套设备机架由两套不同UPS供电，每套UPS系统均配备独立的电池组，电池组能提供30分钟的不间断供电。机房配备油机，满足冗余备份，支持自动启停。</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4</w:t>
            </w:r>
          </w:p>
        </w:tc>
        <w:tc>
          <w:tcPr>
            <w:tcW w:w="1560" w:type="dxa"/>
            <w:vMerge w:val="restart"/>
            <w:tcBorders>
              <w:top w:val="nil"/>
              <w:left w:val="nil"/>
              <w:bottom w:val="nil"/>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空调系统</w:t>
            </w: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机房运行环境恒温恒湿：温度为23±2℃，相对湿度保持在40%～55%。</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5</w:t>
            </w:r>
          </w:p>
        </w:tc>
        <w:tc>
          <w:tcPr>
            <w:tcW w:w="1560" w:type="dxa"/>
            <w:vMerge w:val="continue"/>
            <w:tcBorders>
              <w:top w:val="nil"/>
              <w:left w:val="nil"/>
              <w:bottom w:val="nil"/>
              <w:right w:val="single" w:color="000000" w:sz="4" w:space="0"/>
            </w:tcBorders>
            <w:vAlign w:val="center"/>
          </w:tcP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机房内机柜采用下送风方式或水平精确送风，区分冷、热通道。</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6</w:t>
            </w:r>
          </w:p>
        </w:tc>
        <w:tc>
          <w:tcPr>
            <w:tcW w:w="1560" w:type="dxa"/>
            <w:vMerge w:val="continue"/>
            <w:tcBorders>
              <w:top w:val="nil"/>
              <w:left w:val="nil"/>
              <w:bottom w:val="nil"/>
              <w:right w:val="single" w:color="000000" w:sz="4" w:space="0"/>
            </w:tcBorders>
            <w:vAlign w:val="center"/>
          </w:tcP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机房空调系统采取N+1冗余备份方式设置，无单点故障。</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7</w:t>
            </w:r>
          </w:p>
        </w:tc>
        <w:tc>
          <w:tcPr>
            <w:tcW w:w="1560"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消防系统</w:t>
            </w: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具备火灾报警及消防联动控制系统。</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8</w:t>
            </w:r>
          </w:p>
        </w:tc>
        <w:tc>
          <w:tcPr>
            <w:tcW w:w="1560" w:type="dxa"/>
            <w:vMerge w:val="continue"/>
            <w:tcBorders>
              <w:top w:val="single" w:color="000000" w:sz="4" w:space="0"/>
              <w:left w:val="nil"/>
              <w:bottom w:val="single" w:color="000000" w:sz="4" w:space="0"/>
              <w:right w:val="single" w:color="000000" w:sz="4" w:space="0"/>
            </w:tcBorders>
            <w:vAlign w:val="center"/>
          </w:tcP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采用七氟丙烷气体消防措施。</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9</w:t>
            </w:r>
          </w:p>
        </w:tc>
        <w:tc>
          <w:tcPr>
            <w:tcW w:w="1560" w:type="dxa"/>
            <w:vMerge w:val="continue"/>
            <w:tcBorders>
              <w:top w:val="single" w:color="000000" w:sz="4" w:space="0"/>
              <w:left w:val="nil"/>
              <w:bottom w:val="single" w:color="000000" w:sz="4" w:space="0"/>
              <w:right w:val="single" w:color="000000" w:sz="4" w:space="0"/>
            </w:tcBorders>
            <w:vAlign w:val="center"/>
          </w:tcP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机房内配备手动或自动气体灭火设备。</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10</w:t>
            </w:r>
          </w:p>
        </w:tc>
        <w:tc>
          <w:tcPr>
            <w:tcW w:w="1560" w:type="dxa"/>
            <w:vMerge w:val="continue"/>
            <w:tcBorders>
              <w:top w:val="single" w:color="000000" w:sz="4" w:space="0"/>
              <w:left w:val="nil"/>
              <w:bottom w:val="single" w:color="000000" w:sz="4" w:space="0"/>
              <w:right w:val="single" w:color="000000" w:sz="4" w:space="0"/>
            </w:tcBorders>
            <w:vAlign w:val="center"/>
          </w:tcP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配置烟雾报警系统，及时侦测火灾隐患，赢得处理时间，降低火灾危害。</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11</w:t>
            </w:r>
          </w:p>
        </w:tc>
        <w:tc>
          <w:tcPr>
            <w:tcW w:w="1560" w:type="dxa"/>
            <w:vMerge w:val="restart"/>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机房安防</w:t>
            </w: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7*24 小时保安值班，严格的安全检查与身份认证。</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12</w:t>
            </w:r>
          </w:p>
        </w:tc>
        <w:tc>
          <w:tcPr>
            <w:tcW w:w="1560" w:type="dxa"/>
            <w:vMerge w:val="continue"/>
            <w:tcBorders>
              <w:top w:val="nil"/>
              <w:left w:val="nil"/>
              <w:bottom w:val="single" w:color="000000" w:sz="4" w:space="0"/>
              <w:right w:val="single" w:color="000000" w:sz="4" w:space="0"/>
            </w:tcBorders>
            <w:vAlign w:val="center"/>
          </w:tcP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各机房出入口及周边均配置门禁及视频监控系统。</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13</w:t>
            </w:r>
          </w:p>
        </w:tc>
        <w:tc>
          <w:tcPr>
            <w:tcW w:w="1560" w:type="dxa"/>
            <w:vMerge w:val="continue"/>
            <w:tcBorders>
              <w:top w:val="nil"/>
              <w:left w:val="nil"/>
              <w:bottom w:val="single" w:color="000000" w:sz="4" w:space="0"/>
              <w:right w:val="single" w:color="000000" w:sz="4" w:space="0"/>
            </w:tcBorders>
            <w:vAlign w:val="center"/>
          </w:tcP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机房及相关区域的监控录像至少保存3个月。必要时，采购人有权查看相关监控录像。</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14</w:t>
            </w:r>
          </w:p>
        </w:tc>
        <w:tc>
          <w:tcPr>
            <w:tcW w:w="1560" w:type="dxa"/>
            <w:vMerge w:val="restart"/>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运维保障</w:t>
            </w: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提供7*24小时的值班监控以及应急响应服务。</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15</w:t>
            </w:r>
          </w:p>
        </w:tc>
        <w:tc>
          <w:tcPr>
            <w:tcW w:w="1560" w:type="dxa"/>
            <w:vMerge w:val="continue"/>
            <w:tcBorders>
              <w:top w:val="nil"/>
              <w:left w:val="nil"/>
              <w:bottom w:val="single" w:color="000000" w:sz="4" w:space="0"/>
              <w:right w:val="single" w:color="000000" w:sz="4" w:space="0"/>
            </w:tcBorders>
            <w:vAlign w:val="center"/>
          </w:tcP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具备智能网络运行监控平台，实时监控机房运行状态。</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2365" w:hRule="atLeast"/>
        </w:trPr>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spacing w:after="165"/>
              <w:jc w:val="center"/>
              <w:rPr>
                <w:rFonts w:hint="default"/>
                <w:lang w:eastAsia="zh-CN"/>
              </w:rPr>
            </w:pPr>
            <w:r>
              <w:rPr>
                <w:sz w:val="24"/>
              </w:rPr>
              <w:t>1</w:t>
            </w:r>
            <w:r>
              <w:rPr>
                <w:sz w:val="24"/>
                <w:lang w:eastAsia="zh-CN"/>
              </w:rPr>
              <w:t>6</w:t>
            </w:r>
          </w:p>
        </w:tc>
        <w:tc>
          <w:tcPr>
            <w:tcW w:w="1560" w:type="dxa"/>
            <w:vMerge w:val="continue"/>
            <w:tcBorders>
              <w:top w:val="nil"/>
              <w:left w:val="nil"/>
              <w:bottom w:val="single" w:color="000000" w:sz="4" w:space="0"/>
              <w:right w:val="single" w:color="000000" w:sz="4" w:space="0"/>
            </w:tcBorders>
            <w:vAlign w:val="center"/>
          </w:tcP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由</w:t>
            </w:r>
            <w:r>
              <w:rPr>
                <w:sz w:val="24"/>
                <w:lang w:eastAsia="zh-CN"/>
              </w:rPr>
              <w:t>中选</w:t>
            </w:r>
            <w:r>
              <w:rPr>
                <w:sz w:val="24"/>
              </w:rPr>
              <w:t>人负责机房运行环境的运维保障，包括但不限于机房门禁管理、安防管理、人员出入管理、设备出入管理；机房定期环境清洁、物品整理、机房环境监测（温湿度、摄像头、空调等）、机房环境整改；机房消防设施管理、日常消防检查；防雷、防强电管理，地线、电阻管理；电力系统维护、UPS管理、电机设备管理；应急预案制定及应急演练等。</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17</w:t>
            </w:r>
          </w:p>
        </w:tc>
        <w:tc>
          <w:tcPr>
            <w:tcW w:w="1560" w:type="dxa"/>
            <w:vMerge w:val="continue"/>
            <w:tcBorders>
              <w:top w:val="nil"/>
              <w:left w:val="nil"/>
              <w:bottom w:val="single" w:color="000000" w:sz="4" w:space="0"/>
              <w:right w:val="single" w:color="000000" w:sz="4" w:space="0"/>
            </w:tcBorders>
            <w:vAlign w:val="center"/>
          </w:tcP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采购人有权进入政务云机房对本项目所配备的资源进行现场操作，</w:t>
            </w:r>
            <w:r>
              <w:rPr>
                <w:sz w:val="24"/>
                <w:lang w:eastAsia="zh-CN"/>
              </w:rPr>
              <w:t>中选人</w:t>
            </w:r>
            <w:r>
              <w:rPr>
                <w:sz w:val="24"/>
              </w:rPr>
              <w:t>人应提供配合与技术支持。</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pStyle w:val="10"/>
              <w:jc w:val="center"/>
              <w:rPr>
                <w:rFonts w:hint="default"/>
                <w:sz w:val="24"/>
                <w:lang w:eastAsia="zh-CN"/>
              </w:rPr>
            </w:pPr>
            <w:r>
              <w:rPr>
                <w:sz w:val="24"/>
                <w:lang w:eastAsia="zh-CN"/>
              </w:rPr>
              <w:t>18</w:t>
            </w:r>
          </w:p>
        </w:tc>
        <w:tc>
          <w:tcPr>
            <w:tcW w:w="1560"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机房用电要求</w:t>
            </w:r>
          </w:p>
        </w:tc>
        <w:tc>
          <w:tcPr>
            <w:tcW w:w="6135" w:type="dxa"/>
            <w:tcBorders>
              <w:top w:val="nil"/>
              <w:left w:val="nil"/>
              <w:bottom w:val="single" w:color="000000" w:sz="4" w:space="0"/>
              <w:right w:val="single" w:color="000000" w:sz="4" w:space="0"/>
            </w:tcBorders>
            <w:tcMar>
              <w:top w:w="0" w:type="dxa"/>
              <w:left w:w="105" w:type="dxa"/>
              <w:bottom w:w="0" w:type="dxa"/>
              <w:right w:w="105" w:type="dxa"/>
            </w:tcMar>
            <w:vAlign w:val="center"/>
          </w:tcPr>
          <w:p>
            <w:pPr>
              <w:pStyle w:val="10"/>
              <w:spacing w:after="165"/>
              <w:jc w:val="both"/>
              <w:rPr>
                <w:rFonts w:hint="default"/>
              </w:rPr>
            </w:pPr>
            <w:r>
              <w:rPr>
                <w:sz w:val="24"/>
              </w:rPr>
              <w:t>本项目所有设备以及机房配套设备运行电费均已包含在服务费中。</w:t>
            </w:r>
          </w:p>
        </w:tc>
      </w:tr>
    </w:tbl>
    <w:p>
      <w:pPr>
        <w:pStyle w:val="10"/>
        <w:rPr>
          <w:rFonts w:hint="default" w:ascii="仿宋_GB2312" w:hAnsi="仿宋" w:eastAsia="仿宋_GB2312" w:cs="Segoe UI"/>
          <w:color w:val="1F2329"/>
          <w:sz w:val="30"/>
          <w:szCs w:val="30"/>
          <w:lang w:eastAsia="zh-CN"/>
        </w:rPr>
      </w:pPr>
      <w:r>
        <w:rPr>
          <w:rFonts w:ascii="黑体" w:hAnsi="黑体" w:eastAsia="黑体" w:cs="Segoe UI"/>
          <w:color w:val="1F2329"/>
          <w:sz w:val="30"/>
          <w:szCs w:val="30"/>
          <w:lang w:eastAsia="zh-CN"/>
        </w:rPr>
        <w:t xml:space="preserve">   </w:t>
      </w:r>
      <w:r>
        <w:rPr>
          <w:rFonts w:ascii="黑体" w:hAnsi="黑体" w:eastAsia="黑体" w:cs="黑体"/>
          <w:color w:val="1F2329"/>
          <w:sz w:val="32"/>
          <w:szCs w:val="32"/>
          <w:lang w:eastAsia="zh-CN"/>
        </w:rPr>
        <w:t>（二）总体要求</w:t>
      </w:r>
    </w:p>
    <w:p>
      <w:pPr>
        <w:pStyle w:val="10"/>
        <w:ind w:firstLine="560"/>
        <w:rPr>
          <w:rFonts w:hint="default" w:ascii="仿宋_GB2312" w:hAnsi="仿宋" w:eastAsia="仿宋_GB2312" w:cs="Segoe UI"/>
          <w:b/>
          <w:bCs/>
          <w:color w:val="1F2329"/>
          <w:sz w:val="30"/>
          <w:szCs w:val="30"/>
          <w:lang w:eastAsia="zh-CN"/>
        </w:rPr>
      </w:pPr>
      <w:r>
        <w:rPr>
          <w:rFonts w:ascii="仿宋_GB2312" w:hAnsi="仿宋" w:eastAsia="仿宋_GB2312" w:cs="Segoe UI"/>
          <w:b/>
          <w:bCs/>
          <w:color w:val="1F2329"/>
          <w:sz w:val="30"/>
          <w:szCs w:val="30"/>
          <w:lang w:eastAsia="zh-CN"/>
        </w:rPr>
        <w:t>1.</w:t>
      </w:r>
      <w:r>
        <w:rPr>
          <w:rFonts w:hint="default" w:ascii="仿宋_GB2312" w:hAnsi="仿宋" w:eastAsia="仿宋_GB2312" w:cs="Segoe UI"/>
          <w:b/>
          <w:bCs/>
          <w:color w:val="1F2329"/>
          <w:sz w:val="30"/>
          <w:szCs w:val="30"/>
          <w:lang w:eastAsia="zh-CN"/>
        </w:rPr>
        <w:t>设计原则要求</w:t>
      </w:r>
    </w:p>
    <w:p>
      <w:pPr>
        <w:pStyle w:val="10"/>
        <w:ind w:firstLine="560"/>
        <w:rPr>
          <w:rFonts w:hint="default" w:ascii="仿宋_GB2312" w:hAnsi="仿宋" w:eastAsia="仿宋_GB2312" w:cs="Segoe UI"/>
          <w:color w:val="1F2329"/>
          <w:sz w:val="30"/>
          <w:szCs w:val="30"/>
          <w:lang w:eastAsia="zh-CN"/>
        </w:rPr>
      </w:pPr>
      <w:r>
        <w:rPr>
          <w:rFonts w:hint="default" w:ascii="仿宋_GB2312" w:hAnsi="仿宋" w:eastAsia="仿宋_GB2312" w:cs="Segoe UI"/>
          <w:color w:val="1F2329"/>
          <w:sz w:val="30"/>
          <w:szCs w:val="30"/>
          <w:lang w:eastAsia="zh-CN"/>
        </w:rPr>
        <w:t>（1）先进开放原则</w:t>
      </w:r>
    </w:p>
    <w:p>
      <w:pPr>
        <w:pStyle w:val="10"/>
        <w:ind w:firstLine="560"/>
        <w:rPr>
          <w:rFonts w:hint="default" w:ascii="仿宋_GB2312" w:hAnsi="仿宋" w:eastAsia="仿宋_GB2312" w:cs="Segoe UI"/>
          <w:color w:val="1F2329"/>
          <w:sz w:val="30"/>
          <w:szCs w:val="30"/>
          <w:lang w:eastAsia="zh-CN"/>
        </w:rPr>
      </w:pPr>
      <w:r>
        <w:rPr>
          <w:rFonts w:hint="default" w:ascii="仿宋_GB2312" w:hAnsi="仿宋" w:eastAsia="仿宋_GB2312" w:cs="Segoe UI"/>
          <w:color w:val="1F2329"/>
          <w:sz w:val="30"/>
          <w:szCs w:val="30"/>
          <w:lang w:eastAsia="zh-CN"/>
        </w:rPr>
        <w:t>政务云平台建设</w:t>
      </w:r>
      <w:r>
        <w:rPr>
          <w:rFonts w:ascii="仿宋_GB2312" w:hAnsi="仿宋" w:eastAsia="仿宋_GB2312" w:cs="Segoe UI"/>
          <w:color w:val="1F2329"/>
          <w:sz w:val="30"/>
          <w:szCs w:val="30"/>
          <w:lang w:eastAsia="zh-CN"/>
        </w:rPr>
        <w:t>应</w:t>
      </w:r>
      <w:r>
        <w:rPr>
          <w:rFonts w:hint="default" w:ascii="仿宋_GB2312" w:hAnsi="仿宋" w:eastAsia="仿宋_GB2312" w:cs="Segoe UI"/>
          <w:color w:val="1F2329"/>
          <w:sz w:val="30"/>
          <w:szCs w:val="30"/>
          <w:lang w:eastAsia="zh-CN"/>
        </w:rPr>
        <w:t>采用成熟先进、层次清晰、结构完整、开放共享的技术支持框架，确保系统的高性能、高可用性和高可扩展性，保证平台的长期可持续发展。以持续、稳定、安全的技术架构支撑政府公共服务一体化、个性化、决策智能化。遵循开放标准，支持跨系统、跨平台的集成，支持Ｘ86</w:t>
      </w:r>
      <w:r>
        <w:rPr>
          <w:rFonts w:ascii="仿宋_GB2312" w:hAnsi="仿宋" w:eastAsia="仿宋_GB2312" w:cs="Segoe UI"/>
          <w:color w:val="1F2329"/>
          <w:sz w:val="30"/>
          <w:szCs w:val="30"/>
          <w:lang w:eastAsia="zh-CN"/>
        </w:rPr>
        <w:t>、ARM</w:t>
      </w:r>
      <w:r>
        <w:rPr>
          <w:rFonts w:hint="default" w:ascii="仿宋_GB2312" w:hAnsi="仿宋" w:eastAsia="仿宋_GB2312" w:cs="Segoe UI"/>
          <w:color w:val="1F2329"/>
          <w:sz w:val="30"/>
          <w:szCs w:val="30"/>
          <w:lang w:eastAsia="zh-CN"/>
        </w:rPr>
        <w:t>架构的政务系统。</w:t>
      </w:r>
    </w:p>
    <w:p>
      <w:pPr>
        <w:pStyle w:val="10"/>
        <w:ind w:firstLine="560"/>
        <w:rPr>
          <w:rFonts w:hint="default" w:ascii="仿宋_GB2312" w:hAnsi="仿宋" w:eastAsia="仿宋_GB2312" w:cs="Segoe UI"/>
          <w:color w:val="1F2329"/>
          <w:sz w:val="30"/>
          <w:szCs w:val="30"/>
          <w:lang w:eastAsia="zh-CN"/>
        </w:rPr>
      </w:pPr>
      <w:r>
        <w:rPr>
          <w:rFonts w:hint="default" w:ascii="仿宋_GB2312" w:hAnsi="仿宋" w:eastAsia="仿宋_GB2312" w:cs="Segoe UI"/>
          <w:color w:val="1F2329"/>
          <w:sz w:val="30"/>
          <w:szCs w:val="30"/>
          <w:lang w:eastAsia="zh-CN"/>
        </w:rPr>
        <w:t>（2）安全可靠原则</w:t>
      </w:r>
    </w:p>
    <w:p>
      <w:pPr>
        <w:pStyle w:val="10"/>
        <w:ind w:firstLine="560"/>
        <w:rPr>
          <w:rFonts w:hint="default" w:ascii="仿宋_GB2312" w:hAnsi="仿宋" w:eastAsia="仿宋_GB2312" w:cs="Segoe UI"/>
          <w:color w:val="1F2329"/>
          <w:sz w:val="30"/>
          <w:szCs w:val="30"/>
          <w:lang w:eastAsia="zh-CN"/>
        </w:rPr>
      </w:pPr>
      <w:r>
        <w:rPr>
          <w:rFonts w:hint="default" w:ascii="仿宋_GB2312" w:hAnsi="仿宋" w:eastAsia="仿宋_GB2312" w:cs="Segoe UI"/>
          <w:color w:val="1F2329"/>
          <w:sz w:val="30"/>
          <w:szCs w:val="30"/>
          <w:lang w:eastAsia="zh-CN"/>
        </w:rPr>
        <w:t>根据国家等保要求，构建政务云平台安全保障体系，为政务云平台上的政务信息系统提供基础安全保障能力，整体提高各部门安全保障能力及水平。统一构建灾备保护体系，通过本地、同城、异地等自动化保障业务的可靠性和连续性。</w:t>
      </w:r>
    </w:p>
    <w:p>
      <w:pPr>
        <w:pStyle w:val="10"/>
        <w:ind w:firstLine="560"/>
        <w:rPr>
          <w:rFonts w:hint="default" w:ascii="仿宋_GB2312" w:hAnsi="仿宋" w:eastAsia="仿宋_GB2312" w:cs="Segoe UI"/>
          <w:color w:val="1F2329"/>
          <w:sz w:val="30"/>
          <w:szCs w:val="30"/>
          <w:lang w:eastAsia="zh-CN"/>
        </w:rPr>
      </w:pPr>
      <w:r>
        <w:rPr>
          <w:rFonts w:hint="default" w:ascii="仿宋_GB2312" w:hAnsi="仿宋" w:eastAsia="仿宋_GB2312" w:cs="Segoe UI"/>
          <w:color w:val="1F2329"/>
          <w:sz w:val="30"/>
          <w:szCs w:val="30"/>
          <w:lang w:eastAsia="zh-CN"/>
        </w:rPr>
        <w:t>（3）标准规范原则</w:t>
      </w:r>
    </w:p>
    <w:p>
      <w:pPr>
        <w:pStyle w:val="10"/>
        <w:ind w:firstLine="560"/>
        <w:rPr>
          <w:rFonts w:hint="default" w:ascii="仿宋_GB2312" w:hAnsi="仿宋" w:eastAsia="仿宋_GB2312" w:cs="Segoe UI"/>
          <w:color w:val="1F2329"/>
          <w:sz w:val="30"/>
          <w:szCs w:val="30"/>
          <w:lang w:eastAsia="zh-CN"/>
        </w:rPr>
      </w:pPr>
      <w:r>
        <w:rPr>
          <w:rFonts w:hint="default" w:ascii="仿宋_GB2312" w:hAnsi="仿宋" w:eastAsia="仿宋_GB2312" w:cs="Segoe UI"/>
          <w:color w:val="1F2329"/>
          <w:sz w:val="30"/>
          <w:szCs w:val="30"/>
          <w:lang w:eastAsia="zh-CN"/>
        </w:rPr>
        <w:t>政务云平台</w:t>
      </w:r>
      <w:r>
        <w:rPr>
          <w:rFonts w:ascii="仿宋_GB2312" w:hAnsi="仿宋" w:eastAsia="仿宋_GB2312" w:cs="Segoe UI"/>
          <w:color w:val="1F2329"/>
          <w:sz w:val="30"/>
          <w:szCs w:val="30"/>
          <w:lang w:eastAsia="zh-CN"/>
        </w:rPr>
        <w:t>要</w:t>
      </w:r>
      <w:r>
        <w:rPr>
          <w:rFonts w:hint="default" w:ascii="仿宋_GB2312" w:hAnsi="仿宋" w:eastAsia="仿宋_GB2312" w:cs="Segoe UI"/>
          <w:color w:val="1F2329"/>
          <w:sz w:val="30"/>
          <w:szCs w:val="30"/>
          <w:lang w:eastAsia="zh-CN"/>
        </w:rPr>
        <w:t>按照广东“数字政府”政务云平台统一技术框架和标准规范体系，以及国家及行业标准（如云计算服务标准、信息安全标准等）进行设计和实施，确保系统的兼容性和互操作性，并与省级“数字政府”政务云平台打通，实现一体化管理。</w:t>
      </w:r>
    </w:p>
    <w:p>
      <w:pPr>
        <w:pStyle w:val="10"/>
        <w:ind w:firstLine="560"/>
        <w:rPr>
          <w:rFonts w:hint="default" w:ascii="仿宋_GB2312" w:hAnsi="仿宋" w:eastAsia="仿宋_GB2312" w:cs="Segoe UI"/>
          <w:color w:val="1F2329"/>
          <w:sz w:val="30"/>
          <w:szCs w:val="30"/>
          <w:lang w:eastAsia="zh-CN"/>
        </w:rPr>
      </w:pPr>
      <w:r>
        <w:rPr>
          <w:rFonts w:hint="default" w:ascii="仿宋_GB2312" w:hAnsi="仿宋" w:eastAsia="仿宋_GB2312" w:cs="Segoe UI"/>
          <w:color w:val="1F2329"/>
          <w:sz w:val="30"/>
          <w:szCs w:val="30"/>
          <w:lang w:eastAsia="zh-CN"/>
        </w:rPr>
        <w:t>（4）经济便捷原则</w:t>
      </w:r>
    </w:p>
    <w:p>
      <w:pPr>
        <w:pStyle w:val="10"/>
        <w:ind w:firstLine="560"/>
        <w:rPr>
          <w:rFonts w:hint="default" w:ascii="仿宋_GB2312" w:hAnsi="仿宋" w:eastAsia="仿宋_GB2312" w:cs="Segoe UI"/>
          <w:color w:val="1F2329"/>
          <w:sz w:val="30"/>
          <w:szCs w:val="30"/>
          <w:lang w:eastAsia="zh-CN"/>
        </w:rPr>
      </w:pPr>
      <w:r>
        <w:rPr>
          <w:rFonts w:hint="default" w:ascii="仿宋_GB2312" w:hAnsi="仿宋" w:eastAsia="仿宋_GB2312" w:cs="Segoe UI"/>
          <w:color w:val="1F2329"/>
          <w:sz w:val="30"/>
          <w:szCs w:val="30"/>
          <w:lang w:eastAsia="zh-CN"/>
        </w:rPr>
        <w:t>通过云服务的弹性伸缩特性，在满足性能要求的前提下，考虑投资的经济性，避免过度投资，合理控制建设和运营成本，提高财政资金使用效益，实现成本最优化，政务云平台应以服务为导向，参考省级政务云服务目录，提供丰富多样的服务，满足不同的信息化需求。</w:t>
      </w:r>
    </w:p>
    <w:p>
      <w:pPr>
        <w:pStyle w:val="10"/>
        <w:ind w:firstLine="560"/>
        <w:rPr>
          <w:rFonts w:hint="default" w:ascii="仿宋_GB2312" w:hAnsi="仿宋" w:eastAsia="仿宋_GB2312" w:cs="Segoe UI"/>
          <w:color w:val="1F2329"/>
          <w:sz w:val="30"/>
          <w:szCs w:val="30"/>
          <w:lang w:eastAsia="zh-CN"/>
        </w:rPr>
      </w:pPr>
      <w:r>
        <w:rPr>
          <w:rFonts w:hint="default" w:ascii="仿宋_GB2312" w:hAnsi="仿宋" w:eastAsia="仿宋_GB2312" w:cs="Segoe UI"/>
          <w:color w:val="1F2329"/>
          <w:sz w:val="30"/>
          <w:szCs w:val="30"/>
          <w:lang w:eastAsia="zh-CN"/>
        </w:rPr>
        <w:t>（5）高效扩展原则</w:t>
      </w:r>
    </w:p>
    <w:p>
      <w:pPr>
        <w:pStyle w:val="10"/>
        <w:ind w:firstLine="560"/>
        <w:rPr>
          <w:rFonts w:hint="default" w:ascii="仿宋_GB2312" w:hAnsi="仿宋" w:eastAsia="仿宋_GB2312" w:cs="Segoe UI"/>
          <w:color w:val="1F2329"/>
          <w:sz w:val="30"/>
          <w:szCs w:val="30"/>
          <w:lang w:eastAsia="zh-CN"/>
        </w:rPr>
      </w:pPr>
      <w:r>
        <w:rPr>
          <w:rFonts w:hint="default" w:ascii="仿宋_GB2312" w:hAnsi="仿宋" w:eastAsia="仿宋_GB2312" w:cs="Segoe UI"/>
          <w:color w:val="1F2329"/>
          <w:sz w:val="30"/>
          <w:szCs w:val="30"/>
          <w:lang w:eastAsia="zh-CN"/>
        </w:rPr>
        <w:t>政务云平台应具有良好的可扩展性，能够根据业务发展需要，灵活扩展计算资源、存储资源和网络资源，快速迭代和部署新功能，提高系统灵活性。</w:t>
      </w:r>
    </w:p>
    <w:p>
      <w:pPr>
        <w:pStyle w:val="10"/>
        <w:ind w:firstLine="560"/>
        <w:rPr>
          <w:rFonts w:hint="default" w:ascii="仿宋_GB2312" w:hAnsi="仿宋" w:eastAsia="仿宋_GB2312" w:cs="Segoe UI"/>
          <w:b/>
          <w:bCs/>
          <w:color w:val="1F2329"/>
          <w:sz w:val="30"/>
          <w:szCs w:val="30"/>
          <w:lang w:eastAsia="zh-CN"/>
        </w:rPr>
      </w:pPr>
      <w:r>
        <w:rPr>
          <w:rFonts w:hint="default" w:ascii="仿宋_GB2312" w:hAnsi="仿宋" w:eastAsia="仿宋_GB2312" w:cs="Segoe UI"/>
          <w:b/>
          <w:bCs/>
          <w:color w:val="1F2329"/>
          <w:sz w:val="30"/>
          <w:szCs w:val="30"/>
          <w:lang w:eastAsia="zh-CN"/>
        </w:rPr>
        <w:t>2.技术路线要求</w:t>
      </w:r>
    </w:p>
    <w:p>
      <w:pPr>
        <w:pStyle w:val="10"/>
        <w:ind w:firstLine="560"/>
        <w:rPr>
          <w:rFonts w:hint="default" w:ascii="仿宋_GB2312" w:hAnsi="仿宋" w:eastAsia="仿宋_GB2312" w:cs="Segoe UI"/>
          <w:color w:val="1F2329"/>
          <w:sz w:val="30"/>
          <w:szCs w:val="30"/>
          <w:lang w:eastAsia="zh-CN"/>
        </w:rPr>
      </w:pPr>
      <w:r>
        <w:rPr>
          <w:rFonts w:ascii="仿宋_GB2312" w:hAnsi="仿宋" w:eastAsia="仿宋_GB2312" w:cs="Segoe UI"/>
          <w:color w:val="1F2329"/>
          <w:sz w:val="30"/>
          <w:szCs w:val="30"/>
          <w:lang w:eastAsia="zh-CN"/>
        </w:rPr>
        <w:t>（1）</w:t>
      </w:r>
      <w:r>
        <w:rPr>
          <w:rFonts w:hint="default" w:ascii="仿宋_GB2312" w:hAnsi="仿宋" w:eastAsia="仿宋_GB2312" w:cs="Segoe UI"/>
          <w:color w:val="1F2329"/>
          <w:sz w:val="30"/>
          <w:szCs w:val="30"/>
          <w:lang w:eastAsia="zh-CN"/>
        </w:rPr>
        <w:t>虚拟化技术</w:t>
      </w:r>
    </w:p>
    <w:p>
      <w:pPr>
        <w:pStyle w:val="10"/>
        <w:ind w:firstLine="560"/>
        <w:rPr>
          <w:rFonts w:hint="default" w:ascii="仿宋_GB2312" w:hAnsi="仿宋" w:eastAsia="仿宋_GB2312" w:cs="Segoe UI"/>
          <w:color w:val="1F2329"/>
          <w:sz w:val="30"/>
          <w:szCs w:val="30"/>
          <w:lang w:eastAsia="zh-CN"/>
        </w:rPr>
      </w:pPr>
      <w:r>
        <w:rPr>
          <w:rFonts w:hint="default" w:ascii="仿宋_GB2312" w:hAnsi="仿宋" w:eastAsia="仿宋_GB2312" w:cs="Segoe UI"/>
          <w:color w:val="1F2329"/>
          <w:sz w:val="30"/>
          <w:szCs w:val="30"/>
          <w:lang w:eastAsia="zh-CN"/>
        </w:rPr>
        <w:t>本项目要求云服务基于虚拟化技术。虚拟化是将底层物理设备与上层操作系统、软件分离的一种去耦合技术，它通过软件或固件管理程序构建虚拟层并对其进行管理，把物理资源映射成逻辑的虚拟资源，对逻辑资源的使用与物理资源相差很少或者没有区别。虚拟化的目标是实现IT资源利用效率和灵活性的最大化。</w:t>
      </w:r>
    </w:p>
    <w:p>
      <w:pPr>
        <w:pStyle w:val="10"/>
        <w:ind w:firstLine="560"/>
        <w:rPr>
          <w:rFonts w:hint="default" w:ascii="仿宋_GB2312" w:hAnsi="仿宋" w:eastAsia="仿宋_GB2312" w:cs="Segoe UI"/>
          <w:color w:val="1F2329"/>
          <w:sz w:val="30"/>
          <w:szCs w:val="30"/>
          <w:lang w:eastAsia="zh-CN"/>
        </w:rPr>
      </w:pPr>
      <w:r>
        <w:rPr>
          <w:rFonts w:ascii="仿宋_GB2312" w:hAnsi="仿宋" w:eastAsia="仿宋_GB2312" w:cs="Segoe UI"/>
          <w:color w:val="1F2329"/>
          <w:sz w:val="30"/>
          <w:szCs w:val="30"/>
          <w:lang w:eastAsia="zh-CN"/>
        </w:rPr>
        <w:t>（2）</w:t>
      </w:r>
      <w:r>
        <w:rPr>
          <w:rFonts w:hint="default" w:ascii="仿宋_GB2312" w:hAnsi="仿宋" w:eastAsia="仿宋_GB2312" w:cs="Segoe UI"/>
          <w:color w:val="1F2329"/>
          <w:sz w:val="30"/>
          <w:szCs w:val="30"/>
          <w:lang w:eastAsia="zh-CN"/>
        </w:rPr>
        <w:t>云计算技术</w:t>
      </w:r>
    </w:p>
    <w:p>
      <w:pPr>
        <w:pStyle w:val="10"/>
        <w:ind w:firstLine="560"/>
        <w:rPr>
          <w:rFonts w:hint="default" w:ascii="仿宋_GB2312" w:hAnsi="仿宋" w:eastAsia="仿宋_GB2312" w:cs="Segoe UI"/>
          <w:color w:val="1F2329"/>
          <w:sz w:val="30"/>
          <w:szCs w:val="30"/>
          <w:lang w:eastAsia="zh-CN"/>
        </w:rPr>
      </w:pPr>
      <w:r>
        <w:rPr>
          <w:rFonts w:hint="default" w:ascii="仿宋_GB2312" w:hAnsi="仿宋" w:eastAsia="仿宋_GB2312" w:cs="Segoe UI"/>
          <w:color w:val="1F2329"/>
          <w:sz w:val="30"/>
          <w:szCs w:val="30"/>
          <w:lang w:eastAsia="zh-CN"/>
        </w:rPr>
        <w:t>本项目云服务需要使用云计算技术。云计算是一种资源利用模式，它能以方便、友好、按需访问的方式通过网络访问可配置的计算机资源池(例如网络、服务器"存储、应用程序和服务)，在这种模式中，可以快速供应并以最小的管理代价提供服务。</w:t>
      </w:r>
    </w:p>
    <w:p>
      <w:pPr>
        <w:pStyle w:val="10"/>
        <w:ind w:firstLine="560"/>
        <w:rPr>
          <w:rFonts w:hint="default" w:ascii="仿宋_GB2312" w:hAnsi="仿宋" w:eastAsia="仿宋_GB2312" w:cs="Segoe UI"/>
          <w:color w:val="1F2329"/>
          <w:sz w:val="30"/>
          <w:szCs w:val="30"/>
          <w:lang w:eastAsia="zh-CN"/>
        </w:rPr>
      </w:pPr>
      <w:r>
        <w:rPr>
          <w:rFonts w:ascii="仿宋_GB2312" w:hAnsi="仿宋" w:eastAsia="仿宋_GB2312" w:cs="Segoe UI"/>
          <w:color w:val="1F2329"/>
          <w:sz w:val="30"/>
          <w:szCs w:val="30"/>
          <w:lang w:eastAsia="zh-CN"/>
        </w:rPr>
        <w:t>（3）</w:t>
      </w:r>
      <w:r>
        <w:rPr>
          <w:rFonts w:hint="default" w:ascii="仿宋_GB2312" w:hAnsi="仿宋" w:eastAsia="仿宋_GB2312" w:cs="Segoe UI"/>
          <w:color w:val="1F2329"/>
          <w:sz w:val="30"/>
          <w:szCs w:val="30"/>
          <w:lang w:eastAsia="zh-CN"/>
        </w:rPr>
        <w:t>分布式计算技术</w:t>
      </w:r>
    </w:p>
    <w:p>
      <w:pPr>
        <w:pStyle w:val="10"/>
        <w:ind w:firstLine="560"/>
        <w:rPr>
          <w:rFonts w:hint="default" w:ascii="仿宋_GB2312" w:hAnsi="仿宋" w:eastAsia="仿宋_GB2312" w:cs="Segoe UI"/>
          <w:color w:val="1F2329"/>
          <w:sz w:val="30"/>
          <w:szCs w:val="30"/>
          <w:lang w:eastAsia="zh-CN"/>
        </w:rPr>
      </w:pPr>
      <w:r>
        <w:rPr>
          <w:rFonts w:hint="default" w:ascii="仿宋_GB2312" w:hAnsi="仿宋" w:eastAsia="仿宋_GB2312" w:cs="Segoe UI"/>
          <w:color w:val="1F2329"/>
          <w:sz w:val="30"/>
          <w:szCs w:val="30"/>
          <w:lang w:eastAsia="zh-CN"/>
        </w:rPr>
        <w:t>本项目云服务需要使用分布式计算技术。分布式计算是让几个物理上独立的组件作为一个单独的系统协同工作，这些组件可能指多个CPU，或者网络中的多台计算机。</w:t>
      </w:r>
    </w:p>
    <w:p>
      <w:pPr>
        <w:pStyle w:val="10"/>
        <w:ind w:firstLine="560"/>
        <w:rPr>
          <w:rFonts w:hint="default" w:ascii="仿宋_GB2312" w:hAnsi="仿宋" w:eastAsia="仿宋_GB2312" w:cs="Segoe UI"/>
          <w:color w:val="1F2329"/>
          <w:sz w:val="30"/>
          <w:szCs w:val="30"/>
          <w:lang w:eastAsia="zh-CN"/>
        </w:rPr>
      </w:pPr>
      <w:r>
        <w:rPr>
          <w:rFonts w:ascii="仿宋_GB2312" w:hAnsi="仿宋" w:eastAsia="仿宋_GB2312" w:cs="Segoe UI"/>
          <w:color w:val="1F2329"/>
          <w:sz w:val="30"/>
          <w:szCs w:val="30"/>
          <w:lang w:eastAsia="zh-CN"/>
        </w:rPr>
        <w:t>（4）</w:t>
      </w:r>
      <w:r>
        <w:rPr>
          <w:rFonts w:hint="default" w:ascii="仿宋_GB2312" w:hAnsi="仿宋" w:eastAsia="仿宋_GB2312" w:cs="Segoe UI"/>
          <w:color w:val="1F2329"/>
          <w:sz w:val="30"/>
          <w:szCs w:val="30"/>
          <w:lang w:eastAsia="zh-CN"/>
        </w:rPr>
        <w:t>多租户管理技术</w:t>
      </w:r>
    </w:p>
    <w:p>
      <w:pPr>
        <w:pStyle w:val="10"/>
        <w:ind w:firstLine="560"/>
        <w:rPr>
          <w:rFonts w:hint="default" w:ascii="黑体" w:hAnsi="黑体" w:eastAsia="黑体" w:cs="Segoe UI"/>
          <w:color w:val="1F2329"/>
          <w:sz w:val="30"/>
          <w:szCs w:val="30"/>
          <w:lang w:eastAsia="zh-CN"/>
        </w:rPr>
      </w:pPr>
      <w:r>
        <w:rPr>
          <w:rFonts w:hint="default" w:ascii="仿宋_GB2312" w:hAnsi="仿宋" w:eastAsia="仿宋_GB2312" w:cs="Segoe UI"/>
          <w:color w:val="1F2329"/>
          <w:sz w:val="30"/>
          <w:szCs w:val="30"/>
          <w:lang w:eastAsia="zh-CN"/>
        </w:rPr>
        <w:t>本项目云服务需要使用多租户管理技术。多租户技术或称多重租赁技术，是一种软件架构技术，它是在探讨与实现如何于多用户的环境下共用相同的系统或程序组件，并且仍可确保各用户间数据的隔离性。</w:t>
      </w:r>
    </w:p>
    <w:p>
      <w:pPr>
        <w:ind w:firstLine="600"/>
        <w:rPr>
          <w:rFonts w:ascii="黑体" w:hAnsi="黑体" w:eastAsia="黑体" w:cs="Segoe UI"/>
          <w:color w:val="1F2329"/>
          <w:kern w:val="0"/>
          <w:sz w:val="32"/>
          <w:szCs w:val="32"/>
        </w:rPr>
      </w:pPr>
      <w:r>
        <w:rPr>
          <w:rFonts w:hint="eastAsia" w:ascii="黑体" w:hAnsi="黑体" w:eastAsia="黑体" w:cs="Segoe UI"/>
          <w:color w:val="1F2329"/>
          <w:kern w:val="0"/>
          <w:sz w:val="32"/>
          <w:szCs w:val="32"/>
        </w:rPr>
        <w:t>二、项目预算</w:t>
      </w:r>
    </w:p>
    <w:p>
      <w:pPr>
        <w:widowControl/>
        <w:shd w:val="clear" w:color="auto" w:fill="FFFFFF"/>
        <w:ind w:firstLine="600" w:firstLineChars="200"/>
        <w:jc w:val="left"/>
        <w:rPr>
          <w:rFonts w:ascii="仿宋_GB2312" w:hAnsi="仿宋_GB2312" w:eastAsia="仿宋_GB2312" w:cs="仿宋_GB2312"/>
          <w:color w:val="1F2329"/>
          <w:kern w:val="0"/>
          <w:sz w:val="30"/>
          <w:szCs w:val="30"/>
        </w:rPr>
      </w:pPr>
      <w:r>
        <w:rPr>
          <w:rFonts w:hint="eastAsia" w:ascii="仿宋_GB2312" w:hAnsi="仿宋_GB2312" w:eastAsia="仿宋_GB2312" w:cs="仿宋_GB2312"/>
          <w:color w:val="1F2329"/>
          <w:kern w:val="0"/>
          <w:sz w:val="30"/>
          <w:szCs w:val="30"/>
        </w:rPr>
        <w:t>目前，我</w:t>
      </w:r>
      <w:r>
        <w:rPr>
          <w:rFonts w:hint="eastAsia" w:ascii="仿宋_GB2312" w:hAnsi="仿宋_GB2312" w:eastAsia="仿宋_GB2312" w:cs="仿宋_GB2312"/>
          <w:color w:val="1F2329"/>
          <w:kern w:val="0"/>
          <w:sz w:val="30"/>
          <w:szCs w:val="30"/>
          <w:lang w:val="en-US" w:eastAsia="zh-CN"/>
        </w:rPr>
        <w:t>中心</w:t>
      </w:r>
      <w:bookmarkStart w:id="0" w:name="_GoBack"/>
      <w:bookmarkEnd w:id="0"/>
      <w:r>
        <w:rPr>
          <w:rFonts w:hint="eastAsia" w:ascii="仿宋_GB2312" w:hAnsi="仿宋_GB2312" w:eastAsia="仿宋_GB2312" w:cs="仿宋_GB2312"/>
          <w:color w:val="1F2329"/>
          <w:kern w:val="0"/>
          <w:sz w:val="30"/>
          <w:szCs w:val="30"/>
        </w:rPr>
        <w:t>需使用“数字政府”政务云平台韶关节点的信息系统共有1个（详见附件），使用的政务云资源服务费用由云资源费用、</w:t>
      </w:r>
      <w:r>
        <w:rPr>
          <w:rFonts w:ascii="仿宋_GB2312" w:hAnsi="仿宋_GB2312" w:eastAsia="仿宋_GB2312" w:cs="仿宋_GB2312"/>
          <w:sz w:val="30"/>
          <w:szCs w:val="30"/>
        </w:rPr>
        <w:t>容灾备份服务</w:t>
      </w:r>
      <w:r>
        <w:rPr>
          <w:rFonts w:hint="eastAsia" w:ascii="仿宋_GB2312" w:hAnsi="仿宋_GB2312" w:eastAsia="仿宋_GB2312" w:cs="仿宋_GB2312"/>
          <w:sz w:val="30"/>
          <w:szCs w:val="30"/>
        </w:rPr>
        <w:t>、</w:t>
      </w:r>
      <w:r>
        <w:rPr>
          <w:rFonts w:hint="eastAsia" w:ascii="仿宋_GB2312" w:hAnsi="仿宋_GB2312" w:eastAsia="仿宋_GB2312" w:cs="仿宋_GB2312"/>
          <w:color w:val="1F2329"/>
          <w:kern w:val="0"/>
          <w:sz w:val="30"/>
          <w:szCs w:val="30"/>
        </w:rPr>
        <w:t>软件费用以及政务云运营费</w:t>
      </w:r>
      <w:r>
        <w:rPr>
          <w:rFonts w:hint="eastAsia" w:ascii="仿宋_GB2312" w:hAnsi="仿宋_GB2312" w:eastAsia="仿宋_GB2312" w:cs="仿宋_GB2312"/>
          <w:color w:val="1F2329"/>
          <w:kern w:val="0"/>
          <w:sz w:val="30"/>
          <w:szCs w:val="30"/>
          <w:lang w:val="en-US" w:eastAsia="zh-CN"/>
        </w:rPr>
        <w:t>四</w:t>
      </w:r>
      <w:r>
        <w:rPr>
          <w:rFonts w:hint="eastAsia" w:ascii="仿宋_GB2312" w:hAnsi="仿宋_GB2312" w:eastAsia="仿宋_GB2312" w:cs="仿宋_GB2312"/>
          <w:color w:val="1F2329"/>
          <w:kern w:val="0"/>
          <w:sz w:val="30"/>
          <w:szCs w:val="30"/>
        </w:rPr>
        <w:t>部分组成。其中，</w:t>
      </w:r>
      <w:r>
        <w:rPr>
          <w:rFonts w:hint="eastAsia" w:ascii="仿宋_GB2312" w:hAnsi="仿宋" w:eastAsia="仿宋_GB2312" w:cs="Segoe UI"/>
          <w:color w:val="1F2329"/>
          <w:kern w:val="0"/>
          <w:sz w:val="30"/>
          <w:szCs w:val="30"/>
        </w:rPr>
        <w:t>政务云运营服务按政务云资源服务费总额的4.5%计取，其他费用按照《广东省财政厅广东省政务服务和数据管理局关于修订印发&lt;省级政务信息化项目预算编制规范和标准基础设施服务分册&gt;的通知》（粤财数[</w:t>
      </w:r>
      <w:r>
        <w:rPr>
          <w:rFonts w:ascii="仿宋_GB2312" w:hAnsi="仿宋" w:eastAsia="仿宋_GB2312" w:cs="Segoe UI"/>
          <w:color w:val="1F2329"/>
          <w:kern w:val="0"/>
          <w:sz w:val="30"/>
          <w:szCs w:val="30"/>
        </w:rPr>
        <w:t>2024]4号</w:t>
      </w:r>
      <w:r>
        <w:rPr>
          <w:rFonts w:hint="eastAsia" w:ascii="仿宋_GB2312" w:hAnsi="仿宋" w:eastAsia="仿宋_GB2312" w:cs="Segoe UI"/>
          <w:color w:val="1F2329"/>
          <w:kern w:val="0"/>
          <w:sz w:val="30"/>
          <w:szCs w:val="30"/>
        </w:rPr>
        <w:t>）的省标准价格的100%计取，</w:t>
      </w:r>
      <w:r>
        <w:rPr>
          <w:rFonts w:hint="eastAsia" w:ascii="仿宋_GB2312" w:hAnsi="仿宋_GB2312" w:eastAsia="仿宋_GB2312" w:cs="仿宋_GB2312"/>
          <w:color w:val="1F2329"/>
          <w:kern w:val="0"/>
          <w:sz w:val="30"/>
          <w:szCs w:val="30"/>
        </w:rPr>
        <w:t>最高</w:t>
      </w:r>
      <w:r>
        <w:rPr>
          <w:rFonts w:hint="eastAsia" w:ascii="仿宋_GB2312" w:hAnsi="仿宋" w:eastAsia="仿宋_GB2312" w:cs="Segoe UI"/>
          <w:color w:val="1F2329"/>
          <w:kern w:val="0"/>
          <w:sz w:val="30"/>
          <w:szCs w:val="30"/>
        </w:rPr>
        <w:t>限价（含税）：</w:t>
      </w:r>
      <w:r>
        <w:rPr>
          <w:rFonts w:ascii="仿宋_GB2312" w:hAnsi="仿宋" w:eastAsia="仿宋_GB2312" w:cs="Segoe UI"/>
          <w:color w:val="1F2329"/>
          <w:kern w:val="0"/>
          <w:sz w:val="30"/>
          <w:szCs w:val="30"/>
        </w:rPr>
        <w:t>55016.52</w:t>
      </w:r>
      <w:r>
        <w:rPr>
          <w:rFonts w:hint="eastAsia" w:ascii="仿宋_GB2312" w:hAnsi="仿宋" w:eastAsia="仿宋_GB2312" w:cs="Segoe UI"/>
          <w:color w:val="1F2329"/>
          <w:kern w:val="0"/>
          <w:sz w:val="30"/>
          <w:szCs w:val="30"/>
        </w:rPr>
        <w:t>元/年，24个月总费用为</w:t>
      </w:r>
      <w:r>
        <w:rPr>
          <w:rFonts w:ascii="仿宋_GB2312" w:hAnsi="仿宋" w:eastAsia="仿宋_GB2312" w:cs="Segoe UI"/>
          <w:color w:val="1F2329"/>
          <w:kern w:val="0"/>
          <w:sz w:val="30"/>
          <w:szCs w:val="30"/>
        </w:rPr>
        <w:t>110033.04</w:t>
      </w:r>
      <w:r>
        <w:rPr>
          <w:rFonts w:hint="eastAsia" w:ascii="仿宋_GB2312" w:hAnsi="仿宋" w:eastAsia="仿宋_GB2312" w:cs="Segoe UI"/>
          <w:color w:val="1F2329"/>
          <w:kern w:val="0"/>
          <w:sz w:val="30"/>
          <w:szCs w:val="30"/>
        </w:rPr>
        <w:t>元。</w:t>
      </w:r>
    </w:p>
    <w:p>
      <w:pPr>
        <w:widowControl/>
        <w:shd w:val="clear" w:color="auto" w:fill="FFFFFF"/>
        <w:ind w:left="600"/>
        <w:jc w:val="left"/>
        <w:rPr>
          <w:rFonts w:ascii="黑体" w:hAnsi="黑体" w:eastAsia="黑体" w:cs="黑体"/>
          <w:color w:val="1F2329"/>
          <w:kern w:val="0"/>
          <w:sz w:val="32"/>
          <w:szCs w:val="32"/>
        </w:rPr>
      </w:pPr>
      <w:r>
        <w:rPr>
          <w:rFonts w:hint="eastAsia" w:ascii="黑体" w:hAnsi="黑体" w:eastAsia="黑体" w:cs="黑体"/>
          <w:color w:val="1F2329"/>
          <w:kern w:val="0"/>
          <w:sz w:val="32"/>
          <w:szCs w:val="32"/>
        </w:rPr>
        <w:t>三、其他要求</w:t>
      </w:r>
    </w:p>
    <w:p>
      <w:pPr>
        <w:pStyle w:val="10"/>
        <w:ind w:firstLine="562"/>
        <w:rPr>
          <w:rFonts w:hint="default" w:ascii="仿宋_GB2312" w:hAnsi="仿宋" w:eastAsia="仿宋_GB2312" w:cs="Segoe UI"/>
          <w:color w:val="1F2329"/>
          <w:sz w:val="30"/>
          <w:szCs w:val="30"/>
          <w:lang w:eastAsia="zh-CN"/>
        </w:rPr>
      </w:pPr>
      <w:r>
        <w:rPr>
          <w:rFonts w:ascii="仿宋_GB2312" w:hAnsi="仿宋" w:eastAsia="仿宋_GB2312" w:cs="Segoe UI"/>
          <w:color w:val="1F2329"/>
          <w:sz w:val="30"/>
          <w:szCs w:val="30"/>
          <w:lang w:eastAsia="zh-CN"/>
        </w:rPr>
        <w:t>（一）保密要求</w:t>
      </w:r>
    </w:p>
    <w:p>
      <w:pPr>
        <w:pStyle w:val="10"/>
        <w:ind w:firstLine="480"/>
        <w:rPr>
          <w:rFonts w:hint="default" w:ascii="仿宋_GB2312" w:hAnsi="仿宋" w:eastAsia="仿宋_GB2312" w:cs="Segoe UI"/>
          <w:color w:val="1F2329"/>
          <w:sz w:val="30"/>
          <w:szCs w:val="30"/>
          <w:lang w:eastAsia="zh-CN"/>
        </w:rPr>
      </w:pPr>
      <w:r>
        <w:rPr>
          <w:rFonts w:ascii="仿宋_GB2312" w:hAnsi="仿宋" w:eastAsia="仿宋_GB2312" w:cs="Segoe UI"/>
          <w:color w:val="1F2329"/>
          <w:sz w:val="30"/>
          <w:szCs w:val="30"/>
          <w:lang w:eastAsia="zh-CN"/>
        </w:rPr>
        <w:t>1.中选人不得以竞争为目的、或出于私利、或为第三人谋利而擅自保存、披露、使用采购人商业秘密和党政机关保密信息；不得直接或间接地向无关人员泄露采购人的商业秘密和党政机关保密信息；不得向不承担保密义务的任何第三人披露采购人的商业秘密和党政机关保密信息。投标人在从事政府项目时，不得擅自记录、复制、拍摄、摘抄、收藏在工作中涉及的保密信息，严禁将涉及政府项目的任何资料、数据透露或以其他方式提供给项目以外的其他方或与该项目无关的任何人员。</w:t>
      </w:r>
    </w:p>
    <w:p>
      <w:pPr>
        <w:pStyle w:val="10"/>
        <w:ind w:firstLine="480"/>
        <w:rPr>
          <w:rFonts w:hint="default" w:ascii="仿宋_GB2312" w:hAnsi="仿宋" w:eastAsia="仿宋_GB2312" w:cs="Segoe UI"/>
          <w:color w:val="1F2329"/>
          <w:sz w:val="30"/>
          <w:szCs w:val="30"/>
          <w:lang w:eastAsia="zh-CN"/>
        </w:rPr>
      </w:pPr>
      <w:r>
        <w:rPr>
          <w:rFonts w:ascii="仿宋_GB2312" w:hAnsi="仿宋" w:eastAsia="仿宋_GB2312" w:cs="Segoe UI"/>
          <w:color w:val="1F2329"/>
          <w:sz w:val="30"/>
          <w:szCs w:val="30"/>
          <w:lang w:eastAsia="zh-CN"/>
        </w:rPr>
        <w:t>2.中选人对于工作期间知悉采购人的商业秘密和党政机关保密信息（包括业务信息在内）或工作过程中接触到的政府机关文件（包括内部发文、各类通知及会议记录等）的内容，同样承担保密责任，严禁将政府机关内部会议、谈话内容泄露给无关人员；不得翻阅与工作无关的文件和资料。</w:t>
      </w:r>
    </w:p>
    <w:p>
      <w:pPr>
        <w:pStyle w:val="10"/>
        <w:ind w:firstLine="480"/>
        <w:rPr>
          <w:rFonts w:hint="default" w:ascii="仿宋_GB2312" w:hAnsi="仿宋" w:eastAsia="仿宋_GB2312" w:cs="Segoe UI"/>
          <w:color w:val="1F2329"/>
          <w:sz w:val="30"/>
          <w:szCs w:val="30"/>
          <w:lang w:eastAsia="zh-CN"/>
        </w:rPr>
      </w:pPr>
      <w:r>
        <w:rPr>
          <w:rFonts w:ascii="仿宋_GB2312" w:hAnsi="仿宋" w:eastAsia="仿宋_GB2312" w:cs="Segoe UI"/>
          <w:color w:val="1F2329"/>
          <w:sz w:val="30"/>
          <w:szCs w:val="30"/>
          <w:lang w:eastAsia="zh-CN"/>
        </w:rPr>
        <w:t>3.严禁泄露在工作中接触到的政府机关科技研究、发明、装备器材及其技术资料和政府工作信息。</w:t>
      </w:r>
    </w:p>
    <w:p>
      <w:pPr>
        <w:ind w:firstLine="600"/>
        <w:rPr>
          <w:rFonts w:ascii="仿宋_GB2312" w:hAnsi="仿宋" w:eastAsia="仿宋_GB2312" w:cs="Segoe UI"/>
          <w:color w:val="1F2329"/>
          <w:kern w:val="0"/>
          <w:sz w:val="30"/>
          <w:szCs w:val="30"/>
        </w:rPr>
      </w:pPr>
      <w:r>
        <w:rPr>
          <w:rFonts w:hint="eastAsia" w:ascii="仿宋_GB2312" w:hAnsi="仿宋" w:eastAsia="仿宋_GB2312" w:cs="Segoe UI"/>
          <w:color w:val="1F2329"/>
          <w:kern w:val="0"/>
          <w:sz w:val="30"/>
          <w:szCs w:val="30"/>
        </w:rPr>
        <w:t>（二）签订履行协议。选定服务供应商后，采购人将与中选人明确项目具体合作内容，签订履行协议，并按照每年云资源实际使用情况和中选供应商所报下浮率，据实结算费用，服务期限为24个月（2025年1月-2026年12月），具体以实际使用量达到合同金额上限为止。</w:t>
      </w:r>
    </w:p>
    <w:p>
      <w:pPr>
        <w:widowControl/>
        <w:shd w:val="clear" w:color="auto" w:fill="FFFFFF"/>
        <w:spacing w:line="440" w:lineRule="exact"/>
        <w:jc w:val="left"/>
        <w:rPr>
          <w:rFonts w:ascii="仿宋_GB2312" w:hAnsi="仿宋" w:eastAsia="仿宋_GB2312" w:cs="Segoe UI"/>
          <w:color w:val="1F2329"/>
          <w:kern w:val="0"/>
          <w:sz w:val="30"/>
          <w:szCs w:val="30"/>
        </w:rPr>
      </w:pPr>
    </w:p>
    <w:p>
      <w:pPr>
        <w:widowControl/>
        <w:shd w:val="clear" w:color="auto" w:fill="FFFFFF"/>
        <w:spacing w:line="440" w:lineRule="exact"/>
        <w:ind w:firstLine="600" w:firstLineChars="200"/>
        <w:jc w:val="left"/>
        <w:rPr>
          <w:rFonts w:ascii="仿宋_GB2312" w:hAnsi="仿宋" w:eastAsia="仿宋_GB2312" w:cs="Segoe UI"/>
          <w:color w:val="1F2329"/>
          <w:kern w:val="0"/>
          <w:sz w:val="30"/>
          <w:szCs w:val="30"/>
        </w:rPr>
      </w:pPr>
      <w:r>
        <w:rPr>
          <w:rFonts w:hint="eastAsia" w:ascii="仿宋_GB2312" w:hAnsi="仿宋" w:eastAsia="仿宋_GB2312" w:cs="Segoe UI"/>
          <w:color w:val="1F2329"/>
          <w:kern w:val="0"/>
          <w:sz w:val="30"/>
          <w:szCs w:val="30"/>
        </w:rPr>
        <w:t>附件：</w:t>
      </w:r>
      <w:r>
        <w:rPr>
          <w:rFonts w:hint="eastAsia" w:ascii="仿宋_GB2312" w:hAnsi="仿宋" w:eastAsia="仿宋_GB2312" w:cs="Segoe UI"/>
          <w:color w:val="1F2329"/>
          <w:kern w:val="0"/>
          <w:sz w:val="30"/>
          <w:szCs w:val="30"/>
          <w:lang w:val="en-US" w:eastAsia="zh-CN"/>
        </w:rPr>
        <w:t>韶关市土地储备中心</w:t>
      </w:r>
      <w:r>
        <w:rPr>
          <w:rFonts w:hint="eastAsia" w:ascii="仿宋_GB2312" w:hAnsi="仿宋" w:eastAsia="仿宋_GB2312" w:cs="Segoe UI"/>
          <w:color w:val="1F2329"/>
          <w:kern w:val="0"/>
          <w:sz w:val="30"/>
          <w:szCs w:val="30"/>
        </w:rPr>
        <w:t>“数字政府”政务云使用资源清单</w:t>
      </w:r>
    </w:p>
    <w:p>
      <w:pPr>
        <w:widowControl/>
        <w:shd w:val="clear" w:color="auto" w:fill="FFFFFF"/>
        <w:ind w:firstLine="560" w:firstLineChars="200"/>
        <w:jc w:val="left"/>
        <w:rPr>
          <w:rFonts w:ascii="仿宋" w:hAnsi="仿宋" w:cs="Segoe UI"/>
          <w:color w:val="1F2329"/>
          <w:kern w:val="0"/>
          <w:sz w:val="28"/>
          <w:szCs w:val="24"/>
        </w:rPr>
      </w:pPr>
    </w:p>
    <w:p>
      <w:pPr>
        <w:widowControl/>
        <w:shd w:val="clear" w:color="auto" w:fill="FFFFFF"/>
        <w:ind w:firstLine="560" w:firstLineChars="200"/>
        <w:jc w:val="left"/>
        <w:rPr>
          <w:rFonts w:ascii="仿宋" w:hAnsi="仿宋" w:cs="Segoe UI"/>
          <w:color w:val="1F2329"/>
          <w:kern w:val="0"/>
          <w:sz w:val="28"/>
          <w:szCs w:val="24"/>
        </w:rPr>
      </w:pPr>
    </w:p>
    <w:p>
      <w:pPr>
        <w:widowControl/>
        <w:shd w:val="clear" w:color="auto" w:fill="FFFFFF"/>
        <w:ind w:firstLine="560" w:firstLineChars="200"/>
        <w:jc w:val="left"/>
        <w:rPr>
          <w:rFonts w:ascii="仿宋" w:hAnsi="仿宋" w:cs="Segoe UI"/>
          <w:color w:val="1F2329"/>
          <w:kern w:val="0"/>
          <w:sz w:val="28"/>
          <w:szCs w:val="24"/>
        </w:rPr>
      </w:pPr>
    </w:p>
    <w:p>
      <w:pPr>
        <w:widowControl/>
        <w:shd w:val="clear" w:color="auto" w:fill="FFFFFF"/>
        <w:ind w:firstLine="560" w:firstLineChars="200"/>
        <w:jc w:val="left"/>
        <w:rPr>
          <w:rFonts w:ascii="仿宋" w:hAnsi="仿宋" w:cs="Segoe UI"/>
          <w:color w:val="1F2329"/>
          <w:kern w:val="0"/>
          <w:sz w:val="28"/>
          <w:szCs w:val="24"/>
        </w:rPr>
      </w:pPr>
    </w:p>
    <w:p>
      <w:pPr>
        <w:widowControl/>
        <w:shd w:val="clear" w:color="auto" w:fill="FFFFFF"/>
        <w:ind w:firstLine="560" w:firstLineChars="200"/>
        <w:jc w:val="left"/>
        <w:rPr>
          <w:rFonts w:ascii="仿宋" w:hAnsi="仿宋" w:cs="Segoe UI"/>
          <w:color w:val="1F2329"/>
          <w:kern w:val="0"/>
          <w:sz w:val="28"/>
          <w:szCs w:val="24"/>
        </w:rPr>
      </w:pPr>
    </w:p>
    <w:p>
      <w:pPr>
        <w:widowControl/>
        <w:shd w:val="clear" w:color="auto" w:fill="FFFFFF"/>
        <w:ind w:firstLine="560" w:firstLineChars="200"/>
        <w:jc w:val="left"/>
        <w:rPr>
          <w:rFonts w:ascii="仿宋" w:hAnsi="仿宋" w:cs="Segoe UI"/>
          <w:color w:val="1F2329"/>
          <w:kern w:val="0"/>
          <w:sz w:val="28"/>
          <w:szCs w:val="24"/>
        </w:rPr>
      </w:pPr>
    </w:p>
    <w:p>
      <w:pPr>
        <w:widowControl/>
        <w:shd w:val="clear" w:color="auto" w:fill="FFFFFF"/>
        <w:ind w:firstLine="560" w:firstLineChars="200"/>
        <w:jc w:val="left"/>
        <w:rPr>
          <w:rFonts w:ascii="仿宋" w:hAnsi="仿宋" w:cs="Segoe UI"/>
          <w:color w:val="1F2329"/>
          <w:kern w:val="0"/>
          <w:sz w:val="28"/>
          <w:szCs w:val="24"/>
        </w:rPr>
      </w:pPr>
    </w:p>
    <w:p>
      <w:pPr>
        <w:widowControl/>
        <w:shd w:val="clear" w:color="auto" w:fill="FFFFFF"/>
        <w:ind w:firstLine="560" w:firstLineChars="200"/>
        <w:jc w:val="left"/>
        <w:rPr>
          <w:rFonts w:ascii="仿宋" w:hAnsi="仿宋" w:cs="Segoe UI"/>
          <w:color w:val="1F2329"/>
          <w:kern w:val="0"/>
          <w:sz w:val="28"/>
          <w:szCs w:val="24"/>
        </w:rPr>
      </w:pPr>
    </w:p>
    <w:p>
      <w:pPr>
        <w:widowControl/>
        <w:shd w:val="clear" w:color="auto" w:fill="FFFFFF"/>
        <w:ind w:firstLine="560" w:firstLineChars="200"/>
        <w:jc w:val="left"/>
        <w:rPr>
          <w:rFonts w:ascii="仿宋" w:hAnsi="仿宋" w:cs="Segoe UI"/>
          <w:color w:val="1F2329"/>
          <w:kern w:val="0"/>
          <w:sz w:val="28"/>
          <w:szCs w:val="24"/>
        </w:rPr>
      </w:pPr>
    </w:p>
    <w:p>
      <w:pPr>
        <w:widowControl/>
        <w:shd w:val="clear" w:color="auto" w:fill="FFFFFF"/>
        <w:ind w:firstLine="560" w:firstLineChars="200"/>
        <w:jc w:val="left"/>
        <w:rPr>
          <w:rFonts w:ascii="仿宋" w:hAnsi="仿宋" w:cs="Segoe UI"/>
          <w:color w:val="1F2329"/>
          <w:kern w:val="0"/>
          <w:sz w:val="28"/>
          <w:szCs w:val="24"/>
        </w:rPr>
      </w:pPr>
    </w:p>
    <w:p>
      <w:pPr>
        <w:widowControl/>
        <w:shd w:val="clear" w:color="auto" w:fill="FFFFFF"/>
        <w:ind w:firstLine="560" w:firstLineChars="200"/>
        <w:jc w:val="left"/>
        <w:rPr>
          <w:rFonts w:ascii="仿宋" w:hAnsi="仿宋" w:cs="Segoe UI"/>
          <w:color w:val="1F2329"/>
          <w:kern w:val="0"/>
          <w:sz w:val="28"/>
          <w:szCs w:val="24"/>
        </w:rPr>
      </w:pPr>
    </w:p>
    <w:p>
      <w:pPr>
        <w:widowControl/>
        <w:shd w:val="clear" w:color="auto" w:fill="FFFFFF"/>
        <w:ind w:firstLine="560" w:firstLineChars="200"/>
        <w:jc w:val="left"/>
        <w:rPr>
          <w:rFonts w:ascii="仿宋" w:hAnsi="仿宋" w:cs="Segoe UI"/>
          <w:color w:val="1F2329"/>
          <w:kern w:val="0"/>
          <w:sz w:val="28"/>
          <w:szCs w:val="24"/>
        </w:rPr>
      </w:pPr>
    </w:p>
    <w:p>
      <w:pPr>
        <w:widowControl/>
        <w:shd w:val="clear" w:color="auto" w:fill="FFFFFF"/>
        <w:ind w:firstLine="560" w:firstLineChars="200"/>
        <w:jc w:val="left"/>
        <w:rPr>
          <w:rFonts w:ascii="仿宋_GB2312" w:hAnsi="仿宋" w:eastAsia="仿宋_GB2312" w:cs="Segoe UI"/>
          <w:color w:val="1F2329"/>
          <w:kern w:val="0"/>
          <w:sz w:val="30"/>
          <w:szCs w:val="30"/>
        </w:rPr>
      </w:pPr>
      <w:r>
        <w:rPr>
          <w:rFonts w:hint="eastAsia" w:ascii="仿宋" w:hAnsi="仿宋" w:cs="Segoe UI"/>
          <w:color w:val="1F2329"/>
          <w:kern w:val="0"/>
          <w:sz w:val="28"/>
          <w:szCs w:val="24"/>
        </w:rPr>
        <w:t xml:space="preserve">                   </w:t>
      </w:r>
    </w:p>
    <w:p>
      <w:pPr>
        <w:widowControl/>
        <w:shd w:val="clear" w:color="auto" w:fill="FFFFFF"/>
        <w:jc w:val="left"/>
        <w:rPr>
          <w:rFonts w:ascii="仿宋_GB2312" w:hAnsi="仿宋" w:eastAsia="仿宋_GB2312" w:cs="Segoe UI"/>
          <w:color w:val="1F2329"/>
          <w:kern w:val="0"/>
          <w:sz w:val="30"/>
          <w:szCs w:val="30"/>
        </w:rPr>
      </w:pPr>
      <w:r>
        <w:rPr>
          <w:rFonts w:hint="eastAsia" w:ascii="仿宋_GB2312" w:hAnsi="仿宋_GB2312" w:eastAsia="仿宋_GB2312" w:cs="仿宋_GB2312"/>
          <w:color w:val="1F2329"/>
          <w:kern w:val="0"/>
          <w:sz w:val="30"/>
          <w:szCs w:val="30"/>
        </w:rPr>
        <w:t>附件：</w:t>
      </w:r>
      <w:r>
        <w:rPr>
          <w:rFonts w:hint="eastAsia" w:ascii="仿宋_GB2312" w:hAnsi="仿宋" w:eastAsia="仿宋_GB2312" w:cs="Segoe UI"/>
          <w:color w:val="1F2329"/>
          <w:kern w:val="0"/>
          <w:sz w:val="30"/>
          <w:szCs w:val="30"/>
        </w:rPr>
        <w:t xml:space="preserve"> </w:t>
      </w:r>
    </w:p>
    <w:p>
      <w:pPr>
        <w:widowControl/>
        <w:shd w:val="clear" w:color="auto" w:fill="FFFFFF"/>
        <w:jc w:val="center"/>
        <w:rPr>
          <w:rFonts w:ascii="仿宋_GB2312" w:hAnsi="仿宋" w:eastAsia="仿宋_GB2312" w:cs="Segoe UI"/>
          <w:color w:val="1F2329"/>
          <w:kern w:val="0"/>
          <w:sz w:val="30"/>
          <w:szCs w:val="30"/>
        </w:rPr>
      </w:pPr>
      <w:r>
        <w:rPr>
          <w:rFonts w:hint="eastAsia" w:ascii="方正小标宋简体" w:hAnsi="方正小标宋简体" w:eastAsia="方正小标宋简体" w:cs="方正小标宋简体"/>
          <w:color w:val="1F2329"/>
          <w:kern w:val="0"/>
          <w:sz w:val="32"/>
          <w:szCs w:val="32"/>
        </w:rPr>
        <w:t>韶关市土地储备中心“数字政府”政务云使用资源清单</w:t>
      </w:r>
    </w:p>
    <w:tbl>
      <w:tblPr>
        <w:tblStyle w:val="7"/>
        <w:tblW w:w="102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5"/>
        <w:gridCol w:w="877"/>
        <w:gridCol w:w="785"/>
        <w:gridCol w:w="850"/>
        <w:gridCol w:w="848"/>
        <w:gridCol w:w="853"/>
        <w:gridCol w:w="1047"/>
        <w:gridCol w:w="90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5" w:type="dxa"/>
            <w:vAlign w:val="center"/>
          </w:tcPr>
          <w:p>
            <w:pPr>
              <w:widowControl/>
              <w:jc w:val="center"/>
              <w:rPr>
                <w:rFonts w:ascii="黑体" w:hAnsi="黑体" w:eastAsia="黑体" w:cs="黑体"/>
                <w:color w:val="1F2329"/>
                <w:kern w:val="0"/>
                <w:sz w:val="24"/>
                <w:szCs w:val="24"/>
              </w:rPr>
            </w:pPr>
            <w:r>
              <w:rPr>
                <w:rFonts w:hint="eastAsia" w:ascii="黑体" w:hAnsi="黑体" w:eastAsia="黑体" w:cs="黑体"/>
                <w:color w:val="1F2329"/>
                <w:kern w:val="0"/>
                <w:sz w:val="24"/>
                <w:szCs w:val="24"/>
              </w:rPr>
              <w:t>系统名称</w:t>
            </w:r>
          </w:p>
        </w:tc>
        <w:tc>
          <w:tcPr>
            <w:tcW w:w="877" w:type="dxa"/>
            <w:vAlign w:val="center"/>
          </w:tcPr>
          <w:p>
            <w:pPr>
              <w:widowControl/>
              <w:jc w:val="center"/>
              <w:rPr>
                <w:rFonts w:ascii="黑体" w:hAnsi="黑体" w:eastAsia="黑体" w:cs="黑体"/>
                <w:color w:val="1F2329"/>
                <w:kern w:val="0"/>
                <w:sz w:val="24"/>
                <w:szCs w:val="24"/>
              </w:rPr>
            </w:pPr>
            <w:r>
              <w:rPr>
                <w:rFonts w:hint="eastAsia" w:ascii="黑体" w:hAnsi="黑体" w:eastAsia="黑体" w:cs="黑体"/>
                <w:color w:val="1F2329"/>
                <w:kern w:val="0"/>
                <w:sz w:val="24"/>
                <w:szCs w:val="24"/>
                <w:lang w:bidi="ar"/>
              </w:rPr>
              <w:t>类型</w:t>
            </w:r>
          </w:p>
        </w:tc>
        <w:tc>
          <w:tcPr>
            <w:tcW w:w="785" w:type="dxa"/>
            <w:vAlign w:val="center"/>
          </w:tcPr>
          <w:p>
            <w:pPr>
              <w:widowControl/>
              <w:jc w:val="center"/>
              <w:rPr>
                <w:rFonts w:ascii="黑体" w:hAnsi="黑体" w:eastAsia="黑体" w:cs="黑体"/>
                <w:color w:val="1F2329"/>
                <w:kern w:val="0"/>
                <w:sz w:val="24"/>
                <w:szCs w:val="24"/>
              </w:rPr>
            </w:pPr>
            <w:r>
              <w:rPr>
                <w:rFonts w:hint="eastAsia" w:ascii="黑体" w:hAnsi="黑体" w:eastAsia="黑体" w:cs="黑体"/>
                <w:color w:val="1F2329"/>
                <w:kern w:val="0"/>
                <w:sz w:val="24"/>
                <w:szCs w:val="24"/>
              </w:rPr>
              <w:t>主机数</w:t>
            </w:r>
          </w:p>
        </w:tc>
        <w:tc>
          <w:tcPr>
            <w:tcW w:w="850" w:type="dxa"/>
            <w:vAlign w:val="center"/>
          </w:tcPr>
          <w:p>
            <w:pPr>
              <w:widowControl/>
              <w:jc w:val="center"/>
              <w:rPr>
                <w:rFonts w:ascii="黑体" w:hAnsi="黑体" w:eastAsia="黑体" w:cs="黑体"/>
                <w:color w:val="1F2329"/>
                <w:kern w:val="0"/>
                <w:sz w:val="24"/>
                <w:szCs w:val="24"/>
              </w:rPr>
            </w:pPr>
            <w:r>
              <w:rPr>
                <w:rFonts w:hint="eastAsia" w:ascii="黑体" w:hAnsi="黑体" w:eastAsia="黑体" w:cs="黑体"/>
                <w:color w:val="1F2329"/>
                <w:kern w:val="0"/>
                <w:sz w:val="24"/>
                <w:szCs w:val="24"/>
              </w:rPr>
              <w:t>CPU/核</w:t>
            </w:r>
          </w:p>
        </w:tc>
        <w:tc>
          <w:tcPr>
            <w:tcW w:w="848" w:type="dxa"/>
            <w:vAlign w:val="center"/>
          </w:tcPr>
          <w:p>
            <w:pPr>
              <w:widowControl/>
              <w:jc w:val="center"/>
              <w:rPr>
                <w:rFonts w:ascii="黑体" w:hAnsi="黑体" w:eastAsia="黑体" w:cs="黑体"/>
                <w:color w:val="1F2329"/>
                <w:kern w:val="0"/>
                <w:sz w:val="24"/>
                <w:szCs w:val="24"/>
              </w:rPr>
            </w:pPr>
            <w:r>
              <w:rPr>
                <w:rFonts w:hint="eastAsia" w:ascii="黑体" w:hAnsi="黑体" w:eastAsia="黑体" w:cs="黑体"/>
                <w:color w:val="1F2329"/>
                <w:kern w:val="0"/>
                <w:sz w:val="24"/>
                <w:szCs w:val="24"/>
              </w:rPr>
              <w:t>内存/G</w:t>
            </w:r>
          </w:p>
        </w:tc>
        <w:tc>
          <w:tcPr>
            <w:tcW w:w="853" w:type="dxa"/>
            <w:vAlign w:val="center"/>
          </w:tcPr>
          <w:p>
            <w:pPr>
              <w:widowControl/>
              <w:jc w:val="center"/>
              <w:rPr>
                <w:rFonts w:ascii="黑体" w:hAnsi="黑体" w:eastAsia="黑体" w:cs="黑体"/>
                <w:color w:val="1F2329"/>
                <w:kern w:val="0"/>
                <w:sz w:val="24"/>
                <w:szCs w:val="24"/>
              </w:rPr>
            </w:pPr>
            <w:r>
              <w:rPr>
                <w:rFonts w:hint="eastAsia" w:ascii="黑体" w:hAnsi="黑体" w:eastAsia="黑体" w:cs="黑体"/>
                <w:color w:val="1F2329"/>
                <w:kern w:val="0"/>
                <w:sz w:val="24"/>
                <w:szCs w:val="24"/>
              </w:rPr>
              <w:t>存储/G</w:t>
            </w:r>
          </w:p>
        </w:tc>
        <w:tc>
          <w:tcPr>
            <w:tcW w:w="1047" w:type="dxa"/>
            <w:vAlign w:val="center"/>
          </w:tcPr>
          <w:p>
            <w:pPr>
              <w:widowControl/>
              <w:jc w:val="center"/>
              <w:rPr>
                <w:rFonts w:ascii="黑体" w:hAnsi="黑体" w:eastAsia="黑体" w:cs="黑体"/>
                <w:color w:val="1F2329"/>
                <w:kern w:val="0"/>
                <w:sz w:val="24"/>
                <w:szCs w:val="24"/>
              </w:rPr>
            </w:pPr>
            <w:r>
              <w:rPr>
                <w:rFonts w:hint="eastAsia" w:ascii="黑体" w:hAnsi="黑体" w:eastAsia="黑体" w:cs="黑体"/>
                <w:color w:val="1F2329"/>
                <w:kern w:val="0"/>
                <w:sz w:val="24"/>
                <w:szCs w:val="24"/>
              </w:rPr>
              <w:t>操作系统</w:t>
            </w:r>
          </w:p>
        </w:tc>
        <w:tc>
          <w:tcPr>
            <w:tcW w:w="900" w:type="dxa"/>
            <w:vAlign w:val="center"/>
          </w:tcPr>
          <w:p>
            <w:pPr>
              <w:widowControl/>
              <w:jc w:val="center"/>
              <w:rPr>
                <w:rFonts w:ascii="黑体" w:hAnsi="黑体" w:eastAsia="黑体" w:cs="黑体"/>
                <w:color w:val="1F2329"/>
                <w:kern w:val="0"/>
                <w:sz w:val="24"/>
                <w:szCs w:val="24"/>
              </w:rPr>
            </w:pPr>
            <w:r>
              <w:rPr>
                <w:rFonts w:hint="eastAsia" w:ascii="黑体" w:hAnsi="黑体" w:eastAsia="黑体" w:cs="黑体"/>
                <w:color w:val="1F2329"/>
                <w:kern w:val="0"/>
                <w:sz w:val="24"/>
                <w:szCs w:val="24"/>
              </w:rPr>
              <w:t>数据库/个</w:t>
            </w:r>
          </w:p>
        </w:tc>
        <w:tc>
          <w:tcPr>
            <w:tcW w:w="900" w:type="dxa"/>
            <w:vAlign w:val="center"/>
          </w:tcPr>
          <w:p>
            <w:pPr>
              <w:widowControl/>
              <w:jc w:val="center"/>
              <w:rPr>
                <w:rFonts w:ascii="黑体" w:hAnsi="黑体" w:eastAsia="黑体" w:cs="黑体"/>
                <w:color w:val="1F2329"/>
                <w:kern w:val="0"/>
                <w:sz w:val="24"/>
                <w:szCs w:val="24"/>
              </w:rPr>
            </w:pPr>
            <w:r>
              <w:rPr>
                <w:rFonts w:hint="eastAsia" w:ascii="黑体" w:hAnsi="黑体" w:eastAsia="黑体" w:cs="黑体"/>
                <w:color w:val="1F2329"/>
                <w:kern w:val="0"/>
                <w:sz w:val="24"/>
                <w:szCs w:val="24"/>
              </w:rPr>
              <w:t>中间件/个</w:t>
            </w:r>
          </w:p>
        </w:tc>
        <w:tc>
          <w:tcPr>
            <w:tcW w:w="900" w:type="dxa"/>
            <w:vAlign w:val="center"/>
          </w:tcPr>
          <w:p>
            <w:pPr>
              <w:widowControl/>
              <w:jc w:val="center"/>
              <w:rPr>
                <w:rFonts w:hint="eastAsia" w:ascii="黑体" w:hAnsi="黑体" w:eastAsia="黑体" w:cs="黑体"/>
                <w:color w:val="1F2329"/>
                <w:kern w:val="0"/>
                <w:sz w:val="24"/>
                <w:szCs w:val="24"/>
              </w:rPr>
            </w:pPr>
            <w:r>
              <w:rPr>
                <w:rFonts w:hint="eastAsia" w:ascii="黑体" w:hAnsi="黑体" w:eastAsia="黑体" w:cs="黑体"/>
                <w:color w:val="1F2329"/>
                <w:kern w:val="0"/>
                <w:sz w:val="24"/>
                <w:szCs w:val="24"/>
              </w:rPr>
              <w:t>数据备份/TB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5" w:type="dxa"/>
            <w:vAlign w:val="center"/>
          </w:tcPr>
          <w:p>
            <w:pPr>
              <w:widowControl/>
              <w:jc w:val="center"/>
              <w:rPr>
                <w:rFonts w:ascii="仿宋_GB2312" w:hAnsi="仿宋" w:eastAsia="仿宋_GB2312" w:cs="Segoe UI"/>
                <w:color w:val="1F2329"/>
                <w:kern w:val="0"/>
                <w:sz w:val="24"/>
                <w:szCs w:val="24"/>
              </w:rPr>
            </w:pPr>
            <w:r>
              <w:rPr>
                <w:rFonts w:hint="eastAsia" w:ascii="仿宋_GB2312" w:hAnsi="仿宋" w:eastAsia="仿宋_GB2312" w:cs="Segoe UI"/>
                <w:color w:val="1F2329"/>
                <w:kern w:val="0"/>
                <w:sz w:val="24"/>
                <w:szCs w:val="24"/>
              </w:rPr>
              <w:t>韶关市土地储备预算管理一体化系统</w:t>
            </w:r>
          </w:p>
        </w:tc>
        <w:tc>
          <w:tcPr>
            <w:tcW w:w="877" w:type="dxa"/>
            <w:vAlign w:val="center"/>
          </w:tcPr>
          <w:p>
            <w:pPr>
              <w:widowControl/>
              <w:jc w:val="center"/>
              <w:rPr>
                <w:rFonts w:ascii="仿宋_GB2312" w:hAnsi="仿宋" w:eastAsia="仿宋_GB2312" w:cs="Segoe UI"/>
                <w:color w:val="1F2329"/>
                <w:kern w:val="0"/>
                <w:sz w:val="24"/>
                <w:szCs w:val="24"/>
              </w:rPr>
            </w:pPr>
            <w:r>
              <w:rPr>
                <w:rFonts w:hint="eastAsia" w:ascii="仿宋_GB2312" w:hAnsi="仿宋" w:eastAsia="仿宋_GB2312" w:cs="Segoe UI"/>
                <w:color w:val="1F2329"/>
                <w:kern w:val="0"/>
                <w:sz w:val="24"/>
                <w:szCs w:val="24"/>
              </w:rPr>
              <w:t>X86</w:t>
            </w:r>
          </w:p>
        </w:tc>
        <w:tc>
          <w:tcPr>
            <w:tcW w:w="785" w:type="dxa"/>
            <w:vAlign w:val="center"/>
          </w:tcPr>
          <w:p>
            <w:pPr>
              <w:widowControl/>
              <w:jc w:val="center"/>
              <w:rPr>
                <w:rFonts w:ascii="仿宋_GB2312" w:hAnsi="仿宋" w:eastAsia="仿宋_GB2312" w:cs="Segoe UI"/>
                <w:color w:val="1F2329"/>
                <w:kern w:val="0"/>
                <w:sz w:val="24"/>
                <w:szCs w:val="24"/>
              </w:rPr>
            </w:pPr>
            <w:r>
              <w:rPr>
                <w:rFonts w:hint="eastAsia" w:ascii="仿宋_GB2312" w:hAnsi="仿宋" w:eastAsia="仿宋_GB2312" w:cs="Segoe UI"/>
                <w:color w:val="1F2329"/>
                <w:kern w:val="0"/>
                <w:sz w:val="24"/>
                <w:szCs w:val="24"/>
              </w:rPr>
              <w:t>2</w:t>
            </w:r>
          </w:p>
        </w:tc>
        <w:tc>
          <w:tcPr>
            <w:tcW w:w="850" w:type="dxa"/>
            <w:vAlign w:val="center"/>
          </w:tcPr>
          <w:p>
            <w:pPr>
              <w:widowControl/>
              <w:jc w:val="center"/>
              <w:rPr>
                <w:rFonts w:ascii="仿宋_GB2312" w:hAnsi="仿宋" w:eastAsia="仿宋_GB2312" w:cs="Segoe UI"/>
                <w:color w:val="1F2329"/>
                <w:kern w:val="0"/>
                <w:sz w:val="24"/>
                <w:szCs w:val="24"/>
              </w:rPr>
            </w:pPr>
            <w:r>
              <w:rPr>
                <w:rFonts w:hint="eastAsia" w:ascii="仿宋_GB2312" w:hAnsi="仿宋" w:eastAsia="仿宋_GB2312" w:cs="Segoe UI"/>
                <w:color w:val="1F2329"/>
                <w:kern w:val="0"/>
                <w:sz w:val="24"/>
                <w:szCs w:val="24"/>
              </w:rPr>
              <w:t>32</w:t>
            </w:r>
          </w:p>
        </w:tc>
        <w:tc>
          <w:tcPr>
            <w:tcW w:w="848" w:type="dxa"/>
            <w:vAlign w:val="center"/>
          </w:tcPr>
          <w:p>
            <w:pPr>
              <w:widowControl/>
              <w:jc w:val="center"/>
              <w:rPr>
                <w:rFonts w:ascii="仿宋_GB2312" w:hAnsi="仿宋" w:eastAsia="仿宋_GB2312" w:cs="Segoe UI"/>
                <w:color w:val="1F2329"/>
                <w:kern w:val="0"/>
                <w:sz w:val="24"/>
                <w:szCs w:val="24"/>
              </w:rPr>
            </w:pPr>
            <w:r>
              <w:rPr>
                <w:rFonts w:hint="eastAsia" w:ascii="仿宋_GB2312" w:hAnsi="仿宋" w:eastAsia="仿宋_GB2312" w:cs="Segoe UI"/>
                <w:color w:val="1F2329"/>
                <w:kern w:val="0"/>
                <w:sz w:val="24"/>
                <w:szCs w:val="24"/>
              </w:rPr>
              <w:t>128</w:t>
            </w:r>
          </w:p>
        </w:tc>
        <w:tc>
          <w:tcPr>
            <w:tcW w:w="853" w:type="dxa"/>
            <w:vAlign w:val="center"/>
          </w:tcPr>
          <w:p>
            <w:pPr>
              <w:widowControl/>
              <w:jc w:val="center"/>
              <w:rPr>
                <w:rFonts w:ascii="仿宋_GB2312" w:hAnsi="仿宋" w:eastAsia="仿宋_GB2312" w:cs="Segoe UI"/>
                <w:color w:val="1F2329"/>
                <w:kern w:val="0"/>
                <w:sz w:val="24"/>
                <w:szCs w:val="24"/>
              </w:rPr>
            </w:pPr>
            <w:r>
              <w:rPr>
                <w:rFonts w:hint="eastAsia" w:ascii="仿宋_GB2312" w:hAnsi="仿宋" w:eastAsia="仿宋_GB2312" w:cs="Segoe UI"/>
                <w:color w:val="1F2329"/>
                <w:kern w:val="0"/>
                <w:sz w:val="24"/>
                <w:szCs w:val="24"/>
              </w:rPr>
              <w:t>5200</w:t>
            </w:r>
          </w:p>
        </w:tc>
        <w:tc>
          <w:tcPr>
            <w:tcW w:w="1047" w:type="dxa"/>
            <w:vAlign w:val="center"/>
          </w:tcPr>
          <w:p>
            <w:pPr>
              <w:widowControl/>
              <w:jc w:val="center"/>
              <w:rPr>
                <w:rFonts w:ascii="仿宋_GB2312" w:hAnsi="仿宋" w:eastAsia="仿宋_GB2312" w:cs="Segoe UI"/>
                <w:color w:val="1F2329"/>
                <w:kern w:val="0"/>
                <w:sz w:val="24"/>
                <w:szCs w:val="24"/>
              </w:rPr>
            </w:pPr>
            <w:r>
              <w:rPr>
                <w:rFonts w:hint="eastAsia" w:ascii="仿宋_GB2312" w:hAnsi="仿宋" w:eastAsia="仿宋_GB2312" w:cs="Segoe UI"/>
                <w:color w:val="1F2329"/>
                <w:kern w:val="0"/>
                <w:sz w:val="24"/>
                <w:szCs w:val="24"/>
              </w:rPr>
              <w:t>2</w:t>
            </w:r>
          </w:p>
        </w:tc>
        <w:tc>
          <w:tcPr>
            <w:tcW w:w="900" w:type="dxa"/>
            <w:vAlign w:val="center"/>
          </w:tcPr>
          <w:p>
            <w:pPr>
              <w:widowControl/>
              <w:jc w:val="center"/>
              <w:rPr>
                <w:rFonts w:ascii="仿宋_GB2312" w:hAnsi="仿宋" w:eastAsia="仿宋_GB2312" w:cs="Segoe UI"/>
                <w:color w:val="1F2329"/>
                <w:kern w:val="0"/>
                <w:sz w:val="24"/>
                <w:szCs w:val="24"/>
              </w:rPr>
            </w:pPr>
            <w:r>
              <w:rPr>
                <w:rFonts w:hint="eastAsia" w:ascii="仿宋_GB2312" w:hAnsi="仿宋" w:eastAsia="仿宋_GB2312" w:cs="Segoe UI"/>
                <w:color w:val="1F2329"/>
                <w:kern w:val="0"/>
                <w:sz w:val="24"/>
                <w:szCs w:val="24"/>
              </w:rPr>
              <w:t>0</w:t>
            </w:r>
          </w:p>
        </w:tc>
        <w:tc>
          <w:tcPr>
            <w:tcW w:w="900" w:type="dxa"/>
            <w:vAlign w:val="center"/>
          </w:tcPr>
          <w:p>
            <w:pPr>
              <w:widowControl/>
              <w:jc w:val="center"/>
              <w:rPr>
                <w:rFonts w:ascii="仿宋_GB2312" w:hAnsi="仿宋" w:eastAsia="仿宋_GB2312" w:cs="Segoe UI"/>
                <w:color w:val="1F2329"/>
                <w:kern w:val="0"/>
                <w:sz w:val="24"/>
                <w:szCs w:val="24"/>
              </w:rPr>
            </w:pPr>
            <w:r>
              <w:rPr>
                <w:rFonts w:hint="eastAsia" w:ascii="仿宋_GB2312" w:hAnsi="仿宋" w:eastAsia="仿宋_GB2312" w:cs="Segoe UI"/>
                <w:color w:val="1F2329"/>
                <w:kern w:val="0"/>
                <w:sz w:val="24"/>
                <w:szCs w:val="24"/>
              </w:rPr>
              <w:t>0</w:t>
            </w:r>
          </w:p>
        </w:tc>
        <w:tc>
          <w:tcPr>
            <w:tcW w:w="900" w:type="dxa"/>
            <w:vAlign w:val="center"/>
          </w:tcPr>
          <w:p>
            <w:pPr>
              <w:widowControl/>
              <w:jc w:val="center"/>
              <w:rPr>
                <w:rFonts w:hint="eastAsia" w:ascii="仿宋_GB2312" w:hAnsi="仿宋" w:eastAsia="仿宋_GB2312" w:cs="Segoe UI"/>
                <w:color w:val="1F2329"/>
                <w:kern w:val="0"/>
                <w:sz w:val="24"/>
                <w:szCs w:val="24"/>
                <w:lang w:val="en-US" w:eastAsia="zh-CN"/>
              </w:rPr>
            </w:pPr>
            <w:r>
              <w:rPr>
                <w:rFonts w:hint="eastAsia" w:ascii="仿宋_GB2312" w:hAnsi="仿宋" w:eastAsia="仿宋_GB2312" w:cs="Segoe UI"/>
                <w:color w:val="1F2329"/>
                <w:kern w:val="0"/>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3192" w:type="dxa"/>
            <w:gridSpan w:val="2"/>
            <w:vAlign w:val="center"/>
          </w:tcPr>
          <w:p>
            <w:pPr>
              <w:widowControl/>
              <w:jc w:val="center"/>
              <w:rPr>
                <w:rFonts w:ascii="仿宋_GB2312" w:hAnsi="仿宋" w:eastAsia="仿宋_GB2312" w:cs="Segoe UI"/>
                <w:color w:val="1F2329"/>
                <w:kern w:val="0"/>
                <w:sz w:val="24"/>
                <w:szCs w:val="24"/>
              </w:rPr>
            </w:pPr>
            <w:r>
              <w:rPr>
                <w:rFonts w:hint="eastAsia" w:ascii="仿宋_GB2312" w:hAnsi="仿宋" w:eastAsia="仿宋_GB2312" w:cs="Segoe UI"/>
                <w:color w:val="1F2329"/>
                <w:kern w:val="0"/>
                <w:sz w:val="24"/>
                <w:szCs w:val="24"/>
              </w:rPr>
              <w:t>合计</w:t>
            </w:r>
          </w:p>
        </w:tc>
        <w:tc>
          <w:tcPr>
            <w:tcW w:w="785" w:type="dxa"/>
            <w:vAlign w:val="center"/>
          </w:tcPr>
          <w:p>
            <w:pPr>
              <w:widowControl/>
              <w:jc w:val="center"/>
              <w:rPr>
                <w:rFonts w:ascii="仿宋_GB2312" w:hAnsi="仿宋" w:eastAsia="仿宋_GB2312" w:cs="Segoe UI"/>
                <w:color w:val="1F2329"/>
                <w:kern w:val="0"/>
                <w:sz w:val="24"/>
                <w:szCs w:val="24"/>
              </w:rPr>
            </w:pPr>
            <w:r>
              <w:rPr>
                <w:rFonts w:hint="eastAsia" w:ascii="仿宋_GB2312" w:hAnsi="仿宋" w:eastAsia="仿宋_GB2312" w:cs="Segoe UI"/>
                <w:color w:val="1F2329"/>
                <w:kern w:val="0"/>
                <w:sz w:val="24"/>
                <w:szCs w:val="24"/>
              </w:rPr>
              <w:t>2</w:t>
            </w:r>
          </w:p>
        </w:tc>
        <w:tc>
          <w:tcPr>
            <w:tcW w:w="850" w:type="dxa"/>
            <w:vAlign w:val="center"/>
          </w:tcPr>
          <w:p>
            <w:pPr>
              <w:widowControl/>
              <w:jc w:val="center"/>
              <w:rPr>
                <w:rFonts w:ascii="仿宋_GB2312" w:hAnsi="仿宋" w:eastAsia="仿宋_GB2312" w:cs="Segoe UI"/>
                <w:color w:val="1F2329"/>
                <w:kern w:val="0"/>
                <w:sz w:val="24"/>
                <w:szCs w:val="24"/>
              </w:rPr>
            </w:pPr>
            <w:r>
              <w:rPr>
                <w:rFonts w:hint="eastAsia" w:ascii="仿宋_GB2312" w:hAnsi="仿宋" w:eastAsia="仿宋_GB2312" w:cs="Segoe UI"/>
                <w:color w:val="1F2329"/>
                <w:kern w:val="0"/>
                <w:sz w:val="24"/>
                <w:szCs w:val="24"/>
              </w:rPr>
              <w:t>32</w:t>
            </w:r>
          </w:p>
        </w:tc>
        <w:tc>
          <w:tcPr>
            <w:tcW w:w="848" w:type="dxa"/>
            <w:vAlign w:val="center"/>
          </w:tcPr>
          <w:p>
            <w:pPr>
              <w:widowControl/>
              <w:jc w:val="center"/>
              <w:rPr>
                <w:rFonts w:ascii="仿宋_GB2312" w:hAnsi="仿宋" w:eastAsia="仿宋_GB2312" w:cs="Segoe UI"/>
                <w:color w:val="1F2329"/>
                <w:kern w:val="0"/>
                <w:sz w:val="24"/>
                <w:szCs w:val="24"/>
              </w:rPr>
            </w:pPr>
            <w:r>
              <w:rPr>
                <w:rFonts w:hint="eastAsia" w:ascii="仿宋_GB2312" w:hAnsi="仿宋" w:eastAsia="仿宋_GB2312" w:cs="Segoe UI"/>
                <w:color w:val="1F2329"/>
                <w:kern w:val="0"/>
                <w:sz w:val="24"/>
                <w:szCs w:val="24"/>
              </w:rPr>
              <w:t>128</w:t>
            </w:r>
          </w:p>
        </w:tc>
        <w:tc>
          <w:tcPr>
            <w:tcW w:w="853" w:type="dxa"/>
            <w:vAlign w:val="center"/>
          </w:tcPr>
          <w:p>
            <w:pPr>
              <w:widowControl/>
              <w:jc w:val="center"/>
              <w:rPr>
                <w:rFonts w:ascii="仿宋_GB2312" w:hAnsi="仿宋" w:eastAsia="仿宋_GB2312" w:cs="Segoe UI"/>
                <w:color w:val="1F2329"/>
                <w:kern w:val="0"/>
                <w:sz w:val="24"/>
                <w:szCs w:val="24"/>
              </w:rPr>
            </w:pPr>
            <w:r>
              <w:rPr>
                <w:rFonts w:hint="eastAsia" w:ascii="仿宋_GB2312" w:hAnsi="仿宋" w:eastAsia="仿宋_GB2312" w:cs="Segoe UI"/>
                <w:color w:val="1F2329"/>
                <w:kern w:val="0"/>
                <w:sz w:val="24"/>
                <w:szCs w:val="24"/>
              </w:rPr>
              <w:t>5200</w:t>
            </w:r>
          </w:p>
        </w:tc>
        <w:tc>
          <w:tcPr>
            <w:tcW w:w="1047" w:type="dxa"/>
            <w:vAlign w:val="center"/>
          </w:tcPr>
          <w:p>
            <w:pPr>
              <w:widowControl/>
              <w:jc w:val="center"/>
              <w:rPr>
                <w:rFonts w:ascii="仿宋_GB2312" w:hAnsi="仿宋" w:eastAsia="仿宋_GB2312" w:cs="Segoe UI"/>
                <w:color w:val="1F2329"/>
                <w:kern w:val="0"/>
                <w:sz w:val="24"/>
                <w:szCs w:val="24"/>
              </w:rPr>
            </w:pPr>
            <w:r>
              <w:rPr>
                <w:rFonts w:hint="eastAsia" w:ascii="仿宋_GB2312" w:hAnsi="仿宋" w:eastAsia="仿宋_GB2312" w:cs="Segoe UI"/>
                <w:color w:val="1F2329"/>
                <w:kern w:val="0"/>
                <w:sz w:val="24"/>
                <w:szCs w:val="24"/>
              </w:rPr>
              <w:t>2</w:t>
            </w:r>
          </w:p>
        </w:tc>
        <w:tc>
          <w:tcPr>
            <w:tcW w:w="900" w:type="dxa"/>
            <w:vAlign w:val="center"/>
          </w:tcPr>
          <w:p>
            <w:pPr>
              <w:widowControl/>
              <w:jc w:val="center"/>
              <w:rPr>
                <w:rFonts w:ascii="仿宋_GB2312" w:hAnsi="仿宋" w:eastAsia="仿宋_GB2312" w:cs="Segoe UI"/>
                <w:color w:val="1F2329"/>
                <w:kern w:val="0"/>
                <w:sz w:val="24"/>
                <w:szCs w:val="24"/>
              </w:rPr>
            </w:pPr>
            <w:r>
              <w:rPr>
                <w:rFonts w:hint="eastAsia" w:ascii="仿宋_GB2312" w:hAnsi="仿宋" w:eastAsia="仿宋_GB2312" w:cs="Segoe UI"/>
                <w:color w:val="1F2329"/>
                <w:kern w:val="0"/>
                <w:sz w:val="24"/>
                <w:szCs w:val="24"/>
              </w:rPr>
              <w:t>0</w:t>
            </w:r>
          </w:p>
        </w:tc>
        <w:tc>
          <w:tcPr>
            <w:tcW w:w="900" w:type="dxa"/>
            <w:vAlign w:val="center"/>
          </w:tcPr>
          <w:p>
            <w:pPr>
              <w:widowControl/>
              <w:jc w:val="center"/>
              <w:rPr>
                <w:rFonts w:ascii="仿宋_GB2312" w:hAnsi="仿宋" w:eastAsia="仿宋_GB2312" w:cs="Segoe UI"/>
                <w:color w:val="1F2329"/>
                <w:kern w:val="0"/>
                <w:sz w:val="24"/>
                <w:szCs w:val="24"/>
              </w:rPr>
            </w:pPr>
            <w:r>
              <w:rPr>
                <w:rFonts w:hint="eastAsia" w:ascii="仿宋_GB2312" w:hAnsi="仿宋" w:eastAsia="仿宋_GB2312" w:cs="Segoe UI"/>
                <w:color w:val="1F2329"/>
                <w:kern w:val="0"/>
                <w:sz w:val="24"/>
                <w:szCs w:val="24"/>
              </w:rPr>
              <w:t>0</w:t>
            </w:r>
          </w:p>
        </w:tc>
        <w:tc>
          <w:tcPr>
            <w:tcW w:w="900" w:type="dxa"/>
            <w:vAlign w:val="center"/>
          </w:tcPr>
          <w:p>
            <w:pPr>
              <w:widowControl/>
              <w:jc w:val="center"/>
              <w:rPr>
                <w:rFonts w:hint="eastAsia" w:ascii="仿宋_GB2312" w:hAnsi="仿宋" w:eastAsia="仿宋_GB2312" w:cs="Segoe UI"/>
                <w:color w:val="1F2329"/>
                <w:kern w:val="0"/>
                <w:sz w:val="24"/>
                <w:szCs w:val="24"/>
                <w:lang w:val="en-US" w:eastAsia="zh-CN"/>
              </w:rPr>
            </w:pPr>
            <w:r>
              <w:rPr>
                <w:rFonts w:hint="eastAsia" w:ascii="仿宋_GB2312" w:hAnsi="仿宋" w:eastAsia="仿宋_GB2312" w:cs="Segoe UI"/>
                <w:color w:val="1F2329"/>
                <w:kern w:val="0"/>
                <w:sz w:val="24"/>
                <w:szCs w:val="24"/>
                <w:lang w:val="en-US" w:eastAsia="zh-CN"/>
              </w:rPr>
              <w:t>5</w:t>
            </w:r>
          </w:p>
        </w:tc>
      </w:tr>
    </w:tbl>
    <w:p>
      <w:pPr>
        <w:widowControl/>
        <w:shd w:val="clear" w:color="auto" w:fill="FFFFFF"/>
        <w:jc w:val="left"/>
        <w:rPr>
          <w:rFonts w:ascii="仿宋_GB2312" w:hAnsi="仿宋" w:eastAsia="仿宋_GB2312" w:cs="Segoe UI"/>
          <w:color w:val="1F2329"/>
          <w:kern w:val="0"/>
          <w:sz w:val="30"/>
          <w:szCs w:val="30"/>
        </w:rPr>
      </w:pPr>
    </w:p>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FAF"/>
    <w:rsid w:val="000A14FF"/>
    <w:rsid w:val="000E0C89"/>
    <w:rsid w:val="002D5A43"/>
    <w:rsid w:val="004B1B89"/>
    <w:rsid w:val="00517B81"/>
    <w:rsid w:val="00564FAF"/>
    <w:rsid w:val="00973B95"/>
    <w:rsid w:val="00A7218A"/>
    <w:rsid w:val="00C522B7"/>
    <w:rsid w:val="00CF0160"/>
    <w:rsid w:val="00D151BE"/>
    <w:rsid w:val="00D9253E"/>
    <w:rsid w:val="00E05177"/>
    <w:rsid w:val="00E40850"/>
    <w:rsid w:val="00E62720"/>
    <w:rsid w:val="00F00791"/>
    <w:rsid w:val="00F61055"/>
    <w:rsid w:val="01173E35"/>
    <w:rsid w:val="061C0613"/>
    <w:rsid w:val="063E0A32"/>
    <w:rsid w:val="06693CB0"/>
    <w:rsid w:val="07246894"/>
    <w:rsid w:val="090969B4"/>
    <w:rsid w:val="09CC479A"/>
    <w:rsid w:val="0AD23C8A"/>
    <w:rsid w:val="0CA37841"/>
    <w:rsid w:val="1165014F"/>
    <w:rsid w:val="11B72FD0"/>
    <w:rsid w:val="12BE6B9D"/>
    <w:rsid w:val="136C4E90"/>
    <w:rsid w:val="1602382A"/>
    <w:rsid w:val="185D603B"/>
    <w:rsid w:val="1A3C0AAA"/>
    <w:rsid w:val="1B0644E6"/>
    <w:rsid w:val="1DE61565"/>
    <w:rsid w:val="1DFC2FF6"/>
    <w:rsid w:val="21F03796"/>
    <w:rsid w:val="23772E94"/>
    <w:rsid w:val="25CA7797"/>
    <w:rsid w:val="266D6A9E"/>
    <w:rsid w:val="28A84257"/>
    <w:rsid w:val="2946691C"/>
    <w:rsid w:val="2CB01D3E"/>
    <w:rsid w:val="2CBB0A4A"/>
    <w:rsid w:val="2F48454C"/>
    <w:rsid w:val="30F64526"/>
    <w:rsid w:val="31D51D3C"/>
    <w:rsid w:val="31F37D71"/>
    <w:rsid w:val="3235361D"/>
    <w:rsid w:val="33811DDB"/>
    <w:rsid w:val="36D6243D"/>
    <w:rsid w:val="37A7503A"/>
    <w:rsid w:val="38E17D08"/>
    <w:rsid w:val="3AC151B3"/>
    <w:rsid w:val="3B124C40"/>
    <w:rsid w:val="3B457B92"/>
    <w:rsid w:val="3D006466"/>
    <w:rsid w:val="3FD40310"/>
    <w:rsid w:val="40DA2673"/>
    <w:rsid w:val="40F03D4D"/>
    <w:rsid w:val="4202058A"/>
    <w:rsid w:val="42F36125"/>
    <w:rsid w:val="43B95C88"/>
    <w:rsid w:val="44A15E10"/>
    <w:rsid w:val="46003033"/>
    <w:rsid w:val="46F214B9"/>
    <w:rsid w:val="47590C4D"/>
    <w:rsid w:val="47FD6949"/>
    <w:rsid w:val="49845D29"/>
    <w:rsid w:val="4AFE1F5C"/>
    <w:rsid w:val="4B774823"/>
    <w:rsid w:val="4D553D98"/>
    <w:rsid w:val="4ED75E01"/>
    <w:rsid w:val="50CE2312"/>
    <w:rsid w:val="50CF31B2"/>
    <w:rsid w:val="50D074AA"/>
    <w:rsid w:val="514C0B8A"/>
    <w:rsid w:val="516709B0"/>
    <w:rsid w:val="523227C6"/>
    <w:rsid w:val="52763068"/>
    <w:rsid w:val="52D93AE7"/>
    <w:rsid w:val="53D1600F"/>
    <w:rsid w:val="552758CE"/>
    <w:rsid w:val="564B20A8"/>
    <w:rsid w:val="57F70F28"/>
    <w:rsid w:val="5C7642AE"/>
    <w:rsid w:val="60C5752B"/>
    <w:rsid w:val="60EE5157"/>
    <w:rsid w:val="62E25B42"/>
    <w:rsid w:val="63241B08"/>
    <w:rsid w:val="6385458A"/>
    <w:rsid w:val="64992655"/>
    <w:rsid w:val="65C77405"/>
    <w:rsid w:val="664E217E"/>
    <w:rsid w:val="673F3A22"/>
    <w:rsid w:val="68396EB2"/>
    <w:rsid w:val="690B0E44"/>
    <w:rsid w:val="6A933BC6"/>
    <w:rsid w:val="6D5E04BB"/>
    <w:rsid w:val="6E66587A"/>
    <w:rsid w:val="6FB24AEE"/>
    <w:rsid w:val="706C22BF"/>
    <w:rsid w:val="70881638"/>
    <w:rsid w:val="71884AB7"/>
    <w:rsid w:val="718F50E7"/>
    <w:rsid w:val="723E08BB"/>
    <w:rsid w:val="73D90525"/>
    <w:rsid w:val="76852F5D"/>
    <w:rsid w:val="7CC16380"/>
    <w:rsid w:val="7E7518EC"/>
    <w:rsid w:val="7F2A3225"/>
    <w:rsid w:val="7FA26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customStyle="1" w:styleId="2">
    <w:name w:val="正文文本首行缩进 21"/>
    <w:basedOn w:val="3"/>
    <w:qFormat/>
    <w:uiPriority w:val="0"/>
    <w:pPr>
      <w:spacing w:line="360" w:lineRule="auto"/>
    </w:pPr>
    <w:rPr>
      <w:sz w:val="24"/>
    </w:rPr>
  </w:style>
  <w:style w:type="paragraph" w:customStyle="1" w:styleId="3">
    <w:name w:val="正文文本缩进1"/>
    <w:basedOn w:val="1"/>
    <w:qFormat/>
    <w:uiPriority w:val="0"/>
    <w:pPr>
      <w:spacing w:line="150" w:lineRule="atLeast"/>
      <w:ind w:firstLine="420" w:firstLineChars="200"/>
      <w:textAlignment w:val="baseline"/>
    </w:pPr>
    <w:rPr>
      <w:rFonts w:eastAsia="宋体" w:cs="Times New Roman"/>
      <w:szCs w:val="24"/>
    </w:rPr>
  </w:style>
  <w:style w:type="paragraph" w:styleId="4">
    <w:name w:val="footer"/>
    <w:basedOn w:val="1"/>
    <w:semiHidden/>
    <w:unhideWhenUsed/>
    <w:uiPriority w:val="99"/>
    <w:pPr>
      <w:tabs>
        <w:tab w:val="center" w:pos="4153"/>
        <w:tab w:val="right" w:pos="8306"/>
      </w:tabs>
      <w:snapToGrid w:val="0"/>
      <w:jc w:val="left"/>
    </w:pPr>
    <w:rPr>
      <w:sz w:val="18"/>
    </w:rPr>
  </w:style>
  <w:style w:type="paragraph" w:styleId="5">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firstLineChars="200"/>
    </w:pPr>
  </w:style>
  <w:style w:type="paragraph" w:customStyle="1" w:styleId="10">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1054</Words>
  <Characters>6008</Characters>
  <Lines>50</Lines>
  <Paragraphs>14</Paragraphs>
  <TotalTime>2</TotalTime>
  <ScaleCrop>false</ScaleCrop>
  <LinksUpToDate>false</LinksUpToDate>
  <CharactersWithSpaces>7048</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2026-09-22T06:38:00Z</dcterms:created>
  <dc:creator>肖学舜</dc:creator>
  <cp:lastModifiedBy>Administrator</cp:lastModifiedBy>
  <dcterms:modified xsi:type="dcterms:W3CDTF">2026-09-29T03:27:10Z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eyJoZGlkIjoiODRlOWZkMzQyODE1NDYwODVlOGNkZDFiZWY3M2EyY2MiLCJ1c2VySWQiOiI2NjMyODk3OTcifQ==</vt:lpwstr>
  </property>
  <property fmtid="{D5CDD505-2E9C-101B-9397-08002B2CF9AE}" pid="3" name="KSOProductBuildVer">
    <vt:lpwstr>2052-11.8.2.11718</vt:lpwstr>
  </property>
  <property fmtid="{D5CDD505-2E9C-101B-9397-08002B2CF9AE}" pid="4" name="ICV">
    <vt:lpwstr>0AE5AEACEE484343B470B4D6EF1678B2_12</vt:lpwstr>
  </property>
</Properties>
</file>