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0" w:beforeLines="500"/>
        <w:ind w:firstLine="0" w:firstLineChars="0"/>
        <w:jc w:val="center"/>
        <w:rPr>
          <w:rFonts w:ascii="黑体" w:hAnsi="黑体" w:eastAsia="黑体"/>
          <w:b/>
          <w:bCs/>
          <w:sz w:val="52"/>
          <w:szCs w:val="52"/>
        </w:rPr>
      </w:pPr>
      <w:bookmarkStart w:id="0" w:name="_Hlk74930046"/>
      <w:bookmarkEnd w:id="0"/>
      <w:r>
        <w:rPr>
          <w:rFonts w:hint="eastAsia" w:ascii="黑体" w:hAnsi="黑体" w:eastAsia="黑体"/>
          <w:b/>
          <w:bCs/>
          <w:sz w:val="52"/>
          <w:szCs w:val="52"/>
        </w:rPr>
        <w:t>广东省历史文化名城</w:t>
      </w:r>
    </w:p>
    <w:p>
      <w:pPr>
        <w:ind w:firstLine="0" w:firstLineChars="0"/>
        <w:jc w:val="center"/>
        <w:rPr>
          <w:rFonts w:ascii="黑体" w:hAnsi="黑体" w:eastAsia="黑体"/>
          <w:b/>
          <w:bCs/>
          <w:sz w:val="44"/>
          <w:szCs w:val="52"/>
        </w:rPr>
      </w:pPr>
      <w:r>
        <w:rPr>
          <w:rFonts w:hint="eastAsia" w:ascii="黑体" w:hAnsi="黑体" w:eastAsia="黑体"/>
          <w:b/>
          <w:bCs/>
          <w:sz w:val="52"/>
          <w:szCs w:val="52"/>
        </w:rPr>
        <w:t>南雄市历史文化名城保护规划（</w:t>
      </w:r>
      <w:r>
        <w:rPr>
          <w:rFonts w:ascii="黑体" w:hAnsi="黑体" w:eastAsia="黑体"/>
          <w:b/>
          <w:bCs/>
          <w:sz w:val="52"/>
          <w:szCs w:val="52"/>
        </w:rPr>
        <w:t>2021-2035年）</w:t>
      </w:r>
    </w:p>
    <w:p>
      <w:pPr>
        <w:spacing w:before="624" w:beforeLines="200"/>
        <w:ind w:firstLine="0" w:firstLineChars="0"/>
        <w:jc w:val="center"/>
        <w:rPr>
          <w:rFonts w:ascii="黑体" w:hAnsi="黑体" w:eastAsia="黑体"/>
          <w:b/>
          <w:bCs/>
          <w:sz w:val="32"/>
          <w:szCs w:val="32"/>
        </w:rPr>
      </w:pPr>
      <w:r>
        <w:rPr>
          <w:rFonts w:hint="eastAsia" w:ascii="黑体" w:hAnsi="黑体" w:eastAsia="黑体"/>
          <w:b/>
          <w:bCs/>
          <w:sz w:val="32"/>
          <w:szCs w:val="32"/>
        </w:rPr>
        <w:t>报批成果稿</w:t>
      </w:r>
      <w:r>
        <w:rPr>
          <w:rFonts w:ascii="黑体" w:hAnsi="黑体" w:eastAsia="黑体"/>
          <w:b/>
          <w:bCs/>
          <w:sz w:val="32"/>
          <w:szCs w:val="32"/>
        </w:rPr>
        <w:t>（</w:t>
      </w:r>
      <w:r>
        <w:rPr>
          <w:rFonts w:hint="eastAsia" w:ascii="黑体" w:hAnsi="黑体" w:eastAsia="黑体"/>
          <w:b/>
          <w:bCs/>
          <w:sz w:val="32"/>
          <w:szCs w:val="32"/>
        </w:rPr>
        <w:t>文本·图集</w:t>
      </w:r>
      <w:r>
        <w:rPr>
          <w:rFonts w:ascii="黑体" w:hAnsi="黑体" w:eastAsia="黑体"/>
          <w:b/>
          <w:bCs/>
          <w:sz w:val="32"/>
          <w:szCs w:val="32"/>
        </w:rPr>
        <w:t>）</w:t>
      </w:r>
    </w:p>
    <w:p>
      <w:pPr>
        <w:spacing w:before="7332" w:beforeLines="2350"/>
        <w:ind w:firstLine="0" w:firstLineChars="0"/>
        <w:jc w:val="center"/>
        <w:rPr>
          <w:rFonts w:ascii="黑体" w:hAnsi="黑体" w:eastAsia="黑体"/>
          <w:b/>
          <w:bCs/>
          <w:sz w:val="32"/>
          <w:szCs w:val="32"/>
        </w:rPr>
      </w:pPr>
      <w:r>
        <w:rPr>
          <w:rFonts w:hint="eastAsia" w:ascii="黑体" w:hAnsi="黑体" w:eastAsia="黑体"/>
          <w:b/>
          <w:bCs/>
          <w:sz w:val="24"/>
          <w:szCs w:val="24"/>
        </w:rPr>
        <w:t>南雄市</w:t>
      </w:r>
      <w:r>
        <w:rPr>
          <w:rFonts w:ascii="黑体" w:hAnsi="黑体" w:eastAsia="黑体"/>
          <w:b/>
          <w:bCs/>
          <w:sz w:val="24"/>
          <w:szCs w:val="24"/>
        </w:rPr>
        <w:t>人民政府</w:t>
      </w:r>
    </w:p>
    <w:p>
      <w:pPr>
        <w:ind w:firstLine="0" w:firstLineChars="0"/>
        <w:jc w:val="center"/>
        <w:rPr>
          <w:rFonts w:ascii="黑体" w:hAnsi="黑体" w:eastAsia="黑体"/>
          <w:b/>
          <w:bCs/>
          <w:sz w:val="24"/>
          <w:szCs w:val="24"/>
        </w:rPr>
      </w:pPr>
      <w:r>
        <w:rPr>
          <w:rFonts w:ascii="黑体" w:hAnsi="黑体" w:eastAsia="黑体"/>
          <w:b/>
          <w:bCs/>
          <w:sz w:val="24"/>
          <w:szCs w:val="24"/>
        </w:rPr>
        <w:t>202</w:t>
      </w:r>
      <w:r>
        <w:rPr>
          <w:rFonts w:hint="eastAsia" w:ascii="黑体" w:hAnsi="黑体" w:eastAsia="黑体"/>
          <w:b/>
          <w:bCs/>
          <w:sz w:val="24"/>
          <w:szCs w:val="24"/>
        </w:rPr>
        <w:t>5</w:t>
      </w:r>
      <w:r>
        <w:rPr>
          <w:rFonts w:ascii="黑体" w:hAnsi="黑体" w:eastAsia="黑体"/>
          <w:b/>
          <w:bCs/>
          <w:sz w:val="24"/>
          <w:szCs w:val="24"/>
        </w:rPr>
        <w:t>年11月</w:t>
      </w:r>
    </w:p>
    <w:p>
      <w:pPr>
        <w:ind w:firstLine="0" w:firstLineChars="0"/>
        <w:jc w:val="left"/>
        <w:rPr>
          <w:rFonts w:ascii="黑体" w:hAnsi="黑体" w:eastAsia="黑体"/>
          <w:sz w:val="24"/>
          <w:szCs w:val="24"/>
        </w:rPr>
      </w:pPr>
      <w:r>
        <w:rPr>
          <w:rFonts w:hint="eastAsia" w:ascii="黑体" w:hAnsi="黑体" w:eastAsia="黑体"/>
          <w:sz w:val="24"/>
          <w:szCs w:val="24"/>
        </w:rPr>
        <w:t>项目名称：</w:t>
      </w:r>
      <w:r>
        <w:rPr>
          <w:rFonts w:hint="eastAsia" w:ascii="黑体" w:hAnsi="黑体" w:eastAsia="黑体"/>
          <w:spacing w:val="-2"/>
          <w:sz w:val="24"/>
          <w:szCs w:val="24"/>
        </w:rPr>
        <w:t>广东省历史文化名城南雄市历史文化名城保护规划（2021-2035年）</w:t>
      </w:r>
    </w:p>
    <w:p>
      <w:pPr>
        <w:ind w:firstLine="0" w:firstLineChars="0"/>
        <w:jc w:val="left"/>
        <w:rPr>
          <w:rFonts w:ascii="黑体" w:hAnsi="黑体" w:eastAsia="黑体"/>
          <w:sz w:val="24"/>
          <w:szCs w:val="24"/>
        </w:rPr>
      </w:pPr>
      <w:r>
        <w:rPr>
          <w:rFonts w:hint="eastAsia" w:ascii="黑体" w:hAnsi="黑体" w:eastAsia="黑体"/>
          <w:sz w:val="24"/>
          <w:szCs w:val="24"/>
        </w:rPr>
        <w:t>委托方（甲方）：南雄市住房和城乡建设局</w:t>
      </w:r>
    </w:p>
    <w:p>
      <w:pPr>
        <w:ind w:firstLine="0" w:firstLineChars="0"/>
        <w:jc w:val="left"/>
        <w:rPr>
          <w:rFonts w:ascii="黑体" w:hAnsi="黑体" w:eastAsia="黑体"/>
          <w:sz w:val="24"/>
          <w:szCs w:val="24"/>
        </w:rPr>
      </w:pPr>
      <w:r>
        <w:rPr>
          <w:rFonts w:hint="eastAsia" w:ascii="黑体" w:hAnsi="黑体" w:eastAsia="黑体"/>
          <w:sz w:val="24"/>
          <w:szCs w:val="24"/>
        </w:rPr>
        <w:t>承担方（乙方）：</w:t>
      </w:r>
      <w:bookmarkStart w:id="1" w:name="_Hlk96606526"/>
      <w:r>
        <w:rPr>
          <w:rFonts w:hint="eastAsia" w:ascii="黑体" w:hAnsi="黑体" w:eastAsia="黑体"/>
          <w:sz w:val="24"/>
          <w:szCs w:val="24"/>
        </w:rPr>
        <w:t>广东工业大学建筑规划设计院有限公司</w:t>
      </w:r>
      <w:bookmarkEnd w:id="1"/>
    </w:p>
    <w:p>
      <w:pPr>
        <w:ind w:firstLine="0" w:firstLineChars="0"/>
        <w:jc w:val="left"/>
        <w:rPr>
          <w:rFonts w:ascii="黑体" w:hAnsi="黑体" w:eastAsia="黑体"/>
          <w:sz w:val="24"/>
          <w:szCs w:val="24"/>
        </w:rPr>
      </w:pPr>
      <w:r>
        <w:rPr>
          <w:rFonts w:hint="eastAsia" w:ascii="黑体" w:hAnsi="黑体" w:eastAsia="黑体"/>
          <w:sz w:val="24"/>
          <w:szCs w:val="24"/>
        </w:rPr>
        <w:t>合同号：2021-A030</w:t>
      </w:r>
    </w:p>
    <w:p>
      <w:pPr>
        <w:ind w:firstLine="0" w:firstLineChars="0"/>
        <w:jc w:val="left"/>
        <w:rPr>
          <w:rFonts w:ascii="黑体" w:hAnsi="黑体" w:eastAsia="黑体"/>
          <w:sz w:val="24"/>
          <w:szCs w:val="24"/>
        </w:rPr>
      </w:pPr>
      <w:r>
        <w:rPr>
          <w:rFonts w:hint="eastAsia" w:ascii="黑体" w:hAnsi="黑体" w:eastAsia="黑体"/>
          <w:sz w:val="24"/>
          <w:szCs w:val="24"/>
        </w:rPr>
        <w:t xml:space="preserve">统一社会信用代码：91440000190357800B </w:t>
      </w:r>
    </w:p>
    <w:p>
      <w:pPr>
        <w:ind w:firstLine="0" w:firstLineChars="0"/>
        <w:jc w:val="left"/>
        <w:rPr>
          <w:rFonts w:ascii="黑体" w:hAnsi="黑体" w:eastAsia="黑体"/>
          <w:sz w:val="24"/>
          <w:szCs w:val="24"/>
        </w:rPr>
      </w:pPr>
      <w:r>
        <w:rPr>
          <w:rFonts w:hint="eastAsia" w:ascii="黑体" w:hAnsi="黑体" w:eastAsia="黑体"/>
          <w:sz w:val="24"/>
          <w:szCs w:val="24"/>
        </w:rPr>
        <w:t>建筑工程：甲级A244074484</w:t>
      </w:r>
    </w:p>
    <w:p>
      <w:pPr>
        <w:ind w:firstLine="0" w:firstLineChars="0"/>
        <w:jc w:val="left"/>
        <w:rPr>
          <w:rFonts w:ascii="黑体" w:hAnsi="黑体" w:eastAsia="黑体"/>
          <w:sz w:val="24"/>
          <w:szCs w:val="24"/>
        </w:rPr>
      </w:pPr>
      <w:r>
        <w:rPr>
          <w:rFonts w:hint="eastAsia" w:ascii="黑体" w:hAnsi="黑体" w:eastAsia="黑体"/>
          <w:sz w:val="24"/>
          <w:szCs w:val="24"/>
        </w:rPr>
        <w:t>城乡规划：甲级 自资规甲字21440158</w:t>
      </w:r>
    </w:p>
    <w:p>
      <w:pPr>
        <w:ind w:firstLine="0" w:firstLineChars="0"/>
        <w:jc w:val="left"/>
        <w:rPr>
          <w:rFonts w:ascii="黑体" w:hAnsi="黑体" w:eastAsia="黑体"/>
          <w:sz w:val="24"/>
          <w:szCs w:val="24"/>
        </w:rPr>
      </w:pPr>
      <w:r>
        <w:rPr>
          <w:rFonts w:hint="eastAsia" w:ascii="黑体" w:hAnsi="黑体" w:eastAsia="黑体"/>
          <w:sz w:val="24"/>
          <w:szCs w:val="24"/>
        </w:rPr>
        <w:t>文物保护工程勘察设计：文物设乙字（0202SJ021）号</w:t>
      </w:r>
    </w:p>
    <w:p>
      <w:pPr>
        <w:ind w:firstLine="0" w:firstLineChars="0"/>
        <w:jc w:val="left"/>
        <w:rPr>
          <w:rFonts w:ascii="黑体" w:hAnsi="黑体" w:eastAsia="黑体"/>
          <w:sz w:val="24"/>
          <w:szCs w:val="24"/>
        </w:rPr>
      </w:pPr>
    </w:p>
    <w:p>
      <w:pPr>
        <w:ind w:firstLine="0" w:firstLineChars="0"/>
        <w:jc w:val="left"/>
        <w:rPr>
          <w:rFonts w:ascii="黑体" w:hAnsi="黑体" w:eastAsia="黑体"/>
          <w:sz w:val="24"/>
          <w:szCs w:val="24"/>
        </w:rPr>
      </w:pPr>
    </w:p>
    <w:p>
      <w:pPr>
        <w:ind w:firstLine="0" w:firstLineChars="0"/>
        <w:jc w:val="left"/>
        <w:rPr>
          <w:rFonts w:ascii="黑体" w:hAnsi="黑体" w:eastAsia="黑体"/>
          <w:sz w:val="24"/>
          <w:szCs w:val="24"/>
        </w:rPr>
      </w:pPr>
    </w:p>
    <w:p>
      <w:pPr>
        <w:ind w:firstLine="0" w:firstLineChars="0"/>
        <w:jc w:val="left"/>
        <w:rPr>
          <w:rFonts w:ascii="黑体" w:hAnsi="黑体" w:eastAsia="黑体"/>
          <w:sz w:val="24"/>
          <w:szCs w:val="24"/>
        </w:rPr>
      </w:pPr>
      <w:r>
        <w:rPr>
          <w:rFonts w:hint="eastAsia" w:ascii="黑体" w:hAnsi="黑体" w:eastAsia="黑体"/>
          <w:sz w:val="24"/>
          <w:szCs w:val="24"/>
        </w:rPr>
        <w:t>院    长：    陈海清</w:t>
      </w:r>
    </w:p>
    <w:p>
      <w:pPr>
        <w:ind w:firstLine="0" w:firstLineChars="0"/>
        <w:jc w:val="left"/>
        <w:rPr>
          <w:rFonts w:ascii="黑体" w:hAnsi="黑体" w:eastAsia="黑体"/>
          <w:sz w:val="24"/>
          <w:szCs w:val="24"/>
        </w:rPr>
      </w:pPr>
      <w:r>
        <w:rPr>
          <w:rFonts w:hint="eastAsia" w:ascii="黑体" w:hAnsi="黑体" w:eastAsia="黑体"/>
          <w:sz w:val="24"/>
          <w:szCs w:val="24"/>
        </w:rPr>
        <w:t>总工程师：    陈浩强</w:t>
      </w:r>
    </w:p>
    <w:p>
      <w:pPr>
        <w:spacing w:before="2496" w:beforeLines="800"/>
        <w:ind w:firstLine="0" w:firstLineChars="0"/>
        <w:jc w:val="left"/>
        <w:rPr>
          <w:rFonts w:ascii="黑体" w:hAnsi="黑体" w:eastAsia="黑体"/>
          <w:sz w:val="24"/>
          <w:szCs w:val="24"/>
        </w:rPr>
      </w:pPr>
      <w:r>
        <w:rPr>
          <w:rFonts w:hint="eastAsia" w:ascii="黑体" w:hAnsi="黑体" w:eastAsia="黑体"/>
          <w:sz w:val="24"/>
          <w:szCs w:val="24"/>
        </w:rPr>
        <w:t>院规划设计成果专用章：</w:t>
      </w:r>
    </w:p>
    <w:p>
      <w:pPr>
        <w:ind w:firstLine="0" w:firstLineChars="0"/>
        <w:jc w:val="left"/>
        <w:rPr>
          <w:rFonts w:ascii="黑体" w:hAnsi="黑体" w:eastAsia="黑体"/>
          <w:sz w:val="24"/>
          <w:szCs w:val="24"/>
        </w:rPr>
      </w:pPr>
      <w:r>
        <w:rPr>
          <w:rFonts w:hint="eastAsia" w:ascii="黑体" w:hAnsi="黑体" w:eastAsia="黑体"/>
          <w:sz w:val="24"/>
          <w:szCs w:val="24"/>
        </w:rPr>
        <w:t>规划设计编制完成时间：20</w:t>
      </w:r>
      <w:r>
        <w:rPr>
          <w:rFonts w:ascii="黑体" w:hAnsi="黑体" w:eastAsia="黑体"/>
          <w:sz w:val="24"/>
          <w:szCs w:val="24"/>
        </w:rPr>
        <w:t>2</w:t>
      </w:r>
      <w:r>
        <w:rPr>
          <w:rFonts w:hint="eastAsia" w:ascii="黑体" w:hAnsi="黑体" w:eastAsia="黑体"/>
          <w:sz w:val="24"/>
          <w:szCs w:val="24"/>
        </w:rPr>
        <w:t>5年</w:t>
      </w:r>
      <w:r>
        <w:rPr>
          <w:rFonts w:ascii="黑体" w:hAnsi="黑体" w:eastAsia="黑体"/>
          <w:sz w:val="24"/>
          <w:szCs w:val="24"/>
        </w:rPr>
        <w:t>11</w:t>
      </w:r>
      <w:r>
        <w:rPr>
          <w:rFonts w:hint="eastAsia" w:ascii="黑体" w:hAnsi="黑体" w:eastAsia="黑体"/>
          <w:sz w:val="24"/>
          <w:szCs w:val="24"/>
        </w:rPr>
        <w:t>月</w:t>
      </w:r>
    </w:p>
    <w:p>
      <w:pPr>
        <w:ind w:firstLine="0" w:firstLineChars="0"/>
        <w:jc w:val="center"/>
        <w:rPr>
          <w:rFonts w:ascii="黑体" w:hAnsi="黑体" w:eastAsia="黑体"/>
          <w:b/>
          <w:bCs/>
          <w:sz w:val="28"/>
          <w:szCs w:val="28"/>
        </w:rPr>
      </w:pPr>
    </w:p>
    <w:p>
      <w:pPr>
        <w:spacing w:line="240" w:lineRule="auto"/>
        <w:ind w:firstLine="0" w:firstLineChars="0"/>
        <w:jc w:val="left"/>
        <w:rPr>
          <w:rFonts w:ascii="黑体" w:hAnsi="黑体" w:eastAsia="黑体"/>
          <w:b/>
          <w:bCs/>
          <w:sz w:val="28"/>
          <w:szCs w:val="28"/>
        </w:rPr>
      </w:pPr>
      <w:r>
        <w:rPr>
          <w:rFonts w:hint="eastAsia" w:ascii="黑体" w:hAnsi="黑体" w:eastAsia="黑体"/>
          <w:b/>
          <w:bCs/>
          <w:kern w:val="0"/>
          <w:sz w:val="28"/>
          <w:szCs w:val="28"/>
        </w:rPr>
        <w:br w:type="page"/>
      </w:r>
    </w:p>
    <w:p>
      <w:pPr>
        <w:ind w:firstLine="0" w:firstLineChars="0"/>
        <w:jc w:val="left"/>
        <w:rPr>
          <w:rFonts w:ascii="黑体" w:hAnsi="黑体" w:eastAsia="黑体"/>
          <w:sz w:val="24"/>
          <w:szCs w:val="24"/>
        </w:rPr>
      </w:pPr>
      <w:r>
        <w:rPr>
          <w:rFonts w:hint="eastAsia" w:ascii="黑体" w:hAnsi="黑体" w:eastAsia="黑体"/>
          <w:sz w:val="24"/>
          <w:szCs w:val="24"/>
        </w:rPr>
        <w:t xml:space="preserve">主编单位： </w:t>
      </w:r>
      <w:r>
        <w:rPr>
          <w:rFonts w:ascii="黑体" w:hAnsi="黑体" w:eastAsia="黑体"/>
          <w:sz w:val="24"/>
          <w:szCs w:val="24"/>
        </w:rPr>
        <w:t xml:space="preserve"> </w:t>
      </w:r>
      <w:r>
        <w:rPr>
          <w:rFonts w:hint="eastAsia" w:ascii="黑体" w:hAnsi="黑体" w:eastAsia="黑体"/>
          <w:sz w:val="24"/>
          <w:szCs w:val="24"/>
        </w:rPr>
        <w:t>广东工业大学建筑规划设计院有限公司</w:t>
      </w:r>
    </w:p>
    <w:p>
      <w:pPr>
        <w:spacing w:before="312" w:beforeLines="100"/>
        <w:ind w:firstLine="0" w:firstLineChars="0"/>
        <w:jc w:val="left"/>
        <w:rPr>
          <w:rFonts w:ascii="黑体" w:hAnsi="黑体" w:eastAsia="黑体"/>
          <w:sz w:val="24"/>
          <w:szCs w:val="24"/>
        </w:rPr>
      </w:pPr>
      <w:r>
        <w:rPr>
          <w:rFonts w:hint="eastAsia" w:ascii="黑体" w:hAnsi="黑体" w:eastAsia="黑体"/>
          <w:sz w:val="24"/>
          <w:szCs w:val="24"/>
        </w:rPr>
        <w:t xml:space="preserve">技术审定： </w:t>
      </w:r>
      <w:r>
        <w:rPr>
          <w:rFonts w:ascii="黑体" w:hAnsi="黑体" w:eastAsia="黑体"/>
          <w:sz w:val="24"/>
          <w:szCs w:val="24"/>
        </w:rPr>
        <w:t xml:space="preserve"> </w:t>
      </w:r>
      <w:r>
        <w:rPr>
          <w:rFonts w:hint="eastAsia" w:ascii="黑体" w:hAnsi="黑体" w:eastAsia="黑体"/>
          <w:sz w:val="24"/>
          <w:szCs w:val="24"/>
        </w:rPr>
        <w:t>陈浩强，建筑学，总工程师、高级工程师 一级注册建造师</w:t>
      </w:r>
    </w:p>
    <w:p>
      <w:pPr>
        <w:spacing w:before="312" w:beforeLines="100"/>
        <w:ind w:firstLine="0" w:firstLineChars="0"/>
        <w:jc w:val="left"/>
        <w:rPr>
          <w:rFonts w:ascii="黑体" w:hAnsi="黑体" w:eastAsia="黑体"/>
          <w:sz w:val="24"/>
          <w:szCs w:val="24"/>
        </w:rPr>
      </w:pPr>
      <w:r>
        <w:rPr>
          <w:rFonts w:hint="eastAsia" w:ascii="黑体" w:hAnsi="黑体" w:eastAsia="黑体"/>
          <w:sz w:val="24"/>
          <w:szCs w:val="24"/>
        </w:rPr>
        <w:t xml:space="preserve">技术审核： </w:t>
      </w:r>
      <w:r>
        <w:rPr>
          <w:rFonts w:ascii="黑体" w:hAnsi="黑体" w:eastAsia="黑体"/>
          <w:sz w:val="24"/>
          <w:szCs w:val="24"/>
        </w:rPr>
        <w:t xml:space="preserve"> </w:t>
      </w:r>
      <w:r>
        <w:rPr>
          <w:rFonts w:hint="eastAsia" w:ascii="黑体" w:hAnsi="黑体" w:eastAsia="黑体"/>
          <w:sz w:val="24"/>
          <w:szCs w:val="24"/>
        </w:rPr>
        <w:t>王  敏，城乡规划学，城乡规划高级工程师</w:t>
      </w:r>
    </w:p>
    <w:p>
      <w:pPr>
        <w:spacing w:before="312" w:beforeLines="100"/>
        <w:ind w:firstLine="0" w:firstLineChars="0"/>
        <w:rPr>
          <w:rFonts w:ascii="黑体" w:hAnsi="黑体" w:eastAsia="黑体"/>
          <w:sz w:val="24"/>
          <w:szCs w:val="24"/>
        </w:rPr>
      </w:pPr>
      <w:r>
        <w:rPr>
          <w:rFonts w:hint="eastAsia" w:ascii="黑体" w:hAnsi="黑体" w:eastAsia="黑体"/>
          <w:sz w:val="24"/>
          <w:szCs w:val="24"/>
        </w:rPr>
        <w:t>项目总负责：朱雪梅，城乡规划学，建筑学教授，城乡规划高级工程师（教授级）</w:t>
      </w:r>
    </w:p>
    <w:p>
      <w:pPr>
        <w:spacing w:before="312" w:beforeLines="100"/>
        <w:ind w:firstLine="0" w:firstLineChars="0"/>
        <w:rPr>
          <w:rFonts w:ascii="黑体" w:hAnsi="黑体" w:eastAsia="黑体"/>
          <w:sz w:val="24"/>
          <w:szCs w:val="24"/>
        </w:rPr>
      </w:pPr>
      <w:r>
        <w:rPr>
          <w:rFonts w:hint="eastAsia" w:ascii="黑体" w:hAnsi="黑体" w:eastAsia="黑体"/>
          <w:sz w:val="24"/>
          <w:szCs w:val="24"/>
        </w:rPr>
        <w:t>技术负责人：杜与德，城乡规划学，城乡规划高级工程师</w:t>
      </w:r>
    </w:p>
    <w:p>
      <w:pPr>
        <w:spacing w:before="312" w:beforeLines="100"/>
        <w:ind w:firstLine="0" w:firstLineChars="0"/>
        <w:jc w:val="left"/>
        <w:rPr>
          <w:rFonts w:ascii="黑体" w:hAnsi="黑体" w:eastAsia="黑体"/>
          <w:sz w:val="24"/>
          <w:szCs w:val="24"/>
        </w:rPr>
      </w:pPr>
      <w:r>
        <w:rPr>
          <w:rFonts w:hint="eastAsia" w:ascii="黑体" w:hAnsi="黑体" w:eastAsia="黑体"/>
          <w:sz w:val="24"/>
          <w:szCs w:val="24"/>
        </w:rPr>
        <w:t xml:space="preserve">校 </w:t>
      </w:r>
      <w:r>
        <w:rPr>
          <w:rFonts w:ascii="黑体" w:hAnsi="黑体" w:eastAsia="黑体"/>
          <w:sz w:val="24"/>
          <w:szCs w:val="24"/>
        </w:rPr>
        <w:t xml:space="preserve"> </w:t>
      </w:r>
      <w:r>
        <w:rPr>
          <w:rFonts w:hint="eastAsia" w:ascii="黑体" w:hAnsi="黑体" w:eastAsia="黑体"/>
          <w:sz w:val="24"/>
          <w:szCs w:val="24"/>
        </w:rPr>
        <w:t xml:space="preserve">对 </w:t>
      </w:r>
      <w:r>
        <w:rPr>
          <w:rFonts w:ascii="黑体" w:hAnsi="黑体" w:eastAsia="黑体"/>
          <w:sz w:val="24"/>
          <w:szCs w:val="24"/>
        </w:rPr>
        <w:t xml:space="preserve"> </w:t>
      </w:r>
      <w:r>
        <w:rPr>
          <w:rFonts w:hint="eastAsia" w:ascii="黑体" w:hAnsi="黑体" w:eastAsia="黑体"/>
          <w:sz w:val="24"/>
          <w:szCs w:val="24"/>
        </w:rPr>
        <w:t>人：李源霖，城乡规划学，城乡规划工程师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曹伟键，城乡规划学，城乡规划工程师</w:t>
      </w:r>
    </w:p>
    <w:p>
      <w:pPr>
        <w:spacing w:before="312" w:beforeLines="100"/>
        <w:ind w:firstLine="0" w:firstLineChars="0"/>
        <w:jc w:val="left"/>
        <w:rPr>
          <w:rFonts w:ascii="黑体" w:hAnsi="黑体" w:eastAsia="黑体"/>
          <w:sz w:val="24"/>
          <w:szCs w:val="24"/>
        </w:rPr>
      </w:pPr>
      <w:bookmarkStart w:id="2" w:name="_Hlk203382230"/>
      <w:r>
        <w:rPr>
          <w:rFonts w:hint="eastAsia" w:ascii="黑体" w:hAnsi="黑体" w:eastAsia="黑体"/>
          <w:sz w:val="24"/>
          <w:szCs w:val="24"/>
        </w:rPr>
        <w:t>项目组成员：曹伟键，城乡规划学，城乡规划工程师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李源霖，城乡规划学，城乡规划工程师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曹 </w:t>
      </w:r>
      <w:r>
        <w:rPr>
          <w:rFonts w:ascii="黑体" w:hAnsi="黑体" w:eastAsia="黑体"/>
          <w:sz w:val="24"/>
          <w:szCs w:val="24"/>
        </w:rPr>
        <w:t xml:space="preserve"> </w:t>
      </w:r>
      <w:r>
        <w:rPr>
          <w:rFonts w:hint="eastAsia" w:ascii="黑体" w:hAnsi="黑体" w:eastAsia="黑体"/>
          <w:sz w:val="24"/>
          <w:szCs w:val="24"/>
        </w:rPr>
        <w:t>航，城乡规划学，城乡规划工程师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郑丽璇，城乡规划学，城乡规划助理工程师</w:t>
      </w:r>
    </w:p>
    <w:p>
      <w:pPr>
        <w:ind w:firstLine="1440" w:firstLineChars="600"/>
        <w:jc w:val="left"/>
        <w:rPr>
          <w:rFonts w:ascii="黑体" w:hAnsi="黑体" w:eastAsia="黑体"/>
          <w:sz w:val="24"/>
          <w:szCs w:val="24"/>
        </w:rPr>
      </w:pPr>
      <w:r>
        <w:rPr>
          <w:rFonts w:hint="eastAsia" w:ascii="黑体" w:hAnsi="黑体" w:eastAsia="黑体"/>
          <w:sz w:val="24"/>
          <w:szCs w:val="24"/>
        </w:rPr>
        <w:t>郑士祺，城乡规划学，城乡规划助理工程师</w:t>
      </w:r>
    </w:p>
    <w:p>
      <w:pPr>
        <w:ind w:firstLine="1440" w:firstLineChars="600"/>
        <w:jc w:val="left"/>
        <w:rPr>
          <w:rFonts w:ascii="黑体" w:hAnsi="黑体" w:eastAsia="黑体"/>
          <w:sz w:val="24"/>
          <w:szCs w:val="24"/>
        </w:rPr>
      </w:pPr>
      <w:r>
        <w:rPr>
          <w:rFonts w:hint="eastAsia" w:ascii="黑体" w:hAnsi="黑体" w:eastAsia="黑体"/>
          <w:sz w:val="24"/>
          <w:szCs w:val="24"/>
        </w:rPr>
        <w:t>林雨桐，城乡规划学，城乡规划工程师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单田卉，城乡规划学，城乡规划工程师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吴 </w:t>
      </w:r>
      <w:r>
        <w:rPr>
          <w:rFonts w:ascii="黑体" w:hAnsi="黑体" w:eastAsia="黑体"/>
          <w:sz w:val="24"/>
          <w:szCs w:val="24"/>
        </w:rPr>
        <w:t xml:space="preserve"> </w:t>
      </w:r>
      <w:r>
        <w:rPr>
          <w:rFonts w:hint="eastAsia" w:ascii="黑体" w:hAnsi="黑体" w:eastAsia="黑体"/>
          <w:sz w:val="24"/>
          <w:szCs w:val="24"/>
        </w:rPr>
        <w:t xml:space="preserve">昊，建 </w:t>
      </w:r>
      <w:r>
        <w:rPr>
          <w:rFonts w:ascii="黑体" w:hAnsi="黑体" w:eastAsia="黑体"/>
          <w:sz w:val="24"/>
          <w:szCs w:val="24"/>
        </w:rPr>
        <w:t xml:space="preserve"> </w:t>
      </w:r>
      <w:r>
        <w:rPr>
          <w:rFonts w:hint="eastAsia" w:ascii="黑体" w:hAnsi="黑体" w:eastAsia="黑体"/>
          <w:sz w:val="24"/>
          <w:szCs w:val="24"/>
        </w:rPr>
        <w:t xml:space="preserve">筑 </w:t>
      </w:r>
      <w:r>
        <w:rPr>
          <w:rFonts w:ascii="黑体" w:hAnsi="黑体" w:eastAsia="黑体"/>
          <w:sz w:val="24"/>
          <w:szCs w:val="24"/>
        </w:rPr>
        <w:t xml:space="preserve"> </w:t>
      </w:r>
      <w:r>
        <w:rPr>
          <w:rFonts w:hint="eastAsia" w:ascii="黑体" w:hAnsi="黑体" w:eastAsia="黑体"/>
          <w:sz w:val="24"/>
          <w:szCs w:val="24"/>
        </w:rPr>
        <w:t>学，建筑学工程师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闫 </w:t>
      </w:r>
      <w:r>
        <w:rPr>
          <w:rFonts w:ascii="黑体" w:hAnsi="黑体" w:eastAsia="黑体"/>
          <w:sz w:val="24"/>
          <w:szCs w:val="24"/>
        </w:rPr>
        <w:t xml:space="preserve"> </w:t>
      </w:r>
      <w:r>
        <w:rPr>
          <w:rFonts w:hint="eastAsia" w:ascii="黑体" w:hAnsi="黑体" w:eastAsia="黑体"/>
          <w:sz w:val="24"/>
          <w:szCs w:val="24"/>
        </w:rPr>
        <w:t xml:space="preserve">瑞，建 </w:t>
      </w:r>
      <w:r>
        <w:rPr>
          <w:rFonts w:ascii="黑体" w:hAnsi="黑体" w:eastAsia="黑体"/>
          <w:sz w:val="24"/>
          <w:szCs w:val="24"/>
        </w:rPr>
        <w:t xml:space="preserve"> </w:t>
      </w:r>
      <w:r>
        <w:rPr>
          <w:rFonts w:hint="eastAsia" w:ascii="黑体" w:hAnsi="黑体" w:eastAsia="黑体"/>
          <w:sz w:val="24"/>
          <w:szCs w:val="24"/>
        </w:rPr>
        <w:t>筑  学，建筑学工程师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吕志濠，建 </w:t>
      </w:r>
      <w:r>
        <w:rPr>
          <w:rFonts w:ascii="黑体" w:hAnsi="黑体" w:eastAsia="黑体"/>
          <w:sz w:val="24"/>
          <w:szCs w:val="24"/>
        </w:rPr>
        <w:t xml:space="preserve"> </w:t>
      </w:r>
      <w:r>
        <w:rPr>
          <w:rFonts w:hint="eastAsia" w:ascii="黑体" w:hAnsi="黑体" w:eastAsia="黑体"/>
          <w:sz w:val="24"/>
          <w:szCs w:val="24"/>
        </w:rPr>
        <w:t>筑  学，建筑学助理工程师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王雄彬，建 </w:t>
      </w:r>
      <w:r>
        <w:rPr>
          <w:rFonts w:ascii="黑体" w:hAnsi="黑体" w:eastAsia="黑体"/>
          <w:sz w:val="24"/>
          <w:szCs w:val="24"/>
        </w:rPr>
        <w:t xml:space="preserve"> </w:t>
      </w:r>
      <w:r>
        <w:rPr>
          <w:rFonts w:hint="eastAsia" w:ascii="黑体" w:hAnsi="黑体" w:eastAsia="黑体"/>
          <w:sz w:val="24"/>
          <w:szCs w:val="24"/>
        </w:rPr>
        <w:t>筑  学，建筑学助理工程师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岑炜钊，建 </w:t>
      </w:r>
      <w:r>
        <w:rPr>
          <w:rFonts w:ascii="黑体" w:hAnsi="黑体" w:eastAsia="黑体"/>
          <w:sz w:val="24"/>
          <w:szCs w:val="24"/>
        </w:rPr>
        <w:t xml:space="preserve"> </w:t>
      </w:r>
      <w:r>
        <w:rPr>
          <w:rFonts w:hint="eastAsia" w:ascii="黑体" w:hAnsi="黑体" w:eastAsia="黑体"/>
          <w:sz w:val="24"/>
          <w:szCs w:val="24"/>
        </w:rPr>
        <w:t>筑  学，建筑学助理工程师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邓英锋，建 </w:t>
      </w:r>
      <w:r>
        <w:rPr>
          <w:rFonts w:ascii="黑体" w:hAnsi="黑体" w:eastAsia="黑体"/>
          <w:sz w:val="24"/>
          <w:szCs w:val="24"/>
        </w:rPr>
        <w:t xml:space="preserve"> </w:t>
      </w:r>
      <w:r>
        <w:rPr>
          <w:rFonts w:hint="eastAsia" w:ascii="黑体" w:hAnsi="黑体" w:eastAsia="黑体"/>
          <w:sz w:val="24"/>
          <w:szCs w:val="24"/>
        </w:rPr>
        <w:t>筑  学，建筑学助理工程师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朱派丰，建 </w:t>
      </w:r>
      <w:r>
        <w:rPr>
          <w:rFonts w:ascii="黑体" w:hAnsi="黑体" w:eastAsia="黑体"/>
          <w:sz w:val="24"/>
          <w:szCs w:val="24"/>
        </w:rPr>
        <w:t xml:space="preserve"> </w:t>
      </w:r>
      <w:r>
        <w:rPr>
          <w:rFonts w:hint="eastAsia" w:ascii="黑体" w:hAnsi="黑体" w:eastAsia="黑体"/>
          <w:sz w:val="24"/>
          <w:szCs w:val="24"/>
        </w:rPr>
        <w:t xml:space="preserve">筑 </w:t>
      </w:r>
      <w:r>
        <w:rPr>
          <w:rFonts w:ascii="黑体" w:hAnsi="黑体" w:eastAsia="黑体"/>
          <w:sz w:val="24"/>
          <w:szCs w:val="24"/>
        </w:rPr>
        <w:t xml:space="preserve"> </w:t>
      </w:r>
      <w:r>
        <w:rPr>
          <w:rFonts w:hint="eastAsia" w:ascii="黑体" w:hAnsi="黑体" w:eastAsia="黑体"/>
          <w:sz w:val="24"/>
          <w:szCs w:val="24"/>
        </w:rPr>
        <w:t>学，建筑学助理工程师</w:t>
      </w:r>
    </w:p>
    <w:bookmarkEnd w:id="2"/>
    <w:p>
      <w:pPr>
        <w:spacing w:before="312" w:beforeLines="100"/>
        <w:ind w:firstLine="0" w:firstLineChars="0"/>
        <w:jc w:val="left"/>
        <w:rPr>
          <w:rFonts w:ascii="黑体" w:hAnsi="黑体" w:eastAsia="黑体"/>
          <w:sz w:val="24"/>
          <w:szCs w:val="24"/>
        </w:rPr>
      </w:pPr>
      <w:bookmarkStart w:id="3" w:name="_Hlk203382300"/>
      <w:r>
        <w:rPr>
          <w:rFonts w:hint="eastAsia" w:ascii="黑体" w:hAnsi="黑体" w:eastAsia="黑体"/>
          <w:sz w:val="24"/>
          <w:szCs w:val="24"/>
        </w:rPr>
        <w:t xml:space="preserve">协编成员： </w:t>
      </w:r>
      <w:r>
        <w:rPr>
          <w:rFonts w:ascii="黑体" w:hAnsi="黑体" w:eastAsia="黑体"/>
          <w:sz w:val="24"/>
          <w:szCs w:val="24"/>
        </w:rPr>
        <w:t xml:space="preserve"> </w:t>
      </w:r>
      <w:r>
        <w:rPr>
          <w:rFonts w:hint="eastAsia" w:ascii="黑体" w:hAnsi="黑体" w:eastAsia="黑体"/>
          <w:sz w:val="24"/>
          <w:szCs w:val="24"/>
        </w:rPr>
        <w:t>陈向前，南雄市住房和城乡建设局，城乡规划高级工程师</w:t>
      </w:r>
    </w:p>
    <w:p>
      <w:pPr>
        <w:ind w:firstLine="1440" w:firstLineChars="600"/>
        <w:jc w:val="left"/>
        <w:rPr>
          <w:rFonts w:ascii="黑体" w:hAnsi="黑体" w:eastAsia="黑体"/>
          <w:sz w:val="24"/>
          <w:szCs w:val="24"/>
        </w:rPr>
      </w:pPr>
      <w:r>
        <w:rPr>
          <w:rFonts w:hint="eastAsia" w:ascii="黑体" w:hAnsi="黑体" w:eastAsia="黑体"/>
          <w:sz w:val="24"/>
          <w:szCs w:val="24"/>
        </w:rPr>
        <w:t>万丽娟，南雄市住房和城乡建设局，建筑工程管理工程师</w:t>
      </w:r>
    </w:p>
    <w:p>
      <w:pPr>
        <w:ind w:firstLine="1440" w:firstLineChars="600"/>
        <w:jc w:val="left"/>
        <w:rPr>
          <w:rFonts w:ascii="黑体" w:hAnsi="黑体" w:eastAsia="黑体"/>
          <w:sz w:val="24"/>
          <w:szCs w:val="24"/>
        </w:rPr>
      </w:pPr>
      <w:r>
        <w:rPr>
          <w:rFonts w:hint="eastAsia" w:ascii="黑体" w:hAnsi="黑体" w:eastAsia="黑体"/>
          <w:sz w:val="24"/>
          <w:szCs w:val="24"/>
        </w:rPr>
        <w:t>黄功君，南雄市自然资源局，城乡规划工程师</w:t>
      </w:r>
    </w:p>
    <w:p>
      <w:pPr>
        <w:ind w:firstLine="1440" w:firstLineChars="600"/>
        <w:jc w:val="left"/>
        <w:rPr>
          <w:rFonts w:ascii="黑体" w:hAnsi="黑体" w:eastAsia="黑体"/>
          <w:sz w:val="24"/>
          <w:szCs w:val="24"/>
        </w:rPr>
      </w:pPr>
      <w:r>
        <w:rPr>
          <w:rFonts w:hint="eastAsia" w:ascii="黑体" w:hAnsi="黑体" w:eastAsia="黑体"/>
          <w:sz w:val="24"/>
          <w:szCs w:val="24"/>
        </w:rPr>
        <w:t xml:space="preserve">汪 </w:t>
      </w:r>
      <w:r>
        <w:rPr>
          <w:rFonts w:ascii="黑体" w:hAnsi="黑体" w:eastAsia="黑体"/>
          <w:sz w:val="24"/>
          <w:szCs w:val="24"/>
        </w:rPr>
        <w:t xml:space="preserve"> </w:t>
      </w:r>
      <w:r>
        <w:rPr>
          <w:rFonts w:hint="eastAsia" w:ascii="黑体" w:hAnsi="黑体" w:eastAsia="黑体"/>
          <w:sz w:val="24"/>
          <w:szCs w:val="24"/>
        </w:rPr>
        <w:t>璐，南雄市城市建设规划服务中心，建筑学工程师</w:t>
      </w:r>
    </w:p>
    <w:bookmarkEnd w:id="3"/>
    <w:p>
      <w:pPr>
        <w:ind w:firstLine="0" w:firstLineChars="0"/>
        <w:jc w:val="center"/>
        <w:rPr>
          <w:rFonts w:ascii="黑体" w:hAnsi="黑体" w:eastAsia="黑体"/>
          <w:b/>
          <w:bCs/>
          <w:sz w:val="28"/>
          <w:szCs w:val="28"/>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737" w:gutter="0"/>
          <w:pgNumType w:start="0"/>
          <w:cols w:space="425" w:num="1"/>
          <w:titlePg/>
          <w:docGrid w:type="lines" w:linePitch="312" w:charSpace="0"/>
        </w:sectPr>
      </w:pPr>
    </w:p>
    <w:sdt>
      <w:sdtPr>
        <w:rPr>
          <w:rFonts w:ascii="宋体" w:hAnsi="宋体" w:eastAsia="宋体" w:cstheme="minorBidi"/>
          <w:color w:val="auto"/>
          <w:kern w:val="2"/>
          <w:sz w:val="21"/>
          <w:szCs w:val="22"/>
          <w:lang w:val="zh-CN"/>
        </w:rPr>
        <w:id w:val="-1980366242"/>
        <w:docPartObj>
          <w:docPartGallery w:val="Table of Contents"/>
          <w:docPartUnique/>
        </w:docPartObj>
      </w:sdtPr>
      <w:sdtEndPr>
        <w:rPr>
          <w:rFonts w:ascii="宋体" w:hAnsi="宋体" w:eastAsia="宋体" w:cstheme="minorBidi"/>
          <w:b/>
          <w:bCs/>
          <w:color w:val="auto"/>
          <w:kern w:val="2"/>
          <w:sz w:val="21"/>
          <w:szCs w:val="22"/>
          <w:lang w:val="zh-CN"/>
        </w:rPr>
      </w:sdtEndPr>
      <w:sdtContent>
        <w:p>
          <w:pPr>
            <w:pStyle w:val="48"/>
            <w:numPr>
              <w:ilvl w:val="0"/>
              <w:numId w:val="0"/>
            </w:numPr>
            <w:ind w:left="420"/>
            <w:jc w:val="center"/>
            <w:rPr>
              <w:rFonts w:ascii="仿宋" w:hAnsi="仿宋" w:eastAsia="仿宋"/>
              <w:b/>
              <w:bCs/>
              <w:color w:val="auto"/>
            </w:rPr>
          </w:pPr>
          <w:bookmarkStart w:id="4" w:name="_Toc77610776"/>
          <w:r>
            <w:rPr>
              <w:rFonts w:ascii="仿宋" w:hAnsi="仿宋" w:eastAsia="仿宋"/>
              <w:b/>
              <w:bCs/>
              <w:color w:val="auto"/>
              <w:lang w:val="zh-CN"/>
            </w:rPr>
            <w:t>目录</w:t>
          </w:r>
        </w:p>
        <w:p>
          <w:pPr>
            <w:pStyle w:val="23"/>
            <w:tabs>
              <w:tab w:val="right" w:leader="dot" w:pos="9736"/>
            </w:tabs>
            <w:ind w:firstLine="420"/>
            <w:rPr>
              <w:rFonts w:asciiTheme="minorHAnsi" w:hAnsiTheme="minorHAnsi" w:eastAsiaTheme="minorEastAsia"/>
            </w:rPr>
          </w:pPr>
          <w:r>
            <w:fldChar w:fldCharType="begin"/>
          </w:r>
          <w:r>
            <w:instrText xml:space="preserve"> TOC \o "1-2" \h \z \u </w:instrText>
          </w:r>
          <w:r>
            <w:fldChar w:fldCharType="separate"/>
          </w:r>
          <w:r>
            <w:fldChar w:fldCharType="begin"/>
          </w:r>
          <w:r>
            <w:instrText xml:space="preserve"> HYPERLINK \l "_Toc204964343" </w:instrText>
          </w:r>
          <w:r>
            <w:fldChar w:fldCharType="separate"/>
          </w:r>
          <w:r>
            <w:rPr>
              <w:rStyle w:val="40"/>
            </w:rPr>
            <w:t>第一章 规划总则</w:t>
          </w:r>
          <w:r>
            <w:tab/>
          </w:r>
          <w:r>
            <w:fldChar w:fldCharType="begin"/>
          </w:r>
          <w:r>
            <w:instrText xml:space="preserve"> PAGEREF _Toc204964343 \h </w:instrText>
          </w:r>
          <w:r>
            <w:fldChar w:fldCharType="separate"/>
          </w:r>
          <w:r>
            <w:t>1</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"_Toc204964344" </w:instrText>
          </w:r>
          <w:r>
            <w:fldChar w:fldCharType="separate"/>
          </w:r>
          <w:r>
            <w:rPr>
              <w:rStyle w:val="40"/>
            </w:rPr>
            <w:t>第二章 保护框架</w:t>
          </w:r>
          <w:r>
            <w:tab/>
          </w:r>
          <w:r>
            <w:fldChar w:fldCharType="begin"/>
          </w:r>
          <w:r>
            <w:instrText xml:space="preserve"> PAGEREF _Toc204964344 \h </w:instrText>
          </w:r>
          <w:r>
            <w:fldChar w:fldCharType="separate"/>
          </w:r>
          <w:r>
            <w:t>5</w:t>
          </w:r>
          <w:r>
            <w:fldChar w:fldCharType="end"/>
          </w:r>
          <w:r>
            <w:fldChar w:fldCharType="end"/>
          </w:r>
        </w:p>
        <w:p>
          <w:pPr>
            <w:pStyle w:val="28"/>
            <w:rPr>
              <w:rFonts w:asciiTheme="minorHAnsi" w:hAnsiTheme="minorHAnsi" w:eastAsiaTheme="minorEastAsia"/>
            </w:rPr>
          </w:pPr>
          <w:r>
            <w:fldChar w:fldCharType="begin"/>
          </w:r>
          <w:r>
            <w:instrText xml:space="preserve"> HYPERLINK \l "_Toc204964345" </w:instrText>
          </w:r>
          <w:r>
            <w:fldChar w:fldCharType="separate"/>
          </w:r>
          <w:r>
            <w:rPr>
              <w:rStyle w:val="40"/>
            </w:rPr>
            <w:t>第一节 名城特色与价值</w:t>
          </w:r>
          <w:r>
            <w:tab/>
          </w:r>
          <w:r>
            <w:fldChar w:fldCharType="begin"/>
          </w:r>
          <w:r>
            <w:instrText xml:space="preserve"> PAGEREF _Toc204964345 \h </w:instrText>
          </w:r>
          <w:r>
            <w:fldChar w:fldCharType="separate"/>
          </w:r>
          <w:r>
            <w:t>5</w:t>
          </w:r>
          <w:r>
            <w:fldChar w:fldCharType="end"/>
          </w:r>
          <w:r>
            <w:fldChar w:fldCharType="end"/>
          </w:r>
        </w:p>
        <w:p>
          <w:pPr>
            <w:pStyle w:val="28"/>
            <w:rPr>
              <w:rFonts w:asciiTheme="minorHAnsi" w:hAnsiTheme="minorHAnsi" w:eastAsiaTheme="minorEastAsia"/>
            </w:rPr>
          </w:pPr>
          <w:r>
            <w:fldChar w:fldCharType="begin"/>
          </w:r>
          <w:r>
            <w:instrText xml:space="preserve"> HYPERLINK \l "_Toc204964346" </w:instrText>
          </w:r>
          <w:r>
            <w:fldChar w:fldCharType="separate"/>
          </w:r>
          <w:r>
            <w:rPr>
              <w:rStyle w:val="40"/>
            </w:rPr>
            <w:t>第二节 保护体系与内容</w:t>
          </w:r>
          <w:r>
            <w:tab/>
          </w:r>
          <w:r>
            <w:fldChar w:fldCharType="begin"/>
          </w:r>
          <w:r>
            <w:instrText xml:space="preserve"> PAGEREF _Toc204964346 \h </w:instrText>
          </w:r>
          <w:r>
            <w:fldChar w:fldCharType="separate"/>
          </w:r>
          <w:r>
            <w:t>7</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"_Toc204964347" </w:instrText>
          </w:r>
          <w:r>
            <w:fldChar w:fldCharType="separate"/>
          </w:r>
          <w:r>
            <w:rPr>
              <w:rStyle w:val="40"/>
            </w:rPr>
            <w:t>第三章 市域的总体保护</w:t>
          </w:r>
          <w:r>
            <w:tab/>
          </w:r>
          <w:r>
            <w:fldChar w:fldCharType="begin"/>
          </w:r>
          <w:r>
            <w:instrText xml:space="preserve"> PAGEREF _Toc204964347 \h </w:instrText>
          </w:r>
          <w:r>
            <w:fldChar w:fldCharType="separate"/>
          </w:r>
          <w:r>
            <w:t>8</w:t>
          </w:r>
          <w:r>
            <w:fldChar w:fldCharType="end"/>
          </w:r>
          <w:r>
            <w:fldChar w:fldCharType="end"/>
          </w:r>
        </w:p>
        <w:p>
          <w:pPr>
            <w:pStyle w:val="28"/>
            <w:rPr>
              <w:rFonts w:asciiTheme="minorHAnsi" w:hAnsiTheme="minorHAnsi" w:eastAsiaTheme="minorEastAsia"/>
            </w:rPr>
          </w:pPr>
          <w:r>
            <w:fldChar w:fldCharType="begin"/>
          </w:r>
          <w:r>
            <w:instrText xml:space="preserve"> HYPERLINK \l "_Toc204964348" </w:instrText>
          </w:r>
          <w:r>
            <w:fldChar w:fldCharType="separate"/>
          </w:r>
          <w:r>
            <w:rPr>
              <w:rStyle w:val="40"/>
            </w:rPr>
            <w:t>第一节 市域总体保护的空间战略</w:t>
          </w:r>
          <w:r>
            <w:tab/>
          </w:r>
          <w:r>
            <w:fldChar w:fldCharType="begin"/>
          </w:r>
          <w:r>
            <w:instrText xml:space="preserve"> PAGEREF _Toc204964348 \h </w:instrText>
          </w:r>
          <w:r>
            <w:fldChar w:fldCharType="separate"/>
          </w:r>
          <w:r>
            <w:t>8</w:t>
          </w:r>
          <w:r>
            <w:fldChar w:fldCharType="end"/>
          </w:r>
          <w:r>
            <w:fldChar w:fldCharType="end"/>
          </w:r>
        </w:p>
        <w:p>
          <w:pPr>
            <w:pStyle w:val="28"/>
            <w:rPr>
              <w:rFonts w:asciiTheme="minorHAnsi" w:hAnsiTheme="minorHAnsi" w:eastAsiaTheme="minorEastAsia"/>
            </w:rPr>
          </w:pPr>
          <w:r>
            <w:fldChar w:fldCharType="begin"/>
          </w:r>
          <w:r>
            <w:instrText xml:space="preserve"> HYPERLINK \l "_Toc204964349" </w:instrText>
          </w:r>
          <w:r>
            <w:fldChar w:fldCharType="separate"/>
          </w:r>
          <w:r>
            <w:rPr>
              <w:rStyle w:val="40"/>
            </w:rPr>
            <w:t>第二节 市域范围的保护重点</w:t>
          </w:r>
          <w:r>
            <w:tab/>
          </w:r>
          <w:r>
            <w:fldChar w:fldCharType="begin"/>
          </w:r>
          <w:r>
            <w:instrText xml:space="preserve"> PAGEREF _Toc204964349 \h </w:instrText>
          </w:r>
          <w:r>
            <w:fldChar w:fldCharType="separate"/>
          </w:r>
          <w:r>
            <w:t>9</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"_Toc204964350" </w:instrText>
          </w:r>
          <w:r>
            <w:fldChar w:fldCharType="separate"/>
          </w:r>
          <w:r>
            <w:rPr>
              <w:rStyle w:val="40"/>
            </w:rPr>
            <w:t>第四章 历史城区的保护</w:t>
          </w:r>
          <w:r>
            <w:tab/>
          </w:r>
          <w:r>
            <w:fldChar w:fldCharType="begin"/>
          </w:r>
          <w:r>
            <w:instrText xml:space="preserve"> PAGEREF _Toc204964350 \h </w:instrText>
          </w:r>
          <w:r>
            <w:fldChar w:fldCharType="separate"/>
          </w:r>
          <w:r>
            <w:t>10</w:t>
          </w:r>
          <w:r>
            <w:fldChar w:fldCharType="end"/>
          </w:r>
          <w:r>
            <w:fldChar w:fldCharType="end"/>
          </w:r>
        </w:p>
        <w:p>
          <w:pPr>
            <w:pStyle w:val="28"/>
            <w:rPr>
              <w:rFonts w:asciiTheme="minorHAnsi" w:hAnsiTheme="minorHAnsi" w:eastAsiaTheme="minorEastAsia"/>
            </w:rPr>
          </w:pPr>
          <w:r>
            <w:fldChar w:fldCharType="begin"/>
          </w:r>
          <w:r>
            <w:instrText xml:space="preserve"> HYPERLINK \l "_Toc204964351" </w:instrText>
          </w:r>
          <w:r>
            <w:fldChar w:fldCharType="separate"/>
          </w:r>
          <w:r>
            <w:rPr>
              <w:rStyle w:val="40"/>
            </w:rPr>
            <w:t>第一节 保护范围与等级</w:t>
          </w:r>
          <w:r>
            <w:tab/>
          </w:r>
          <w:r>
            <w:fldChar w:fldCharType="begin"/>
          </w:r>
          <w:r>
            <w:instrText xml:space="preserve"> PAGEREF _Toc204964351 \h </w:instrText>
          </w:r>
          <w:r>
            <w:fldChar w:fldCharType="separate"/>
          </w:r>
          <w:r>
            <w:t>10</w:t>
          </w:r>
          <w:r>
            <w:fldChar w:fldCharType="end"/>
          </w:r>
          <w:r>
            <w:fldChar w:fldCharType="end"/>
          </w:r>
        </w:p>
        <w:p>
          <w:pPr>
            <w:pStyle w:val="28"/>
            <w:rPr>
              <w:rFonts w:asciiTheme="minorHAnsi" w:hAnsiTheme="minorHAnsi" w:eastAsiaTheme="minorEastAsia"/>
            </w:rPr>
          </w:pPr>
          <w:r>
            <w:fldChar w:fldCharType="begin"/>
          </w:r>
          <w:r>
            <w:instrText xml:space="preserve"> HYPERLINK \l "_Toc204964352" </w:instrText>
          </w:r>
          <w:r>
            <w:fldChar w:fldCharType="separate"/>
          </w:r>
          <w:r>
            <w:rPr>
              <w:rStyle w:val="40"/>
            </w:rPr>
            <w:t>第二节 功能定位与容量控制</w:t>
          </w:r>
          <w:r>
            <w:tab/>
          </w:r>
          <w:r>
            <w:fldChar w:fldCharType="begin"/>
          </w:r>
          <w:r>
            <w:instrText xml:space="preserve"> PAGEREF _Toc204964352 \h </w:instrText>
          </w:r>
          <w:r>
            <w:fldChar w:fldCharType="separate"/>
          </w:r>
          <w:r>
            <w:t>10</w:t>
          </w:r>
          <w:r>
            <w:fldChar w:fldCharType="end"/>
          </w:r>
          <w:r>
            <w:fldChar w:fldCharType="end"/>
          </w:r>
        </w:p>
        <w:p>
          <w:pPr>
            <w:pStyle w:val="28"/>
            <w:rPr>
              <w:rFonts w:asciiTheme="minorHAnsi" w:hAnsiTheme="minorHAnsi" w:eastAsiaTheme="minorEastAsia"/>
            </w:rPr>
          </w:pPr>
          <w:r>
            <w:fldChar w:fldCharType="begin"/>
          </w:r>
          <w:r>
            <w:instrText xml:space="preserve"> HYPERLINK \l "_Toc204964353" </w:instrText>
          </w:r>
          <w:r>
            <w:fldChar w:fldCharType="separate"/>
          </w:r>
          <w:r>
            <w:rPr>
              <w:rStyle w:val="40"/>
            </w:rPr>
            <w:t>第三节 空间格局的保护</w:t>
          </w:r>
          <w:r>
            <w:tab/>
          </w:r>
          <w:r>
            <w:fldChar w:fldCharType="begin"/>
          </w:r>
          <w:r>
            <w:instrText xml:space="preserve"> PAGEREF _Toc204964353 \h </w:instrText>
          </w:r>
          <w:r>
            <w:fldChar w:fldCharType="separate"/>
          </w:r>
          <w:r>
            <w:t>12</w:t>
          </w:r>
          <w:r>
            <w:fldChar w:fldCharType="end"/>
          </w:r>
          <w:r>
            <w:fldChar w:fldCharType="end"/>
          </w:r>
        </w:p>
        <w:p>
          <w:pPr>
            <w:pStyle w:val="28"/>
            <w:rPr>
              <w:rFonts w:asciiTheme="minorHAnsi" w:hAnsiTheme="minorHAnsi" w:eastAsiaTheme="minorEastAsia"/>
            </w:rPr>
          </w:pPr>
          <w:r>
            <w:fldChar w:fldCharType="begin"/>
          </w:r>
          <w:r>
            <w:instrText xml:space="preserve"> HYPERLINK \l "_Toc204964354" </w:instrText>
          </w:r>
          <w:r>
            <w:fldChar w:fldCharType="separate"/>
          </w:r>
          <w:r>
            <w:rPr>
              <w:rStyle w:val="40"/>
            </w:rPr>
            <w:t>第四节 景观风貌控制引导</w:t>
          </w:r>
          <w:r>
            <w:tab/>
          </w:r>
          <w:r>
            <w:fldChar w:fldCharType="begin"/>
          </w:r>
          <w:r>
            <w:instrText xml:space="preserve"> PAGEREF _Toc204964354 \h </w:instrText>
          </w:r>
          <w:r>
            <w:fldChar w:fldCharType="separate"/>
          </w:r>
          <w:r>
            <w:t>13</w:t>
          </w:r>
          <w:r>
            <w:fldChar w:fldCharType="end"/>
          </w:r>
          <w:r>
            <w:fldChar w:fldCharType="end"/>
          </w:r>
        </w:p>
        <w:p>
          <w:pPr>
            <w:pStyle w:val="28"/>
            <w:rPr>
              <w:rFonts w:asciiTheme="minorHAnsi" w:hAnsiTheme="minorHAnsi" w:eastAsiaTheme="minorEastAsia"/>
            </w:rPr>
          </w:pPr>
          <w:r>
            <w:fldChar w:fldCharType="begin"/>
          </w:r>
          <w:r>
            <w:instrText xml:space="preserve"> HYPERLINK \l "_Toc204964355" </w:instrText>
          </w:r>
          <w:r>
            <w:fldChar w:fldCharType="separate"/>
          </w:r>
          <w:r>
            <w:rPr>
              <w:rStyle w:val="40"/>
            </w:rPr>
            <w:t>第五节 建筑高度控制</w:t>
          </w:r>
          <w:r>
            <w:tab/>
          </w:r>
          <w:r>
            <w:fldChar w:fldCharType="begin"/>
          </w:r>
          <w:r>
            <w:instrText xml:space="preserve"> PAGEREF _Toc204964355 \h </w:instrText>
          </w:r>
          <w:r>
            <w:fldChar w:fldCharType="separate"/>
          </w:r>
          <w:r>
            <w:t>16</w:t>
          </w:r>
          <w:r>
            <w:fldChar w:fldCharType="end"/>
          </w:r>
          <w:r>
            <w:fldChar w:fldCharType="end"/>
          </w:r>
        </w:p>
        <w:p>
          <w:pPr>
            <w:pStyle w:val="28"/>
            <w:rPr>
              <w:rFonts w:asciiTheme="minorHAnsi" w:hAnsiTheme="minorHAnsi" w:eastAsiaTheme="minorEastAsia"/>
            </w:rPr>
          </w:pPr>
          <w:r>
            <w:fldChar w:fldCharType="begin"/>
          </w:r>
          <w:r>
            <w:instrText xml:space="preserve"> HYPERLINK \l "_Toc204964356" </w:instrText>
          </w:r>
          <w:r>
            <w:fldChar w:fldCharType="separate"/>
          </w:r>
          <w:r>
            <w:rPr>
              <w:rStyle w:val="40"/>
            </w:rPr>
            <w:t>第六节 环境与设施改善规划</w:t>
          </w:r>
          <w:r>
            <w:tab/>
          </w:r>
          <w:r>
            <w:fldChar w:fldCharType="begin"/>
          </w:r>
          <w:r>
            <w:instrText xml:space="preserve"> PAGEREF _Toc204964356 \h </w:instrText>
          </w:r>
          <w:r>
            <w:fldChar w:fldCharType="separate"/>
          </w:r>
          <w:r>
            <w:t>17</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"_Toc204964357" </w:instrText>
          </w:r>
          <w:r>
            <w:fldChar w:fldCharType="separate"/>
          </w:r>
          <w:r>
            <w:rPr>
              <w:rStyle w:val="40"/>
            </w:rPr>
            <w:t>第五章 历史文化名镇名村和传统村落的保护</w:t>
          </w:r>
          <w:r>
            <w:tab/>
          </w:r>
          <w:r>
            <w:fldChar w:fldCharType="begin"/>
          </w:r>
          <w:r>
            <w:instrText xml:space="preserve"> PAGEREF _Toc204964357 \h </w:instrText>
          </w:r>
          <w:r>
            <w:fldChar w:fldCharType="separate"/>
          </w:r>
          <w:r>
            <w:t>22</w:t>
          </w:r>
          <w:r>
            <w:fldChar w:fldCharType="end"/>
          </w:r>
          <w:r>
            <w:fldChar w:fldCharType="end"/>
          </w:r>
        </w:p>
        <w:p>
          <w:pPr>
            <w:pStyle w:val="28"/>
            <w:rPr>
              <w:rFonts w:asciiTheme="minorHAnsi" w:hAnsiTheme="minorHAnsi" w:eastAsiaTheme="minorEastAsia"/>
            </w:rPr>
          </w:pPr>
          <w:r>
            <w:fldChar w:fldCharType="begin"/>
          </w:r>
          <w:r>
            <w:instrText xml:space="preserve"> HYPERLINK \l "_Toc204964358" </w:instrText>
          </w:r>
          <w:r>
            <w:fldChar w:fldCharType="separate"/>
          </w:r>
          <w:r>
            <w:rPr>
              <w:rStyle w:val="40"/>
            </w:rPr>
            <w:t>第一节 历史文化名镇的保护</w:t>
          </w:r>
          <w:r>
            <w:tab/>
          </w:r>
          <w:r>
            <w:fldChar w:fldCharType="begin"/>
          </w:r>
          <w:r>
            <w:instrText xml:space="preserve"> PAGEREF _Toc204964358 \h </w:instrText>
          </w:r>
          <w:r>
            <w:fldChar w:fldCharType="separate"/>
          </w:r>
          <w:r>
            <w:t>22</w:t>
          </w:r>
          <w:r>
            <w:fldChar w:fldCharType="end"/>
          </w:r>
          <w:r>
            <w:fldChar w:fldCharType="end"/>
          </w:r>
        </w:p>
        <w:p>
          <w:pPr>
            <w:pStyle w:val="28"/>
            <w:rPr>
              <w:rFonts w:asciiTheme="minorHAnsi" w:hAnsiTheme="minorHAnsi" w:eastAsiaTheme="minorEastAsia"/>
            </w:rPr>
          </w:pPr>
          <w:r>
            <w:fldChar w:fldCharType="begin"/>
          </w:r>
          <w:r>
            <w:instrText xml:space="preserve"> HYPERLINK \l "_Toc204964359" </w:instrText>
          </w:r>
          <w:r>
            <w:fldChar w:fldCharType="separate"/>
          </w:r>
          <w:r>
            <w:rPr>
              <w:rStyle w:val="40"/>
            </w:rPr>
            <w:t>第二节 历史文化名村的保护</w:t>
          </w:r>
          <w:r>
            <w:tab/>
          </w:r>
          <w:r>
            <w:fldChar w:fldCharType="begin"/>
          </w:r>
          <w:r>
            <w:instrText xml:space="preserve"> PAGEREF _Toc204964359 \h </w:instrText>
          </w:r>
          <w:r>
            <w:fldChar w:fldCharType="separate"/>
          </w:r>
          <w:r>
            <w:t>24</w:t>
          </w:r>
          <w:r>
            <w:fldChar w:fldCharType="end"/>
          </w:r>
          <w:r>
            <w:fldChar w:fldCharType="end"/>
          </w:r>
        </w:p>
        <w:p>
          <w:pPr>
            <w:pStyle w:val="28"/>
            <w:rPr>
              <w:rFonts w:asciiTheme="minorHAnsi" w:hAnsiTheme="minorHAnsi" w:eastAsiaTheme="minorEastAsia"/>
            </w:rPr>
          </w:pPr>
          <w:r>
            <w:fldChar w:fldCharType="begin"/>
          </w:r>
          <w:r>
            <w:instrText xml:space="preserve"> HYPERLINK \l "_Toc204964360" </w:instrText>
          </w:r>
          <w:r>
            <w:fldChar w:fldCharType="separate"/>
          </w:r>
          <w:r>
            <w:rPr>
              <w:rStyle w:val="40"/>
            </w:rPr>
            <w:t>第三节 传统村落的保护</w:t>
          </w:r>
          <w:r>
            <w:tab/>
          </w:r>
          <w:r>
            <w:fldChar w:fldCharType="begin"/>
          </w:r>
          <w:r>
            <w:instrText xml:space="preserve"> PAGEREF _Toc204964360 \h </w:instrText>
          </w:r>
          <w:r>
            <w:fldChar w:fldCharType="separate"/>
          </w:r>
          <w:r>
            <w:t>26</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"_Toc204964361" </w:instrText>
          </w:r>
          <w:r>
            <w:fldChar w:fldCharType="separate"/>
          </w:r>
          <w:r>
            <w:rPr>
              <w:rStyle w:val="40"/>
            </w:rPr>
            <w:t>第六章 历史文化街区和历史地段的保护</w:t>
          </w:r>
          <w:r>
            <w:tab/>
          </w:r>
          <w:r>
            <w:fldChar w:fldCharType="begin"/>
          </w:r>
          <w:r>
            <w:instrText xml:space="preserve"> PAGEREF _Toc204964361 \h </w:instrText>
          </w:r>
          <w:r>
            <w:fldChar w:fldCharType="separate"/>
          </w:r>
          <w:r>
            <w:t>28</w:t>
          </w:r>
          <w:r>
            <w:fldChar w:fldCharType="end"/>
          </w:r>
          <w:r>
            <w:fldChar w:fldCharType="end"/>
          </w:r>
        </w:p>
        <w:p>
          <w:pPr>
            <w:pStyle w:val="28"/>
            <w:rPr>
              <w:rFonts w:asciiTheme="minorHAnsi" w:hAnsiTheme="minorHAnsi" w:eastAsiaTheme="minorEastAsia"/>
            </w:rPr>
          </w:pPr>
          <w:r>
            <w:fldChar w:fldCharType="begin"/>
          </w:r>
          <w:r>
            <w:instrText xml:space="preserve"> HYPERLINK \l "_Toc204964362" </w:instrText>
          </w:r>
          <w:r>
            <w:fldChar w:fldCharType="separate"/>
          </w:r>
          <w:r>
            <w:rPr>
              <w:rStyle w:val="40"/>
            </w:rPr>
            <w:t>第一节 历史文化街区的保护</w:t>
          </w:r>
          <w:r>
            <w:tab/>
          </w:r>
          <w:r>
            <w:fldChar w:fldCharType="begin"/>
          </w:r>
          <w:r>
            <w:instrText xml:space="preserve"> PAGEREF _Toc204964362 \h </w:instrText>
          </w:r>
          <w:r>
            <w:fldChar w:fldCharType="separate"/>
          </w:r>
          <w:r>
            <w:t>28</w:t>
          </w:r>
          <w:r>
            <w:fldChar w:fldCharType="end"/>
          </w:r>
          <w:r>
            <w:fldChar w:fldCharType="end"/>
          </w:r>
        </w:p>
        <w:p>
          <w:pPr>
            <w:pStyle w:val="28"/>
            <w:rPr>
              <w:rFonts w:asciiTheme="minorHAnsi" w:hAnsiTheme="minorHAnsi" w:eastAsiaTheme="minorEastAsia"/>
            </w:rPr>
          </w:pPr>
          <w:r>
            <w:fldChar w:fldCharType="begin"/>
          </w:r>
          <w:r>
            <w:instrText xml:space="preserve"> HYPERLINK \l "_Toc204964363" </w:instrText>
          </w:r>
          <w:r>
            <w:fldChar w:fldCharType="separate"/>
          </w:r>
          <w:r>
            <w:rPr>
              <w:rStyle w:val="40"/>
            </w:rPr>
            <w:t>第二节 历史地段的保护</w:t>
          </w:r>
          <w:r>
            <w:tab/>
          </w:r>
          <w:r>
            <w:fldChar w:fldCharType="begin"/>
          </w:r>
          <w:r>
            <w:instrText xml:space="preserve"> PAGEREF _Toc204964363 \h </w:instrText>
          </w:r>
          <w:r>
            <w:fldChar w:fldCharType="separate"/>
          </w:r>
          <w:r>
            <w:t>29</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"_Toc204964364" </w:instrText>
          </w:r>
          <w:r>
            <w:fldChar w:fldCharType="separate"/>
          </w:r>
          <w:r>
            <w:rPr>
              <w:rStyle w:val="40"/>
            </w:rPr>
            <w:t>第七章 文物古迹的保护</w:t>
          </w:r>
          <w:r>
            <w:tab/>
          </w:r>
          <w:r>
            <w:fldChar w:fldCharType="begin"/>
          </w:r>
          <w:r>
            <w:instrText xml:space="preserve"> PAGEREF _Toc204964364 \h </w:instrText>
          </w:r>
          <w:r>
            <w:fldChar w:fldCharType="separate"/>
          </w:r>
          <w:r>
            <w:t>33</w:t>
          </w:r>
          <w:r>
            <w:fldChar w:fldCharType="end"/>
          </w:r>
          <w:r>
            <w:fldChar w:fldCharType="end"/>
          </w:r>
        </w:p>
        <w:p>
          <w:pPr>
            <w:pStyle w:val="28"/>
            <w:rPr>
              <w:rFonts w:asciiTheme="minorHAnsi" w:hAnsiTheme="minorHAnsi" w:eastAsiaTheme="minorEastAsia"/>
            </w:rPr>
          </w:pPr>
          <w:r>
            <w:fldChar w:fldCharType="begin"/>
          </w:r>
          <w:r>
            <w:instrText xml:space="preserve"> HYPERLINK \l "_Toc204964365" </w:instrText>
          </w:r>
          <w:r>
            <w:fldChar w:fldCharType="separate"/>
          </w:r>
          <w:r>
            <w:rPr>
              <w:rStyle w:val="40"/>
            </w:rPr>
            <w:t>第一节 文物保护单位的保护</w:t>
          </w:r>
          <w:r>
            <w:tab/>
          </w:r>
          <w:r>
            <w:fldChar w:fldCharType="begin"/>
          </w:r>
          <w:r>
            <w:instrText xml:space="preserve"> PAGEREF _Toc204964365 \h </w:instrText>
          </w:r>
          <w:r>
            <w:fldChar w:fldCharType="separate"/>
          </w:r>
          <w:r>
            <w:t>33</w:t>
          </w:r>
          <w:r>
            <w:fldChar w:fldCharType="end"/>
          </w:r>
          <w:r>
            <w:fldChar w:fldCharType="end"/>
          </w:r>
        </w:p>
        <w:p>
          <w:pPr>
            <w:pStyle w:val="28"/>
            <w:rPr>
              <w:rFonts w:asciiTheme="minorHAnsi" w:hAnsiTheme="minorHAnsi" w:eastAsiaTheme="minorEastAsia"/>
            </w:rPr>
          </w:pPr>
          <w:r>
            <w:fldChar w:fldCharType="begin"/>
          </w:r>
          <w:r>
            <w:instrText xml:space="preserve"> HYPERLINK \l "_Toc204964366" </w:instrText>
          </w:r>
          <w:r>
            <w:fldChar w:fldCharType="separate"/>
          </w:r>
          <w:r>
            <w:rPr>
              <w:rStyle w:val="40"/>
            </w:rPr>
            <w:t>第二节 未定级不可移动文物的保护</w:t>
          </w:r>
          <w:r>
            <w:tab/>
          </w:r>
          <w:r>
            <w:fldChar w:fldCharType="begin"/>
          </w:r>
          <w:r>
            <w:instrText xml:space="preserve"> PAGEREF _Toc204964366 \h </w:instrText>
          </w:r>
          <w:r>
            <w:fldChar w:fldCharType="separate"/>
          </w:r>
          <w:r>
            <w:t>35</w:t>
          </w:r>
          <w:r>
            <w:fldChar w:fldCharType="end"/>
          </w:r>
          <w:r>
            <w:fldChar w:fldCharType="end"/>
          </w:r>
        </w:p>
        <w:p>
          <w:pPr>
            <w:pStyle w:val="28"/>
            <w:rPr>
              <w:rFonts w:asciiTheme="minorHAnsi" w:hAnsiTheme="minorHAnsi" w:eastAsiaTheme="minorEastAsia"/>
            </w:rPr>
          </w:pPr>
          <w:r>
            <w:fldChar w:fldCharType="begin"/>
          </w:r>
          <w:r>
            <w:instrText xml:space="preserve"> HYPERLINK \l "_Toc204964367" </w:instrText>
          </w:r>
          <w:r>
            <w:fldChar w:fldCharType="separate"/>
          </w:r>
          <w:r>
            <w:rPr>
              <w:rStyle w:val="40"/>
            </w:rPr>
            <w:t>第三节 历史建筑的保护</w:t>
          </w:r>
          <w:r>
            <w:tab/>
          </w:r>
          <w:r>
            <w:fldChar w:fldCharType="begin"/>
          </w:r>
          <w:r>
            <w:instrText xml:space="preserve"> PAGEREF _Toc204964367 \h </w:instrText>
          </w:r>
          <w:r>
            <w:fldChar w:fldCharType="separate"/>
          </w:r>
          <w:r>
            <w:t>35</w:t>
          </w:r>
          <w:r>
            <w:fldChar w:fldCharType="end"/>
          </w:r>
          <w:r>
            <w:fldChar w:fldCharType="end"/>
          </w:r>
        </w:p>
        <w:p>
          <w:pPr>
            <w:pStyle w:val="28"/>
            <w:rPr>
              <w:rFonts w:asciiTheme="minorHAnsi" w:hAnsiTheme="minorHAnsi" w:eastAsiaTheme="minorEastAsia"/>
            </w:rPr>
          </w:pPr>
          <w:r>
            <w:fldChar w:fldCharType="begin"/>
          </w:r>
          <w:r>
            <w:instrText xml:space="preserve"> HYPERLINK \l "_Toc204964368" </w:instrText>
          </w:r>
          <w:r>
            <w:fldChar w:fldCharType="separate"/>
          </w:r>
          <w:r>
            <w:rPr>
              <w:rStyle w:val="40"/>
            </w:rPr>
            <w:t>第四节 传统风貌建筑的保护</w:t>
          </w:r>
          <w:r>
            <w:tab/>
          </w:r>
          <w:r>
            <w:fldChar w:fldCharType="begin"/>
          </w:r>
          <w:r>
            <w:instrText xml:space="preserve"> PAGEREF _Toc204964368 \h </w:instrText>
          </w:r>
          <w:r>
            <w:fldChar w:fldCharType="separate"/>
          </w:r>
          <w:r>
            <w:t>36</w:t>
          </w:r>
          <w:r>
            <w:fldChar w:fldCharType="end"/>
          </w:r>
          <w:r>
            <w:fldChar w:fldCharType="end"/>
          </w:r>
        </w:p>
        <w:p>
          <w:pPr>
            <w:pStyle w:val="28"/>
            <w:rPr>
              <w:rFonts w:asciiTheme="minorHAnsi" w:hAnsiTheme="minorHAnsi" w:eastAsiaTheme="minorEastAsia"/>
            </w:rPr>
          </w:pPr>
          <w:r>
            <w:fldChar w:fldCharType="begin"/>
          </w:r>
          <w:r>
            <w:instrText xml:space="preserve"> HYPERLINK \l "_Toc204964369" </w:instrText>
          </w:r>
          <w:r>
            <w:fldChar w:fldCharType="separate"/>
          </w:r>
          <w:r>
            <w:rPr>
              <w:rStyle w:val="40"/>
            </w:rPr>
            <w:t>第五节 其他文物古迹的保护</w:t>
          </w:r>
          <w:r>
            <w:tab/>
          </w:r>
          <w:r>
            <w:fldChar w:fldCharType="begin"/>
          </w:r>
          <w:r>
            <w:instrText xml:space="preserve"> PAGEREF _Toc204964369 \h </w:instrText>
          </w:r>
          <w:r>
            <w:fldChar w:fldCharType="separate"/>
          </w:r>
          <w:r>
            <w:t>37</w:t>
          </w:r>
          <w:r>
            <w:fldChar w:fldCharType="end"/>
          </w:r>
          <w:r>
            <w:fldChar w:fldCharType="end"/>
          </w:r>
        </w:p>
        <w:p>
          <w:pPr>
            <w:pStyle w:val="28"/>
            <w:rPr>
              <w:rFonts w:asciiTheme="minorHAnsi" w:hAnsiTheme="minorHAnsi" w:eastAsiaTheme="minorEastAsia"/>
            </w:rPr>
          </w:pPr>
          <w:r>
            <w:fldChar w:fldCharType="begin"/>
          </w:r>
          <w:r>
            <w:instrText xml:space="preserve"> HYPERLINK \l "_Toc204964370" </w:instrText>
          </w:r>
          <w:r>
            <w:fldChar w:fldCharType="separate"/>
          </w:r>
          <w:r>
            <w:rPr>
              <w:rStyle w:val="40"/>
            </w:rPr>
            <w:t>第六节 地下文物埋藏区的保护</w:t>
          </w:r>
          <w:r>
            <w:tab/>
          </w:r>
          <w:r>
            <w:fldChar w:fldCharType="begin"/>
          </w:r>
          <w:r>
            <w:instrText xml:space="preserve"> PAGEREF _Toc204964370 \h </w:instrText>
          </w:r>
          <w:r>
            <w:fldChar w:fldCharType="separate"/>
          </w:r>
          <w:r>
            <w:t>40</w:t>
          </w:r>
          <w:r>
            <w:fldChar w:fldCharType="end"/>
          </w:r>
          <w:r>
            <w:fldChar w:fldCharType="end"/>
          </w:r>
        </w:p>
        <w:p>
          <w:pPr>
            <w:pStyle w:val="28"/>
            <w:rPr>
              <w:rFonts w:asciiTheme="minorHAnsi" w:hAnsiTheme="minorHAnsi" w:eastAsiaTheme="minorEastAsia"/>
            </w:rPr>
          </w:pPr>
          <w:r>
            <w:fldChar w:fldCharType="begin"/>
          </w:r>
          <w:r>
            <w:instrText xml:space="preserve"> HYPERLINK \l "_Toc204964371" </w:instrText>
          </w:r>
          <w:r>
            <w:fldChar w:fldCharType="separate"/>
          </w:r>
          <w:r>
            <w:rPr>
              <w:rStyle w:val="40"/>
            </w:rPr>
            <w:t>第七节 历史环境要素的保护</w:t>
          </w:r>
          <w:r>
            <w:tab/>
          </w:r>
          <w:r>
            <w:fldChar w:fldCharType="begin"/>
          </w:r>
          <w:r>
            <w:instrText xml:space="preserve"> PAGEREF _Toc204964371 \h </w:instrText>
          </w:r>
          <w:r>
            <w:fldChar w:fldCharType="separate"/>
          </w:r>
          <w:r>
            <w:t>41</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"_Toc204964372" </w:instrText>
          </w:r>
          <w:r>
            <w:fldChar w:fldCharType="separate"/>
          </w:r>
          <w:r>
            <w:rPr>
              <w:rStyle w:val="40"/>
            </w:rPr>
            <w:t>第八章 非物质文化遗产的保护</w:t>
          </w:r>
          <w:r>
            <w:tab/>
          </w:r>
          <w:r>
            <w:fldChar w:fldCharType="begin"/>
          </w:r>
          <w:r>
            <w:instrText xml:space="preserve"> PAGEREF _Toc204964372 \h </w:instrText>
          </w:r>
          <w:r>
            <w:fldChar w:fldCharType="separate"/>
          </w:r>
          <w:r>
            <w:t>42</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"_Toc204964373" </w:instrText>
          </w:r>
          <w:r>
            <w:fldChar w:fldCharType="separate"/>
          </w:r>
          <w:r>
            <w:rPr>
              <w:rStyle w:val="40"/>
            </w:rPr>
            <w:t>第九章 历史文化遗产的展示和利用</w:t>
          </w:r>
          <w:r>
            <w:tab/>
          </w:r>
          <w:r>
            <w:fldChar w:fldCharType="begin"/>
          </w:r>
          <w:r>
            <w:instrText xml:space="preserve"> PAGEREF _Toc204964373 \h </w:instrText>
          </w:r>
          <w:r>
            <w:fldChar w:fldCharType="separate"/>
          </w:r>
          <w:r>
            <w:t>43</w:t>
          </w:r>
          <w:r>
            <w:fldChar w:fldCharType="end"/>
          </w:r>
          <w:r>
            <w:fldChar w:fldCharType="end"/>
          </w:r>
        </w:p>
        <w:p>
          <w:pPr>
            <w:pStyle w:val="28"/>
            <w:rPr>
              <w:rFonts w:asciiTheme="minorHAnsi" w:hAnsiTheme="minorHAnsi" w:eastAsiaTheme="minorEastAsia"/>
            </w:rPr>
          </w:pPr>
          <w:r>
            <w:fldChar w:fldCharType="begin"/>
          </w:r>
          <w:r>
            <w:instrText xml:space="preserve"> HYPERLINK \l "_Toc204964374" </w:instrText>
          </w:r>
          <w:r>
            <w:fldChar w:fldCharType="separate"/>
          </w:r>
          <w:r>
            <w:rPr>
              <w:rStyle w:val="40"/>
            </w:rPr>
            <w:t>第一节 展示与利用体系</w:t>
          </w:r>
          <w:r>
            <w:tab/>
          </w:r>
          <w:r>
            <w:fldChar w:fldCharType="begin"/>
          </w:r>
          <w:r>
            <w:instrText xml:space="preserve"> PAGEREF _Toc204964374 \h </w:instrText>
          </w:r>
          <w:r>
            <w:fldChar w:fldCharType="separate"/>
          </w:r>
          <w:r>
            <w:t>43</w:t>
          </w:r>
          <w:r>
            <w:fldChar w:fldCharType="end"/>
          </w:r>
          <w:r>
            <w:fldChar w:fldCharType="end"/>
          </w:r>
        </w:p>
        <w:p>
          <w:pPr>
            <w:pStyle w:val="28"/>
            <w:rPr>
              <w:rFonts w:asciiTheme="minorHAnsi" w:hAnsiTheme="minorHAnsi" w:eastAsiaTheme="minorEastAsia"/>
            </w:rPr>
          </w:pPr>
          <w:r>
            <w:fldChar w:fldCharType="begin"/>
          </w:r>
          <w:r>
            <w:instrText xml:space="preserve"> HYPERLINK \l "_Toc204964375" </w:instrText>
          </w:r>
          <w:r>
            <w:fldChar w:fldCharType="separate"/>
          </w:r>
          <w:r>
            <w:rPr>
              <w:rStyle w:val="40"/>
            </w:rPr>
            <w:t>第二节 展示与利用措施</w:t>
          </w:r>
          <w:r>
            <w:tab/>
          </w:r>
          <w:r>
            <w:fldChar w:fldCharType="begin"/>
          </w:r>
          <w:r>
            <w:instrText xml:space="preserve"> PAGEREF _Toc204964375 \h </w:instrText>
          </w:r>
          <w:r>
            <w:fldChar w:fldCharType="separate"/>
          </w:r>
          <w:r>
            <w:t>44</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"_Toc204964376" </w:instrText>
          </w:r>
          <w:r>
            <w:fldChar w:fldCharType="separate"/>
          </w:r>
          <w:r>
            <w:rPr>
              <w:rStyle w:val="40"/>
            </w:rPr>
            <w:t>第十章 分期规划与规划实施措施</w:t>
          </w:r>
          <w:r>
            <w:tab/>
          </w:r>
          <w:r>
            <w:fldChar w:fldCharType="begin"/>
          </w:r>
          <w:r>
            <w:instrText xml:space="preserve"> PAGEREF _Toc204964376 \h </w:instrText>
          </w:r>
          <w:r>
            <w:fldChar w:fldCharType="separate"/>
          </w:r>
          <w:r>
            <w:t>46</w:t>
          </w:r>
          <w:r>
            <w:fldChar w:fldCharType="end"/>
          </w:r>
          <w:r>
            <w:fldChar w:fldCharType="end"/>
          </w:r>
        </w:p>
        <w:p>
          <w:pPr>
            <w:pStyle w:val="28"/>
            <w:rPr>
              <w:rFonts w:asciiTheme="minorHAnsi" w:hAnsiTheme="minorHAnsi" w:eastAsiaTheme="minorEastAsia"/>
            </w:rPr>
          </w:pPr>
          <w:r>
            <w:fldChar w:fldCharType="begin"/>
          </w:r>
          <w:r>
            <w:instrText xml:space="preserve"> HYPERLINK \l "_Toc204964377" </w:instrText>
          </w:r>
          <w:r>
            <w:fldChar w:fldCharType="separate"/>
          </w:r>
          <w:r>
            <w:rPr>
              <w:rStyle w:val="40"/>
            </w:rPr>
            <w:t>第一节 近期行动计划</w:t>
          </w:r>
          <w:r>
            <w:tab/>
          </w:r>
          <w:r>
            <w:fldChar w:fldCharType="begin"/>
          </w:r>
          <w:r>
            <w:instrText xml:space="preserve"> PAGEREF _Toc204964377 \h </w:instrText>
          </w:r>
          <w:r>
            <w:fldChar w:fldCharType="separate"/>
          </w:r>
          <w:r>
            <w:t>46</w:t>
          </w:r>
          <w:r>
            <w:fldChar w:fldCharType="end"/>
          </w:r>
          <w:r>
            <w:fldChar w:fldCharType="end"/>
          </w:r>
        </w:p>
        <w:p>
          <w:pPr>
            <w:pStyle w:val="28"/>
            <w:rPr>
              <w:rFonts w:asciiTheme="minorHAnsi" w:hAnsiTheme="minorHAnsi" w:eastAsiaTheme="minorEastAsia"/>
            </w:rPr>
          </w:pPr>
          <w:r>
            <w:fldChar w:fldCharType="begin"/>
          </w:r>
          <w:r>
            <w:instrText xml:space="preserve"> HYPERLINK \l "_Toc204964378" </w:instrText>
          </w:r>
          <w:r>
            <w:fldChar w:fldCharType="separate"/>
          </w:r>
          <w:r>
            <w:rPr>
              <w:rStyle w:val="40"/>
            </w:rPr>
            <w:t>第二节 规划实施措施</w:t>
          </w:r>
          <w:r>
            <w:tab/>
          </w:r>
          <w:r>
            <w:fldChar w:fldCharType="begin"/>
          </w:r>
          <w:r>
            <w:instrText xml:space="preserve"> PAGEREF _Toc204964378 \h </w:instrText>
          </w:r>
          <w:r>
            <w:fldChar w:fldCharType="separate"/>
          </w:r>
          <w:r>
            <w:t>48</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"_Toc204964379" </w:instrText>
          </w:r>
          <w:r>
            <w:fldChar w:fldCharType="separate"/>
          </w:r>
          <w:r>
            <w:rPr>
              <w:rStyle w:val="40"/>
            </w:rPr>
            <w:t>第十一章 附则</w:t>
          </w:r>
          <w:r>
            <w:tab/>
          </w:r>
          <w:r>
            <w:fldChar w:fldCharType="begin"/>
          </w:r>
          <w:r>
            <w:instrText xml:space="preserve"> PAGEREF _Toc204964379 \h </w:instrText>
          </w:r>
          <w:r>
            <w:fldChar w:fldCharType="separate"/>
          </w:r>
          <w:r>
            <w:t>49</w:t>
          </w:r>
          <w:r>
            <w:fldChar w:fldCharType="end"/>
          </w:r>
          <w:r>
            <w:fldChar w:fldCharType="end"/>
          </w:r>
        </w:p>
        <w:p>
          <w:pPr>
            <w:pStyle w:val="23"/>
            <w:tabs>
              <w:tab w:val="right" w:leader="dot" w:pos="9736"/>
            </w:tabs>
            <w:ind w:firstLine="420"/>
            <w:rPr>
              <w:rFonts w:asciiTheme="minorHAnsi" w:hAnsiTheme="minorHAnsi" w:eastAsiaTheme="minorEastAsia"/>
            </w:rPr>
          </w:pPr>
          <w:r>
            <w:fldChar w:fldCharType="begin"/>
          </w:r>
          <w:r>
            <w:instrText xml:space="preserve"> HYPERLINK \l "_Toc204964380" </w:instrText>
          </w:r>
          <w:r>
            <w:fldChar w:fldCharType="separate"/>
          </w:r>
          <w:r>
            <w:rPr>
              <w:rStyle w:val="40"/>
            </w:rPr>
            <w:t>附表</w:t>
          </w:r>
          <w:r>
            <w:tab/>
          </w:r>
          <w:r>
            <w:fldChar w:fldCharType="begin"/>
          </w:r>
          <w:r>
            <w:instrText xml:space="preserve"> PAGEREF _Toc204964380 \h </w:instrText>
          </w:r>
          <w:r>
            <w:fldChar w:fldCharType="separate"/>
          </w:r>
          <w:r>
            <w:t>51</w:t>
          </w:r>
          <w:r>
            <w:fldChar w:fldCharType="end"/>
          </w:r>
          <w:r>
            <w:fldChar w:fldCharType="end"/>
          </w:r>
        </w:p>
        <w:p>
          <w:pPr>
            <w:pStyle w:val="28"/>
            <w:rPr>
              <w:rFonts w:asciiTheme="minorHAnsi" w:hAnsiTheme="minorHAnsi" w:eastAsiaTheme="minorEastAsia"/>
            </w:rPr>
          </w:pPr>
          <w:r>
            <w:fldChar w:fldCharType="begin"/>
          </w:r>
          <w:r>
            <w:instrText xml:space="preserve"> HYPERLINK \l "_Toc204964381" </w:instrText>
          </w:r>
          <w:r>
            <w:fldChar w:fldCharType="separate"/>
          </w:r>
          <w:r>
            <w:rPr>
              <w:rStyle w:val="40"/>
              <w:rFonts w:ascii="Times" w:hAnsi="Times" w:cs="宋体"/>
            </w:rPr>
            <w:t>附表1：市域保护要素一览表</w:t>
          </w:r>
          <w:r>
            <w:tab/>
          </w:r>
          <w:r>
            <w:fldChar w:fldCharType="begin"/>
          </w:r>
          <w:r>
            <w:instrText xml:space="preserve"> PAGEREF _Toc204964381 \h </w:instrText>
          </w:r>
          <w:r>
            <w:fldChar w:fldCharType="separate"/>
          </w:r>
          <w:r>
            <w:t>51</w:t>
          </w:r>
          <w:r>
            <w:fldChar w:fldCharType="end"/>
          </w:r>
          <w:r>
            <w:fldChar w:fldCharType="end"/>
          </w:r>
        </w:p>
        <w:p>
          <w:pPr>
            <w:pStyle w:val="28"/>
            <w:rPr>
              <w:rFonts w:asciiTheme="minorHAnsi" w:hAnsiTheme="minorHAnsi" w:eastAsiaTheme="minorEastAsia"/>
            </w:rPr>
          </w:pPr>
          <w:r>
            <w:fldChar w:fldCharType="begin"/>
          </w:r>
          <w:r>
            <w:instrText xml:space="preserve"> HYPERLINK \l "_Toc204964382" </w:instrText>
          </w:r>
          <w:r>
            <w:fldChar w:fldCharType="separate"/>
          </w:r>
          <w:r>
            <w:rPr>
              <w:rStyle w:val="40"/>
              <w:rFonts w:ascii="Times" w:hAnsi="Times" w:cs="宋体"/>
            </w:rPr>
            <w:t>附表2：历史文化保护控制线划定要素表</w:t>
          </w:r>
          <w:r>
            <w:tab/>
          </w:r>
          <w:r>
            <w:fldChar w:fldCharType="begin"/>
          </w:r>
          <w:r>
            <w:instrText xml:space="preserve"> PAGEREF _Toc204964382 \h </w:instrText>
          </w:r>
          <w:r>
            <w:fldChar w:fldCharType="separate"/>
          </w:r>
          <w:r>
            <w:t>53</w:t>
          </w:r>
          <w:r>
            <w:fldChar w:fldCharType="end"/>
          </w:r>
          <w:r>
            <w:fldChar w:fldCharType="end"/>
          </w:r>
        </w:p>
        <w:p>
          <w:pPr>
            <w:pStyle w:val="28"/>
            <w:rPr>
              <w:rFonts w:asciiTheme="minorHAnsi" w:hAnsiTheme="minorHAnsi" w:eastAsiaTheme="minorEastAsia"/>
            </w:rPr>
          </w:pPr>
          <w:r>
            <w:fldChar w:fldCharType="begin"/>
          </w:r>
          <w:r>
            <w:instrText xml:space="preserve"> HYPERLINK \l "_Toc204964383" </w:instrText>
          </w:r>
          <w:r>
            <w:fldChar w:fldCharType="separate"/>
          </w:r>
          <w:r>
            <w:rPr>
              <w:rStyle w:val="40"/>
              <w:rFonts w:ascii="Times" w:hAnsi="Times" w:cs="宋体"/>
            </w:rPr>
            <w:t>附表3：历史文化名镇名村及传统村落统计表</w:t>
          </w:r>
          <w:r>
            <w:tab/>
          </w:r>
          <w:r>
            <w:fldChar w:fldCharType="begin"/>
          </w:r>
          <w:r>
            <w:instrText xml:space="preserve"> PAGEREF _Toc204964383 \h </w:instrText>
          </w:r>
          <w:r>
            <w:fldChar w:fldCharType="separate"/>
          </w:r>
          <w:r>
            <w:t>56</w:t>
          </w:r>
          <w:r>
            <w:fldChar w:fldCharType="end"/>
          </w:r>
          <w:r>
            <w:fldChar w:fldCharType="end"/>
          </w:r>
        </w:p>
        <w:p>
          <w:pPr>
            <w:pStyle w:val="28"/>
            <w:rPr>
              <w:rFonts w:asciiTheme="minorHAnsi" w:hAnsiTheme="minorHAnsi" w:eastAsiaTheme="minorEastAsia"/>
            </w:rPr>
          </w:pPr>
          <w:r>
            <w:fldChar w:fldCharType="begin"/>
          </w:r>
          <w:r>
            <w:instrText xml:space="preserve"> HYPERLINK \l "_Toc204964384" </w:instrText>
          </w:r>
          <w:r>
            <w:fldChar w:fldCharType="separate"/>
          </w:r>
          <w:r>
            <w:rPr>
              <w:rStyle w:val="40"/>
              <w:rFonts w:ascii="Times" w:hAnsi="Times" w:cs="宋体"/>
            </w:rPr>
            <w:t>附表4：历史文化街区、历史地段统计表</w:t>
          </w:r>
          <w:r>
            <w:tab/>
          </w:r>
          <w:r>
            <w:fldChar w:fldCharType="begin"/>
          </w:r>
          <w:r>
            <w:instrText xml:space="preserve"> PAGEREF _Toc204964384 \h </w:instrText>
          </w:r>
          <w:r>
            <w:fldChar w:fldCharType="separate"/>
          </w:r>
          <w:r>
            <w:t>57</w:t>
          </w:r>
          <w:r>
            <w:fldChar w:fldCharType="end"/>
          </w:r>
          <w:r>
            <w:fldChar w:fldCharType="end"/>
          </w:r>
        </w:p>
        <w:p>
          <w:pPr>
            <w:pStyle w:val="28"/>
            <w:rPr>
              <w:rFonts w:asciiTheme="minorHAnsi" w:hAnsiTheme="minorHAnsi" w:eastAsiaTheme="minorEastAsia"/>
            </w:rPr>
          </w:pPr>
          <w:r>
            <w:fldChar w:fldCharType="begin"/>
          </w:r>
          <w:r>
            <w:instrText xml:space="preserve"> HYPERLINK \l "_Toc204964385" </w:instrText>
          </w:r>
          <w:r>
            <w:fldChar w:fldCharType="separate"/>
          </w:r>
          <w:r>
            <w:rPr>
              <w:rStyle w:val="40"/>
              <w:rFonts w:ascii="Times" w:hAnsi="Times" w:cs="宋体"/>
            </w:rPr>
            <w:t>附表5：历史城区传统街巷一览表</w:t>
          </w:r>
          <w:r>
            <w:tab/>
          </w:r>
          <w:r>
            <w:fldChar w:fldCharType="begin"/>
          </w:r>
          <w:r>
            <w:instrText xml:space="preserve"> PAGEREF _Toc204964385 \h </w:instrText>
          </w:r>
          <w:r>
            <w:fldChar w:fldCharType="separate"/>
          </w:r>
          <w:r>
            <w:t>58</w:t>
          </w:r>
          <w:r>
            <w:fldChar w:fldCharType="end"/>
          </w:r>
          <w:r>
            <w:fldChar w:fldCharType="end"/>
          </w:r>
        </w:p>
        <w:p>
          <w:pPr>
            <w:pStyle w:val="28"/>
            <w:rPr>
              <w:rFonts w:asciiTheme="minorHAnsi" w:hAnsiTheme="minorHAnsi" w:eastAsiaTheme="minorEastAsia"/>
            </w:rPr>
          </w:pPr>
          <w:r>
            <w:fldChar w:fldCharType="begin"/>
          </w:r>
          <w:r>
            <w:instrText xml:space="preserve"> HYPERLINK \l "_Toc204964386" </w:instrText>
          </w:r>
          <w:r>
            <w:fldChar w:fldCharType="separate"/>
          </w:r>
          <w:r>
            <w:rPr>
              <w:rStyle w:val="40"/>
              <w:rFonts w:ascii="Times" w:hAnsi="Times" w:cs="宋体"/>
            </w:rPr>
            <w:t>附表6：历史城区土地利用规划统计表</w:t>
          </w:r>
          <w:r>
            <w:tab/>
          </w:r>
          <w:r>
            <w:fldChar w:fldCharType="begin"/>
          </w:r>
          <w:r>
            <w:instrText xml:space="preserve"> PAGEREF _Toc204964386 \h </w:instrText>
          </w:r>
          <w:r>
            <w:fldChar w:fldCharType="separate"/>
          </w:r>
          <w:r>
            <w:t>59</w:t>
          </w:r>
          <w:r>
            <w:fldChar w:fldCharType="end"/>
          </w:r>
          <w:r>
            <w:fldChar w:fldCharType="end"/>
          </w:r>
        </w:p>
        <w:p>
          <w:pPr>
            <w:pStyle w:val="28"/>
            <w:rPr>
              <w:rFonts w:asciiTheme="minorHAnsi" w:hAnsiTheme="minorHAnsi" w:eastAsiaTheme="minorEastAsia"/>
            </w:rPr>
          </w:pPr>
          <w:r>
            <w:fldChar w:fldCharType="begin"/>
          </w:r>
          <w:r>
            <w:instrText xml:space="preserve"> HYPERLINK \l "_Toc204964387" </w:instrText>
          </w:r>
          <w:r>
            <w:fldChar w:fldCharType="separate"/>
          </w:r>
          <w:r>
            <w:rPr>
              <w:rStyle w:val="40"/>
              <w:rFonts w:ascii="Times" w:hAnsi="Times" w:cs="宋体"/>
            </w:rPr>
            <w:t>附表7：文物保护单位一览表</w:t>
          </w:r>
          <w:r>
            <w:tab/>
          </w:r>
          <w:r>
            <w:fldChar w:fldCharType="begin"/>
          </w:r>
          <w:r>
            <w:instrText xml:space="preserve"> PAGEREF _Toc204964387 \h </w:instrText>
          </w:r>
          <w:r>
            <w:fldChar w:fldCharType="separate"/>
          </w:r>
          <w:r>
            <w:t>60</w:t>
          </w:r>
          <w:r>
            <w:fldChar w:fldCharType="end"/>
          </w:r>
          <w:r>
            <w:fldChar w:fldCharType="end"/>
          </w:r>
        </w:p>
        <w:p>
          <w:pPr>
            <w:pStyle w:val="28"/>
            <w:rPr>
              <w:rFonts w:asciiTheme="minorHAnsi" w:hAnsiTheme="minorHAnsi" w:eastAsiaTheme="minorEastAsia"/>
            </w:rPr>
          </w:pPr>
          <w:r>
            <w:fldChar w:fldCharType="begin"/>
          </w:r>
          <w:r>
            <w:instrText xml:space="preserve"> HYPERLINK \l "_Toc204964388" </w:instrText>
          </w:r>
          <w:r>
            <w:fldChar w:fldCharType="separate"/>
          </w:r>
          <w:r>
            <w:rPr>
              <w:rStyle w:val="40"/>
              <w:rFonts w:ascii="Times" w:hAnsi="Times" w:cs="宋体"/>
            </w:rPr>
            <w:t>附表8：未核定公布为文物保护单位的不可移动文物一览表</w:t>
          </w:r>
          <w:r>
            <w:tab/>
          </w:r>
          <w:r>
            <w:fldChar w:fldCharType="begin"/>
          </w:r>
          <w:r>
            <w:instrText xml:space="preserve"> PAGEREF _Toc204964388 \h </w:instrText>
          </w:r>
          <w:r>
            <w:fldChar w:fldCharType="separate"/>
          </w:r>
          <w:r>
            <w:t>62</w:t>
          </w:r>
          <w:r>
            <w:fldChar w:fldCharType="end"/>
          </w:r>
          <w:r>
            <w:fldChar w:fldCharType="end"/>
          </w:r>
        </w:p>
        <w:p>
          <w:pPr>
            <w:pStyle w:val="28"/>
            <w:rPr>
              <w:rFonts w:asciiTheme="minorHAnsi" w:hAnsiTheme="minorHAnsi" w:eastAsiaTheme="minorEastAsia"/>
            </w:rPr>
          </w:pPr>
          <w:r>
            <w:fldChar w:fldCharType="begin"/>
          </w:r>
          <w:r>
            <w:instrText xml:space="preserve"> HYPERLINK \l "_Toc204964389" </w:instrText>
          </w:r>
          <w:r>
            <w:fldChar w:fldCharType="separate"/>
          </w:r>
          <w:r>
            <w:rPr>
              <w:rStyle w:val="40"/>
              <w:rFonts w:ascii="Times" w:hAnsi="Times" w:cs="宋体"/>
            </w:rPr>
            <w:t>附表9：历史建筑一览表</w:t>
          </w:r>
          <w:r>
            <w:tab/>
          </w:r>
          <w:r>
            <w:fldChar w:fldCharType="begin"/>
          </w:r>
          <w:r>
            <w:instrText xml:space="preserve"> PAGEREF _Toc204964389 \h </w:instrText>
          </w:r>
          <w:r>
            <w:fldChar w:fldCharType="separate"/>
          </w:r>
          <w:r>
            <w:t>64</w:t>
          </w:r>
          <w:r>
            <w:fldChar w:fldCharType="end"/>
          </w:r>
          <w:r>
            <w:fldChar w:fldCharType="end"/>
          </w:r>
        </w:p>
        <w:p>
          <w:pPr>
            <w:pStyle w:val="28"/>
            <w:rPr>
              <w:rFonts w:asciiTheme="minorHAnsi" w:hAnsiTheme="minorHAnsi" w:eastAsiaTheme="minorEastAsia"/>
            </w:rPr>
          </w:pPr>
          <w:r>
            <w:fldChar w:fldCharType="begin"/>
          </w:r>
          <w:r>
            <w:instrText xml:space="preserve"> HYPERLINK \l "_Toc204964390" </w:instrText>
          </w:r>
          <w:r>
            <w:fldChar w:fldCharType="separate"/>
          </w:r>
          <w:r>
            <w:rPr>
              <w:rStyle w:val="40"/>
              <w:rFonts w:ascii="Times" w:hAnsi="Times" w:cs="宋体"/>
            </w:rPr>
            <w:t>附表10：推荐历史建筑一览表</w:t>
          </w:r>
          <w:r>
            <w:tab/>
          </w:r>
          <w:r>
            <w:fldChar w:fldCharType="begin"/>
          </w:r>
          <w:r>
            <w:instrText xml:space="preserve"> PAGEREF _Toc204964390 \h </w:instrText>
          </w:r>
          <w:r>
            <w:fldChar w:fldCharType="separate"/>
          </w:r>
          <w:r>
            <w:t>65</w:t>
          </w:r>
          <w:r>
            <w:fldChar w:fldCharType="end"/>
          </w:r>
          <w:r>
            <w:fldChar w:fldCharType="end"/>
          </w:r>
        </w:p>
        <w:p>
          <w:pPr>
            <w:pStyle w:val="28"/>
            <w:rPr>
              <w:rFonts w:asciiTheme="minorHAnsi" w:hAnsiTheme="minorHAnsi" w:eastAsiaTheme="minorEastAsia"/>
            </w:rPr>
          </w:pPr>
          <w:r>
            <w:fldChar w:fldCharType="begin"/>
          </w:r>
          <w:r>
            <w:instrText xml:space="preserve"> HYPERLINK \l "_Toc204964391" </w:instrText>
          </w:r>
          <w:r>
            <w:fldChar w:fldCharType="separate"/>
          </w:r>
          <w:r>
            <w:rPr>
              <w:rStyle w:val="40"/>
              <w:rFonts w:ascii="Times" w:hAnsi="Times" w:cs="宋体"/>
            </w:rPr>
            <w:t>附表11：推荐传统风貌建筑一览表</w:t>
          </w:r>
          <w:r>
            <w:tab/>
          </w:r>
          <w:r>
            <w:fldChar w:fldCharType="begin"/>
          </w:r>
          <w:r>
            <w:instrText xml:space="preserve"> PAGEREF _Toc204964391 \h </w:instrText>
          </w:r>
          <w:r>
            <w:fldChar w:fldCharType="separate"/>
          </w:r>
          <w:r>
            <w:t>65</w:t>
          </w:r>
          <w:r>
            <w:fldChar w:fldCharType="end"/>
          </w:r>
          <w:r>
            <w:fldChar w:fldCharType="end"/>
          </w:r>
        </w:p>
        <w:p>
          <w:pPr>
            <w:pStyle w:val="28"/>
            <w:rPr>
              <w:rFonts w:asciiTheme="minorHAnsi" w:hAnsiTheme="minorHAnsi" w:eastAsiaTheme="minorEastAsia"/>
            </w:rPr>
          </w:pPr>
          <w:r>
            <w:fldChar w:fldCharType="begin"/>
          </w:r>
          <w:r>
            <w:instrText xml:space="preserve"> HYPERLINK \l "_Toc204964392" </w:instrText>
          </w:r>
          <w:r>
            <w:fldChar w:fldCharType="separate"/>
          </w:r>
          <w:r>
            <w:rPr>
              <w:rStyle w:val="40"/>
              <w:rFonts w:ascii="Times" w:hAnsi="Times" w:cs="宋体"/>
            </w:rPr>
            <w:t>附表12：古树名木保护一览表</w:t>
          </w:r>
          <w:r>
            <w:tab/>
          </w:r>
          <w:r>
            <w:fldChar w:fldCharType="begin"/>
          </w:r>
          <w:r>
            <w:instrText xml:space="preserve"> PAGEREF _Toc204964392 \h </w:instrText>
          </w:r>
          <w:r>
            <w:fldChar w:fldCharType="separate"/>
          </w:r>
          <w:r>
            <w:t>66</w:t>
          </w:r>
          <w:r>
            <w:fldChar w:fldCharType="end"/>
          </w:r>
          <w:r>
            <w:fldChar w:fldCharType="end"/>
          </w:r>
        </w:p>
        <w:p>
          <w:pPr>
            <w:pStyle w:val="28"/>
            <w:rPr>
              <w:rFonts w:asciiTheme="minorHAnsi" w:hAnsiTheme="minorHAnsi" w:eastAsiaTheme="minorEastAsia"/>
            </w:rPr>
          </w:pPr>
          <w:r>
            <w:fldChar w:fldCharType="begin"/>
          </w:r>
          <w:r>
            <w:instrText xml:space="preserve"> HYPERLINK \l "_Toc204964393" </w:instrText>
          </w:r>
          <w:r>
            <w:fldChar w:fldCharType="separate"/>
          </w:r>
          <w:r>
            <w:rPr>
              <w:rStyle w:val="40"/>
              <w:rFonts w:ascii="Times" w:hAnsi="Times" w:cs="宋体"/>
            </w:rPr>
            <w:t>附表13：非物质文化遗产保护一览表</w:t>
          </w:r>
          <w:r>
            <w:tab/>
          </w:r>
          <w:r>
            <w:fldChar w:fldCharType="begin"/>
          </w:r>
          <w:r>
            <w:instrText xml:space="preserve"> PAGEREF _Toc204964393 \h </w:instrText>
          </w:r>
          <w:r>
            <w:fldChar w:fldCharType="separate"/>
          </w:r>
          <w:r>
            <w:t>67</w:t>
          </w:r>
          <w:r>
            <w:fldChar w:fldCharType="end"/>
          </w:r>
          <w:r>
            <w:fldChar w:fldCharType="end"/>
          </w:r>
        </w:p>
        <w:p>
          <w:pPr>
            <w:pStyle w:val="28"/>
            <w:rPr>
              <w:rFonts w:asciiTheme="minorHAnsi" w:hAnsiTheme="minorHAnsi" w:eastAsiaTheme="minorEastAsia"/>
            </w:rPr>
          </w:pPr>
          <w:r>
            <w:fldChar w:fldCharType="begin"/>
          </w:r>
          <w:r>
            <w:instrText xml:space="preserve"> HYPERLINK \l "_Toc204964394" </w:instrText>
          </w:r>
          <w:r>
            <w:fldChar w:fldCharType="separate"/>
          </w:r>
          <w:r>
            <w:rPr>
              <w:rStyle w:val="40"/>
              <w:rFonts w:ascii="Times" w:hAnsi="Times" w:cs="宋体"/>
            </w:rPr>
            <w:t>附表14：南雄市省定红色革命遗址一览表</w:t>
          </w:r>
          <w:r>
            <w:tab/>
          </w:r>
          <w:r>
            <w:fldChar w:fldCharType="begin"/>
          </w:r>
          <w:r>
            <w:instrText xml:space="preserve"> PAGEREF _Toc204964394 \h </w:instrText>
          </w:r>
          <w:r>
            <w:fldChar w:fldCharType="separate"/>
          </w:r>
          <w:r>
            <w:t>68</w:t>
          </w:r>
          <w:r>
            <w:fldChar w:fldCharType="end"/>
          </w:r>
          <w:r>
            <w:fldChar w:fldCharType="end"/>
          </w:r>
        </w:p>
        <w:p>
          <w:pPr>
            <w:ind w:firstLine="420"/>
          </w:pPr>
          <w:r>
            <w:fldChar w:fldCharType="end"/>
          </w:r>
        </w:p>
      </w:sdtContent>
    </w:sdt>
    <w:p>
      <w:pPr>
        <w:tabs>
          <w:tab w:val="left" w:pos="2160"/>
          <w:tab w:val="center" w:pos="4153"/>
        </w:tabs>
        <w:spacing w:before="312" w:beforeLines="100" w:after="312" w:afterLines="100"/>
        <w:ind w:firstLine="0" w:firstLineChars="0"/>
        <w:jc w:val="left"/>
        <w:outlineLvl w:val="0"/>
        <w:rPr>
          <w:b/>
          <w:bCs/>
          <w:sz w:val="36"/>
          <w:szCs w:val="36"/>
        </w:rPr>
        <w:sectPr>
          <w:footerReference r:id="rId11" w:type="default"/>
          <w:pgSz w:w="11906" w:h="16838"/>
          <w:pgMar w:top="1440" w:right="1080" w:bottom="1440" w:left="1080" w:header="851" w:footer="737" w:gutter="0"/>
          <w:pgNumType w:fmt="upperRoman" w:start="1"/>
          <w:cols w:space="425" w:num="1"/>
          <w:docGrid w:type="lines" w:linePitch="312" w:charSpace="0"/>
        </w:sectPr>
      </w:pPr>
    </w:p>
    <w:p>
      <w:pPr>
        <w:pStyle w:val="2"/>
        <w:ind w:left="0"/>
      </w:pPr>
      <w:bookmarkStart w:id="5" w:name="_Toc204964343"/>
      <w:r>
        <w:rPr>
          <w:rFonts w:hint="eastAsia"/>
        </w:rPr>
        <w:t>规划总则</w:t>
      </w:r>
      <w:bookmarkEnd w:id="4"/>
      <w:bookmarkEnd w:id="5"/>
    </w:p>
    <w:p>
      <w:pPr>
        <w:pStyle w:val="4"/>
        <w:numPr>
          <w:ilvl w:val="0"/>
          <w:numId w:val="2"/>
        </w:numPr>
        <w:spacing w:before="312" w:beforeLines="100" w:after="0" w:line="415" w:lineRule="auto"/>
        <w:jc w:val="both"/>
        <w:rPr>
          <w:sz w:val="24"/>
          <w:szCs w:val="24"/>
        </w:rPr>
      </w:pPr>
      <w:bookmarkStart w:id="6" w:name="_Toc77610777"/>
      <w:r>
        <w:rPr>
          <w:rFonts w:hint="eastAsia"/>
          <w:sz w:val="24"/>
          <w:szCs w:val="24"/>
        </w:rPr>
        <w:t>编制目的</w:t>
      </w:r>
      <w:bookmarkEnd w:id="6"/>
    </w:p>
    <w:p>
      <w:pPr>
        <w:ind w:firstLine="480"/>
        <w:rPr>
          <w:sz w:val="24"/>
          <w:szCs w:val="28"/>
        </w:rPr>
      </w:pPr>
      <w:r>
        <w:rPr>
          <w:rFonts w:hint="eastAsia"/>
          <w:sz w:val="24"/>
          <w:szCs w:val="28"/>
        </w:rPr>
        <w:t>1996年</w:t>
      </w:r>
      <w:r>
        <w:rPr>
          <w:sz w:val="24"/>
          <w:szCs w:val="28"/>
        </w:rPr>
        <w:t>，南雄市被广东省</w:t>
      </w:r>
      <w:r>
        <w:rPr>
          <w:rFonts w:hint="eastAsia"/>
          <w:sz w:val="24"/>
          <w:szCs w:val="28"/>
        </w:rPr>
        <w:t>人民</w:t>
      </w:r>
      <w:r>
        <w:rPr>
          <w:sz w:val="24"/>
          <w:szCs w:val="28"/>
        </w:rPr>
        <w:t>政府</w:t>
      </w:r>
      <w:r>
        <w:rPr>
          <w:rFonts w:hint="eastAsia"/>
          <w:sz w:val="24"/>
          <w:szCs w:val="28"/>
        </w:rPr>
        <w:t>公布为</w:t>
      </w:r>
      <w:r>
        <w:rPr>
          <w:sz w:val="24"/>
          <w:szCs w:val="28"/>
        </w:rPr>
        <w:t>广东省历史文化名城</w:t>
      </w:r>
      <w:r>
        <w:rPr>
          <w:rFonts w:hint="eastAsia"/>
          <w:sz w:val="24"/>
          <w:szCs w:val="28"/>
        </w:rPr>
        <w:t>，南雄历来</w:t>
      </w:r>
      <w:r>
        <w:rPr>
          <w:sz w:val="24"/>
          <w:szCs w:val="28"/>
        </w:rPr>
        <w:t>有</w:t>
      </w:r>
      <w:r>
        <w:rPr>
          <w:rFonts w:hint="eastAsia"/>
          <w:sz w:val="24"/>
          <w:szCs w:val="28"/>
        </w:rPr>
        <w:t>“居</w:t>
      </w:r>
      <w:r>
        <w:rPr>
          <w:sz w:val="24"/>
          <w:szCs w:val="28"/>
        </w:rPr>
        <w:t>五岭之首，为江广之冲</w:t>
      </w:r>
      <w:r>
        <w:rPr>
          <w:rFonts w:hint="eastAsia"/>
          <w:sz w:val="24"/>
          <w:szCs w:val="28"/>
        </w:rPr>
        <w:t>”</w:t>
      </w:r>
      <w:r>
        <w:rPr>
          <w:sz w:val="24"/>
          <w:szCs w:val="28"/>
        </w:rPr>
        <w:t>“</w:t>
      </w:r>
      <w:r>
        <w:rPr>
          <w:rFonts w:hint="eastAsia"/>
          <w:sz w:val="24"/>
          <w:szCs w:val="28"/>
        </w:rPr>
        <w:t>枕楚跨粤</w:t>
      </w:r>
      <w:r>
        <w:rPr>
          <w:sz w:val="24"/>
          <w:szCs w:val="28"/>
        </w:rPr>
        <w:t>，为南北咽喉”</w:t>
      </w:r>
      <w:r>
        <w:rPr>
          <w:rFonts w:hint="eastAsia"/>
          <w:sz w:val="24"/>
          <w:szCs w:val="28"/>
        </w:rPr>
        <w:t>之称</w:t>
      </w:r>
      <w:r>
        <w:rPr>
          <w:sz w:val="24"/>
          <w:szCs w:val="28"/>
        </w:rPr>
        <w:t>。</w:t>
      </w:r>
      <w:r>
        <w:rPr>
          <w:rFonts w:hint="eastAsia"/>
          <w:sz w:val="24"/>
          <w:szCs w:val="28"/>
        </w:rPr>
        <w:t>为统筹历史文化名城保护与城乡发展，有效保护和利用历史文化遗产和资源，延续历史文脉，强化南雄市历史文化名城的地位，确保历史文化遗产保护管理工作科学、合理、有效地进行，依据国务院《历史文化名城名镇名村保护条例》及相关法律法规要求，结合南雄实际，特编制《广东省历史文化名城南雄市历史文化名城保护规划（</w:t>
      </w:r>
      <w:r>
        <w:rPr>
          <w:sz w:val="24"/>
          <w:szCs w:val="28"/>
        </w:rPr>
        <w:t>2021-2035</w:t>
      </w:r>
      <w:r>
        <w:rPr>
          <w:rFonts w:hint="eastAsia"/>
          <w:sz w:val="24"/>
          <w:szCs w:val="28"/>
        </w:rPr>
        <w:t>年）</w:t>
      </w:r>
      <w:r>
        <w:rPr>
          <w:sz w:val="24"/>
          <w:szCs w:val="28"/>
        </w:rPr>
        <w:t>》。</w:t>
      </w:r>
    </w:p>
    <w:p>
      <w:pPr>
        <w:pStyle w:val="4"/>
        <w:numPr>
          <w:ilvl w:val="0"/>
          <w:numId w:val="2"/>
        </w:numPr>
        <w:spacing w:before="312" w:beforeLines="100" w:after="0" w:line="415" w:lineRule="auto"/>
        <w:jc w:val="both"/>
        <w:rPr>
          <w:sz w:val="24"/>
          <w:szCs w:val="24"/>
        </w:rPr>
      </w:pPr>
      <w:bookmarkStart w:id="7" w:name="_Toc77610778"/>
      <w:r>
        <w:rPr>
          <w:rFonts w:hint="eastAsia"/>
          <w:sz w:val="24"/>
          <w:szCs w:val="24"/>
        </w:rPr>
        <w:t>规划依据</w:t>
      </w:r>
      <w:bookmarkEnd w:id="7"/>
    </w:p>
    <w:p>
      <w:pPr>
        <w:ind w:firstLine="482"/>
        <w:rPr>
          <w:b/>
          <w:bCs/>
          <w:sz w:val="24"/>
          <w:szCs w:val="28"/>
        </w:rPr>
      </w:pPr>
      <w:bookmarkStart w:id="8" w:name="_Hlk105856351"/>
      <w:bookmarkStart w:id="9" w:name="_Hlk105902140"/>
      <w:r>
        <w:rPr>
          <w:rFonts w:hint="eastAsia"/>
          <w:b/>
          <w:bCs/>
          <w:sz w:val="24"/>
          <w:szCs w:val="28"/>
        </w:rPr>
        <w:t>（一）国家及地方法律、法规、规章</w:t>
      </w:r>
    </w:p>
    <w:p>
      <w:pPr>
        <w:pStyle w:val="49"/>
        <w:numPr>
          <w:ilvl w:val="0"/>
          <w:numId w:val="3"/>
        </w:numPr>
        <w:ind w:left="0" w:firstLine="480"/>
        <w:rPr>
          <w:sz w:val="24"/>
          <w:szCs w:val="28"/>
        </w:rPr>
      </w:pPr>
      <w:r>
        <w:rPr>
          <w:sz w:val="24"/>
          <w:szCs w:val="28"/>
        </w:rPr>
        <w:t>《中华人民共和国城乡规划法》（2019年修正）；</w:t>
      </w:r>
    </w:p>
    <w:p>
      <w:pPr>
        <w:pStyle w:val="49"/>
        <w:numPr>
          <w:ilvl w:val="0"/>
          <w:numId w:val="3"/>
        </w:numPr>
        <w:ind w:left="0" w:firstLine="480"/>
        <w:rPr>
          <w:sz w:val="24"/>
          <w:szCs w:val="28"/>
        </w:rPr>
      </w:pPr>
      <w:r>
        <w:rPr>
          <w:sz w:val="24"/>
          <w:szCs w:val="28"/>
        </w:rPr>
        <w:t>《中华人民共和国土地管理法》（2019年修正）；</w:t>
      </w:r>
    </w:p>
    <w:p>
      <w:pPr>
        <w:pStyle w:val="49"/>
        <w:numPr>
          <w:ilvl w:val="0"/>
          <w:numId w:val="3"/>
        </w:numPr>
        <w:ind w:left="0" w:firstLine="480"/>
        <w:rPr>
          <w:sz w:val="24"/>
          <w:szCs w:val="28"/>
        </w:rPr>
      </w:pPr>
      <w:r>
        <w:rPr>
          <w:sz w:val="24"/>
          <w:szCs w:val="28"/>
        </w:rPr>
        <w:t>《中华人民共和国文物保护法》（20</w:t>
      </w:r>
      <w:r>
        <w:rPr>
          <w:rFonts w:hint="eastAsia"/>
          <w:sz w:val="24"/>
          <w:szCs w:val="28"/>
        </w:rPr>
        <w:t>24</w:t>
      </w:r>
      <w:r>
        <w:rPr>
          <w:sz w:val="24"/>
          <w:szCs w:val="28"/>
        </w:rPr>
        <w:t>年修</w:t>
      </w:r>
      <w:r>
        <w:rPr>
          <w:rFonts w:hint="eastAsia"/>
          <w:sz w:val="24"/>
          <w:szCs w:val="28"/>
        </w:rPr>
        <w:t>订</w:t>
      </w:r>
      <w:r>
        <w:rPr>
          <w:sz w:val="24"/>
          <w:szCs w:val="28"/>
        </w:rPr>
        <w:t>）；</w:t>
      </w:r>
    </w:p>
    <w:p>
      <w:pPr>
        <w:pStyle w:val="49"/>
        <w:numPr>
          <w:ilvl w:val="0"/>
          <w:numId w:val="3"/>
        </w:numPr>
        <w:ind w:left="0" w:firstLine="480"/>
        <w:rPr>
          <w:sz w:val="24"/>
          <w:szCs w:val="28"/>
        </w:rPr>
      </w:pPr>
      <w:r>
        <w:rPr>
          <w:sz w:val="24"/>
          <w:szCs w:val="28"/>
        </w:rPr>
        <w:t>《中华人民共和国非物质文化遗产法》（2011年）；</w:t>
      </w:r>
    </w:p>
    <w:p>
      <w:pPr>
        <w:pStyle w:val="49"/>
        <w:numPr>
          <w:ilvl w:val="0"/>
          <w:numId w:val="3"/>
        </w:numPr>
        <w:ind w:left="0" w:firstLine="480"/>
        <w:rPr>
          <w:sz w:val="24"/>
          <w:szCs w:val="28"/>
        </w:rPr>
      </w:pPr>
      <w:r>
        <w:rPr>
          <w:sz w:val="24"/>
          <w:szCs w:val="28"/>
        </w:rPr>
        <w:t>《中华人民共和国水法》（2016年修正）；</w:t>
      </w:r>
    </w:p>
    <w:p>
      <w:pPr>
        <w:pStyle w:val="49"/>
        <w:numPr>
          <w:ilvl w:val="0"/>
          <w:numId w:val="3"/>
        </w:numPr>
        <w:ind w:left="0" w:firstLine="480"/>
        <w:rPr>
          <w:sz w:val="24"/>
          <w:szCs w:val="28"/>
        </w:rPr>
      </w:pPr>
      <w:r>
        <w:rPr>
          <w:sz w:val="24"/>
          <w:szCs w:val="28"/>
        </w:rPr>
        <w:t>《中华人民共和国防洪法》（2016年修正）；</w:t>
      </w:r>
    </w:p>
    <w:p>
      <w:pPr>
        <w:pStyle w:val="49"/>
        <w:numPr>
          <w:ilvl w:val="0"/>
          <w:numId w:val="3"/>
        </w:numPr>
        <w:ind w:left="0" w:firstLine="480"/>
        <w:rPr>
          <w:sz w:val="24"/>
          <w:szCs w:val="28"/>
        </w:rPr>
      </w:pPr>
      <w:r>
        <w:rPr>
          <w:sz w:val="24"/>
          <w:szCs w:val="28"/>
        </w:rPr>
        <w:t>《中华人民共和国消防法》（2021年修正）</w:t>
      </w:r>
      <w:r>
        <w:rPr>
          <w:rFonts w:hint="eastAsia"/>
          <w:sz w:val="24"/>
          <w:szCs w:val="28"/>
        </w:rPr>
        <w:t>；</w:t>
      </w:r>
    </w:p>
    <w:p>
      <w:pPr>
        <w:pStyle w:val="49"/>
        <w:numPr>
          <w:ilvl w:val="0"/>
          <w:numId w:val="3"/>
        </w:numPr>
        <w:ind w:left="0" w:firstLine="480"/>
        <w:rPr>
          <w:sz w:val="24"/>
          <w:szCs w:val="28"/>
        </w:rPr>
      </w:pPr>
      <w:r>
        <w:rPr>
          <w:sz w:val="24"/>
          <w:szCs w:val="28"/>
        </w:rPr>
        <w:t>《历史文化名城名镇名村保护条例》（2017年修正）；</w:t>
      </w:r>
    </w:p>
    <w:p>
      <w:pPr>
        <w:pStyle w:val="49"/>
        <w:numPr>
          <w:ilvl w:val="0"/>
          <w:numId w:val="3"/>
        </w:numPr>
        <w:ind w:left="0" w:firstLine="480"/>
        <w:rPr>
          <w:sz w:val="24"/>
          <w:szCs w:val="28"/>
        </w:rPr>
      </w:pPr>
      <w:r>
        <w:rPr>
          <w:sz w:val="24"/>
          <w:szCs w:val="28"/>
        </w:rPr>
        <w:t>《中华人民共和国文物保护法实施条例》（2017年修订）；</w:t>
      </w:r>
    </w:p>
    <w:p>
      <w:pPr>
        <w:pStyle w:val="49"/>
        <w:numPr>
          <w:ilvl w:val="0"/>
          <w:numId w:val="3"/>
        </w:numPr>
        <w:ind w:left="0" w:firstLine="480"/>
        <w:rPr>
          <w:sz w:val="24"/>
          <w:szCs w:val="28"/>
        </w:rPr>
      </w:pPr>
      <w:r>
        <w:rPr>
          <w:sz w:val="24"/>
          <w:szCs w:val="28"/>
        </w:rPr>
        <w:t>《</w:t>
      </w:r>
      <w:bookmarkStart w:id="10" w:name="_Hlk198121760"/>
      <w:r>
        <w:rPr>
          <w:rFonts w:hint="eastAsia"/>
          <w:sz w:val="24"/>
          <w:szCs w:val="28"/>
        </w:rPr>
        <w:t>古树名木保护条例</w:t>
      </w:r>
      <w:bookmarkEnd w:id="10"/>
      <w:r>
        <w:rPr>
          <w:sz w:val="24"/>
          <w:szCs w:val="28"/>
        </w:rPr>
        <w:t>》（20</w:t>
      </w:r>
      <w:r>
        <w:rPr>
          <w:rFonts w:hint="eastAsia"/>
          <w:sz w:val="24"/>
          <w:szCs w:val="28"/>
        </w:rPr>
        <w:t>25</w:t>
      </w:r>
      <w:r>
        <w:rPr>
          <w:sz w:val="24"/>
          <w:szCs w:val="28"/>
        </w:rPr>
        <w:t>年）</w:t>
      </w:r>
      <w:r>
        <w:rPr>
          <w:rFonts w:hint="eastAsia"/>
          <w:sz w:val="24"/>
          <w:szCs w:val="28"/>
        </w:rPr>
        <w:t>；</w:t>
      </w:r>
    </w:p>
    <w:p>
      <w:pPr>
        <w:pStyle w:val="49"/>
        <w:numPr>
          <w:ilvl w:val="0"/>
          <w:numId w:val="3"/>
        </w:numPr>
        <w:ind w:left="0" w:firstLine="480"/>
        <w:rPr>
          <w:sz w:val="24"/>
          <w:szCs w:val="28"/>
        </w:rPr>
      </w:pPr>
      <w:r>
        <w:rPr>
          <w:rFonts w:hint="eastAsia"/>
          <w:sz w:val="24"/>
          <w:szCs w:val="28"/>
        </w:rPr>
        <w:t>《广东省历史文化名城名镇名村保护条例》（2025年）；</w:t>
      </w:r>
    </w:p>
    <w:p>
      <w:pPr>
        <w:pStyle w:val="49"/>
        <w:numPr>
          <w:ilvl w:val="0"/>
          <w:numId w:val="3"/>
        </w:numPr>
        <w:ind w:left="0" w:firstLine="480"/>
        <w:rPr>
          <w:sz w:val="24"/>
          <w:szCs w:val="28"/>
        </w:rPr>
      </w:pPr>
      <w:r>
        <w:rPr>
          <w:sz w:val="24"/>
          <w:szCs w:val="28"/>
        </w:rPr>
        <w:t>《广东省城乡规划条例》（2012年）；</w:t>
      </w:r>
    </w:p>
    <w:p>
      <w:pPr>
        <w:pStyle w:val="49"/>
        <w:numPr>
          <w:ilvl w:val="0"/>
          <w:numId w:val="3"/>
        </w:numPr>
        <w:ind w:left="0" w:firstLine="480"/>
        <w:rPr>
          <w:sz w:val="24"/>
          <w:szCs w:val="28"/>
        </w:rPr>
      </w:pPr>
      <w:r>
        <w:rPr>
          <w:sz w:val="24"/>
          <w:szCs w:val="28"/>
        </w:rPr>
        <w:t>《广东省河道管理条例》（2019年）；</w:t>
      </w:r>
    </w:p>
    <w:p>
      <w:pPr>
        <w:pStyle w:val="49"/>
        <w:numPr>
          <w:ilvl w:val="0"/>
          <w:numId w:val="3"/>
        </w:numPr>
        <w:ind w:left="0" w:firstLine="480"/>
        <w:rPr>
          <w:sz w:val="24"/>
          <w:szCs w:val="28"/>
        </w:rPr>
      </w:pPr>
      <w:r>
        <w:rPr>
          <w:sz w:val="24"/>
          <w:szCs w:val="28"/>
        </w:rPr>
        <w:t>《广东省水利工程管理条例》（2020年修正）；</w:t>
      </w:r>
    </w:p>
    <w:p>
      <w:pPr>
        <w:pStyle w:val="49"/>
        <w:numPr>
          <w:ilvl w:val="0"/>
          <w:numId w:val="3"/>
        </w:numPr>
        <w:ind w:left="0" w:firstLine="480"/>
        <w:rPr>
          <w:sz w:val="24"/>
          <w:szCs w:val="28"/>
        </w:rPr>
      </w:pPr>
      <w:r>
        <w:rPr>
          <w:sz w:val="24"/>
          <w:szCs w:val="28"/>
        </w:rPr>
        <w:t>《广东省森林保护</w:t>
      </w:r>
      <w:r>
        <w:rPr>
          <w:rFonts w:hint="eastAsia"/>
          <w:sz w:val="24"/>
          <w:szCs w:val="28"/>
        </w:rPr>
        <w:t>管理</w:t>
      </w:r>
      <w:r>
        <w:rPr>
          <w:sz w:val="24"/>
          <w:szCs w:val="28"/>
        </w:rPr>
        <w:t>条例》（2023年修订）；</w:t>
      </w:r>
    </w:p>
    <w:p>
      <w:pPr>
        <w:pStyle w:val="49"/>
        <w:numPr>
          <w:ilvl w:val="0"/>
          <w:numId w:val="3"/>
        </w:numPr>
        <w:ind w:left="0" w:firstLine="480"/>
        <w:rPr>
          <w:sz w:val="24"/>
          <w:szCs w:val="28"/>
        </w:rPr>
      </w:pPr>
      <w:r>
        <w:rPr>
          <w:sz w:val="24"/>
          <w:szCs w:val="28"/>
        </w:rPr>
        <w:t>《</w:t>
      </w:r>
      <w:bookmarkStart w:id="11" w:name="_Hlk165036198"/>
      <w:r>
        <w:rPr>
          <w:sz w:val="24"/>
          <w:szCs w:val="28"/>
        </w:rPr>
        <w:t>历史文化名城名镇名村街区保护规划编制审批办法</w:t>
      </w:r>
      <w:bookmarkEnd w:id="11"/>
      <w:r>
        <w:rPr>
          <w:sz w:val="24"/>
          <w:szCs w:val="28"/>
        </w:rPr>
        <w:t>》（2014年）；</w:t>
      </w:r>
    </w:p>
    <w:p>
      <w:pPr>
        <w:pStyle w:val="49"/>
        <w:numPr>
          <w:ilvl w:val="0"/>
          <w:numId w:val="3"/>
        </w:numPr>
        <w:ind w:left="0" w:firstLine="480"/>
        <w:rPr>
          <w:sz w:val="24"/>
          <w:szCs w:val="28"/>
        </w:rPr>
      </w:pPr>
      <w:r>
        <w:rPr>
          <w:sz w:val="24"/>
          <w:szCs w:val="28"/>
        </w:rPr>
        <w:t>《城市规划编制办法》（建设部令第146号）（2006年）；</w:t>
      </w:r>
    </w:p>
    <w:p>
      <w:pPr>
        <w:pStyle w:val="49"/>
        <w:numPr>
          <w:ilvl w:val="0"/>
          <w:numId w:val="3"/>
        </w:numPr>
        <w:ind w:left="0" w:firstLine="480"/>
        <w:rPr>
          <w:sz w:val="24"/>
          <w:szCs w:val="28"/>
        </w:rPr>
      </w:pPr>
      <w:r>
        <w:rPr>
          <w:sz w:val="24"/>
          <w:szCs w:val="28"/>
        </w:rPr>
        <w:t>《城市紫线管理办法》（2011年修正）；</w:t>
      </w:r>
    </w:p>
    <w:p>
      <w:pPr>
        <w:pStyle w:val="49"/>
        <w:numPr>
          <w:ilvl w:val="0"/>
          <w:numId w:val="3"/>
        </w:numPr>
        <w:ind w:left="0" w:firstLine="480"/>
        <w:rPr>
          <w:sz w:val="24"/>
          <w:szCs w:val="28"/>
        </w:rPr>
      </w:pPr>
      <w:r>
        <w:rPr>
          <w:sz w:val="24"/>
          <w:szCs w:val="28"/>
        </w:rPr>
        <w:t>《广东省实施〈中华人民共和国文物保护法〉办法》（2019年修正）；</w:t>
      </w:r>
    </w:p>
    <w:p>
      <w:pPr>
        <w:pStyle w:val="49"/>
        <w:numPr>
          <w:ilvl w:val="0"/>
          <w:numId w:val="3"/>
        </w:numPr>
        <w:ind w:left="0" w:firstLine="480"/>
        <w:rPr>
          <w:sz w:val="24"/>
          <w:szCs w:val="28"/>
        </w:rPr>
      </w:pPr>
      <w:r>
        <w:rPr>
          <w:rFonts w:hint="eastAsia"/>
          <w:sz w:val="24"/>
          <w:szCs w:val="28"/>
        </w:rPr>
        <w:t>《广东省文物保护单位保护范围和建设控制地带划定办法》（2</w:t>
      </w:r>
      <w:r>
        <w:rPr>
          <w:sz w:val="24"/>
          <w:szCs w:val="28"/>
        </w:rPr>
        <w:t>023</w:t>
      </w:r>
      <w:r>
        <w:rPr>
          <w:rFonts w:hint="eastAsia"/>
          <w:sz w:val="24"/>
          <w:szCs w:val="28"/>
        </w:rPr>
        <w:t>年）；</w:t>
      </w:r>
    </w:p>
    <w:p>
      <w:pPr>
        <w:pStyle w:val="49"/>
        <w:numPr>
          <w:ilvl w:val="0"/>
          <w:numId w:val="3"/>
        </w:numPr>
        <w:ind w:left="0" w:firstLine="480"/>
        <w:rPr>
          <w:sz w:val="24"/>
          <w:szCs w:val="28"/>
        </w:rPr>
      </w:pPr>
      <w:r>
        <w:rPr>
          <w:sz w:val="24"/>
          <w:szCs w:val="28"/>
        </w:rPr>
        <w:t>国家、省、市其它有关</w:t>
      </w:r>
      <w:r>
        <w:rPr>
          <w:rFonts w:hint="eastAsia"/>
          <w:sz w:val="24"/>
          <w:szCs w:val="28"/>
        </w:rPr>
        <w:t>名城</w:t>
      </w:r>
      <w:r>
        <w:rPr>
          <w:sz w:val="24"/>
          <w:szCs w:val="28"/>
        </w:rPr>
        <w:t>保护的法律、法规、规章。</w:t>
      </w:r>
    </w:p>
    <w:p>
      <w:pPr>
        <w:ind w:firstLine="482"/>
        <w:rPr>
          <w:b/>
          <w:bCs/>
          <w:sz w:val="24"/>
          <w:szCs w:val="28"/>
        </w:rPr>
      </w:pPr>
      <w:r>
        <w:rPr>
          <w:rFonts w:hint="eastAsia"/>
          <w:b/>
          <w:bCs/>
          <w:sz w:val="24"/>
          <w:szCs w:val="28"/>
        </w:rPr>
        <w:t>（二）相关政策</w:t>
      </w:r>
    </w:p>
    <w:p>
      <w:pPr>
        <w:pStyle w:val="49"/>
        <w:numPr>
          <w:ilvl w:val="0"/>
          <w:numId w:val="4"/>
        </w:numPr>
        <w:ind w:left="0" w:firstLine="480"/>
        <w:rPr>
          <w:sz w:val="24"/>
          <w:szCs w:val="28"/>
        </w:rPr>
      </w:pPr>
      <w:r>
        <w:rPr>
          <w:sz w:val="24"/>
          <w:szCs w:val="28"/>
        </w:rPr>
        <w:t>《中共中央 国务院关于推动城市高质量发展的意见》（2025年）</w:t>
      </w:r>
      <w:r>
        <w:rPr>
          <w:rFonts w:hint="eastAsia"/>
          <w:sz w:val="24"/>
          <w:szCs w:val="28"/>
        </w:rPr>
        <w:t>；</w:t>
      </w:r>
    </w:p>
    <w:p>
      <w:pPr>
        <w:pStyle w:val="49"/>
        <w:numPr>
          <w:ilvl w:val="0"/>
          <w:numId w:val="4"/>
        </w:numPr>
        <w:ind w:left="0" w:firstLine="480"/>
        <w:rPr>
          <w:sz w:val="24"/>
          <w:szCs w:val="28"/>
        </w:rPr>
      </w:pPr>
      <w:r>
        <w:rPr>
          <w:sz w:val="24"/>
          <w:szCs w:val="28"/>
        </w:rPr>
        <w:t>中共中央办公厅 国务院办公厅印发《关于持续推进城市更新行动的意见》（2025年）</w:t>
      </w:r>
      <w:r>
        <w:rPr>
          <w:rFonts w:hint="eastAsia"/>
          <w:sz w:val="24"/>
          <w:szCs w:val="28"/>
        </w:rPr>
        <w:t>；</w:t>
      </w:r>
    </w:p>
    <w:p>
      <w:pPr>
        <w:pStyle w:val="49"/>
        <w:numPr>
          <w:ilvl w:val="0"/>
          <w:numId w:val="4"/>
        </w:numPr>
        <w:ind w:left="0" w:firstLine="480"/>
        <w:rPr>
          <w:sz w:val="24"/>
          <w:szCs w:val="28"/>
        </w:rPr>
      </w:pPr>
      <w:r>
        <w:rPr>
          <w:sz w:val="24"/>
          <w:szCs w:val="28"/>
        </w:rPr>
        <w:t>中共中央办公厅 国务院办公厅印发《关于在城乡建设中加强历史文化保护传承的意见》（</w:t>
      </w:r>
      <w:r>
        <w:rPr>
          <w:rFonts w:hint="eastAsia"/>
          <w:sz w:val="24"/>
          <w:szCs w:val="28"/>
        </w:rPr>
        <w:t>2</w:t>
      </w:r>
      <w:r>
        <w:rPr>
          <w:sz w:val="24"/>
          <w:szCs w:val="28"/>
        </w:rPr>
        <w:t>021</w:t>
      </w:r>
      <w:r>
        <w:rPr>
          <w:rFonts w:hint="eastAsia"/>
          <w:sz w:val="24"/>
          <w:szCs w:val="28"/>
        </w:rPr>
        <w:t>年</w:t>
      </w:r>
      <w:r>
        <w:rPr>
          <w:sz w:val="24"/>
          <w:szCs w:val="28"/>
        </w:rPr>
        <w:t>）；</w:t>
      </w:r>
    </w:p>
    <w:p>
      <w:pPr>
        <w:pStyle w:val="49"/>
        <w:numPr>
          <w:ilvl w:val="0"/>
          <w:numId w:val="4"/>
        </w:numPr>
        <w:ind w:left="0" w:firstLine="480"/>
        <w:rPr>
          <w:sz w:val="24"/>
          <w:szCs w:val="28"/>
        </w:rPr>
      </w:pPr>
      <w:r>
        <w:rPr>
          <w:sz w:val="24"/>
          <w:szCs w:val="28"/>
        </w:rPr>
        <w:t>中共中央办公厅 国务院办公厅印发《关于进一步加强非物质文化遗产保护工作的意见》（2021年）；</w:t>
      </w:r>
    </w:p>
    <w:p>
      <w:pPr>
        <w:pStyle w:val="49"/>
        <w:numPr>
          <w:ilvl w:val="0"/>
          <w:numId w:val="4"/>
        </w:numPr>
        <w:ind w:left="0" w:firstLine="480"/>
        <w:rPr>
          <w:sz w:val="24"/>
          <w:szCs w:val="28"/>
        </w:rPr>
      </w:pPr>
      <w:r>
        <w:rPr>
          <w:sz w:val="24"/>
          <w:szCs w:val="28"/>
        </w:rPr>
        <w:t>中共中央办公厅 国务院办公厅印发《关于实施中华优秀传统文化传承发展工程的意见》（2017年）；</w:t>
      </w:r>
    </w:p>
    <w:p>
      <w:pPr>
        <w:pStyle w:val="49"/>
        <w:numPr>
          <w:ilvl w:val="0"/>
          <w:numId w:val="4"/>
        </w:numPr>
        <w:ind w:left="0" w:firstLine="480"/>
        <w:rPr>
          <w:sz w:val="24"/>
          <w:szCs w:val="28"/>
        </w:rPr>
      </w:pPr>
      <w:r>
        <w:rPr>
          <w:sz w:val="24"/>
          <w:szCs w:val="28"/>
        </w:rPr>
        <w:t>《国务院关于加强文化遗产保护的通知》（国发〔2005〕42号）；</w:t>
      </w:r>
    </w:p>
    <w:p>
      <w:pPr>
        <w:pStyle w:val="49"/>
        <w:numPr>
          <w:ilvl w:val="0"/>
          <w:numId w:val="4"/>
        </w:numPr>
        <w:ind w:left="0" w:firstLine="480"/>
        <w:rPr>
          <w:sz w:val="24"/>
          <w:szCs w:val="28"/>
        </w:rPr>
      </w:pPr>
      <w:r>
        <w:rPr>
          <w:sz w:val="24"/>
          <w:szCs w:val="28"/>
        </w:rPr>
        <w:t>中共中央宣传部 文化和旅游部 国家文物局印发《关于学习贯彻习近平总书记重要讲话精神全面加强历史文化遗产保护的通知》（2022年）</w:t>
      </w:r>
      <w:r>
        <w:rPr>
          <w:rFonts w:hint="eastAsia"/>
          <w:sz w:val="24"/>
          <w:szCs w:val="28"/>
        </w:rPr>
        <w:t>；</w:t>
      </w:r>
    </w:p>
    <w:p>
      <w:pPr>
        <w:pStyle w:val="49"/>
        <w:numPr>
          <w:ilvl w:val="0"/>
          <w:numId w:val="4"/>
        </w:numPr>
        <w:ind w:left="0" w:firstLine="480"/>
        <w:rPr>
          <w:sz w:val="24"/>
          <w:szCs w:val="28"/>
        </w:rPr>
      </w:pPr>
      <w:r>
        <w:rPr>
          <w:rFonts w:hint="eastAsia"/>
          <w:sz w:val="24"/>
          <w:szCs w:val="28"/>
        </w:rPr>
        <w:t>住房城乡建设部办公厅 国家发展改革委办公厅关于印发《历史文化名城和街区等保护提升项目建设指南（试行）》的通知</w:t>
      </w:r>
      <w:r>
        <w:rPr>
          <w:sz w:val="24"/>
          <w:szCs w:val="28"/>
        </w:rPr>
        <w:t>（</w:t>
      </w:r>
      <w:r>
        <w:rPr>
          <w:rFonts w:hint="eastAsia"/>
          <w:sz w:val="24"/>
          <w:szCs w:val="28"/>
        </w:rPr>
        <w:t>建办科〔2024〕11号</w:t>
      </w:r>
      <w:r>
        <w:rPr>
          <w:sz w:val="24"/>
          <w:szCs w:val="28"/>
        </w:rPr>
        <w:t>）</w:t>
      </w:r>
      <w:r>
        <w:rPr>
          <w:rFonts w:hint="eastAsia"/>
          <w:sz w:val="24"/>
          <w:szCs w:val="28"/>
        </w:rPr>
        <w:t>；</w:t>
      </w:r>
    </w:p>
    <w:p>
      <w:pPr>
        <w:pStyle w:val="49"/>
        <w:numPr>
          <w:ilvl w:val="0"/>
          <w:numId w:val="4"/>
        </w:numPr>
        <w:ind w:left="0" w:firstLine="480"/>
        <w:rPr>
          <w:sz w:val="24"/>
          <w:szCs w:val="28"/>
        </w:rPr>
      </w:pPr>
      <w:bookmarkStart w:id="12" w:name="_Hlk203574514"/>
      <w:r>
        <w:rPr>
          <w:rFonts w:hint="eastAsia"/>
          <w:sz w:val="24"/>
          <w:szCs w:val="28"/>
        </w:rPr>
        <w:t>住房城乡建设部</w:t>
      </w:r>
      <w:r>
        <w:rPr>
          <w:sz w:val="24"/>
          <w:szCs w:val="28"/>
        </w:rPr>
        <w:t xml:space="preserve"> 国家文物局关于印发《历史文化名城名镇名村保护规划编制要求（试行）》的通知</w:t>
      </w:r>
      <w:r>
        <w:rPr>
          <w:rFonts w:hint="eastAsia"/>
          <w:sz w:val="24"/>
          <w:szCs w:val="28"/>
        </w:rPr>
        <w:t>（建规〔</w:t>
      </w:r>
      <w:r>
        <w:rPr>
          <w:sz w:val="24"/>
          <w:szCs w:val="28"/>
        </w:rPr>
        <w:t>2012〕195号</w:t>
      </w:r>
      <w:r>
        <w:rPr>
          <w:rFonts w:hint="eastAsia"/>
          <w:sz w:val="24"/>
          <w:szCs w:val="28"/>
        </w:rPr>
        <w:t>）；</w:t>
      </w:r>
    </w:p>
    <w:bookmarkEnd w:id="12"/>
    <w:p>
      <w:pPr>
        <w:pStyle w:val="49"/>
        <w:numPr>
          <w:ilvl w:val="0"/>
          <w:numId w:val="4"/>
        </w:numPr>
        <w:ind w:left="0" w:firstLine="480"/>
        <w:rPr>
          <w:sz w:val="24"/>
          <w:szCs w:val="28"/>
        </w:rPr>
      </w:pPr>
      <w:r>
        <w:rPr>
          <w:sz w:val="24"/>
          <w:szCs w:val="28"/>
        </w:rPr>
        <w:t>《住房城乡建设部关于加强历史建筑保护与利用工作的通知》（建规〔2017〕212号）；</w:t>
      </w:r>
    </w:p>
    <w:p>
      <w:pPr>
        <w:pStyle w:val="49"/>
        <w:numPr>
          <w:ilvl w:val="0"/>
          <w:numId w:val="4"/>
        </w:numPr>
        <w:ind w:left="0" w:firstLine="480"/>
        <w:rPr>
          <w:sz w:val="24"/>
          <w:szCs w:val="28"/>
        </w:rPr>
      </w:pPr>
      <w:r>
        <w:rPr>
          <w:sz w:val="24"/>
          <w:szCs w:val="28"/>
        </w:rPr>
        <w:t>《住房城乡建设部办公厅关于学习贯彻习近平总书记广东考察时重要讲话精神进一步加强历史文化保护工作的通知》（建办城〔2018〕56号）；</w:t>
      </w:r>
    </w:p>
    <w:p>
      <w:pPr>
        <w:pStyle w:val="49"/>
        <w:numPr>
          <w:ilvl w:val="0"/>
          <w:numId w:val="4"/>
        </w:numPr>
        <w:ind w:left="0" w:firstLine="480"/>
        <w:rPr>
          <w:sz w:val="24"/>
          <w:szCs w:val="28"/>
        </w:rPr>
      </w:pPr>
      <w:r>
        <w:rPr>
          <w:rFonts w:hint="eastAsia"/>
          <w:sz w:val="24"/>
          <w:szCs w:val="28"/>
        </w:rPr>
        <w:t>《自然资源部 国家文物局关于在国土空间规划编制和实施中加强历史文化遗产保护管理的指导意见》（自然资发〔2021〕41号）；</w:t>
      </w:r>
    </w:p>
    <w:p>
      <w:pPr>
        <w:pStyle w:val="49"/>
        <w:numPr>
          <w:ilvl w:val="0"/>
          <w:numId w:val="4"/>
        </w:numPr>
        <w:ind w:left="0" w:firstLine="480"/>
        <w:rPr>
          <w:sz w:val="24"/>
          <w:szCs w:val="28"/>
        </w:rPr>
      </w:pPr>
      <w:r>
        <w:rPr>
          <w:rFonts w:hint="eastAsia"/>
          <w:sz w:val="24"/>
          <w:szCs w:val="28"/>
        </w:rPr>
        <w:t>关于印发《广东省消防安全重点单位微型消防站建设标准（试行）》、《广东省社区（村）微型消防站建设标准（试行）》的通知（粤消安〔2017〕2号）；</w:t>
      </w:r>
    </w:p>
    <w:p>
      <w:pPr>
        <w:pStyle w:val="49"/>
        <w:numPr>
          <w:ilvl w:val="0"/>
          <w:numId w:val="4"/>
        </w:numPr>
        <w:ind w:left="0" w:firstLine="480"/>
        <w:rPr>
          <w:sz w:val="24"/>
          <w:szCs w:val="28"/>
        </w:rPr>
      </w:pPr>
      <w:r>
        <w:rPr>
          <w:sz w:val="24"/>
          <w:szCs w:val="28"/>
        </w:rPr>
        <w:t>国家、省、市其它有关</w:t>
      </w:r>
      <w:r>
        <w:rPr>
          <w:rFonts w:hint="eastAsia"/>
          <w:sz w:val="24"/>
          <w:szCs w:val="28"/>
        </w:rPr>
        <w:t>名城</w:t>
      </w:r>
      <w:r>
        <w:rPr>
          <w:sz w:val="24"/>
          <w:szCs w:val="28"/>
        </w:rPr>
        <w:t>保护的政策。</w:t>
      </w:r>
    </w:p>
    <w:p>
      <w:pPr>
        <w:ind w:firstLine="482"/>
        <w:rPr>
          <w:b/>
          <w:bCs/>
          <w:sz w:val="24"/>
          <w:szCs w:val="28"/>
        </w:rPr>
      </w:pPr>
      <w:r>
        <w:rPr>
          <w:rFonts w:hint="eastAsia"/>
          <w:b/>
          <w:bCs/>
          <w:sz w:val="24"/>
          <w:szCs w:val="28"/>
        </w:rPr>
        <w:t>（三）规范性文件</w:t>
      </w:r>
      <w:bookmarkStart w:id="245" w:name="_GoBack"/>
      <w:bookmarkEnd w:id="245"/>
    </w:p>
    <w:p>
      <w:pPr>
        <w:pStyle w:val="49"/>
        <w:numPr>
          <w:ilvl w:val="0"/>
          <w:numId w:val="5"/>
        </w:numPr>
        <w:ind w:left="0" w:firstLine="480"/>
        <w:rPr>
          <w:sz w:val="24"/>
          <w:szCs w:val="28"/>
        </w:rPr>
      </w:pPr>
      <w:bookmarkStart w:id="13" w:name="_Hlk169711238"/>
      <w:r>
        <w:rPr>
          <w:rFonts w:hint="eastAsia"/>
          <w:sz w:val="24"/>
          <w:szCs w:val="28"/>
        </w:rPr>
        <w:t>《历史文化名城</w:t>
      </w:r>
      <w:r>
        <w:rPr>
          <w:sz w:val="24"/>
          <w:szCs w:val="28"/>
        </w:rPr>
        <w:t>保护规划标准</w:t>
      </w:r>
      <w:r>
        <w:rPr>
          <w:rFonts w:hint="eastAsia"/>
          <w:sz w:val="24"/>
          <w:szCs w:val="28"/>
        </w:rPr>
        <w:t>》（GB/T50357-2018）；</w:t>
      </w:r>
    </w:p>
    <w:p>
      <w:pPr>
        <w:pStyle w:val="49"/>
        <w:numPr>
          <w:ilvl w:val="0"/>
          <w:numId w:val="5"/>
        </w:numPr>
        <w:ind w:left="0" w:firstLine="480"/>
        <w:rPr>
          <w:sz w:val="24"/>
          <w:szCs w:val="28"/>
        </w:rPr>
      </w:pPr>
      <w:r>
        <w:rPr>
          <w:sz w:val="24"/>
          <w:szCs w:val="28"/>
        </w:rPr>
        <w:t>《城乡历史文化保护利用项目规范》（GB 55035-2023）；</w:t>
      </w:r>
    </w:p>
    <w:p>
      <w:pPr>
        <w:pStyle w:val="49"/>
        <w:numPr>
          <w:ilvl w:val="0"/>
          <w:numId w:val="5"/>
        </w:numPr>
        <w:ind w:left="0" w:firstLine="480"/>
        <w:rPr>
          <w:sz w:val="24"/>
          <w:szCs w:val="28"/>
        </w:rPr>
      </w:pPr>
      <w:r>
        <w:rPr>
          <w:rFonts w:hint="eastAsia"/>
          <w:sz w:val="24"/>
          <w:szCs w:val="28"/>
        </w:rPr>
        <w:t>《中国文物古迹保护准则》（</w:t>
      </w:r>
      <w:r>
        <w:rPr>
          <w:sz w:val="24"/>
          <w:szCs w:val="28"/>
        </w:rPr>
        <w:t>2015年）</w:t>
      </w:r>
      <w:r>
        <w:rPr>
          <w:rFonts w:hint="eastAsia"/>
          <w:sz w:val="24"/>
          <w:szCs w:val="28"/>
        </w:rPr>
        <w:t>；</w:t>
      </w:r>
    </w:p>
    <w:p>
      <w:pPr>
        <w:pStyle w:val="49"/>
        <w:numPr>
          <w:ilvl w:val="0"/>
          <w:numId w:val="5"/>
        </w:numPr>
        <w:ind w:left="0" w:firstLine="480"/>
        <w:rPr>
          <w:sz w:val="24"/>
          <w:szCs w:val="28"/>
        </w:rPr>
      </w:pPr>
      <w:r>
        <w:rPr>
          <w:sz w:val="24"/>
          <w:szCs w:val="28"/>
        </w:rPr>
        <w:t>《文物建筑开放导则》（文物保发〔2019〕24号）；</w:t>
      </w:r>
    </w:p>
    <w:p>
      <w:pPr>
        <w:pStyle w:val="49"/>
        <w:numPr>
          <w:ilvl w:val="0"/>
          <w:numId w:val="5"/>
        </w:numPr>
        <w:ind w:left="0" w:firstLine="480"/>
        <w:rPr>
          <w:sz w:val="24"/>
          <w:szCs w:val="28"/>
        </w:rPr>
      </w:pPr>
      <w:r>
        <w:rPr>
          <w:sz w:val="24"/>
          <w:szCs w:val="28"/>
        </w:rPr>
        <w:t>《文物建筑防火设计导则（试行）》；</w:t>
      </w:r>
    </w:p>
    <w:p>
      <w:pPr>
        <w:pStyle w:val="49"/>
        <w:numPr>
          <w:ilvl w:val="0"/>
          <w:numId w:val="5"/>
        </w:numPr>
        <w:ind w:left="0" w:firstLine="480"/>
        <w:rPr>
          <w:sz w:val="24"/>
          <w:szCs w:val="28"/>
        </w:rPr>
      </w:pPr>
      <w:r>
        <w:rPr>
          <w:rFonts w:hint="eastAsia"/>
          <w:sz w:val="24"/>
          <w:szCs w:val="28"/>
        </w:rPr>
        <w:t>《城市消防规划规范》（G</w:t>
      </w:r>
      <w:r>
        <w:rPr>
          <w:sz w:val="24"/>
          <w:szCs w:val="28"/>
        </w:rPr>
        <w:t>B51080-2015</w:t>
      </w:r>
      <w:r>
        <w:rPr>
          <w:rFonts w:hint="eastAsia"/>
          <w:sz w:val="24"/>
          <w:szCs w:val="28"/>
        </w:rPr>
        <w:t>）；</w:t>
      </w:r>
    </w:p>
    <w:p>
      <w:pPr>
        <w:pStyle w:val="49"/>
        <w:numPr>
          <w:ilvl w:val="0"/>
          <w:numId w:val="5"/>
        </w:numPr>
        <w:ind w:left="0" w:firstLine="480"/>
        <w:rPr>
          <w:sz w:val="24"/>
          <w:szCs w:val="28"/>
        </w:rPr>
      </w:pPr>
      <w:r>
        <w:rPr>
          <w:rFonts w:hint="eastAsia"/>
          <w:sz w:val="24"/>
          <w:szCs w:val="28"/>
        </w:rPr>
        <w:t>《城市消防站建设标准》（建标</w:t>
      </w:r>
      <w:r>
        <w:rPr>
          <w:sz w:val="24"/>
          <w:szCs w:val="28"/>
        </w:rPr>
        <w:t>152-2017</w:t>
      </w:r>
      <w:r>
        <w:rPr>
          <w:rFonts w:hint="eastAsia"/>
          <w:sz w:val="24"/>
          <w:szCs w:val="28"/>
        </w:rPr>
        <w:t>）；</w:t>
      </w:r>
    </w:p>
    <w:p>
      <w:pPr>
        <w:pStyle w:val="49"/>
        <w:numPr>
          <w:ilvl w:val="0"/>
          <w:numId w:val="5"/>
        </w:numPr>
        <w:ind w:left="0" w:firstLine="480"/>
        <w:rPr>
          <w:sz w:val="24"/>
          <w:szCs w:val="28"/>
        </w:rPr>
      </w:pPr>
      <w:r>
        <w:rPr>
          <w:rFonts w:hint="eastAsia"/>
          <w:sz w:val="24"/>
          <w:szCs w:val="28"/>
        </w:rPr>
        <w:t>《</w:t>
      </w:r>
      <w:r>
        <w:rPr>
          <w:sz w:val="24"/>
          <w:szCs w:val="28"/>
        </w:rPr>
        <w:t>消防给水及消火栓系统技术规范》（GB50974-2014）；</w:t>
      </w:r>
    </w:p>
    <w:p>
      <w:pPr>
        <w:pStyle w:val="49"/>
        <w:numPr>
          <w:ilvl w:val="0"/>
          <w:numId w:val="5"/>
        </w:numPr>
        <w:ind w:left="0" w:firstLine="480"/>
        <w:rPr>
          <w:sz w:val="24"/>
          <w:szCs w:val="28"/>
        </w:rPr>
      </w:pPr>
      <w:r>
        <w:rPr>
          <w:sz w:val="24"/>
          <w:szCs w:val="28"/>
        </w:rPr>
        <w:t>《广东省历史建筑和传统风貌建筑评价标准》（DBJ/T15-258-2023）；</w:t>
      </w:r>
    </w:p>
    <w:p>
      <w:pPr>
        <w:pStyle w:val="49"/>
        <w:numPr>
          <w:ilvl w:val="0"/>
          <w:numId w:val="5"/>
        </w:numPr>
        <w:ind w:left="0" w:firstLine="480"/>
        <w:rPr>
          <w:sz w:val="24"/>
          <w:szCs w:val="28"/>
        </w:rPr>
      </w:pPr>
      <w:r>
        <w:rPr>
          <w:rFonts w:hint="eastAsia"/>
          <w:sz w:val="24"/>
          <w:szCs w:val="28"/>
        </w:rPr>
        <w:t>《广东省消防安全重点单位微型消防站建设标准（试行）》；</w:t>
      </w:r>
    </w:p>
    <w:p>
      <w:pPr>
        <w:pStyle w:val="49"/>
        <w:numPr>
          <w:ilvl w:val="0"/>
          <w:numId w:val="5"/>
        </w:numPr>
        <w:ind w:left="0" w:firstLine="480"/>
        <w:rPr>
          <w:sz w:val="24"/>
          <w:szCs w:val="28"/>
        </w:rPr>
      </w:pPr>
      <w:r>
        <w:rPr>
          <w:rFonts w:hint="eastAsia"/>
          <w:sz w:val="24"/>
          <w:szCs w:val="28"/>
        </w:rPr>
        <w:t>《广东省社区（村）微型消防站建设标准（试行）》；</w:t>
      </w:r>
    </w:p>
    <w:p>
      <w:pPr>
        <w:pStyle w:val="49"/>
        <w:numPr>
          <w:ilvl w:val="0"/>
          <w:numId w:val="5"/>
        </w:numPr>
        <w:ind w:left="0" w:firstLine="480"/>
        <w:rPr>
          <w:sz w:val="24"/>
          <w:szCs w:val="28"/>
        </w:rPr>
      </w:pPr>
      <w:r>
        <w:rPr>
          <w:sz w:val="24"/>
          <w:szCs w:val="28"/>
        </w:rPr>
        <w:t>国家、省、市其它有关</w:t>
      </w:r>
      <w:r>
        <w:rPr>
          <w:rFonts w:hint="eastAsia"/>
          <w:sz w:val="24"/>
          <w:szCs w:val="28"/>
        </w:rPr>
        <w:t>名城</w:t>
      </w:r>
      <w:r>
        <w:rPr>
          <w:sz w:val="24"/>
          <w:szCs w:val="28"/>
        </w:rPr>
        <w:t>保护的规范性文件。</w:t>
      </w:r>
    </w:p>
    <w:bookmarkEnd w:id="13"/>
    <w:p>
      <w:pPr>
        <w:ind w:firstLine="482"/>
        <w:rPr>
          <w:b/>
          <w:bCs/>
          <w:sz w:val="24"/>
          <w:szCs w:val="28"/>
        </w:rPr>
      </w:pPr>
      <w:bookmarkStart w:id="14" w:name="_Hlk165024768"/>
      <w:r>
        <w:rPr>
          <w:rFonts w:hint="eastAsia"/>
          <w:b/>
          <w:bCs/>
          <w:sz w:val="24"/>
          <w:szCs w:val="28"/>
        </w:rPr>
        <w:t>（四）相关规划</w:t>
      </w:r>
    </w:p>
    <w:bookmarkEnd w:id="14"/>
    <w:p>
      <w:pPr>
        <w:pStyle w:val="49"/>
        <w:numPr>
          <w:ilvl w:val="0"/>
          <w:numId w:val="6"/>
        </w:numPr>
        <w:ind w:left="0" w:firstLine="480"/>
        <w:rPr>
          <w:sz w:val="24"/>
          <w:szCs w:val="28"/>
        </w:rPr>
      </w:pPr>
      <w:r>
        <w:rPr>
          <w:rFonts w:hint="eastAsia"/>
          <w:sz w:val="24"/>
          <w:szCs w:val="28"/>
        </w:rPr>
        <w:t>《广东省文物保护空间规划（2021—2035年）》；</w:t>
      </w:r>
    </w:p>
    <w:p>
      <w:pPr>
        <w:pStyle w:val="49"/>
        <w:numPr>
          <w:ilvl w:val="0"/>
          <w:numId w:val="6"/>
        </w:numPr>
        <w:ind w:left="0" w:firstLine="480"/>
        <w:rPr>
          <w:sz w:val="24"/>
          <w:szCs w:val="28"/>
        </w:rPr>
      </w:pPr>
      <w:r>
        <w:rPr>
          <w:sz w:val="24"/>
          <w:szCs w:val="28"/>
        </w:rPr>
        <w:t>《</w:t>
      </w:r>
      <w:r>
        <w:rPr>
          <w:rFonts w:hint="eastAsia"/>
          <w:sz w:val="24"/>
          <w:szCs w:val="28"/>
        </w:rPr>
        <w:t>广东省历史文化名城</w:t>
      </w:r>
      <w:r>
        <w:rPr>
          <w:sz w:val="24"/>
          <w:szCs w:val="28"/>
        </w:rPr>
        <w:t>韶关历史文化名城保护规划（2021-2035年）》；</w:t>
      </w:r>
    </w:p>
    <w:p>
      <w:pPr>
        <w:pStyle w:val="49"/>
        <w:numPr>
          <w:ilvl w:val="0"/>
          <w:numId w:val="6"/>
        </w:numPr>
        <w:ind w:left="0" w:firstLine="480"/>
        <w:rPr>
          <w:sz w:val="24"/>
          <w:szCs w:val="28"/>
        </w:rPr>
      </w:pPr>
      <w:r>
        <w:rPr>
          <w:sz w:val="24"/>
          <w:szCs w:val="28"/>
        </w:rPr>
        <w:t>《南雄市国土空间总体规划（2021-2035年）》；</w:t>
      </w:r>
    </w:p>
    <w:p>
      <w:pPr>
        <w:pStyle w:val="49"/>
        <w:numPr>
          <w:ilvl w:val="0"/>
          <w:numId w:val="6"/>
        </w:numPr>
        <w:ind w:left="0" w:firstLine="480"/>
        <w:rPr>
          <w:sz w:val="24"/>
          <w:szCs w:val="28"/>
        </w:rPr>
      </w:pPr>
      <w:r>
        <w:rPr>
          <w:sz w:val="24"/>
          <w:szCs w:val="28"/>
        </w:rPr>
        <w:t>《南雄市国民经济和社会发展第十四个五年规划纲要》；</w:t>
      </w:r>
    </w:p>
    <w:p>
      <w:pPr>
        <w:pStyle w:val="49"/>
        <w:numPr>
          <w:ilvl w:val="0"/>
          <w:numId w:val="6"/>
        </w:numPr>
        <w:ind w:left="0" w:firstLine="480"/>
        <w:rPr>
          <w:sz w:val="24"/>
          <w:szCs w:val="28"/>
        </w:rPr>
      </w:pPr>
      <w:bookmarkStart w:id="15" w:name="_Hlk203574599"/>
      <w:r>
        <w:rPr>
          <w:rFonts w:hint="eastAsia"/>
          <w:sz w:val="24"/>
          <w:szCs w:val="28"/>
        </w:rPr>
        <w:t>与本次名城保护规划相关</w:t>
      </w:r>
      <w:r>
        <w:rPr>
          <w:sz w:val="24"/>
          <w:szCs w:val="28"/>
        </w:rPr>
        <w:t>的其它规划</w:t>
      </w:r>
      <w:r>
        <w:rPr>
          <w:rFonts w:hint="eastAsia"/>
          <w:sz w:val="24"/>
          <w:szCs w:val="28"/>
        </w:rPr>
        <w:t>文件</w:t>
      </w:r>
      <w:bookmarkEnd w:id="15"/>
      <w:r>
        <w:rPr>
          <w:sz w:val="24"/>
          <w:szCs w:val="28"/>
        </w:rPr>
        <w:t>。</w:t>
      </w:r>
    </w:p>
    <w:bookmarkEnd w:id="8"/>
    <w:bookmarkEnd w:id="9"/>
    <w:p>
      <w:pPr>
        <w:pStyle w:val="4"/>
        <w:numPr>
          <w:ilvl w:val="0"/>
          <w:numId w:val="2"/>
        </w:numPr>
        <w:spacing w:before="312" w:beforeLines="100" w:after="0" w:line="415" w:lineRule="auto"/>
        <w:jc w:val="both"/>
        <w:rPr>
          <w:sz w:val="24"/>
          <w:szCs w:val="24"/>
        </w:rPr>
      </w:pPr>
      <w:bookmarkStart w:id="16" w:name="_Toc77610779"/>
      <w:r>
        <w:rPr>
          <w:rFonts w:hint="eastAsia"/>
          <w:sz w:val="24"/>
          <w:szCs w:val="24"/>
        </w:rPr>
        <w:t>指导思想</w:t>
      </w:r>
      <w:bookmarkEnd w:id="16"/>
    </w:p>
    <w:p>
      <w:pPr>
        <w:ind w:firstLine="480"/>
        <w:rPr>
          <w:sz w:val="24"/>
          <w:szCs w:val="28"/>
        </w:rPr>
      </w:pPr>
      <w:r>
        <w:rPr>
          <w:rFonts w:hint="eastAsia"/>
          <w:sz w:val="24"/>
          <w:szCs w:val="28"/>
        </w:rPr>
        <w:t>以习近平新时代中国特色社会主义思想为指导，全面贯彻党的二十大和二十届三中全会精神，认真落实习近平总书记关于加强历史文化遗产保护的重要论述，深入贯彻</w:t>
      </w:r>
      <w:bookmarkStart w:id="17" w:name="_Hlk168042151"/>
      <w:r>
        <w:rPr>
          <w:rFonts w:hint="eastAsia"/>
          <w:sz w:val="24"/>
          <w:szCs w:val="28"/>
        </w:rPr>
        <w:t>习近平总书记</w:t>
      </w:r>
      <w:bookmarkEnd w:id="17"/>
      <w:r>
        <w:rPr>
          <w:rFonts w:hint="eastAsia"/>
          <w:sz w:val="24"/>
          <w:szCs w:val="28"/>
        </w:rPr>
        <w:t>对广东重要指示批示精神，坚持保护为主、合理利用、改善环境、有效管理的指导思想，牢固树立创新、协调、绿色、开放、共享的发展理念，坚定文化自信，建立分类科学、保护有力、管理有效的历史文化保护传承体系。</w:t>
      </w:r>
      <w:r>
        <w:rPr>
          <w:sz w:val="24"/>
          <w:szCs w:val="28"/>
        </w:rPr>
        <w:t>正确处理好城市发展与</w:t>
      </w:r>
      <w:r>
        <w:rPr>
          <w:rFonts w:hint="eastAsia"/>
          <w:sz w:val="24"/>
          <w:szCs w:val="28"/>
        </w:rPr>
        <w:t>历史文化</w:t>
      </w:r>
      <w:r>
        <w:rPr>
          <w:sz w:val="24"/>
          <w:szCs w:val="28"/>
        </w:rPr>
        <w:t>保护的关系，推动</w:t>
      </w:r>
      <w:r>
        <w:rPr>
          <w:rFonts w:hint="eastAsia"/>
          <w:sz w:val="24"/>
          <w:szCs w:val="28"/>
        </w:rPr>
        <w:t>城乡文化</w:t>
      </w:r>
      <w:r>
        <w:rPr>
          <w:sz w:val="24"/>
          <w:szCs w:val="28"/>
        </w:rPr>
        <w:t>的进一步发展，为</w:t>
      </w:r>
      <w:r>
        <w:rPr>
          <w:rFonts w:hint="eastAsia"/>
          <w:sz w:val="24"/>
          <w:szCs w:val="28"/>
        </w:rPr>
        <w:t>南雄</w:t>
      </w:r>
      <w:r>
        <w:rPr>
          <w:sz w:val="24"/>
          <w:szCs w:val="28"/>
        </w:rPr>
        <w:t>提升发展创造良好的物质基础和社会环境</w:t>
      </w:r>
      <w:r>
        <w:rPr>
          <w:rFonts w:hint="eastAsia"/>
          <w:sz w:val="24"/>
          <w:szCs w:val="28"/>
        </w:rPr>
        <w:t>。</w:t>
      </w:r>
    </w:p>
    <w:p>
      <w:pPr>
        <w:pStyle w:val="4"/>
        <w:numPr>
          <w:ilvl w:val="0"/>
          <w:numId w:val="2"/>
        </w:numPr>
        <w:spacing w:before="312" w:beforeLines="100" w:after="0" w:line="415" w:lineRule="auto"/>
        <w:jc w:val="both"/>
        <w:rPr>
          <w:sz w:val="24"/>
          <w:szCs w:val="24"/>
        </w:rPr>
      </w:pPr>
      <w:bookmarkStart w:id="18" w:name="_Toc77610780"/>
      <w:r>
        <w:rPr>
          <w:rFonts w:hint="eastAsia"/>
          <w:sz w:val="24"/>
          <w:szCs w:val="24"/>
        </w:rPr>
        <w:t>规划原则</w:t>
      </w:r>
      <w:bookmarkEnd w:id="18"/>
    </w:p>
    <w:p>
      <w:pPr>
        <w:ind w:firstLine="480"/>
        <w:rPr>
          <w:sz w:val="24"/>
          <w:szCs w:val="28"/>
        </w:rPr>
      </w:pPr>
      <w:r>
        <w:rPr>
          <w:sz w:val="24"/>
          <w:szCs w:val="28"/>
        </w:rPr>
        <w:t>1．</w:t>
      </w:r>
      <w:r>
        <w:rPr>
          <w:rFonts w:hint="eastAsia"/>
          <w:sz w:val="24"/>
          <w:szCs w:val="28"/>
        </w:rPr>
        <w:t>保护</w:t>
      </w:r>
      <w:r>
        <w:rPr>
          <w:sz w:val="24"/>
          <w:szCs w:val="28"/>
        </w:rPr>
        <w:t>遗产本体、载体、环境的真实性、完整性原则；</w:t>
      </w:r>
    </w:p>
    <w:p>
      <w:pPr>
        <w:ind w:firstLine="480"/>
        <w:rPr>
          <w:sz w:val="24"/>
          <w:szCs w:val="28"/>
        </w:rPr>
      </w:pPr>
      <w:r>
        <w:rPr>
          <w:sz w:val="24"/>
          <w:szCs w:val="28"/>
        </w:rPr>
        <w:t>2．</w:t>
      </w:r>
      <w:r>
        <w:rPr>
          <w:rFonts w:hint="eastAsia"/>
          <w:sz w:val="24"/>
          <w:szCs w:val="28"/>
        </w:rPr>
        <w:t>坚持</w:t>
      </w:r>
      <w:r>
        <w:rPr>
          <w:sz w:val="24"/>
          <w:szCs w:val="28"/>
        </w:rPr>
        <w:t>合理利用、永续发展的原则；</w:t>
      </w:r>
    </w:p>
    <w:p>
      <w:pPr>
        <w:ind w:firstLine="480"/>
        <w:rPr>
          <w:sz w:val="24"/>
          <w:szCs w:val="28"/>
        </w:rPr>
      </w:pPr>
      <w:r>
        <w:rPr>
          <w:sz w:val="24"/>
          <w:szCs w:val="28"/>
        </w:rPr>
        <w:t>3．</w:t>
      </w:r>
      <w:r>
        <w:rPr>
          <w:rFonts w:hint="eastAsia"/>
          <w:sz w:val="24"/>
          <w:szCs w:val="28"/>
        </w:rPr>
        <w:t>坚持</w:t>
      </w:r>
      <w:r>
        <w:rPr>
          <w:sz w:val="24"/>
          <w:szCs w:val="28"/>
        </w:rPr>
        <w:t>部门统筹协调</w:t>
      </w:r>
      <w:r>
        <w:rPr>
          <w:rFonts w:hint="eastAsia"/>
          <w:sz w:val="24"/>
          <w:szCs w:val="28"/>
        </w:rPr>
        <w:t>，</w:t>
      </w:r>
      <w:r>
        <w:rPr>
          <w:sz w:val="24"/>
          <w:szCs w:val="28"/>
        </w:rPr>
        <w:t>系统保护的原则；</w:t>
      </w:r>
    </w:p>
    <w:p>
      <w:pPr>
        <w:ind w:firstLine="480"/>
        <w:rPr>
          <w:sz w:val="24"/>
          <w:szCs w:val="28"/>
        </w:rPr>
      </w:pPr>
      <w:r>
        <w:rPr>
          <w:sz w:val="24"/>
          <w:szCs w:val="28"/>
        </w:rPr>
        <w:t>4．</w:t>
      </w:r>
      <w:r>
        <w:rPr>
          <w:rFonts w:hint="eastAsia"/>
          <w:sz w:val="24"/>
          <w:szCs w:val="28"/>
        </w:rPr>
        <w:t>坚持</w:t>
      </w:r>
      <w:r>
        <w:rPr>
          <w:sz w:val="24"/>
          <w:szCs w:val="28"/>
        </w:rPr>
        <w:t>科学保护、依法保护、公众参与的原则；</w:t>
      </w:r>
    </w:p>
    <w:p>
      <w:pPr>
        <w:ind w:firstLine="480"/>
        <w:rPr>
          <w:sz w:val="24"/>
          <w:szCs w:val="28"/>
        </w:rPr>
      </w:pPr>
      <w:r>
        <w:rPr>
          <w:sz w:val="24"/>
          <w:szCs w:val="28"/>
        </w:rPr>
        <w:t>5．</w:t>
      </w:r>
      <w:r>
        <w:rPr>
          <w:rFonts w:hint="eastAsia"/>
          <w:sz w:val="24"/>
          <w:szCs w:val="28"/>
        </w:rPr>
        <w:t>坚持</w:t>
      </w:r>
      <w:r>
        <w:rPr>
          <w:sz w:val="24"/>
          <w:szCs w:val="28"/>
        </w:rPr>
        <w:t>改善人居环境，促进经济、社会协调发展的原则。</w:t>
      </w:r>
    </w:p>
    <w:p>
      <w:pPr>
        <w:pStyle w:val="4"/>
        <w:numPr>
          <w:ilvl w:val="0"/>
          <w:numId w:val="2"/>
        </w:numPr>
        <w:spacing w:before="0" w:after="0" w:line="415" w:lineRule="auto"/>
        <w:jc w:val="both"/>
        <w:rPr>
          <w:sz w:val="24"/>
          <w:szCs w:val="24"/>
        </w:rPr>
      </w:pPr>
      <w:bookmarkStart w:id="19" w:name="_Toc77610781"/>
      <w:r>
        <w:rPr>
          <w:rFonts w:hint="eastAsia"/>
          <w:sz w:val="24"/>
          <w:szCs w:val="24"/>
        </w:rPr>
        <w:t>规划目标</w:t>
      </w:r>
      <w:bookmarkEnd w:id="19"/>
    </w:p>
    <w:p>
      <w:pPr>
        <w:ind w:firstLine="480"/>
        <w:rPr>
          <w:rFonts w:ascii="Times" w:hAnsi="Times" w:cs="宋体"/>
          <w:bCs/>
          <w:sz w:val="24"/>
          <w:szCs w:val="20"/>
        </w:rPr>
      </w:pPr>
      <w:r>
        <w:rPr>
          <w:rFonts w:ascii="Times" w:hAnsi="Times" w:cs="宋体"/>
          <w:bCs/>
          <w:sz w:val="24"/>
          <w:szCs w:val="20"/>
        </w:rPr>
        <w:t>严格保护、保持和延续传统格局与历史风貌，维护历史文化遗产的真实性和完整性，</w:t>
      </w:r>
      <w:r>
        <w:rPr>
          <w:rFonts w:hint="eastAsia"/>
          <w:sz w:val="24"/>
          <w:szCs w:val="28"/>
        </w:rPr>
        <w:t>继承</w:t>
      </w:r>
      <w:r>
        <w:rPr>
          <w:sz w:val="24"/>
          <w:szCs w:val="28"/>
        </w:rPr>
        <w:t>和弘扬</w:t>
      </w:r>
      <w:r>
        <w:rPr>
          <w:rFonts w:hint="eastAsia"/>
          <w:sz w:val="24"/>
          <w:szCs w:val="28"/>
        </w:rPr>
        <w:t>民族</w:t>
      </w:r>
      <w:r>
        <w:rPr>
          <w:sz w:val="24"/>
          <w:szCs w:val="28"/>
        </w:rPr>
        <w:t>和地方优秀传统文化</w:t>
      </w:r>
      <w:r>
        <w:rPr>
          <w:rFonts w:hint="eastAsia"/>
          <w:sz w:val="24"/>
          <w:szCs w:val="28"/>
        </w:rPr>
        <w:t>与非物质文化遗产</w:t>
      </w:r>
      <w:r>
        <w:rPr>
          <w:sz w:val="24"/>
          <w:szCs w:val="28"/>
        </w:rPr>
        <w:t>，正确处理好城</w:t>
      </w:r>
      <w:r>
        <w:rPr>
          <w:rFonts w:hint="eastAsia"/>
          <w:sz w:val="24"/>
          <w:szCs w:val="28"/>
        </w:rPr>
        <w:t>乡</w:t>
      </w:r>
      <w:r>
        <w:rPr>
          <w:sz w:val="24"/>
          <w:szCs w:val="28"/>
        </w:rPr>
        <w:t>经济社会发展和历史文化遗产保护的关系，</w:t>
      </w:r>
      <w:r>
        <w:rPr>
          <w:rFonts w:hint="eastAsia"/>
          <w:sz w:val="24"/>
          <w:szCs w:val="28"/>
        </w:rPr>
        <w:t>确保各时期重要城乡历史文化遗产得到系统性保护，多维度展示南雄优秀传统文化，使历史文脉得到有效延续，名城风貌得到充分彰显</w:t>
      </w:r>
      <w:r>
        <w:rPr>
          <w:sz w:val="24"/>
          <w:szCs w:val="28"/>
        </w:rPr>
        <w:t>。</w:t>
      </w:r>
      <w:r>
        <w:rPr>
          <w:rFonts w:hint="eastAsia"/>
          <w:sz w:val="24"/>
          <w:szCs w:val="28"/>
        </w:rPr>
        <w:t>统筹市域</w:t>
      </w:r>
      <w:r>
        <w:rPr>
          <w:sz w:val="24"/>
          <w:szCs w:val="28"/>
        </w:rPr>
        <w:t>内客家</w:t>
      </w:r>
      <w:r>
        <w:rPr>
          <w:rFonts w:hint="eastAsia"/>
          <w:sz w:val="24"/>
          <w:szCs w:val="28"/>
        </w:rPr>
        <w:t>、广府、恐</w:t>
      </w:r>
      <w:r>
        <w:rPr>
          <w:sz w:val="24"/>
          <w:szCs w:val="28"/>
        </w:rPr>
        <w:t>龙、银杏等特色文化和自然资源，</w:t>
      </w:r>
      <w:r>
        <w:rPr>
          <w:rFonts w:hint="eastAsia"/>
          <w:sz w:val="24"/>
          <w:szCs w:val="28"/>
        </w:rPr>
        <w:t>将</w:t>
      </w:r>
      <w:r>
        <w:rPr>
          <w:sz w:val="24"/>
          <w:szCs w:val="28"/>
        </w:rPr>
        <w:t>南雄建设成</w:t>
      </w:r>
      <w:r>
        <w:rPr>
          <w:rFonts w:hint="eastAsia"/>
          <w:sz w:val="24"/>
          <w:szCs w:val="28"/>
        </w:rPr>
        <w:t>历史风貌</w:t>
      </w:r>
      <w:r>
        <w:rPr>
          <w:sz w:val="24"/>
          <w:szCs w:val="28"/>
        </w:rPr>
        <w:t>与现代文明相映、人文景观与自然景观相融的省级历史文化名城，推动南雄</w:t>
      </w:r>
      <w:r>
        <w:rPr>
          <w:rFonts w:hint="eastAsia"/>
          <w:sz w:val="24"/>
          <w:szCs w:val="28"/>
        </w:rPr>
        <w:t>文旅融合</w:t>
      </w:r>
      <w:r>
        <w:rPr>
          <w:sz w:val="24"/>
          <w:szCs w:val="28"/>
        </w:rPr>
        <w:t>发展。</w:t>
      </w:r>
    </w:p>
    <w:p>
      <w:pPr>
        <w:pStyle w:val="4"/>
        <w:numPr>
          <w:ilvl w:val="0"/>
          <w:numId w:val="2"/>
        </w:numPr>
        <w:spacing w:before="312" w:beforeLines="100" w:after="0" w:line="415" w:lineRule="auto"/>
        <w:jc w:val="both"/>
        <w:rPr>
          <w:sz w:val="24"/>
          <w:szCs w:val="24"/>
        </w:rPr>
      </w:pPr>
      <w:bookmarkStart w:id="20" w:name="_Toc77610782"/>
      <w:r>
        <w:rPr>
          <w:rFonts w:hint="eastAsia"/>
          <w:sz w:val="24"/>
          <w:szCs w:val="24"/>
        </w:rPr>
        <w:t>规划范围</w:t>
      </w:r>
      <w:bookmarkEnd w:id="20"/>
    </w:p>
    <w:p>
      <w:pPr>
        <w:ind w:firstLine="480"/>
        <w:rPr>
          <w:sz w:val="24"/>
          <w:szCs w:val="28"/>
        </w:rPr>
      </w:pPr>
      <w:r>
        <w:rPr>
          <w:rFonts w:hint="eastAsia"/>
          <w:sz w:val="24"/>
          <w:szCs w:val="28"/>
        </w:rPr>
        <w:t>规划范围</w:t>
      </w:r>
      <w:r>
        <w:rPr>
          <w:sz w:val="24"/>
          <w:szCs w:val="28"/>
        </w:rPr>
        <w:t>为南雄市域范围，总面积约为</w:t>
      </w:r>
      <w:r>
        <w:rPr>
          <w:rFonts w:hint="eastAsia"/>
          <w:sz w:val="24"/>
          <w:szCs w:val="28"/>
        </w:rPr>
        <w:t>2326.18平方</w:t>
      </w:r>
      <w:r>
        <w:rPr>
          <w:sz w:val="24"/>
          <w:szCs w:val="28"/>
        </w:rPr>
        <w:t>公里。</w:t>
      </w:r>
    </w:p>
    <w:p>
      <w:pPr>
        <w:ind w:firstLine="480"/>
        <w:rPr>
          <w:sz w:val="24"/>
          <w:szCs w:val="28"/>
          <w:highlight w:val="yellow"/>
        </w:rPr>
      </w:pPr>
      <w:r>
        <w:rPr>
          <w:rFonts w:hint="eastAsia"/>
          <w:sz w:val="24"/>
          <w:szCs w:val="28"/>
        </w:rPr>
        <w:t>规划</w:t>
      </w:r>
      <w:r>
        <w:rPr>
          <w:sz w:val="24"/>
          <w:szCs w:val="28"/>
        </w:rPr>
        <w:t>重点区域为历史城区范围，主要</w:t>
      </w:r>
      <w:r>
        <w:rPr>
          <w:rFonts w:hint="eastAsia"/>
          <w:sz w:val="24"/>
          <w:szCs w:val="28"/>
        </w:rPr>
        <w:t>位于</w:t>
      </w:r>
      <w:r>
        <w:rPr>
          <w:sz w:val="24"/>
          <w:szCs w:val="28"/>
        </w:rPr>
        <w:t>雄州街道行政辖区内。</w:t>
      </w:r>
      <w:r>
        <w:rPr>
          <w:rFonts w:hint="eastAsia"/>
          <w:sz w:val="24"/>
          <w:szCs w:val="28"/>
        </w:rPr>
        <w:t>以</w:t>
      </w:r>
      <w:r>
        <w:rPr>
          <w:sz w:val="24"/>
          <w:szCs w:val="28"/>
        </w:rPr>
        <w:t>原</w:t>
      </w:r>
      <w:r>
        <w:rPr>
          <w:rFonts w:hint="eastAsia"/>
          <w:sz w:val="24"/>
          <w:szCs w:val="28"/>
        </w:rPr>
        <w:t>古城轮廓为界</w:t>
      </w:r>
      <w:r>
        <w:rPr>
          <w:sz w:val="24"/>
          <w:szCs w:val="28"/>
        </w:rPr>
        <w:t>，北至环城路、东至雄东路、南至</w:t>
      </w:r>
      <w:r>
        <w:rPr>
          <w:rFonts w:hint="eastAsia"/>
          <w:sz w:val="24"/>
          <w:szCs w:val="28"/>
        </w:rPr>
        <w:t>浈江及其沿岸</w:t>
      </w:r>
      <w:r>
        <w:rPr>
          <w:sz w:val="24"/>
          <w:szCs w:val="28"/>
        </w:rPr>
        <w:t>、西至凌江</w:t>
      </w:r>
      <w:r>
        <w:rPr>
          <w:rFonts w:hint="eastAsia"/>
          <w:sz w:val="24"/>
          <w:szCs w:val="28"/>
        </w:rPr>
        <w:t>及其沿岸</w:t>
      </w:r>
      <w:r>
        <w:rPr>
          <w:sz w:val="24"/>
          <w:szCs w:val="28"/>
        </w:rPr>
        <w:t>，</w:t>
      </w:r>
      <w:r>
        <w:rPr>
          <w:rFonts w:hint="eastAsia"/>
          <w:sz w:val="24"/>
          <w:szCs w:val="28"/>
        </w:rPr>
        <w:t>面积约为</w:t>
      </w:r>
      <w:r>
        <w:rPr>
          <w:sz w:val="24"/>
          <w:szCs w:val="28"/>
        </w:rPr>
        <w:t>1.79</w:t>
      </w:r>
      <w:r>
        <w:rPr>
          <w:rFonts w:hint="eastAsia"/>
          <w:sz w:val="24"/>
          <w:szCs w:val="28"/>
        </w:rPr>
        <w:t>平方公里</w:t>
      </w:r>
      <w:r>
        <w:rPr>
          <w:sz w:val="24"/>
          <w:szCs w:val="28"/>
        </w:rPr>
        <w:t>。</w:t>
      </w:r>
    </w:p>
    <w:p>
      <w:pPr>
        <w:pStyle w:val="4"/>
        <w:numPr>
          <w:ilvl w:val="0"/>
          <w:numId w:val="2"/>
        </w:numPr>
        <w:spacing w:before="312" w:beforeLines="100" w:after="0" w:line="415" w:lineRule="auto"/>
        <w:jc w:val="both"/>
        <w:rPr>
          <w:sz w:val="24"/>
          <w:szCs w:val="24"/>
        </w:rPr>
      </w:pPr>
      <w:bookmarkStart w:id="21" w:name="_Toc77610783"/>
      <w:r>
        <w:rPr>
          <w:rFonts w:hint="eastAsia"/>
          <w:sz w:val="24"/>
          <w:szCs w:val="24"/>
        </w:rPr>
        <w:t>规划期限</w:t>
      </w:r>
      <w:bookmarkEnd w:id="21"/>
    </w:p>
    <w:p>
      <w:pPr>
        <w:ind w:firstLine="480"/>
        <w:rPr>
          <w:sz w:val="24"/>
          <w:szCs w:val="28"/>
        </w:rPr>
      </w:pPr>
      <w:r>
        <w:rPr>
          <w:rFonts w:hint="eastAsia"/>
          <w:sz w:val="24"/>
          <w:szCs w:val="28"/>
        </w:rPr>
        <w:t>根据《历史文化名城名镇名村保护条例》第十五条：“历史文化名城、名镇保护规划的规划期限应当与城市、镇总体规划的规划期限相一致”，因此，本规划的规划期限与《南雄市国土空间总体规划（</w:t>
      </w:r>
      <w:r>
        <w:rPr>
          <w:sz w:val="24"/>
          <w:szCs w:val="28"/>
        </w:rPr>
        <w:t>2021-2035年）》年份（</w:t>
      </w:r>
      <w:r>
        <w:rPr>
          <w:rFonts w:hint="eastAsia"/>
          <w:sz w:val="24"/>
          <w:szCs w:val="28"/>
        </w:rPr>
        <w:t>20</w:t>
      </w:r>
      <w:r>
        <w:rPr>
          <w:sz w:val="24"/>
          <w:szCs w:val="28"/>
        </w:rPr>
        <w:t>23年11月经</w:t>
      </w:r>
      <w:r>
        <w:rPr>
          <w:rFonts w:hint="eastAsia"/>
          <w:sz w:val="24"/>
          <w:szCs w:val="28"/>
        </w:rPr>
        <w:t>广东省人民政府</w:t>
      </w:r>
      <w:r>
        <w:rPr>
          <w:sz w:val="24"/>
          <w:szCs w:val="28"/>
        </w:rPr>
        <w:t>批准）保持一致</w:t>
      </w:r>
      <w:r>
        <w:rPr>
          <w:rFonts w:hint="eastAsia"/>
          <w:sz w:val="24"/>
          <w:szCs w:val="28"/>
        </w:rPr>
        <w:t>。</w:t>
      </w:r>
    </w:p>
    <w:p>
      <w:pPr>
        <w:pStyle w:val="4"/>
        <w:numPr>
          <w:ilvl w:val="0"/>
          <w:numId w:val="2"/>
        </w:numPr>
        <w:spacing w:before="312" w:beforeLines="100" w:after="0" w:line="415" w:lineRule="auto"/>
        <w:jc w:val="both"/>
        <w:rPr>
          <w:sz w:val="24"/>
          <w:szCs w:val="24"/>
        </w:rPr>
      </w:pPr>
      <w:bookmarkStart w:id="22" w:name="_Toc77610784"/>
      <w:r>
        <w:rPr>
          <w:rFonts w:hint="eastAsia"/>
          <w:sz w:val="24"/>
          <w:szCs w:val="24"/>
        </w:rPr>
        <w:t>适用范围</w:t>
      </w:r>
      <w:bookmarkEnd w:id="22"/>
    </w:p>
    <w:p>
      <w:pPr>
        <w:ind w:firstLine="480"/>
        <w:rPr>
          <w:sz w:val="24"/>
          <w:szCs w:val="28"/>
        </w:rPr>
      </w:pPr>
      <w:r>
        <w:rPr>
          <w:sz w:val="24"/>
          <w:szCs w:val="28"/>
        </w:rPr>
        <w:t>适用范围为</w:t>
      </w:r>
      <w:r>
        <w:rPr>
          <w:rFonts w:hint="eastAsia"/>
          <w:sz w:val="24"/>
          <w:szCs w:val="28"/>
        </w:rPr>
        <w:t>南雄</w:t>
      </w:r>
      <w:r>
        <w:rPr>
          <w:sz w:val="24"/>
          <w:szCs w:val="28"/>
        </w:rPr>
        <w:t>全市域，各</w:t>
      </w:r>
      <w:r>
        <w:rPr>
          <w:rFonts w:hint="eastAsia"/>
          <w:sz w:val="24"/>
          <w:szCs w:val="28"/>
        </w:rPr>
        <w:t>镇</w:t>
      </w:r>
      <w:r>
        <w:rPr>
          <w:sz w:val="24"/>
          <w:szCs w:val="28"/>
        </w:rPr>
        <w:t>（</w:t>
      </w:r>
      <w:r>
        <w:rPr>
          <w:rFonts w:hint="eastAsia"/>
          <w:sz w:val="24"/>
          <w:szCs w:val="28"/>
        </w:rPr>
        <w:t>街</w:t>
      </w:r>
      <w:r>
        <w:rPr>
          <w:sz w:val="24"/>
          <w:szCs w:val="28"/>
        </w:rPr>
        <w:t>）</w:t>
      </w:r>
      <w:r>
        <w:rPr>
          <w:rFonts w:hint="eastAsia"/>
          <w:sz w:val="24"/>
          <w:szCs w:val="28"/>
        </w:rPr>
        <w:t>国土空间</w:t>
      </w:r>
      <w:r>
        <w:rPr>
          <w:sz w:val="24"/>
          <w:szCs w:val="28"/>
        </w:rPr>
        <w:t>总体规划、详细规划、村庄规划</w:t>
      </w:r>
      <w:r>
        <w:rPr>
          <w:rFonts w:hint="eastAsia"/>
          <w:sz w:val="24"/>
          <w:szCs w:val="28"/>
        </w:rPr>
        <w:t>以及</w:t>
      </w:r>
      <w:r>
        <w:rPr>
          <w:sz w:val="24"/>
          <w:szCs w:val="28"/>
        </w:rPr>
        <w:t>有关专项规划必须衔接落实本规划确定的保护原则、保护内容与保护措施，其中涉及历史城区、历史文化名镇名村、传统村落、历史文化街区、历史</w:t>
      </w:r>
      <w:r>
        <w:rPr>
          <w:rFonts w:hint="eastAsia"/>
          <w:sz w:val="24"/>
          <w:szCs w:val="28"/>
        </w:rPr>
        <w:t>地段</w:t>
      </w:r>
      <w:r>
        <w:rPr>
          <w:sz w:val="24"/>
          <w:szCs w:val="28"/>
        </w:rPr>
        <w:t>、文物保护单位、</w:t>
      </w:r>
      <w:r>
        <w:rPr>
          <w:rFonts w:hint="eastAsia"/>
          <w:sz w:val="24"/>
          <w:szCs w:val="28"/>
        </w:rPr>
        <w:t>未核定公布为文物保护单位的</w:t>
      </w:r>
      <w:r>
        <w:rPr>
          <w:sz w:val="24"/>
          <w:szCs w:val="28"/>
        </w:rPr>
        <w:t>不可移动文物、历史建筑、传统风貌建筑、地下文物埋藏区、历史环境要素及其他文物古迹等具体保护对象的，必须符合本规划的要求。在本规划划定保护范围内从事土地利用和进行各项建设活动应执行本规划，本规划未涉及的内容，应遵循国家及省、市的相关法规和规定。</w:t>
      </w:r>
    </w:p>
    <w:p>
      <w:pPr>
        <w:ind w:firstLine="480"/>
        <w:rPr>
          <w:sz w:val="24"/>
          <w:szCs w:val="28"/>
        </w:rPr>
      </w:pPr>
      <w:r>
        <w:rPr>
          <w:sz w:val="24"/>
          <w:szCs w:val="28"/>
        </w:rPr>
        <w:br w:type="page"/>
      </w:r>
    </w:p>
    <w:p>
      <w:pPr>
        <w:pStyle w:val="2"/>
        <w:ind w:left="0"/>
      </w:pPr>
      <w:bookmarkStart w:id="23" w:name="_Toc77610785"/>
      <w:bookmarkStart w:id="24" w:name="_Toc135989684"/>
      <w:bookmarkStart w:id="25" w:name="_Toc204964344"/>
      <w:r>
        <w:rPr>
          <w:rFonts w:hint="eastAsia"/>
        </w:rPr>
        <w:t>保护框架</w:t>
      </w:r>
      <w:bookmarkEnd w:id="23"/>
      <w:bookmarkEnd w:id="24"/>
      <w:bookmarkEnd w:id="25"/>
    </w:p>
    <w:p>
      <w:pPr>
        <w:pStyle w:val="3"/>
        <w:numPr>
          <w:ilvl w:val="0"/>
          <w:numId w:val="7"/>
        </w:numPr>
        <w:spacing w:before="0" w:after="0"/>
        <w:ind w:left="0" w:firstLine="0"/>
        <w:jc w:val="center"/>
        <w:rPr>
          <w:rFonts w:ascii="宋体" w:hAnsi="宋体" w:eastAsia="宋体"/>
          <w:sz w:val="28"/>
          <w:szCs w:val="28"/>
        </w:rPr>
      </w:pPr>
      <w:bookmarkStart w:id="26" w:name="_Toc204964345"/>
      <w:bookmarkStart w:id="27" w:name="_Toc135989685"/>
      <w:bookmarkStart w:id="28" w:name="_Toc77610786"/>
      <w:r>
        <w:rPr>
          <w:rFonts w:hint="eastAsia" w:ascii="宋体" w:hAnsi="宋体" w:eastAsia="宋体"/>
          <w:sz w:val="28"/>
          <w:szCs w:val="28"/>
        </w:rPr>
        <w:t>名城特色与价值</w:t>
      </w:r>
      <w:bookmarkEnd w:id="26"/>
    </w:p>
    <w:bookmarkEnd w:id="27"/>
    <w:bookmarkEnd w:id="28"/>
    <w:p>
      <w:pPr>
        <w:pStyle w:val="4"/>
        <w:numPr>
          <w:ilvl w:val="0"/>
          <w:numId w:val="2"/>
        </w:numPr>
        <w:spacing w:before="312" w:beforeLines="100" w:after="0" w:line="415" w:lineRule="auto"/>
        <w:jc w:val="both"/>
        <w:rPr>
          <w:sz w:val="24"/>
          <w:szCs w:val="24"/>
        </w:rPr>
      </w:pPr>
      <w:r>
        <w:rPr>
          <w:rFonts w:hint="eastAsia"/>
          <w:sz w:val="24"/>
          <w:szCs w:val="24"/>
        </w:rPr>
        <w:t>历史文化价值</w:t>
      </w:r>
    </w:p>
    <w:p>
      <w:pPr>
        <w:ind w:firstLine="482"/>
        <w:rPr>
          <w:b/>
          <w:bCs/>
          <w:sz w:val="24"/>
          <w:szCs w:val="28"/>
        </w:rPr>
      </w:pPr>
      <w:r>
        <w:rPr>
          <w:rFonts w:hint="eastAsia"/>
          <w:b/>
          <w:bCs/>
          <w:sz w:val="24"/>
          <w:szCs w:val="28"/>
        </w:rPr>
        <w:t>（一）岭南与中原联系</w:t>
      </w:r>
      <w:r>
        <w:rPr>
          <w:b/>
          <w:bCs/>
          <w:sz w:val="24"/>
          <w:szCs w:val="28"/>
        </w:rPr>
        <w:t>的</w:t>
      </w:r>
      <w:r>
        <w:rPr>
          <w:rFonts w:hint="eastAsia"/>
          <w:b/>
          <w:bCs/>
          <w:sz w:val="24"/>
          <w:szCs w:val="28"/>
        </w:rPr>
        <w:t>重要联运通道</w:t>
      </w:r>
    </w:p>
    <w:p>
      <w:pPr>
        <w:ind w:firstLine="480"/>
        <w:rPr>
          <w:sz w:val="24"/>
          <w:szCs w:val="28"/>
        </w:rPr>
      </w:pPr>
      <w:r>
        <w:rPr>
          <w:rFonts w:hint="eastAsia"/>
          <w:sz w:val="24"/>
          <w:szCs w:val="28"/>
        </w:rPr>
        <w:t>南雄界临粤赣，地处大庾岭南麓，历来有“居五岭之首，为江广之冲”和“枕楚跨粤，为南北咽喉”之称，誉称为</w:t>
      </w:r>
      <w:r>
        <w:rPr>
          <w:sz w:val="24"/>
          <w:szCs w:val="28"/>
        </w:rPr>
        <w:t>“</w:t>
      </w:r>
      <w:r>
        <w:rPr>
          <w:rFonts w:hint="eastAsia"/>
          <w:sz w:val="24"/>
          <w:szCs w:val="28"/>
        </w:rPr>
        <w:t>岭南</w:t>
      </w:r>
      <w:r>
        <w:rPr>
          <w:sz w:val="24"/>
          <w:szCs w:val="28"/>
        </w:rPr>
        <w:t>第一州”</w:t>
      </w:r>
      <w:r>
        <w:rPr>
          <w:rFonts w:hint="eastAsia"/>
          <w:sz w:val="24"/>
          <w:szCs w:val="28"/>
        </w:rPr>
        <w:t>。</w:t>
      </w:r>
    </w:p>
    <w:p>
      <w:pPr>
        <w:ind w:firstLine="480"/>
        <w:rPr>
          <w:sz w:val="24"/>
          <w:szCs w:val="28"/>
        </w:rPr>
      </w:pPr>
      <w:r>
        <w:rPr>
          <w:rFonts w:hint="eastAsia"/>
          <w:sz w:val="24"/>
          <w:szCs w:val="28"/>
        </w:rPr>
        <w:t>南雄古道自秦朝始建，初为军事要道，经唐开元年间张九龄奉诏凿岭拓关后，成为贯通长江与珠江水系最易通行的南北咽喉要道。南雄作为古代国家交通网络的陆海联运重要交通枢纽，它不仅是中原与岭南的必经孔道，更是古代国家南北交通网络的重要组成部分，对强化国家政权经略，促进南北文化交流，畅通商货流通发挥不可替代的作用。</w:t>
      </w:r>
    </w:p>
    <w:p>
      <w:pPr>
        <w:ind w:firstLine="482"/>
        <w:rPr>
          <w:b/>
          <w:bCs/>
          <w:sz w:val="24"/>
          <w:szCs w:val="28"/>
        </w:rPr>
      </w:pPr>
      <w:bookmarkStart w:id="29" w:name="_Hlk171435920"/>
      <w:r>
        <w:rPr>
          <w:rFonts w:hint="eastAsia"/>
          <w:b/>
          <w:bCs/>
          <w:sz w:val="24"/>
          <w:szCs w:val="28"/>
        </w:rPr>
        <w:t>（</w:t>
      </w:r>
      <w:r>
        <w:rPr>
          <w:rFonts w:hint="eastAsia"/>
          <w:b/>
          <w:sz w:val="24"/>
          <w:szCs w:val="28"/>
        </w:rPr>
        <w:t>二</w:t>
      </w:r>
      <w:r>
        <w:rPr>
          <w:rFonts w:hint="eastAsia"/>
          <w:b/>
          <w:bCs/>
          <w:sz w:val="24"/>
          <w:szCs w:val="28"/>
        </w:rPr>
        <w:t>）南北经贸往来的重要水陆枢纽</w:t>
      </w:r>
    </w:p>
    <w:p>
      <w:pPr>
        <w:ind w:firstLine="480"/>
        <w:rPr>
          <w:sz w:val="24"/>
          <w:szCs w:val="28"/>
        </w:rPr>
      </w:pPr>
      <w:r>
        <w:rPr>
          <w:rFonts w:hint="eastAsia"/>
          <w:sz w:val="24"/>
          <w:szCs w:val="28"/>
        </w:rPr>
        <w:t>南雄古驿道自秦朝开始，历经各朝代建设，由最初的军事要道逐渐演变成联系中国南北方向交通的重要道路，成为古代国家交通网络中的陆海联运通道的重要组成部分，促进了国家南北地区商贸文化的交流。两宋时期，随着全国政治、经济中心继续南移，南北商旅大部分取道梅关古道，成为连接南北交通的主要孔道，逐渐发展为水陆商品运输的中转站。南北商品流通日益频繁，以至梅关古道出现“商贾如云、货物如雨”的繁忙景象，南雄地区在全国南北交通格局中的重心作用一直持续到明清时期。</w:t>
      </w:r>
    </w:p>
    <w:bookmarkEnd w:id="29"/>
    <w:p>
      <w:pPr>
        <w:ind w:firstLine="482"/>
        <w:rPr>
          <w:b/>
          <w:bCs/>
          <w:sz w:val="24"/>
          <w:szCs w:val="28"/>
        </w:rPr>
      </w:pPr>
      <w:r>
        <w:rPr>
          <w:rFonts w:hint="eastAsia"/>
          <w:b/>
          <w:bCs/>
          <w:sz w:val="24"/>
          <w:szCs w:val="28"/>
        </w:rPr>
        <w:t>（三）</w:t>
      </w:r>
      <w:bookmarkStart w:id="30" w:name="_Hlk203663793"/>
      <w:r>
        <w:rPr>
          <w:rFonts w:hint="eastAsia"/>
          <w:b/>
          <w:bCs/>
          <w:sz w:val="24"/>
          <w:szCs w:val="28"/>
        </w:rPr>
        <w:t>中原文化传播</w:t>
      </w:r>
      <w:r>
        <w:rPr>
          <w:b/>
          <w:bCs/>
          <w:sz w:val="24"/>
          <w:szCs w:val="28"/>
        </w:rPr>
        <w:t>的</w:t>
      </w:r>
      <w:r>
        <w:rPr>
          <w:rFonts w:hint="eastAsia"/>
          <w:b/>
          <w:bCs/>
          <w:sz w:val="24"/>
          <w:szCs w:val="28"/>
        </w:rPr>
        <w:t>必经</w:t>
      </w:r>
      <w:r>
        <w:rPr>
          <w:b/>
          <w:bCs/>
          <w:sz w:val="24"/>
          <w:szCs w:val="28"/>
        </w:rPr>
        <w:t>地</w:t>
      </w:r>
      <w:bookmarkEnd w:id="30"/>
    </w:p>
    <w:p>
      <w:pPr>
        <w:ind w:firstLine="480"/>
        <w:rPr>
          <w:sz w:val="24"/>
          <w:szCs w:val="28"/>
        </w:rPr>
      </w:pPr>
      <w:r>
        <w:rPr>
          <w:rFonts w:hint="eastAsia"/>
          <w:sz w:val="24"/>
          <w:szCs w:val="28"/>
        </w:rPr>
        <w:t>由于地理位置的独特，南雄成为中原文化与本地土著文化频繁交融和发展的重要区域，成为一段时期内中原文化传入岭南的必经地。中原南迁移民不仅把中原地区先进技术带到岭南，更重要的是把中原文化、思想价值观念和生活习俗等传播至岭南地区。</w:t>
      </w:r>
    </w:p>
    <w:p>
      <w:pPr>
        <w:ind w:firstLine="480"/>
        <w:rPr>
          <w:sz w:val="24"/>
          <w:szCs w:val="28"/>
        </w:rPr>
      </w:pPr>
      <w:r>
        <w:rPr>
          <w:rFonts w:hint="eastAsia"/>
          <w:sz w:val="24"/>
          <w:szCs w:val="28"/>
        </w:rPr>
        <w:t>在岭南地区漫长的发展史上，南雄从原始未开化的百越之地开始，接受中原文化的输入，与地方文化融合而逐渐走向繁荣，由此</w:t>
      </w:r>
      <w:r>
        <w:rPr>
          <w:sz w:val="24"/>
          <w:szCs w:val="28"/>
        </w:rPr>
        <w:t>形成了极具特色的客家文化和广府文化。</w:t>
      </w:r>
    </w:p>
    <w:p>
      <w:pPr>
        <w:ind w:firstLine="482"/>
        <w:rPr>
          <w:b/>
          <w:bCs/>
          <w:sz w:val="24"/>
          <w:szCs w:val="28"/>
        </w:rPr>
      </w:pPr>
      <w:r>
        <w:rPr>
          <w:rFonts w:hint="eastAsia"/>
          <w:b/>
          <w:bCs/>
          <w:sz w:val="24"/>
          <w:szCs w:val="28"/>
        </w:rPr>
        <w:t>（四）</w:t>
      </w:r>
      <w:bookmarkStart w:id="31" w:name="_Hlk203663845"/>
      <w:r>
        <w:rPr>
          <w:rFonts w:hint="eastAsia"/>
          <w:b/>
          <w:bCs/>
          <w:sz w:val="24"/>
          <w:szCs w:val="28"/>
        </w:rPr>
        <w:t>重要革命事件的足迹地</w:t>
      </w:r>
      <w:bookmarkEnd w:id="31"/>
    </w:p>
    <w:p>
      <w:pPr>
        <w:ind w:firstLine="480"/>
        <w:rPr>
          <w:sz w:val="24"/>
          <w:szCs w:val="28"/>
        </w:rPr>
      </w:pPr>
      <w:r>
        <w:rPr>
          <w:rFonts w:hint="eastAsia"/>
          <w:sz w:val="24"/>
          <w:szCs w:val="28"/>
        </w:rPr>
        <w:t>南雄，</w:t>
      </w:r>
      <w:bookmarkStart w:id="32" w:name="_Hlk203663856"/>
      <w:r>
        <w:rPr>
          <w:rFonts w:hint="eastAsia"/>
          <w:sz w:val="24"/>
          <w:szCs w:val="28"/>
        </w:rPr>
        <w:t>是一片具有悠久革命历史和光荣革命传统的红色热土</w:t>
      </w:r>
      <w:bookmarkEnd w:id="32"/>
      <w:r>
        <w:rPr>
          <w:rFonts w:hint="eastAsia"/>
          <w:sz w:val="24"/>
          <w:szCs w:val="28"/>
        </w:rPr>
        <w:t>。在北伐战争、抗日战争和解放战争时期，南雄人民争取独立自由的战争就从未停止。孙中山领导的两次北伐战争皆以南雄为重要支点。中央红军进入广东的首战首捷发生在南雄新田村，并以南雄为原点不断向外播散星火，留下了毛泽东、朱德、彭德怀、陈毅等老一辈无产阶级革命家的足迹。项英、陈毅以油山、梅岭地区为中心领导的三年游击战争革命事件孕育了南雄灿烂的红色文化，遗留的下来的革命遗址是全面了解党的统一战线历史的物质载体，对深化现代人对统一战线的认识具有重要意义。</w:t>
      </w:r>
    </w:p>
    <w:p>
      <w:pPr>
        <w:pStyle w:val="4"/>
        <w:numPr>
          <w:ilvl w:val="0"/>
          <w:numId w:val="2"/>
        </w:numPr>
        <w:spacing w:before="312" w:beforeLines="100" w:after="0" w:line="415" w:lineRule="auto"/>
        <w:jc w:val="both"/>
        <w:rPr>
          <w:sz w:val="24"/>
          <w:szCs w:val="24"/>
        </w:rPr>
      </w:pPr>
      <w:r>
        <w:rPr>
          <w:rFonts w:hint="eastAsia"/>
          <w:sz w:val="24"/>
          <w:szCs w:val="24"/>
        </w:rPr>
        <w:t>历史文化空间特色</w:t>
      </w:r>
    </w:p>
    <w:p>
      <w:pPr>
        <w:ind w:firstLine="482"/>
        <w:rPr>
          <w:b/>
          <w:bCs/>
          <w:sz w:val="24"/>
          <w:szCs w:val="28"/>
        </w:rPr>
      </w:pPr>
      <w:bookmarkStart w:id="33" w:name="_Hlk135992674"/>
      <w:r>
        <w:rPr>
          <w:rFonts w:hint="eastAsia"/>
          <w:b/>
          <w:bCs/>
          <w:sz w:val="24"/>
          <w:szCs w:val="28"/>
        </w:rPr>
        <w:t>（一）丘陵</w:t>
      </w:r>
      <w:r>
        <w:rPr>
          <w:b/>
          <w:bCs/>
          <w:sz w:val="24"/>
          <w:szCs w:val="28"/>
        </w:rPr>
        <w:t>盆地，山水</w:t>
      </w:r>
      <w:r>
        <w:rPr>
          <w:rFonts w:hint="eastAsia"/>
          <w:b/>
          <w:bCs/>
          <w:sz w:val="24"/>
          <w:szCs w:val="28"/>
        </w:rPr>
        <w:t>相拥</w:t>
      </w:r>
      <w:r>
        <w:rPr>
          <w:b/>
          <w:bCs/>
          <w:sz w:val="24"/>
          <w:szCs w:val="28"/>
        </w:rPr>
        <w:t>的</w:t>
      </w:r>
      <w:r>
        <w:rPr>
          <w:rFonts w:hint="eastAsia"/>
          <w:b/>
          <w:bCs/>
          <w:sz w:val="24"/>
          <w:szCs w:val="28"/>
        </w:rPr>
        <w:t>自然本</w:t>
      </w:r>
      <w:bookmarkEnd w:id="33"/>
      <w:r>
        <w:rPr>
          <w:rFonts w:hint="eastAsia"/>
          <w:b/>
          <w:bCs/>
          <w:sz w:val="24"/>
          <w:szCs w:val="28"/>
        </w:rPr>
        <w:t>底</w:t>
      </w:r>
    </w:p>
    <w:p>
      <w:pPr>
        <w:ind w:firstLine="480"/>
        <w:rPr>
          <w:sz w:val="24"/>
          <w:szCs w:val="28"/>
        </w:rPr>
      </w:pPr>
      <w:bookmarkStart w:id="34" w:name="_Hlk135992683"/>
      <w:r>
        <w:rPr>
          <w:rFonts w:hint="eastAsia"/>
          <w:sz w:val="24"/>
          <w:szCs w:val="28"/>
        </w:rPr>
        <w:t>南雄之地势西北高、东南低，南北两面群山连绵，中部为狭长的丘陵，自东北向西南沿浈江两岸伸展。境内市镇</w:t>
      </w:r>
      <w:r>
        <w:rPr>
          <w:sz w:val="24"/>
          <w:szCs w:val="28"/>
        </w:rPr>
        <w:t>街巷沿</w:t>
      </w:r>
      <w:r>
        <w:rPr>
          <w:rFonts w:hint="eastAsia"/>
          <w:sz w:val="24"/>
          <w:szCs w:val="28"/>
        </w:rPr>
        <w:t>盆地</w:t>
      </w:r>
      <w:r>
        <w:rPr>
          <w:sz w:val="24"/>
          <w:szCs w:val="28"/>
        </w:rPr>
        <w:t>地貌呈面状分布，</w:t>
      </w:r>
      <w:r>
        <w:rPr>
          <w:rFonts w:hint="eastAsia"/>
          <w:sz w:val="24"/>
          <w:szCs w:val="28"/>
        </w:rPr>
        <w:t>浈水自大庾岭逶迤而来，开阔的盆地为农业生产和城市扩张提供了充足的用地，浈水和凌水又提供了便利的交通和充足的水源。</w:t>
      </w:r>
    </w:p>
    <w:p>
      <w:pPr>
        <w:ind w:firstLine="482"/>
        <w:rPr>
          <w:b/>
          <w:bCs/>
          <w:sz w:val="24"/>
          <w:szCs w:val="28"/>
          <w:highlight w:val="yellow"/>
        </w:rPr>
      </w:pPr>
      <w:bookmarkStart w:id="35" w:name="_Hlk135992448"/>
      <w:r>
        <w:rPr>
          <w:rFonts w:hint="eastAsia"/>
          <w:b/>
          <w:bCs/>
          <w:sz w:val="24"/>
          <w:szCs w:val="28"/>
        </w:rPr>
        <w:t>（二）</w:t>
      </w:r>
      <w:bookmarkStart w:id="36" w:name="_Hlk203643116"/>
      <w:r>
        <w:rPr>
          <w:rFonts w:hint="eastAsia"/>
          <w:b/>
          <w:bCs/>
          <w:sz w:val="24"/>
          <w:szCs w:val="28"/>
        </w:rPr>
        <w:t>三城叠加</w:t>
      </w:r>
      <w:r>
        <w:rPr>
          <w:b/>
          <w:bCs/>
          <w:sz w:val="24"/>
          <w:szCs w:val="28"/>
        </w:rPr>
        <w:t>，</w:t>
      </w:r>
      <w:r>
        <w:rPr>
          <w:rFonts w:hint="eastAsia"/>
          <w:b/>
          <w:bCs/>
          <w:sz w:val="24"/>
          <w:szCs w:val="28"/>
        </w:rPr>
        <w:t>向东嵌套</w:t>
      </w:r>
      <w:r>
        <w:rPr>
          <w:b/>
          <w:bCs/>
          <w:sz w:val="24"/>
          <w:szCs w:val="28"/>
        </w:rPr>
        <w:t>的</w:t>
      </w:r>
      <w:bookmarkEnd w:id="35"/>
      <w:r>
        <w:rPr>
          <w:rFonts w:hint="eastAsia"/>
          <w:b/>
          <w:bCs/>
          <w:sz w:val="24"/>
          <w:szCs w:val="28"/>
        </w:rPr>
        <w:t>古城格局</w:t>
      </w:r>
    </w:p>
    <w:p>
      <w:pPr>
        <w:ind w:firstLine="480"/>
        <w:rPr>
          <w:sz w:val="24"/>
          <w:szCs w:val="28"/>
        </w:rPr>
      </w:pPr>
      <w:bookmarkStart w:id="37" w:name="_Hlk135992472"/>
      <w:r>
        <w:rPr>
          <w:rFonts w:hint="eastAsia"/>
          <w:sz w:val="24"/>
          <w:szCs w:val="28"/>
        </w:rPr>
        <w:t>宋至明时期，南雄古城经过多次扩建和修缮，形成独特的“城套城”格局。以最初的斗城为核心，如年轮般向东层层嵌套顾城与新城。这种规划方式塑造了南雄古城鲜明的城市功能体系。斗城和顾城主要作为政治和军事中心，新城则更多地承载了商业和居民生活的功能</w:t>
      </w:r>
      <w:r>
        <w:rPr>
          <w:sz w:val="24"/>
          <w:szCs w:val="28"/>
        </w:rPr>
        <w:t>。</w:t>
      </w:r>
    </w:p>
    <w:bookmarkEnd w:id="34"/>
    <w:bookmarkEnd w:id="36"/>
    <w:bookmarkEnd w:id="37"/>
    <w:p>
      <w:pPr>
        <w:ind w:firstLine="482"/>
        <w:rPr>
          <w:b/>
          <w:bCs/>
          <w:sz w:val="24"/>
          <w:szCs w:val="28"/>
        </w:rPr>
      </w:pPr>
      <w:bookmarkStart w:id="38" w:name="_Hlk135994251"/>
      <w:r>
        <w:rPr>
          <w:rFonts w:hint="eastAsia"/>
          <w:b/>
          <w:bCs/>
          <w:sz w:val="24"/>
          <w:szCs w:val="28"/>
        </w:rPr>
        <w:t>（三）</w:t>
      </w:r>
      <w:bookmarkEnd w:id="38"/>
      <w:r>
        <w:rPr>
          <w:rFonts w:hint="eastAsia"/>
          <w:b/>
          <w:bCs/>
          <w:sz w:val="24"/>
          <w:szCs w:val="28"/>
        </w:rPr>
        <w:t>驿道骨架，串珠成链的文化脉络</w:t>
      </w:r>
    </w:p>
    <w:p>
      <w:pPr>
        <w:widowControl w:val="0"/>
        <w:ind w:firstLine="480"/>
        <w:rPr>
          <w:sz w:val="24"/>
          <w:szCs w:val="28"/>
        </w:rPr>
      </w:pPr>
      <w:r>
        <w:rPr>
          <w:rFonts w:hint="eastAsia"/>
          <w:sz w:val="24"/>
          <w:szCs w:val="28"/>
        </w:rPr>
        <w:t>南雄地位重要，在其境内形成多条沟通南北的交通要道，包括梅关古道、乌迳古道、百顺古道、南亩</w:t>
      </w:r>
      <w:r>
        <w:rPr>
          <w:sz w:val="24"/>
          <w:szCs w:val="28"/>
        </w:rPr>
        <w:t>-水口古道、主田-古市古道等。这些古道依托山行走势和河流水系，带动沿线城镇、墟市、村庄的发展，共同构成了南雄独具特色的“串珠式”城镇体系格局，还顺应发展成为南雄四大文化圈。</w:t>
      </w:r>
    </w:p>
    <w:p>
      <w:pPr>
        <w:ind w:firstLine="482"/>
        <w:rPr>
          <w:b/>
          <w:bCs/>
          <w:sz w:val="24"/>
          <w:szCs w:val="28"/>
        </w:rPr>
      </w:pPr>
      <w:r>
        <w:rPr>
          <w:rFonts w:hint="eastAsia"/>
          <w:b/>
          <w:bCs/>
          <w:sz w:val="24"/>
          <w:szCs w:val="28"/>
        </w:rPr>
        <w:t>（四）多元交融</w:t>
      </w:r>
      <w:r>
        <w:rPr>
          <w:b/>
          <w:bCs/>
          <w:sz w:val="24"/>
          <w:szCs w:val="28"/>
        </w:rPr>
        <w:t>，</w:t>
      </w:r>
      <w:r>
        <w:rPr>
          <w:rFonts w:hint="eastAsia"/>
          <w:b/>
          <w:bCs/>
          <w:sz w:val="24"/>
          <w:szCs w:val="28"/>
        </w:rPr>
        <w:t>南北融合</w:t>
      </w:r>
      <w:r>
        <w:rPr>
          <w:b/>
          <w:bCs/>
          <w:sz w:val="24"/>
          <w:szCs w:val="28"/>
        </w:rPr>
        <w:t>的建筑特色</w:t>
      </w:r>
    </w:p>
    <w:p>
      <w:pPr>
        <w:ind w:firstLine="480"/>
        <w:rPr>
          <w:sz w:val="24"/>
          <w:szCs w:val="24"/>
        </w:rPr>
      </w:pPr>
      <w:r>
        <w:rPr>
          <w:rFonts w:hint="eastAsia"/>
          <w:sz w:val="24"/>
          <w:szCs w:val="24"/>
        </w:rPr>
        <w:t>南雄市居民主要由南迁移民与原住民组成。这些南迁移民又形成两个民系，分别为广府民系与客家民系，因此建筑形制上呈现多元的建筑风格，主要为客家建筑和广府建筑。建筑风格在保留原有中原文化的特色下，同时深受湖南、江西等相邻地区的影响，形成了鲜明的地域特色。南雄古建筑做工精细，用料讲究，表现出精湛高超的建筑工艺。</w:t>
      </w:r>
    </w:p>
    <w:p>
      <w:pPr>
        <w:ind w:firstLine="482"/>
        <w:rPr>
          <w:b/>
          <w:bCs/>
          <w:sz w:val="24"/>
          <w:szCs w:val="28"/>
        </w:rPr>
      </w:pPr>
      <w:r>
        <w:rPr>
          <w:rFonts w:hint="eastAsia"/>
          <w:b/>
          <w:bCs/>
          <w:sz w:val="24"/>
          <w:szCs w:val="28"/>
        </w:rPr>
        <w:t>（五）资源富集，丰富多彩的文化资源</w:t>
      </w:r>
    </w:p>
    <w:p>
      <w:pPr>
        <w:ind w:firstLine="480"/>
        <w:rPr>
          <w:sz w:val="24"/>
          <w:szCs w:val="28"/>
        </w:rPr>
      </w:pPr>
      <w:r>
        <w:rPr>
          <w:sz w:val="24"/>
          <w:szCs w:val="28"/>
        </w:rPr>
        <w:t>南雄</w:t>
      </w:r>
      <w:r>
        <w:rPr>
          <w:rFonts w:hint="eastAsia"/>
          <w:sz w:val="24"/>
          <w:szCs w:val="28"/>
        </w:rPr>
        <w:t>文旅资源密集，以恐龙古色文化、银杏金色文化、南雄红色文化为首，展示了南雄令人惊叹的史前文明、金色烂漫的银杏古树景观和星罗棋布的红色资源，丰富的文化资源为南雄增添了独特的魅力和多样化的文化体验。</w:t>
      </w:r>
    </w:p>
    <w:p>
      <w:pPr>
        <w:pStyle w:val="4"/>
        <w:numPr>
          <w:ilvl w:val="0"/>
          <w:numId w:val="2"/>
        </w:numPr>
        <w:spacing w:before="312" w:beforeLines="100" w:after="0" w:line="415" w:lineRule="auto"/>
        <w:jc w:val="both"/>
        <w:rPr>
          <w:sz w:val="24"/>
          <w:szCs w:val="24"/>
        </w:rPr>
      </w:pPr>
      <w:r>
        <w:rPr>
          <w:rFonts w:hint="eastAsia"/>
          <w:sz w:val="24"/>
          <w:szCs w:val="24"/>
        </w:rPr>
        <w:t>名城特色保护要素</w:t>
      </w:r>
    </w:p>
    <w:p>
      <w:pPr>
        <w:ind w:firstLine="480"/>
        <w:rPr>
          <w:bCs/>
          <w:sz w:val="24"/>
          <w:szCs w:val="24"/>
        </w:rPr>
      </w:pPr>
      <w:r>
        <w:rPr>
          <w:rFonts w:hint="eastAsia"/>
          <w:bCs/>
          <w:sz w:val="24"/>
          <w:szCs w:val="24"/>
        </w:rPr>
        <w:t>南雄市特色保护要素构成包括自然环境要素、人工环境要素和人文环境要素三个部分。</w:t>
      </w:r>
    </w:p>
    <w:p>
      <w:pPr>
        <w:ind w:firstLine="480"/>
        <w:rPr>
          <w:bCs/>
          <w:sz w:val="24"/>
          <w:szCs w:val="24"/>
        </w:rPr>
      </w:pPr>
      <w:r>
        <w:rPr>
          <w:rFonts w:hint="eastAsia"/>
          <w:bCs/>
          <w:sz w:val="24"/>
          <w:szCs w:val="24"/>
        </w:rPr>
        <w:t>自然环境要素——有特征的地貌和自然景观，指</w:t>
      </w:r>
      <w:r>
        <w:rPr>
          <w:bCs/>
          <w:sz w:val="24"/>
          <w:szCs w:val="24"/>
        </w:rPr>
        <w:t>对市域范围内的山、水、田、林以及</w:t>
      </w:r>
      <w:r>
        <w:rPr>
          <w:rFonts w:hint="eastAsia"/>
          <w:bCs/>
          <w:sz w:val="24"/>
          <w:szCs w:val="24"/>
        </w:rPr>
        <w:t>两山夹一盆的</w:t>
      </w:r>
      <w:r>
        <w:rPr>
          <w:bCs/>
          <w:sz w:val="24"/>
          <w:szCs w:val="24"/>
        </w:rPr>
        <w:t>地势特征</w:t>
      </w:r>
      <w:r>
        <w:rPr>
          <w:rFonts w:hint="eastAsia"/>
          <w:bCs/>
          <w:sz w:val="24"/>
          <w:szCs w:val="24"/>
        </w:rPr>
        <w:t>的保护。</w:t>
      </w:r>
    </w:p>
    <w:p>
      <w:pPr>
        <w:ind w:firstLine="480"/>
        <w:rPr>
          <w:bCs/>
          <w:sz w:val="24"/>
          <w:szCs w:val="24"/>
        </w:rPr>
      </w:pPr>
      <w:r>
        <w:rPr>
          <w:rFonts w:hint="eastAsia"/>
          <w:bCs/>
          <w:sz w:val="24"/>
          <w:szCs w:val="24"/>
        </w:rPr>
        <w:t>人工环境要素——人们创建活动所产生的物质环境，包括历史城区</w:t>
      </w:r>
      <w:r>
        <w:rPr>
          <w:bCs/>
          <w:sz w:val="24"/>
          <w:szCs w:val="24"/>
        </w:rPr>
        <w:t>、历史文化</w:t>
      </w:r>
      <w:r>
        <w:rPr>
          <w:rFonts w:hint="eastAsia"/>
          <w:bCs/>
          <w:sz w:val="24"/>
          <w:szCs w:val="24"/>
        </w:rPr>
        <w:t>名镇名村与</w:t>
      </w:r>
      <w:r>
        <w:rPr>
          <w:bCs/>
          <w:sz w:val="24"/>
          <w:szCs w:val="24"/>
        </w:rPr>
        <w:t>历史文化街区、</w:t>
      </w:r>
      <w:r>
        <w:rPr>
          <w:rFonts w:hint="eastAsia"/>
          <w:bCs/>
          <w:sz w:val="24"/>
          <w:szCs w:val="24"/>
        </w:rPr>
        <w:t>历史地段</w:t>
      </w:r>
      <w:r>
        <w:rPr>
          <w:bCs/>
          <w:sz w:val="24"/>
          <w:szCs w:val="24"/>
        </w:rPr>
        <w:t>与传统村落</w:t>
      </w:r>
      <w:r>
        <w:rPr>
          <w:rFonts w:hint="eastAsia"/>
          <w:bCs/>
          <w:sz w:val="24"/>
          <w:szCs w:val="24"/>
        </w:rPr>
        <w:t>、</w:t>
      </w:r>
      <w:r>
        <w:rPr>
          <w:bCs/>
          <w:sz w:val="24"/>
          <w:szCs w:val="24"/>
        </w:rPr>
        <w:t>文物古迹</w:t>
      </w:r>
      <w:r>
        <w:rPr>
          <w:rFonts w:hint="eastAsia"/>
          <w:bCs/>
          <w:sz w:val="24"/>
          <w:szCs w:val="24"/>
        </w:rPr>
        <w:t>、古树名木</w:t>
      </w:r>
      <w:r>
        <w:rPr>
          <w:bCs/>
          <w:sz w:val="24"/>
          <w:szCs w:val="24"/>
        </w:rPr>
        <w:t>、</w:t>
      </w:r>
      <w:r>
        <w:rPr>
          <w:rFonts w:hint="eastAsia"/>
          <w:bCs/>
          <w:sz w:val="24"/>
          <w:szCs w:val="24"/>
        </w:rPr>
        <w:t>特色遗产等所反映的人工环境特征的保护。</w:t>
      </w:r>
    </w:p>
    <w:p>
      <w:pPr>
        <w:ind w:firstLine="480"/>
        <w:rPr>
          <w:bCs/>
          <w:sz w:val="24"/>
          <w:szCs w:val="24"/>
        </w:rPr>
      </w:pPr>
      <w:r>
        <w:rPr>
          <w:rFonts w:hint="eastAsia"/>
          <w:bCs/>
          <w:sz w:val="24"/>
          <w:szCs w:val="24"/>
        </w:rPr>
        <w:t>人文环境要素——人们传统社会生活风貌的体现，指南雄市</w:t>
      </w:r>
      <w:r>
        <w:rPr>
          <w:bCs/>
          <w:sz w:val="24"/>
          <w:szCs w:val="24"/>
        </w:rPr>
        <w:t>域内的</w:t>
      </w:r>
      <w:r>
        <w:rPr>
          <w:rFonts w:hint="eastAsia"/>
          <w:bCs/>
          <w:sz w:val="24"/>
          <w:szCs w:val="24"/>
        </w:rPr>
        <w:t>传统</w:t>
      </w:r>
      <w:r>
        <w:rPr>
          <w:bCs/>
          <w:sz w:val="24"/>
          <w:szCs w:val="24"/>
        </w:rPr>
        <w:t>艺术、传统工艺、传统民俗等方面所反映的人文环境特征的保护。</w:t>
      </w:r>
    </w:p>
    <w:p>
      <w:pPr>
        <w:pStyle w:val="3"/>
        <w:numPr>
          <w:ilvl w:val="0"/>
          <w:numId w:val="7"/>
        </w:numPr>
        <w:spacing w:before="0" w:after="0"/>
        <w:ind w:left="0" w:firstLine="0"/>
        <w:jc w:val="center"/>
        <w:rPr>
          <w:rFonts w:ascii="宋体" w:hAnsi="宋体" w:eastAsia="宋体"/>
          <w:sz w:val="28"/>
          <w:szCs w:val="28"/>
        </w:rPr>
      </w:pPr>
      <w:bookmarkStart w:id="39" w:name="_Toc77610787"/>
      <w:bookmarkStart w:id="40" w:name="_Toc204964346"/>
      <w:bookmarkStart w:id="41" w:name="_Toc135989686"/>
      <w:r>
        <w:rPr>
          <w:rFonts w:hint="eastAsia" w:ascii="宋体" w:hAnsi="宋体" w:eastAsia="宋体"/>
          <w:sz w:val="28"/>
          <w:szCs w:val="28"/>
        </w:rPr>
        <w:t>保护体系与内容</w:t>
      </w:r>
      <w:bookmarkEnd w:id="39"/>
      <w:bookmarkEnd w:id="40"/>
      <w:bookmarkEnd w:id="41"/>
    </w:p>
    <w:p>
      <w:pPr>
        <w:pStyle w:val="4"/>
        <w:numPr>
          <w:ilvl w:val="0"/>
          <w:numId w:val="2"/>
        </w:numPr>
        <w:spacing w:before="312" w:beforeLines="100" w:after="0" w:line="415" w:lineRule="auto"/>
        <w:jc w:val="both"/>
        <w:rPr>
          <w:sz w:val="24"/>
          <w:szCs w:val="24"/>
        </w:rPr>
      </w:pPr>
      <w:r>
        <w:rPr>
          <w:rFonts w:hint="eastAsia"/>
          <w:sz w:val="24"/>
          <w:szCs w:val="24"/>
        </w:rPr>
        <w:t>保护体系</w:t>
      </w:r>
    </w:p>
    <w:p>
      <w:pPr>
        <w:ind w:firstLine="480"/>
        <w:rPr>
          <w:sz w:val="24"/>
          <w:szCs w:val="24"/>
          <w:u w:val="single"/>
        </w:rPr>
      </w:pPr>
      <w:r>
        <w:rPr>
          <w:rFonts w:hint="eastAsia"/>
          <w:sz w:val="24"/>
          <w:szCs w:val="24"/>
          <w:u w:val="single"/>
        </w:rPr>
        <w:t>保护</w:t>
      </w:r>
      <w:r>
        <w:rPr>
          <w:sz w:val="24"/>
          <w:szCs w:val="24"/>
          <w:u w:val="single"/>
        </w:rPr>
        <w:t>对象主要包括</w:t>
      </w:r>
      <w:r>
        <w:rPr>
          <w:rFonts w:hint="eastAsia"/>
          <w:sz w:val="24"/>
          <w:szCs w:val="24"/>
          <w:u w:val="single"/>
        </w:rPr>
        <w:t>市域整体环境、历史城区、历史文化名镇名村</w:t>
      </w:r>
      <w:r>
        <w:rPr>
          <w:sz w:val="24"/>
          <w:szCs w:val="24"/>
          <w:u w:val="single"/>
        </w:rPr>
        <w:t>和传统村落、</w:t>
      </w:r>
      <w:r>
        <w:rPr>
          <w:rFonts w:hint="eastAsia"/>
          <w:sz w:val="24"/>
          <w:szCs w:val="24"/>
          <w:u w:val="single"/>
        </w:rPr>
        <w:t>历史文化街区和历史地段、文物古迹、非物质文化遗产、其他文化遗产等保护</w:t>
      </w:r>
      <w:r>
        <w:rPr>
          <w:sz w:val="24"/>
          <w:szCs w:val="24"/>
          <w:u w:val="single"/>
        </w:rPr>
        <w:t>传承共同构成的有机整体。</w:t>
      </w:r>
    </w:p>
    <w:p>
      <w:pPr>
        <w:pStyle w:val="4"/>
        <w:numPr>
          <w:ilvl w:val="0"/>
          <w:numId w:val="2"/>
        </w:numPr>
        <w:spacing w:before="312" w:beforeLines="100" w:after="0" w:line="415" w:lineRule="auto"/>
        <w:jc w:val="both"/>
        <w:rPr>
          <w:sz w:val="24"/>
          <w:szCs w:val="24"/>
        </w:rPr>
      </w:pPr>
      <w:r>
        <w:rPr>
          <w:rFonts w:hint="eastAsia"/>
          <w:sz w:val="24"/>
          <w:szCs w:val="24"/>
        </w:rPr>
        <w:t>保护级别</w:t>
      </w:r>
    </w:p>
    <w:p>
      <w:pPr>
        <w:ind w:firstLine="480"/>
        <w:rPr>
          <w:sz w:val="24"/>
          <w:szCs w:val="28"/>
          <w:u w:val="single"/>
        </w:rPr>
      </w:pPr>
      <w:r>
        <w:rPr>
          <w:rFonts w:hint="eastAsia"/>
          <w:sz w:val="24"/>
          <w:szCs w:val="28"/>
          <w:u w:val="single"/>
        </w:rPr>
        <w:t>本规划将南雄市历史文化遗产分为法定保护和规划控制两个保护等级。</w:t>
      </w:r>
    </w:p>
    <w:p>
      <w:pPr>
        <w:pStyle w:val="4"/>
        <w:numPr>
          <w:ilvl w:val="0"/>
          <w:numId w:val="2"/>
        </w:numPr>
        <w:spacing w:before="312" w:beforeLines="100" w:after="0" w:line="415" w:lineRule="auto"/>
        <w:jc w:val="both"/>
        <w:rPr>
          <w:sz w:val="24"/>
          <w:szCs w:val="24"/>
        </w:rPr>
      </w:pPr>
      <w:r>
        <w:rPr>
          <w:rFonts w:hint="eastAsia"/>
          <w:sz w:val="24"/>
          <w:szCs w:val="24"/>
        </w:rPr>
        <w:t>保护主题</w:t>
      </w:r>
    </w:p>
    <w:p>
      <w:pPr>
        <w:pStyle w:val="49"/>
        <w:numPr>
          <w:ilvl w:val="0"/>
          <w:numId w:val="8"/>
        </w:numPr>
        <w:ind w:left="0" w:firstLine="480"/>
        <w:rPr>
          <w:sz w:val="24"/>
          <w:szCs w:val="28"/>
          <w:u w:val="single"/>
        </w:rPr>
      </w:pPr>
      <w:bookmarkStart w:id="42" w:name="_Hlk171448791"/>
      <w:r>
        <w:rPr>
          <w:rFonts w:hint="eastAsia"/>
          <w:sz w:val="24"/>
          <w:szCs w:val="28"/>
          <w:u w:val="single"/>
        </w:rPr>
        <w:t>岭南重镇</w:t>
      </w:r>
    </w:p>
    <w:p>
      <w:pPr>
        <w:ind w:firstLine="480"/>
        <w:rPr>
          <w:sz w:val="24"/>
          <w:szCs w:val="28"/>
        </w:rPr>
      </w:pPr>
      <w:r>
        <w:rPr>
          <w:rFonts w:hint="eastAsia"/>
          <w:sz w:val="24"/>
          <w:szCs w:val="28"/>
        </w:rPr>
        <w:t>南雄历来是岭南地区的政治、经济、文化、军事重镇。以古驿道作为骨架载体，作为陆上丝绸之路与海上丝绸之路连接线的重要节点，在经济上繁荣发展，发生“商贾如云、货物如雨”的景象；在文化上孕育了南雄州城、平田巡检司、红梅巡检司、马顺巡检司四大文化圈；在军事上成为大庾岭下的南北咽喉，兵家必争之地。</w:t>
      </w:r>
    </w:p>
    <w:p>
      <w:pPr>
        <w:pStyle w:val="49"/>
        <w:numPr>
          <w:ilvl w:val="0"/>
          <w:numId w:val="8"/>
        </w:numPr>
        <w:ind w:left="0" w:firstLine="480"/>
        <w:rPr>
          <w:sz w:val="24"/>
          <w:szCs w:val="28"/>
          <w:u w:val="single"/>
        </w:rPr>
      </w:pPr>
      <w:r>
        <w:rPr>
          <w:rFonts w:hint="eastAsia"/>
          <w:sz w:val="24"/>
          <w:szCs w:val="28"/>
          <w:u w:val="single"/>
        </w:rPr>
        <w:t>南迁要道</w:t>
      </w:r>
    </w:p>
    <w:p>
      <w:pPr>
        <w:ind w:firstLine="480"/>
        <w:rPr>
          <w:sz w:val="24"/>
          <w:szCs w:val="28"/>
        </w:rPr>
      </w:pPr>
      <w:r>
        <w:rPr>
          <w:rFonts w:hint="eastAsia"/>
          <w:sz w:val="24"/>
          <w:szCs w:val="28"/>
        </w:rPr>
        <w:t>南雄作为中原文化向岭南传播的中转站，是中原文化走进岭南的一个窗口。中原南迁移民将文化思想、价值观念、生产技术和传统习俗等传播至岭南地区，促使中原文化与本土文化不断交融发展，形成了鲜明的地域特色。</w:t>
      </w:r>
    </w:p>
    <w:p>
      <w:pPr>
        <w:pStyle w:val="49"/>
        <w:numPr>
          <w:ilvl w:val="0"/>
          <w:numId w:val="8"/>
        </w:numPr>
        <w:ind w:left="0" w:firstLine="480"/>
        <w:rPr>
          <w:sz w:val="24"/>
          <w:szCs w:val="28"/>
          <w:u w:val="single"/>
        </w:rPr>
        <w:sectPr>
          <w:footerReference r:id="rId12" w:type="default"/>
          <w:pgSz w:w="11906" w:h="16838"/>
          <w:pgMar w:top="1440" w:right="1080" w:bottom="1440" w:left="1080" w:header="851" w:footer="737" w:gutter="0"/>
          <w:pgNumType w:start="1"/>
          <w:cols w:space="425" w:num="1"/>
          <w:docGrid w:type="lines" w:linePitch="312" w:charSpace="0"/>
        </w:sectPr>
      </w:pPr>
    </w:p>
    <w:p>
      <w:pPr>
        <w:pStyle w:val="49"/>
        <w:numPr>
          <w:ilvl w:val="0"/>
          <w:numId w:val="8"/>
        </w:numPr>
        <w:ind w:left="0" w:firstLine="480"/>
        <w:rPr>
          <w:sz w:val="24"/>
          <w:szCs w:val="28"/>
          <w:u w:val="single"/>
        </w:rPr>
      </w:pPr>
      <w:r>
        <w:rPr>
          <w:rFonts w:hint="eastAsia"/>
          <w:sz w:val="24"/>
          <w:szCs w:val="28"/>
          <w:u w:val="single"/>
        </w:rPr>
        <w:t>红色雄关</w:t>
      </w:r>
    </w:p>
    <w:p>
      <w:pPr>
        <w:ind w:firstLine="480"/>
        <w:rPr>
          <w:sz w:val="24"/>
          <w:szCs w:val="28"/>
        </w:rPr>
      </w:pPr>
      <w:r>
        <w:rPr>
          <w:rFonts w:hint="eastAsia"/>
          <w:sz w:val="24"/>
          <w:szCs w:val="28"/>
        </w:rPr>
        <w:t>南雄是岭南地区重要的军事关隘，具有重要且丰富的红色文化资源。包括近代北伐革命起点梅岭北伐出师处，</w:t>
      </w:r>
      <w:r>
        <w:rPr>
          <w:sz w:val="24"/>
          <w:szCs w:val="28"/>
        </w:rPr>
        <w:t>毛泽东四到南雄留下的遗址和纪念地</w:t>
      </w:r>
      <w:r>
        <w:rPr>
          <w:rFonts w:hint="eastAsia"/>
          <w:sz w:val="24"/>
          <w:szCs w:val="28"/>
        </w:rPr>
        <w:t>，</w:t>
      </w:r>
      <w:r>
        <w:rPr>
          <w:sz w:val="24"/>
          <w:szCs w:val="28"/>
        </w:rPr>
        <w:t>水口战役遗址及纪念公园</w:t>
      </w:r>
      <w:r>
        <w:rPr>
          <w:rFonts w:hint="eastAsia"/>
          <w:sz w:val="24"/>
          <w:szCs w:val="28"/>
        </w:rPr>
        <w:t>，</w:t>
      </w:r>
      <w:r>
        <w:rPr>
          <w:sz w:val="24"/>
          <w:szCs w:val="28"/>
        </w:rPr>
        <w:t>项英、</w:t>
      </w:r>
      <w:r>
        <w:rPr>
          <w:rFonts w:hint="eastAsia"/>
          <w:sz w:val="24"/>
          <w:szCs w:val="28"/>
        </w:rPr>
        <w:t>陈毅领导的南方三年游击战遗址及入粤首战首捷展示园等。</w:t>
      </w:r>
    </w:p>
    <w:p>
      <w:pPr>
        <w:pStyle w:val="49"/>
        <w:numPr>
          <w:ilvl w:val="0"/>
          <w:numId w:val="8"/>
        </w:numPr>
        <w:ind w:left="0" w:firstLine="480"/>
        <w:rPr>
          <w:sz w:val="24"/>
          <w:szCs w:val="28"/>
          <w:u w:val="single"/>
        </w:rPr>
      </w:pPr>
      <w:r>
        <w:rPr>
          <w:rFonts w:hint="eastAsia"/>
          <w:sz w:val="24"/>
          <w:szCs w:val="28"/>
          <w:u w:val="single"/>
        </w:rPr>
        <w:t>恐龙之乡</w:t>
      </w:r>
    </w:p>
    <w:p>
      <w:pPr>
        <w:ind w:firstLine="480"/>
        <w:jc w:val="left"/>
        <w:rPr>
          <w:sz w:val="24"/>
          <w:szCs w:val="28"/>
        </w:rPr>
      </w:pPr>
      <w:r>
        <w:rPr>
          <w:rFonts w:hint="eastAsia"/>
          <w:sz w:val="24"/>
          <w:szCs w:val="28"/>
        </w:rPr>
        <w:t>南雄是“中国恐龙之乡”</w:t>
      </w:r>
      <w:r>
        <w:rPr>
          <w:sz w:val="24"/>
          <w:szCs w:val="28"/>
        </w:rPr>
        <w:t>，是</w:t>
      </w:r>
      <w:r>
        <w:rPr>
          <w:rFonts w:hint="eastAsia"/>
          <w:sz w:val="24"/>
          <w:szCs w:val="28"/>
        </w:rPr>
        <w:t>原</w:t>
      </w:r>
      <w:r>
        <w:rPr>
          <w:sz w:val="24"/>
          <w:szCs w:val="28"/>
        </w:rPr>
        <w:t>国土资源部认定的第一批38个国家级重点保护古生物化石</w:t>
      </w:r>
      <w:r>
        <w:rPr>
          <w:rFonts w:hint="eastAsia"/>
          <w:sz w:val="24"/>
          <w:szCs w:val="28"/>
        </w:rPr>
        <w:t>集中产地之一。</w:t>
      </w:r>
      <w:r>
        <w:rPr>
          <w:sz w:val="24"/>
          <w:szCs w:val="28"/>
        </w:rPr>
        <w:t>南雄盆地的恐龙保护区地质遗迹原始状态保持完好、清晰分明、延续完整，在</w:t>
      </w:r>
      <w:r>
        <w:rPr>
          <w:rFonts w:hint="eastAsia"/>
          <w:sz w:val="24"/>
          <w:szCs w:val="28"/>
        </w:rPr>
        <w:t>世界上都极具典型意义。</w:t>
      </w:r>
    </w:p>
    <w:bookmarkEnd w:id="42"/>
    <w:p>
      <w:pPr>
        <w:pStyle w:val="2"/>
        <w:ind w:left="0"/>
      </w:pPr>
      <w:bookmarkStart w:id="43" w:name="_Toc135989687"/>
      <w:bookmarkStart w:id="44" w:name="_Toc77610788"/>
      <w:bookmarkStart w:id="45" w:name="_Toc204964347"/>
      <w:r>
        <w:rPr>
          <w:rFonts w:hint="eastAsia"/>
        </w:rPr>
        <w:t>市域的总体保护</w:t>
      </w:r>
      <w:bookmarkEnd w:id="43"/>
      <w:bookmarkEnd w:id="44"/>
      <w:bookmarkEnd w:id="45"/>
    </w:p>
    <w:p>
      <w:pPr>
        <w:pStyle w:val="3"/>
        <w:numPr>
          <w:ilvl w:val="0"/>
          <w:numId w:val="9"/>
        </w:numPr>
        <w:spacing w:before="0" w:after="0"/>
        <w:jc w:val="center"/>
        <w:rPr>
          <w:rFonts w:ascii="宋体" w:hAnsi="宋体" w:eastAsia="宋体"/>
          <w:sz w:val="28"/>
          <w:szCs w:val="28"/>
        </w:rPr>
      </w:pPr>
      <w:bookmarkStart w:id="46" w:name="_Toc204964348"/>
      <w:bookmarkStart w:id="47" w:name="_Toc135989688"/>
      <w:bookmarkStart w:id="48" w:name="_Toc77610789"/>
      <w:r>
        <w:rPr>
          <w:rFonts w:hint="eastAsia" w:ascii="宋体" w:hAnsi="宋体" w:eastAsia="宋体"/>
          <w:sz w:val="28"/>
          <w:szCs w:val="28"/>
        </w:rPr>
        <w:t>市域总体保护的空间战略</w:t>
      </w:r>
      <w:bookmarkEnd w:id="46"/>
      <w:bookmarkEnd w:id="47"/>
      <w:bookmarkEnd w:id="48"/>
    </w:p>
    <w:p>
      <w:pPr>
        <w:pStyle w:val="4"/>
        <w:numPr>
          <w:ilvl w:val="0"/>
          <w:numId w:val="2"/>
        </w:numPr>
        <w:spacing w:before="312" w:beforeLines="100" w:after="0" w:line="415" w:lineRule="auto"/>
        <w:jc w:val="both"/>
        <w:rPr>
          <w:sz w:val="24"/>
          <w:szCs w:val="24"/>
        </w:rPr>
      </w:pPr>
      <w:r>
        <w:rPr>
          <w:rFonts w:hint="eastAsia"/>
          <w:sz w:val="24"/>
          <w:szCs w:val="24"/>
        </w:rPr>
        <w:t>保护目标</w:t>
      </w:r>
    </w:p>
    <w:p>
      <w:pPr>
        <w:ind w:firstLine="480"/>
        <w:rPr>
          <w:sz w:val="24"/>
          <w:szCs w:val="24"/>
        </w:rPr>
      </w:pPr>
      <w:bookmarkStart w:id="49" w:name="_Hlk171005013"/>
      <w:r>
        <w:rPr>
          <w:rFonts w:hint="eastAsia"/>
          <w:sz w:val="24"/>
          <w:szCs w:val="24"/>
        </w:rPr>
        <w:t>整体</w:t>
      </w:r>
      <w:r>
        <w:rPr>
          <w:sz w:val="24"/>
          <w:szCs w:val="24"/>
        </w:rPr>
        <w:t>保护南雄的</w:t>
      </w:r>
      <w:r>
        <w:rPr>
          <w:rFonts w:hint="eastAsia"/>
          <w:sz w:val="24"/>
          <w:szCs w:val="24"/>
        </w:rPr>
        <w:t>城市</w:t>
      </w:r>
      <w:r>
        <w:rPr>
          <w:sz w:val="24"/>
          <w:szCs w:val="24"/>
        </w:rPr>
        <w:t>格局和山体水系等</w:t>
      </w:r>
      <w:r>
        <w:rPr>
          <w:rFonts w:hint="eastAsia"/>
          <w:sz w:val="24"/>
          <w:szCs w:val="24"/>
        </w:rPr>
        <w:t>自然</w:t>
      </w:r>
      <w:r>
        <w:rPr>
          <w:sz w:val="24"/>
          <w:szCs w:val="24"/>
        </w:rPr>
        <w:t>环境，</w:t>
      </w:r>
      <w:r>
        <w:rPr>
          <w:rFonts w:hint="eastAsia"/>
          <w:sz w:val="24"/>
          <w:szCs w:val="24"/>
        </w:rPr>
        <w:t>整合市域内</w:t>
      </w:r>
      <w:r>
        <w:rPr>
          <w:sz w:val="24"/>
          <w:szCs w:val="24"/>
        </w:rPr>
        <w:t>历史文化资源</w:t>
      </w:r>
      <w:r>
        <w:rPr>
          <w:rFonts w:hint="eastAsia"/>
          <w:sz w:val="24"/>
          <w:szCs w:val="24"/>
        </w:rPr>
        <w:t>，</w:t>
      </w:r>
      <w:r>
        <w:rPr>
          <w:sz w:val="24"/>
          <w:szCs w:val="24"/>
        </w:rPr>
        <w:t>深入挖掘历史文化遗产的价值，</w:t>
      </w:r>
      <w:r>
        <w:rPr>
          <w:rFonts w:hint="eastAsia"/>
          <w:sz w:val="24"/>
          <w:szCs w:val="24"/>
        </w:rPr>
        <w:t>有效</w:t>
      </w:r>
      <w:r>
        <w:rPr>
          <w:sz w:val="24"/>
          <w:szCs w:val="24"/>
        </w:rPr>
        <w:t>保护、科学利用历史文化遗存</w:t>
      </w:r>
      <w:r>
        <w:rPr>
          <w:rFonts w:hint="eastAsia"/>
          <w:sz w:val="24"/>
          <w:szCs w:val="24"/>
        </w:rPr>
        <w:t>要素</w:t>
      </w:r>
      <w:r>
        <w:rPr>
          <w:sz w:val="24"/>
          <w:szCs w:val="24"/>
        </w:rPr>
        <w:t>，</w:t>
      </w:r>
      <w:r>
        <w:rPr>
          <w:rFonts w:hint="eastAsia"/>
          <w:sz w:val="24"/>
          <w:szCs w:val="24"/>
        </w:rPr>
        <w:t>串联</w:t>
      </w:r>
      <w:r>
        <w:rPr>
          <w:sz w:val="24"/>
          <w:szCs w:val="24"/>
        </w:rPr>
        <w:t>、协调发展</w:t>
      </w:r>
      <w:r>
        <w:rPr>
          <w:rFonts w:hint="eastAsia"/>
          <w:sz w:val="24"/>
          <w:szCs w:val="24"/>
        </w:rPr>
        <w:t>市域内</w:t>
      </w:r>
      <w:r>
        <w:rPr>
          <w:sz w:val="24"/>
          <w:szCs w:val="24"/>
        </w:rPr>
        <w:t>古驿道、历史村镇、风景名胜区等文化资源，推动</w:t>
      </w:r>
      <w:r>
        <w:rPr>
          <w:rFonts w:hint="eastAsia"/>
          <w:sz w:val="24"/>
          <w:szCs w:val="24"/>
        </w:rPr>
        <w:t>市域</w:t>
      </w:r>
      <w:r>
        <w:rPr>
          <w:sz w:val="24"/>
          <w:szCs w:val="24"/>
        </w:rPr>
        <w:t>文旅融合发展，建成历史人文浓郁、</w:t>
      </w:r>
      <w:r>
        <w:rPr>
          <w:rFonts w:hint="eastAsia"/>
          <w:sz w:val="24"/>
          <w:szCs w:val="24"/>
        </w:rPr>
        <w:t>山水</w:t>
      </w:r>
      <w:r>
        <w:rPr>
          <w:sz w:val="24"/>
          <w:szCs w:val="24"/>
        </w:rPr>
        <w:t>古道</w:t>
      </w:r>
      <w:r>
        <w:rPr>
          <w:rFonts w:hint="eastAsia"/>
          <w:sz w:val="24"/>
          <w:szCs w:val="24"/>
        </w:rPr>
        <w:t>风光</w:t>
      </w:r>
      <w:r>
        <w:rPr>
          <w:sz w:val="24"/>
          <w:szCs w:val="24"/>
        </w:rPr>
        <w:t>独特的历史文化名城</w:t>
      </w:r>
      <w:bookmarkEnd w:id="49"/>
      <w:r>
        <w:rPr>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结构</w:t>
      </w:r>
    </w:p>
    <w:p>
      <w:pPr>
        <w:ind w:firstLine="480"/>
        <w:rPr>
          <w:sz w:val="24"/>
          <w:szCs w:val="24"/>
        </w:rPr>
      </w:pPr>
      <w:r>
        <w:rPr>
          <w:rFonts w:hint="eastAsia"/>
          <w:sz w:val="24"/>
          <w:szCs w:val="24"/>
        </w:rPr>
        <w:t>构建</w:t>
      </w:r>
      <w:r>
        <w:rPr>
          <w:sz w:val="24"/>
          <w:szCs w:val="24"/>
        </w:rPr>
        <w:t>市域</w:t>
      </w:r>
      <w:r>
        <w:rPr>
          <w:rFonts w:hint="eastAsia"/>
          <w:sz w:val="24"/>
          <w:szCs w:val="24"/>
        </w:rPr>
        <w:t>“一城三廊五片”的历史文化保护结构</w:t>
      </w:r>
      <w:r>
        <w:rPr>
          <w:sz w:val="24"/>
          <w:szCs w:val="24"/>
        </w:rPr>
        <w:t>。</w:t>
      </w:r>
    </w:p>
    <w:p>
      <w:pPr>
        <w:ind w:firstLine="480"/>
        <w:rPr>
          <w:sz w:val="24"/>
          <w:szCs w:val="24"/>
        </w:rPr>
      </w:pPr>
      <w:r>
        <w:rPr>
          <w:rFonts w:hint="eastAsia"/>
          <w:sz w:val="24"/>
          <w:szCs w:val="24"/>
        </w:rPr>
        <w:t>一城</w:t>
      </w:r>
      <w:r>
        <w:rPr>
          <w:sz w:val="24"/>
          <w:szCs w:val="24"/>
        </w:rPr>
        <w:t>：</w:t>
      </w:r>
      <w:r>
        <w:rPr>
          <w:rFonts w:hint="eastAsia"/>
          <w:sz w:val="24"/>
          <w:szCs w:val="24"/>
        </w:rPr>
        <w:t>指重点保护南雄古城的格局和历史文化遗存</w:t>
      </w:r>
      <w:r>
        <w:rPr>
          <w:sz w:val="24"/>
          <w:szCs w:val="24"/>
        </w:rPr>
        <w:t>。</w:t>
      </w:r>
    </w:p>
    <w:p>
      <w:pPr>
        <w:ind w:firstLine="480"/>
        <w:rPr>
          <w:sz w:val="24"/>
          <w:szCs w:val="24"/>
        </w:rPr>
      </w:pPr>
      <w:r>
        <w:rPr>
          <w:rFonts w:hint="eastAsia"/>
          <w:sz w:val="24"/>
          <w:szCs w:val="24"/>
        </w:rPr>
        <w:t>三廊</w:t>
      </w:r>
      <w:r>
        <w:rPr>
          <w:sz w:val="24"/>
          <w:szCs w:val="24"/>
        </w:rPr>
        <w:t>：指南雄市域内重要的三条古驿道轴线，分别为梅关历史文化廊道、乌迳历史文化廊道</w:t>
      </w:r>
      <w:r>
        <w:rPr>
          <w:rFonts w:hint="eastAsia"/>
          <w:sz w:val="24"/>
          <w:szCs w:val="24"/>
        </w:rPr>
        <w:t>、</w:t>
      </w:r>
      <w:r>
        <w:rPr>
          <w:sz w:val="24"/>
          <w:szCs w:val="24"/>
        </w:rPr>
        <w:t>百顺</w:t>
      </w:r>
      <w:r>
        <w:rPr>
          <w:rFonts w:hint="eastAsia"/>
          <w:sz w:val="24"/>
          <w:szCs w:val="24"/>
        </w:rPr>
        <w:t>-乌迳沿线</w:t>
      </w:r>
      <w:r>
        <w:rPr>
          <w:sz w:val="24"/>
          <w:szCs w:val="24"/>
        </w:rPr>
        <w:t>历史</w:t>
      </w:r>
      <w:r>
        <w:rPr>
          <w:rFonts w:hint="eastAsia"/>
          <w:sz w:val="24"/>
          <w:szCs w:val="24"/>
        </w:rPr>
        <w:t>文化</w:t>
      </w:r>
      <w:r>
        <w:rPr>
          <w:sz w:val="24"/>
          <w:szCs w:val="24"/>
        </w:rPr>
        <w:t>廊道。</w:t>
      </w:r>
    </w:p>
    <w:p>
      <w:pPr>
        <w:ind w:firstLine="480"/>
        <w:rPr>
          <w:sz w:val="24"/>
          <w:szCs w:val="24"/>
        </w:rPr>
      </w:pPr>
      <w:r>
        <w:rPr>
          <w:rFonts w:hint="eastAsia"/>
          <w:sz w:val="24"/>
          <w:szCs w:val="24"/>
        </w:rPr>
        <w:t>五片</w:t>
      </w:r>
      <w:r>
        <w:rPr>
          <w:sz w:val="24"/>
          <w:szCs w:val="24"/>
        </w:rPr>
        <w:t>：指</w:t>
      </w:r>
      <w:r>
        <w:rPr>
          <w:rFonts w:hint="eastAsia"/>
          <w:sz w:val="24"/>
          <w:szCs w:val="24"/>
        </w:rPr>
        <w:t>广府原乡特色片区、红色文化特色片区、山地生态特色片区、恐龙之乡特色片区、银杏之乡特色片区五大重要历史</w:t>
      </w:r>
      <w:r>
        <w:rPr>
          <w:sz w:val="24"/>
          <w:szCs w:val="24"/>
        </w:rPr>
        <w:t>文化</w:t>
      </w:r>
      <w:r>
        <w:rPr>
          <w:rFonts w:hint="eastAsia"/>
          <w:sz w:val="24"/>
          <w:szCs w:val="24"/>
        </w:rPr>
        <w:t>保护片区</w:t>
      </w:r>
      <w:r>
        <w:rPr>
          <w:sz w:val="24"/>
          <w:szCs w:val="24"/>
        </w:rPr>
        <w:t>。</w:t>
      </w:r>
    </w:p>
    <w:p>
      <w:pPr>
        <w:pStyle w:val="3"/>
        <w:numPr>
          <w:ilvl w:val="0"/>
          <w:numId w:val="9"/>
        </w:numPr>
        <w:spacing w:before="0" w:after="0"/>
        <w:jc w:val="center"/>
        <w:rPr>
          <w:rFonts w:ascii="宋体" w:hAnsi="宋体" w:eastAsia="宋体"/>
          <w:sz w:val="28"/>
          <w:szCs w:val="28"/>
        </w:rPr>
        <w:sectPr>
          <w:pgSz w:w="11907" w:h="16839"/>
          <w:pgMar w:top="1440" w:right="1080" w:bottom="1440" w:left="1080" w:header="851" w:footer="737" w:gutter="0"/>
          <w:cols w:space="425" w:num="1"/>
          <w:docGrid w:type="lines" w:linePitch="312" w:charSpace="0"/>
        </w:sectPr>
      </w:pPr>
      <w:bookmarkStart w:id="50" w:name="_Toc77610790"/>
      <w:bookmarkStart w:id="51" w:name="_Toc135989689"/>
    </w:p>
    <w:p>
      <w:pPr>
        <w:pStyle w:val="3"/>
        <w:numPr>
          <w:ilvl w:val="0"/>
          <w:numId w:val="9"/>
        </w:numPr>
        <w:spacing w:before="0" w:after="0"/>
        <w:jc w:val="center"/>
        <w:rPr>
          <w:rFonts w:ascii="宋体" w:hAnsi="宋体" w:eastAsia="宋体"/>
          <w:sz w:val="28"/>
          <w:szCs w:val="28"/>
        </w:rPr>
      </w:pPr>
      <w:bookmarkStart w:id="52" w:name="_Toc204964349"/>
      <w:r>
        <w:rPr>
          <w:rFonts w:hint="eastAsia" w:ascii="宋体" w:hAnsi="宋体" w:eastAsia="宋体"/>
          <w:sz w:val="28"/>
          <w:szCs w:val="28"/>
        </w:rPr>
        <w:t>市域</w:t>
      </w:r>
      <w:bookmarkEnd w:id="50"/>
      <w:r>
        <w:rPr>
          <w:rFonts w:hint="eastAsia" w:ascii="宋体" w:hAnsi="宋体" w:eastAsia="宋体"/>
          <w:sz w:val="28"/>
          <w:szCs w:val="28"/>
        </w:rPr>
        <w:t>范围的</w:t>
      </w:r>
      <w:r>
        <w:rPr>
          <w:rFonts w:ascii="宋体" w:hAnsi="宋体" w:eastAsia="宋体"/>
          <w:sz w:val="28"/>
          <w:szCs w:val="28"/>
        </w:rPr>
        <w:t>保护重点</w:t>
      </w:r>
      <w:bookmarkEnd w:id="51"/>
      <w:bookmarkEnd w:id="52"/>
    </w:p>
    <w:p>
      <w:pPr>
        <w:pStyle w:val="4"/>
        <w:numPr>
          <w:ilvl w:val="0"/>
          <w:numId w:val="2"/>
        </w:numPr>
        <w:spacing w:before="312" w:beforeLines="100" w:after="0" w:line="415" w:lineRule="auto"/>
        <w:jc w:val="both"/>
        <w:rPr>
          <w:sz w:val="24"/>
          <w:szCs w:val="24"/>
        </w:rPr>
      </w:pPr>
      <w:r>
        <w:rPr>
          <w:rFonts w:hint="eastAsia"/>
          <w:sz w:val="24"/>
          <w:szCs w:val="24"/>
        </w:rPr>
        <w:t>自然</w:t>
      </w:r>
      <w:r>
        <w:rPr>
          <w:sz w:val="24"/>
          <w:szCs w:val="24"/>
        </w:rPr>
        <w:t>山水</w:t>
      </w:r>
    </w:p>
    <w:p>
      <w:pPr>
        <w:ind w:firstLine="482"/>
        <w:rPr>
          <w:b/>
          <w:sz w:val="24"/>
          <w:szCs w:val="24"/>
        </w:rPr>
      </w:pPr>
      <w:r>
        <w:rPr>
          <w:rFonts w:hint="eastAsia"/>
          <w:b/>
          <w:sz w:val="24"/>
          <w:szCs w:val="24"/>
        </w:rPr>
        <w:t>（一）山体</w:t>
      </w:r>
    </w:p>
    <w:p>
      <w:pPr>
        <w:ind w:firstLine="480"/>
        <w:rPr>
          <w:sz w:val="24"/>
          <w:szCs w:val="24"/>
        </w:rPr>
      </w:pPr>
      <w:r>
        <w:rPr>
          <w:sz w:val="24"/>
          <w:szCs w:val="28"/>
        </w:rPr>
        <w:t>1．</w:t>
      </w:r>
      <w:r>
        <w:rPr>
          <w:rFonts w:hint="eastAsia"/>
          <w:sz w:val="24"/>
          <w:szCs w:val="24"/>
        </w:rPr>
        <w:t>保护</w:t>
      </w:r>
      <w:r>
        <w:rPr>
          <w:sz w:val="24"/>
          <w:szCs w:val="24"/>
        </w:rPr>
        <w:t>南雄“</w:t>
      </w:r>
      <w:r>
        <w:rPr>
          <w:rFonts w:hint="eastAsia"/>
          <w:sz w:val="24"/>
          <w:szCs w:val="24"/>
        </w:rPr>
        <w:t>南山</w:t>
      </w:r>
      <w:r>
        <w:rPr>
          <w:sz w:val="24"/>
          <w:szCs w:val="24"/>
        </w:rPr>
        <w:t>”“</w:t>
      </w:r>
      <w:r>
        <w:rPr>
          <w:rFonts w:hint="eastAsia"/>
          <w:sz w:val="24"/>
          <w:szCs w:val="24"/>
        </w:rPr>
        <w:t>北山</w:t>
      </w:r>
      <w:r>
        <w:rPr>
          <w:sz w:val="24"/>
          <w:szCs w:val="24"/>
        </w:rPr>
        <w:t>”</w:t>
      </w:r>
      <w:r>
        <w:rPr>
          <w:rFonts w:hint="eastAsia"/>
          <w:sz w:val="24"/>
          <w:szCs w:val="24"/>
        </w:rPr>
        <w:t>夹盆地</w:t>
      </w:r>
      <w:r>
        <w:rPr>
          <w:sz w:val="24"/>
          <w:szCs w:val="24"/>
        </w:rPr>
        <w:t>的大山水格局。</w:t>
      </w:r>
    </w:p>
    <w:p>
      <w:pPr>
        <w:ind w:firstLine="480"/>
        <w:rPr>
          <w:sz w:val="24"/>
          <w:szCs w:val="24"/>
        </w:rPr>
      </w:pPr>
      <w:r>
        <w:rPr>
          <w:sz w:val="24"/>
          <w:szCs w:val="28"/>
        </w:rPr>
        <w:t>2</w:t>
      </w:r>
      <w:r>
        <w:rPr>
          <w:rFonts w:hint="eastAsia"/>
          <w:sz w:val="24"/>
          <w:szCs w:val="28"/>
        </w:rPr>
        <w:t>．保护</w:t>
      </w:r>
      <w:r>
        <w:rPr>
          <w:sz w:val="24"/>
          <w:szCs w:val="28"/>
        </w:rPr>
        <w:t>与城市营建相关的山体，延续其传统人居环境的营造理念。</w:t>
      </w:r>
    </w:p>
    <w:p>
      <w:pPr>
        <w:ind w:firstLine="480"/>
        <w:rPr>
          <w:sz w:val="24"/>
          <w:szCs w:val="24"/>
        </w:rPr>
      </w:pPr>
      <w:r>
        <w:rPr>
          <w:sz w:val="24"/>
          <w:szCs w:val="28"/>
        </w:rPr>
        <w:t>3</w:t>
      </w:r>
      <w:r>
        <w:rPr>
          <w:rFonts w:hint="eastAsia"/>
          <w:sz w:val="24"/>
          <w:szCs w:val="28"/>
        </w:rPr>
        <w:t>．</w:t>
      </w:r>
      <w:r>
        <w:rPr>
          <w:rFonts w:hint="eastAsia"/>
          <w:sz w:val="24"/>
          <w:szCs w:val="24"/>
        </w:rPr>
        <w:t>重点</w:t>
      </w:r>
      <w:r>
        <w:rPr>
          <w:sz w:val="24"/>
          <w:szCs w:val="24"/>
        </w:rPr>
        <w:t>保护青嶂山、梅岭等风景名胜区内的特色山体。</w:t>
      </w:r>
      <w:r>
        <w:rPr>
          <w:rFonts w:hint="eastAsia"/>
          <w:sz w:val="24"/>
          <w:szCs w:val="24"/>
        </w:rPr>
        <w:t>对于</w:t>
      </w:r>
      <w:r>
        <w:rPr>
          <w:sz w:val="24"/>
          <w:szCs w:val="24"/>
        </w:rPr>
        <w:t>历史悠久、</w:t>
      </w:r>
      <w:r>
        <w:rPr>
          <w:rFonts w:hint="eastAsia"/>
          <w:sz w:val="24"/>
          <w:szCs w:val="24"/>
        </w:rPr>
        <w:t>文化</w:t>
      </w:r>
      <w:r>
        <w:rPr>
          <w:sz w:val="24"/>
          <w:szCs w:val="24"/>
        </w:rPr>
        <w:t>内涵丰富的梅岭、观音山、南雄恐龙化石群、银杏之乡油山等山体，在保护山体本身的前提下，深入挖掘其承载的重要历史文化信息，加大文化旅游的推广力度。</w:t>
      </w:r>
    </w:p>
    <w:p>
      <w:pPr>
        <w:ind w:firstLine="480"/>
        <w:rPr>
          <w:sz w:val="24"/>
          <w:szCs w:val="24"/>
        </w:rPr>
      </w:pPr>
      <w:r>
        <w:rPr>
          <w:sz w:val="24"/>
          <w:szCs w:val="28"/>
        </w:rPr>
        <w:t>4</w:t>
      </w:r>
      <w:r>
        <w:rPr>
          <w:rFonts w:hint="eastAsia"/>
          <w:sz w:val="24"/>
          <w:szCs w:val="28"/>
        </w:rPr>
        <w:t>．</w:t>
      </w:r>
      <w:r>
        <w:rPr>
          <w:rFonts w:hint="eastAsia"/>
          <w:sz w:val="24"/>
          <w:szCs w:val="24"/>
        </w:rPr>
        <w:t>严禁开山采石等破坏山体轮廓线与景观的行为，保护好山体的自然植被。控制山区内村落的建设蔓延，优先编制这些村落的村庄建设规划。用山体修补、梯级绿化等方式对历史城区周边受到破坏山体进行生态修复，恢复原有的山形山势和林木景观。</w:t>
      </w:r>
    </w:p>
    <w:p>
      <w:pPr>
        <w:ind w:firstLine="482"/>
        <w:rPr>
          <w:b/>
          <w:sz w:val="24"/>
          <w:szCs w:val="24"/>
        </w:rPr>
      </w:pPr>
      <w:r>
        <w:rPr>
          <w:rFonts w:hint="eastAsia"/>
          <w:b/>
          <w:sz w:val="24"/>
          <w:szCs w:val="24"/>
        </w:rPr>
        <w:t>（二）自然</w:t>
      </w:r>
      <w:r>
        <w:rPr>
          <w:b/>
          <w:sz w:val="24"/>
          <w:szCs w:val="24"/>
        </w:rPr>
        <w:t>和人工</w:t>
      </w:r>
      <w:r>
        <w:rPr>
          <w:rFonts w:hint="eastAsia"/>
          <w:b/>
          <w:sz w:val="24"/>
          <w:szCs w:val="24"/>
        </w:rPr>
        <w:t>水系</w:t>
      </w:r>
    </w:p>
    <w:p>
      <w:pPr>
        <w:ind w:firstLine="480"/>
        <w:rPr>
          <w:sz w:val="24"/>
          <w:szCs w:val="24"/>
        </w:rPr>
      </w:pPr>
      <w:r>
        <w:rPr>
          <w:rFonts w:hint="eastAsia"/>
          <w:sz w:val="24"/>
          <w:szCs w:val="28"/>
        </w:rPr>
        <w:t>1．保护现状</w:t>
      </w:r>
      <w:r>
        <w:rPr>
          <w:sz w:val="24"/>
          <w:szCs w:val="28"/>
        </w:rPr>
        <w:t>河道</w:t>
      </w:r>
      <w:r>
        <w:rPr>
          <w:rFonts w:hint="eastAsia"/>
          <w:sz w:val="24"/>
          <w:szCs w:val="28"/>
        </w:rPr>
        <w:t>网络</w:t>
      </w:r>
      <w:r>
        <w:rPr>
          <w:sz w:val="24"/>
          <w:szCs w:val="28"/>
        </w:rPr>
        <w:t>，包括浈江、凌江等主干河道，</w:t>
      </w:r>
      <w:r>
        <w:rPr>
          <w:rFonts w:hint="eastAsia"/>
          <w:sz w:val="24"/>
          <w:szCs w:val="28"/>
        </w:rPr>
        <w:t>以及大坪水</w:t>
      </w:r>
      <w:r>
        <w:rPr>
          <w:sz w:val="24"/>
          <w:szCs w:val="28"/>
        </w:rPr>
        <w:t>、下洞水、南山水</w:t>
      </w:r>
      <w:r>
        <w:rPr>
          <w:rFonts w:hint="eastAsia"/>
          <w:sz w:val="24"/>
          <w:szCs w:val="28"/>
        </w:rPr>
        <w:t>、</w:t>
      </w:r>
      <w:r>
        <w:rPr>
          <w:sz w:val="24"/>
          <w:szCs w:val="28"/>
        </w:rPr>
        <w:t>等支流水系</w:t>
      </w:r>
      <w:r>
        <w:rPr>
          <w:rFonts w:hint="eastAsia"/>
          <w:sz w:val="24"/>
          <w:szCs w:val="28"/>
        </w:rPr>
        <w:t>；以及</w:t>
      </w:r>
      <w:r>
        <w:rPr>
          <w:sz w:val="24"/>
          <w:szCs w:val="28"/>
        </w:rPr>
        <w:t>横江水库、</w:t>
      </w:r>
      <w:r>
        <w:rPr>
          <w:rFonts w:hint="eastAsia"/>
          <w:sz w:val="24"/>
          <w:szCs w:val="28"/>
        </w:rPr>
        <w:t>孔江</w:t>
      </w:r>
      <w:r>
        <w:rPr>
          <w:sz w:val="24"/>
          <w:szCs w:val="28"/>
        </w:rPr>
        <w:t>水库、</w:t>
      </w:r>
      <w:r>
        <w:rPr>
          <w:rFonts w:hint="eastAsia"/>
          <w:sz w:val="24"/>
          <w:szCs w:val="28"/>
        </w:rPr>
        <w:t>中坪水库</w:t>
      </w:r>
      <w:r>
        <w:rPr>
          <w:sz w:val="24"/>
          <w:szCs w:val="28"/>
        </w:rPr>
        <w:t>等水库、渡槽和灌渠近现代水利工程。</w:t>
      </w:r>
    </w:p>
    <w:p>
      <w:pPr>
        <w:ind w:firstLine="480"/>
        <w:rPr>
          <w:sz w:val="24"/>
          <w:szCs w:val="24"/>
        </w:rPr>
      </w:pPr>
      <w:r>
        <w:rPr>
          <w:sz w:val="24"/>
          <w:szCs w:val="28"/>
        </w:rPr>
        <w:t>2</w:t>
      </w:r>
      <w:r>
        <w:rPr>
          <w:rFonts w:hint="eastAsia"/>
          <w:sz w:val="24"/>
          <w:szCs w:val="28"/>
        </w:rPr>
        <w:t>．</w:t>
      </w:r>
      <w:r>
        <w:rPr>
          <w:rFonts w:hint="eastAsia"/>
          <w:sz w:val="24"/>
          <w:szCs w:val="24"/>
        </w:rPr>
        <w:t>通过区域内整体生态环境的改善、控制对地下水资源的攫取，保证水系统的完整。</w:t>
      </w:r>
    </w:p>
    <w:p>
      <w:pPr>
        <w:ind w:firstLine="480"/>
        <w:rPr>
          <w:sz w:val="24"/>
          <w:szCs w:val="24"/>
        </w:rPr>
      </w:pPr>
      <w:r>
        <w:rPr>
          <w:sz w:val="24"/>
          <w:szCs w:val="28"/>
        </w:rPr>
        <w:t>3</w:t>
      </w:r>
      <w:r>
        <w:rPr>
          <w:rFonts w:hint="eastAsia"/>
          <w:sz w:val="24"/>
          <w:szCs w:val="28"/>
        </w:rPr>
        <w:t>．</w:t>
      </w:r>
      <w:r>
        <w:rPr>
          <w:rFonts w:hint="eastAsia"/>
          <w:sz w:val="24"/>
          <w:szCs w:val="24"/>
        </w:rPr>
        <w:t>严格控制对自然河道的“裁弯取直”，加强对河道自然岸线、自然河床的保护。区内涉及新、</w:t>
      </w:r>
      <w:r>
        <w:rPr>
          <w:sz w:val="24"/>
          <w:szCs w:val="24"/>
        </w:rPr>
        <w:t>改、扩建的建、构筑物不得侵占河涌水系管控范围，确保所在地区的防洪安全。</w:t>
      </w:r>
    </w:p>
    <w:p>
      <w:pPr>
        <w:ind w:firstLine="480"/>
        <w:rPr>
          <w:sz w:val="24"/>
          <w:szCs w:val="24"/>
        </w:rPr>
      </w:pPr>
      <w:r>
        <w:rPr>
          <w:sz w:val="24"/>
          <w:szCs w:val="28"/>
        </w:rPr>
        <w:t>4</w:t>
      </w:r>
      <w:r>
        <w:rPr>
          <w:rFonts w:hint="eastAsia"/>
          <w:sz w:val="24"/>
          <w:szCs w:val="28"/>
        </w:rPr>
        <w:t>．</w:t>
      </w:r>
      <w:r>
        <w:rPr>
          <w:rFonts w:hint="eastAsia"/>
          <w:sz w:val="24"/>
          <w:szCs w:val="24"/>
        </w:rPr>
        <w:t>深入挖掘南雄水利水运的历史脉络，保护相关水利设施，并通过多种手段加以展示。</w:t>
      </w:r>
    </w:p>
    <w:p>
      <w:pPr>
        <w:pStyle w:val="4"/>
        <w:numPr>
          <w:ilvl w:val="0"/>
          <w:numId w:val="2"/>
        </w:numPr>
        <w:spacing w:before="312" w:beforeLines="100" w:after="0" w:line="415" w:lineRule="auto"/>
        <w:jc w:val="both"/>
        <w:rPr>
          <w:sz w:val="24"/>
          <w:szCs w:val="24"/>
        </w:rPr>
      </w:pPr>
      <w:r>
        <w:rPr>
          <w:rFonts w:hint="eastAsia"/>
          <w:sz w:val="24"/>
          <w:szCs w:val="24"/>
        </w:rPr>
        <w:t>历史</w:t>
      </w:r>
      <w:r>
        <w:rPr>
          <w:sz w:val="24"/>
          <w:szCs w:val="24"/>
        </w:rPr>
        <w:t>城区</w:t>
      </w:r>
    </w:p>
    <w:p>
      <w:pPr>
        <w:ind w:firstLine="480"/>
        <w:rPr>
          <w:sz w:val="24"/>
          <w:szCs w:val="24"/>
        </w:rPr>
      </w:pPr>
      <w:bookmarkStart w:id="53" w:name="_Hlk171011266"/>
      <w:r>
        <w:rPr>
          <w:rFonts w:hint="eastAsia"/>
          <w:sz w:val="24"/>
          <w:szCs w:val="24"/>
        </w:rPr>
        <w:t>保护市域</w:t>
      </w:r>
      <w:r>
        <w:rPr>
          <w:sz w:val="24"/>
          <w:szCs w:val="24"/>
        </w:rPr>
        <w:t>历史城区</w:t>
      </w:r>
      <w:r>
        <w:rPr>
          <w:rFonts w:hint="eastAsia"/>
          <w:sz w:val="24"/>
          <w:szCs w:val="24"/>
        </w:rPr>
        <w:t>传统</w:t>
      </w:r>
      <w:r>
        <w:rPr>
          <w:sz w:val="24"/>
          <w:szCs w:val="24"/>
        </w:rPr>
        <w:t>格局与</w:t>
      </w:r>
      <w:r>
        <w:rPr>
          <w:rFonts w:hint="eastAsia"/>
          <w:sz w:val="24"/>
          <w:szCs w:val="24"/>
        </w:rPr>
        <w:t>历史风貌</w:t>
      </w:r>
      <w:r>
        <w:rPr>
          <w:sz w:val="24"/>
          <w:szCs w:val="24"/>
        </w:rPr>
        <w:t>环境，依据原城</w:t>
      </w:r>
      <w:r>
        <w:rPr>
          <w:rFonts w:hint="eastAsia"/>
          <w:sz w:val="24"/>
          <w:szCs w:val="24"/>
        </w:rPr>
        <w:t>墙走向</w:t>
      </w:r>
      <w:r>
        <w:rPr>
          <w:sz w:val="24"/>
          <w:szCs w:val="24"/>
        </w:rPr>
        <w:t>划定历史城区</w:t>
      </w:r>
      <w:r>
        <w:rPr>
          <w:rFonts w:hint="eastAsia"/>
          <w:sz w:val="24"/>
          <w:szCs w:val="24"/>
        </w:rPr>
        <w:t>的</w:t>
      </w:r>
      <w:r>
        <w:rPr>
          <w:sz w:val="24"/>
          <w:szCs w:val="24"/>
        </w:rPr>
        <w:t>保护范围，加强对古城主要轴线、传统街巷和景观视廊</w:t>
      </w:r>
      <w:r>
        <w:rPr>
          <w:rFonts w:hint="eastAsia"/>
          <w:sz w:val="24"/>
          <w:szCs w:val="24"/>
        </w:rPr>
        <w:t>的保护</w:t>
      </w:r>
      <w:r>
        <w:rPr>
          <w:sz w:val="24"/>
          <w:szCs w:val="24"/>
        </w:rPr>
        <w:t>与管控</w:t>
      </w:r>
      <w:bookmarkEnd w:id="53"/>
      <w:r>
        <w:rPr>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传统</w:t>
      </w:r>
      <w:r>
        <w:rPr>
          <w:sz w:val="24"/>
          <w:szCs w:val="24"/>
        </w:rPr>
        <w:t>村镇</w:t>
      </w:r>
    </w:p>
    <w:p>
      <w:pPr>
        <w:ind w:firstLine="480"/>
        <w:rPr>
          <w:sz w:val="24"/>
          <w:szCs w:val="24"/>
        </w:rPr>
      </w:pPr>
      <w:r>
        <w:rPr>
          <w:rFonts w:hint="eastAsia"/>
          <w:sz w:val="24"/>
          <w:szCs w:val="24"/>
        </w:rPr>
        <w:t>重点</w:t>
      </w:r>
      <w:r>
        <w:rPr>
          <w:sz w:val="24"/>
          <w:szCs w:val="24"/>
        </w:rPr>
        <w:t>保护</w:t>
      </w:r>
      <w:r>
        <w:rPr>
          <w:rFonts w:hint="eastAsia"/>
          <w:sz w:val="24"/>
          <w:szCs w:val="24"/>
        </w:rPr>
        <w:t>广东省</w:t>
      </w:r>
      <w:r>
        <w:rPr>
          <w:sz w:val="24"/>
          <w:szCs w:val="24"/>
        </w:rPr>
        <w:t>历史文化名镇珠玑镇、广东省历史文化名村新田村</w:t>
      </w:r>
      <w:r>
        <w:rPr>
          <w:rFonts w:hint="eastAsia"/>
          <w:sz w:val="24"/>
          <w:szCs w:val="24"/>
        </w:rPr>
        <w:t>、广东省</w:t>
      </w:r>
      <w:r>
        <w:rPr>
          <w:sz w:val="24"/>
          <w:szCs w:val="24"/>
        </w:rPr>
        <w:t>历史文化街区珠玑古巷</w:t>
      </w:r>
      <w:r>
        <w:rPr>
          <w:rFonts w:hint="eastAsia"/>
          <w:sz w:val="24"/>
          <w:szCs w:val="24"/>
        </w:rPr>
        <w:t>以及4处</w:t>
      </w:r>
      <w:r>
        <w:rPr>
          <w:sz w:val="24"/>
          <w:szCs w:val="24"/>
        </w:rPr>
        <w:t>中国传统村落（</w:t>
      </w:r>
      <w:r>
        <w:rPr>
          <w:rFonts w:hint="eastAsia"/>
          <w:sz w:val="24"/>
          <w:szCs w:val="24"/>
        </w:rPr>
        <w:t>分别</w:t>
      </w:r>
      <w:r>
        <w:rPr>
          <w:sz w:val="24"/>
          <w:szCs w:val="24"/>
        </w:rPr>
        <w:t>为乌迳镇新田村、百顺镇黄屋城村、</w:t>
      </w:r>
      <w:r>
        <w:rPr>
          <w:rFonts w:hint="eastAsia"/>
          <w:sz w:val="24"/>
          <w:szCs w:val="24"/>
        </w:rPr>
        <w:t>油山镇上朔村</w:t>
      </w:r>
      <w:r>
        <w:rPr>
          <w:sz w:val="24"/>
          <w:szCs w:val="24"/>
        </w:rPr>
        <w:t>和南亩镇鱼鲜村）</w:t>
      </w:r>
      <w:r>
        <w:rPr>
          <w:rFonts w:hint="eastAsia"/>
          <w:sz w:val="24"/>
          <w:szCs w:val="24"/>
        </w:rPr>
        <w:t>，和6处推荐</w:t>
      </w:r>
      <w:r>
        <w:rPr>
          <w:sz w:val="24"/>
          <w:szCs w:val="24"/>
        </w:rPr>
        <w:t>历史</w:t>
      </w:r>
      <w:r>
        <w:rPr>
          <w:rFonts w:hint="eastAsia"/>
          <w:sz w:val="24"/>
          <w:szCs w:val="24"/>
        </w:rPr>
        <w:t>地段</w:t>
      </w:r>
      <w:r>
        <w:rPr>
          <w:sz w:val="24"/>
          <w:szCs w:val="24"/>
        </w:rPr>
        <w:t>（</w:t>
      </w:r>
      <w:r>
        <w:rPr>
          <w:rFonts w:hint="eastAsia"/>
          <w:sz w:val="24"/>
          <w:szCs w:val="24"/>
        </w:rPr>
        <w:t>分别为</w:t>
      </w:r>
      <w:r>
        <w:rPr>
          <w:sz w:val="24"/>
          <w:szCs w:val="24"/>
        </w:rPr>
        <w:t>八一街、</w:t>
      </w:r>
      <w:r>
        <w:rPr>
          <w:rFonts w:hint="eastAsia"/>
          <w:sz w:val="24"/>
          <w:szCs w:val="24"/>
        </w:rPr>
        <w:t>滨江、</w:t>
      </w:r>
      <w:r>
        <w:rPr>
          <w:sz w:val="24"/>
          <w:szCs w:val="24"/>
        </w:rPr>
        <w:t>中站、里东、</w:t>
      </w:r>
      <w:r>
        <w:rPr>
          <w:rFonts w:hint="eastAsia"/>
          <w:sz w:val="24"/>
          <w:szCs w:val="24"/>
        </w:rPr>
        <w:t>雉公嵊</w:t>
      </w:r>
      <w:r>
        <w:rPr>
          <w:sz w:val="24"/>
          <w:szCs w:val="24"/>
        </w:rPr>
        <w:t>、灵潭）</w:t>
      </w:r>
      <w:r>
        <w:rPr>
          <w:rFonts w:hint="eastAsia"/>
          <w:sz w:val="24"/>
          <w:szCs w:val="24"/>
        </w:rPr>
        <w:t>。</w:t>
      </w:r>
    </w:p>
    <w:p>
      <w:pPr>
        <w:ind w:firstLine="480"/>
        <w:rPr>
          <w:sz w:val="24"/>
          <w:szCs w:val="24"/>
        </w:rPr>
      </w:pPr>
      <w:r>
        <w:rPr>
          <w:rFonts w:hint="eastAsia"/>
          <w:sz w:val="24"/>
          <w:szCs w:val="24"/>
        </w:rPr>
        <w:t>结合实际</w:t>
      </w:r>
      <w:r>
        <w:rPr>
          <w:sz w:val="24"/>
          <w:szCs w:val="24"/>
        </w:rPr>
        <w:t>历史遗存</w:t>
      </w:r>
      <w:r>
        <w:rPr>
          <w:rFonts w:hint="eastAsia"/>
          <w:sz w:val="24"/>
          <w:szCs w:val="24"/>
        </w:rPr>
        <w:t>保存</w:t>
      </w:r>
      <w:r>
        <w:rPr>
          <w:sz w:val="24"/>
          <w:szCs w:val="24"/>
        </w:rPr>
        <w:t>状况与</w:t>
      </w:r>
      <w:r>
        <w:rPr>
          <w:rFonts w:hint="eastAsia"/>
          <w:sz w:val="24"/>
          <w:szCs w:val="24"/>
        </w:rPr>
        <w:t>整体</w:t>
      </w:r>
      <w:r>
        <w:rPr>
          <w:sz w:val="24"/>
          <w:szCs w:val="24"/>
        </w:rPr>
        <w:t>空间格局，划定保护范围</w:t>
      </w:r>
      <w:r>
        <w:rPr>
          <w:rFonts w:hint="eastAsia"/>
          <w:sz w:val="24"/>
          <w:szCs w:val="24"/>
        </w:rPr>
        <w:t>和控制区</w:t>
      </w:r>
      <w:r>
        <w:rPr>
          <w:sz w:val="24"/>
          <w:szCs w:val="24"/>
        </w:rPr>
        <w:t>，</w:t>
      </w:r>
      <w:r>
        <w:rPr>
          <w:rFonts w:hint="eastAsia"/>
          <w:sz w:val="24"/>
          <w:szCs w:val="24"/>
        </w:rPr>
        <w:t>明确</w:t>
      </w:r>
      <w:r>
        <w:rPr>
          <w:sz w:val="24"/>
          <w:szCs w:val="24"/>
        </w:rPr>
        <w:t>控制要求并提出保护措施</w:t>
      </w:r>
      <w:r>
        <w:rPr>
          <w:rFonts w:hint="eastAsia"/>
          <w:sz w:val="24"/>
          <w:szCs w:val="24"/>
        </w:rPr>
        <w:t>，结合村镇</w:t>
      </w:r>
      <w:r>
        <w:rPr>
          <w:sz w:val="24"/>
          <w:szCs w:val="24"/>
        </w:rPr>
        <w:t>实际</w:t>
      </w:r>
      <w:r>
        <w:rPr>
          <w:rFonts w:hint="eastAsia"/>
          <w:sz w:val="24"/>
          <w:szCs w:val="24"/>
        </w:rPr>
        <w:t>情况</w:t>
      </w:r>
      <w:r>
        <w:rPr>
          <w:sz w:val="24"/>
          <w:szCs w:val="24"/>
        </w:rPr>
        <w:t>做好保护与发展引导</w:t>
      </w:r>
      <w:r>
        <w:rPr>
          <w:rFonts w:hint="eastAsia"/>
          <w:sz w:val="24"/>
          <w:szCs w:val="24"/>
        </w:rPr>
        <w:t>工作</w:t>
      </w:r>
      <w:r>
        <w:rPr>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文化</w:t>
      </w:r>
      <w:r>
        <w:rPr>
          <w:sz w:val="24"/>
          <w:szCs w:val="24"/>
        </w:rPr>
        <w:t>线路</w:t>
      </w:r>
    </w:p>
    <w:p>
      <w:pPr>
        <w:ind w:firstLine="480"/>
        <w:rPr>
          <w:sz w:val="24"/>
          <w:szCs w:val="24"/>
        </w:rPr>
      </w:pPr>
      <w:r>
        <w:rPr>
          <w:rFonts w:hint="eastAsia"/>
          <w:sz w:val="24"/>
          <w:szCs w:val="24"/>
        </w:rPr>
        <w:t>南雄</w:t>
      </w:r>
      <w:r>
        <w:rPr>
          <w:sz w:val="24"/>
          <w:szCs w:val="24"/>
        </w:rPr>
        <w:t>市域范围内，</w:t>
      </w:r>
      <w:r>
        <w:rPr>
          <w:rFonts w:hint="eastAsia"/>
          <w:sz w:val="24"/>
          <w:szCs w:val="24"/>
        </w:rPr>
        <w:t>规划</w:t>
      </w:r>
      <w:r>
        <w:rPr>
          <w:sz w:val="24"/>
          <w:szCs w:val="24"/>
        </w:rPr>
        <w:t>初步确定以梅关古道为主线的文化线路，同时，与乌迳、百顺、水口</w:t>
      </w:r>
      <w:r>
        <w:rPr>
          <w:rFonts w:hint="eastAsia"/>
          <w:sz w:val="24"/>
          <w:szCs w:val="24"/>
        </w:rPr>
        <w:t>——</w:t>
      </w:r>
      <w:r>
        <w:rPr>
          <w:sz w:val="24"/>
          <w:szCs w:val="24"/>
        </w:rPr>
        <w:t>南亩、主田——古市</w:t>
      </w:r>
      <w:r>
        <w:rPr>
          <w:rFonts w:hint="eastAsia"/>
          <w:sz w:val="24"/>
          <w:szCs w:val="24"/>
        </w:rPr>
        <w:t>共同</w:t>
      </w:r>
      <w:r>
        <w:rPr>
          <w:sz w:val="24"/>
          <w:szCs w:val="24"/>
        </w:rPr>
        <w:t>组成南雄古城对外交通发放射性文化线路群。</w:t>
      </w:r>
    </w:p>
    <w:p>
      <w:pPr>
        <w:ind w:firstLine="480"/>
        <w:rPr>
          <w:sz w:val="24"/>
          <w:szCs w:val="24"/>
        </w:rPr>
      </w:pPr>
      <w:r>
        <w:rPr>
          <w:rFonts w:hint="eastAsia"/>
          <w:sz w:val="24"/>
          <w:szCs w:val="24"/>
        </w:rPr>
        <w:t>保护</w:t>
      </w:r>
      <w:r>
        <w:rPr>
          <w:sz w:val="24"/>
          <w:szCs w:val="24"/>
        </w:rPr>
        <w:t>以古驿道为中心，</w:t>
      </w:r>
      <w:r>
        <w:rPr>
          <w:rFonts w:hint="eastAsia"/>
          <w:sz w:val="24"/>
          <w:szCs w:val="24"/>
        </w:rPr>
        <w:t>串联</w:t>
      </w:r>
      <w:r>
        <w:rPr>
          <w:sz w:val="24"/>
          <w:szCs w:val="24"/>
        </w:rPr>
        <w:t>沿线的传统村镇、老街、驿站、驿道、桥梁、宗祠、牌坊、寺庙、石窟等历史文化资源，构成南雄</w:t>
      </w:r>
      <w:r>
        <w:rPr>
          <w:rFonts w:hint="eastAsia"/>
          <w:sz w:val="24"/>
          <w:szCs w:val="24"/>
        </w:rPr>
        <w:t>历史文化</w:t>
      </w:r>
      <w:r>
        <w:rPr>
          <w:sz w:val="24"/>
          <w:szCs w:val="24"/>
        </w:rPr>
        <w:t>遗产廊道</w:t>
      </w:r>
      <w:r>
        <w:rPr>
          <w:rFonts w:hint="eastAsia"/>
          <w:sz w:val="24"/>
          <w:szCs w:val="24"/>
        </w:rPr>
        <w:t>，加强</w:t>
      </w:r>
      <w:r>
        <w:rPr>
          <w:sz w:val="24"/>
          <w:szCs w:val="24"/>
        </w:rPr>
        <w:t>沿线环境整治和风貌控制。</w:t>
      </w:r>
    </w:p>
    <w:p>
      <w:pPr>
        <w:pStyle w:val="4"/>
        <w:numPr>
          <w:ilvl w:val="0"/>
          <w:numId w:val="2"/>
        </w:numPr>
        <w:spacing w:before="312" w:beforeLines="100" w:after="0" w:line="415" w:lineRule="auto"/>
        <w:jc w:val="both"/>
        <w:rPr>
          <w:sz w:val="24"/>
          <w:szCs w:val="24"/>
        </w:rPr>
      </w:pPr>
      <w:r>
        <w:rPr>
          <w:rFonts w:hint="eastAsia"/>
          <w:sz w:val="24"/>
          <w:szCs w:val="24"/>
        </w:rPr>
        <w:t>其他</w:t>
      </w:r>
      <w:r>
        <w:rPr>
          <w:sz w:val="24"/>
          <w:szCs w:val="24"/>
        </w:rPr>
        <w:t>历史文化</w:t>
      </w:r>
      <w:r>
        <w:rPr>
          <w:rFonts w:hint="eastAsia"/>
          <w:sz w:val="24"/>
          <w:szCs w:val="24"/>
        </w:rPr>
        <w:t>遗产</w:t>
      </w:r>
    </w:p>
    <w:p>
      <w:pPr>
        <w:ind w:firstLine="480"/>
        <w:rPr>
          <w:sz w:val="24"/>
          <w:szCs w:val="24"/>
        </w:rPr>
      </w:pPr>
      <w:r>
        <w:rPr>
          <w:rFonts w:hint="eastAsia"/>
          <w:sz w:val="24"/>
          <w:szCs w:val="24"/>
        </w:rPr>
        <w:t>保护</w:t>
      </w:r>
      <w:r>
        <w:rPr>
          <w:sz w:val="24"/>
          <w:szCs w:val="24"/>
        </w:rPr>
        <w:t>市域内</w:t>
      </w:r>
      <w:r>
        <w:rPr>
          <w:rFonts w:hint="eastAsia"/>
          <w:sz w:val="24"/>
          <w:szCs w:val="24"/>
        </w:rPr>
        <w:t>文物</w:t>
      </w:r>
      <w:r>
        <w:rPr>
          <w:sz w:val="24"/>
          <w:szCs w:val="24"/>
        </w:rPr>
        <w:t>保护单位、</w:t>
      </w:r>
      <w:r>
        <w:rPr>
          <w:rFonts w:hint="eastAsia"/>
          <w:sz w:val="24"/>
          <w:szCs w:val="24"/>
        </w:rPr>
        <w:t>未核定公布为文物保护单位的不可移动文物</w:t>
      </w:r>
      <w:r>
        <w:rPr>
          <w:sz w:val="24"/>
          <w:szCs w:val="24"/>
        </w:rPr>
        <w:t>、历史建筑、</w:t>
      </w:r>
      <w:r>
        <w:rPr>
          <w:rFonts w:hint="eastAsia"/>
          <w:sz w:val="24"/>
          <w:szCs w:val="24"/>
        </w:rPr>
        <w:t>推荐历史建筑</w:t>
      </w:r>
      <w:r>
        <w:rPr>
          <w:sz w:val="24"/>
          <w:szCs w:val="24"/>
        </w:rPr>
        <w:t>、传统风貌建筑、</w:t>
      </w:r>
      <w:r>
        <w:rPr>
          <w:rFonts w:hint="eastAsia"/>
          <w:sz w:val="24"/>
          <w:szCs w:val="24"/>
        </w:rPr>
        <w:t>古树名木</w:t>
      </w:r>
      <w:r>
        <w:rPr>
          <w:sz w:val="24"/>
          <w:szCs w:val="24"/>
        </w:rPr>
        <w:t>等文物古迹；</w:t>
      </w:r>
    </w:p>
    <w:p>
      <w:pPr>
        <w:ind w:firstLine="480"/>
        <w:rPr>
          <w:sz w:val="24"/>
          <w:szCs w:val="24"/>
        </w:rPr>
      </w:pPr>
      <w:r>
        <w:rPr>
          <w:rFonts w:hint="eastAsia"/>
          <w:sz w:val="24"/>
          <w:szCs w:val="24"/>
        </w:rPr>
        <w:t>保护</w:t>
      </w:r>
      <w:r>
        <w:rPr>
          <w:sz w:val="24"/>
          <w:szCs w:val="24"/>
        </w:rPr>
        <w:t>反映南雄市</w:t>
      </w:r>
      <w:r>
        <w:rPr>
          <w:rFonts w:hint="eastAsia"/>
          <w:sz w:val="24"/>
          <w:szCs w:val="24"/>
        </w:rPr>
        <w:t>传统</w:t>
      </w:r>
      <w:r>
        <w:rPr>
          <w:sz w:val="24"/>
          <w:szCs w:val="24"/>
        </w:rPr>
        <w:t>风貌与历史文化的历史</w:t>
      </w:r>
      <w:r>
        <w:rPr>
          <w:rFonts w:hint="eastAsia"/>
          <w:sz w:val="24"/>
          <w:szCs w:val="24"/>
        </w:rPr>
        <w:t>文化资源</w:t>
      </w:r>
      <w:r>
        <w:rPr>
          <w:sz w:val="24"/>
          <w:szCs w:val="24"/>
        </w:rPr>
        <w:t>；</w:t>
      </w:r>
    </w:p>
    <w:p>
      <w:pPr>
        <w:ind w:firstLine="480"/>
        <w:rPr>
          <w:sz w:val="24"/>
          <w:szCs w:val="24"/>
        </w:rPr>
      </w:pPr>
      <w:r>
        <w:rPr>
          <w:rFonts w:hint="eastAsia"/>
          <w:sz w:val="24"/>
          <w:szCs w:val="24"/>
        </w:rPr>
        <w:t>保护市域内传统体现人们传统社会生活风貌的传统艺术、传统工艺、传统民俗等优秀传统文化核和非物质文化遗产。</w:t>
      </w:r>
    </w:p>
    <w:p>
      <w:pPr>
        <w:pStyle w:val="2"/>
        <w:ind w:left="0"/>
      </w:pPr>
      <w:bookmarkStart w:id="54" w:name="_Toc77610791"/>
      <w:bookmarkStart w:id="55" w:name="_Toc204964350"/>
      <w:r>
        <w:rPr>
          <w:rFonts w:hint="eastAsia"/>
        </w:rPr>
        <w:t>历史城区</w:t>
      </w:r>
      <w:bookmarkEnd w:id="54"/>
      <w:r>
        <w:rPr>
          <w:rFonts w:hint="eastAsia"/>
        </w:rPr>
        <w:t>的保护</w:t>
      </w:r>
      <w:bookmarkEnd w:id="55"/>
    </w:p>
    <w:p>
      <w:pPr>
        <w:pStyle w:val="3"/>
        <w:numPr>
          <w:ilvl w:val="0"/>
          <w:numId w:val="10"/>
        </w:numPr>
        <w:spacing w:before="0" w:after="0"/>
        <w:jc w:val="center"/>
        <w:rPr>
          <w:rFonts w:ascii="宋体" w:hAnsi="宋体" w:eastAsia="宋体"/>
          <w:sz w:val="28"/>
          <w:szCs w:val="28"/>
        </w:rPr>
      </w:pPr>
      <w:bookmarkStart w:id="56" w:name="_Toc204964351"/>
      <w:bookmarkStart w:id="57" w:name="_Toc77610792"/>
      <w:r>
        <w:rPr>
          <w:rFonts w:hint="eastAsia" w:ascii="宋体" w:hAnsi="宋体" w:eastAsia="宋体"/>
          <w:sz w:val="28"/>
          <w:szCs w:val="28"/>
        </w:rPr>
        <w:t>保护范围与等级</w:t>
      </w:r>
      <w:bookmarkEnd w:id="56"/>
    </w:p>
    <w:p>
      <w:pPr>
        <w:pStyle w:val="4"/>
        <w:numPr>
          <w:ilvl w:val="0"/>
          <w:numId w:val="2"/>
        </w:numPr>
        <w:spacing w:before="312" w:beforeLines="100" w:after="0" w:line="415" w:lineRule="auto"/>
        <w:jc w:val="both"/>
        <w:rPr>
          <w:sz w:val="24"/>
          <w:szCs w:val="24"/>
        </w:rPr>
      </w:pPr>
      <w:r>
        <w:rPr>
          <w:rFonts w:hint="eastAsia"/>
          <w:sz w:val="24"/>
          <w:szCs w:val="24"/>
        </w:rPr>
        <w:t>历史城区范围</w:t>
      </w:r>
      <w:bookmarkEnd w:id="57"/>
      <w:r>
        <w:rPr>
          <w:rFonts w:hint="eastAsia"/>
          <w:sz w:val="24"/>
          <w:szCs w:val="24"/>
        </w:rPr>
        <w:t>划定</w:t>
      </w:r>
    </w:p>
    <w:p>
      <w:pPr>
        <w:ind w:firstLine="480"/>
        <w:rPr>
          <w:sz w:val="24"/>
          <w:szCs w:val="32"/>
          <w:u w:val="single"/>
        </w:rPr>
      </w:pPr>
      <w:r>
        <w:rPr>
          <w:rFonts w:hint="eastAsia"/>
          <w:sz w:val="24"/>
          <w:szCs w:val="32"/>
          <w:u w:val="single"/>
        </w:rPr>
        <w:t>本规划划定南雄历史城区范围为明清时期的雄州古城及沿岸地区，范围北至环城路、东至雄东路、南至浈江</w:t>
      </w:r>
      <w:r>
        <w:rPr>
          <w:rFonts w:hint="eastAsia"/>
          <w:sz w:val="24"/>
          <w:szCs w:val="28"/>
          <w:u w:val="single"/>
        </w:rPr>
        <w:t>及其沿岸</w:t>
      </w:r>
      <w:r>
        <w:rPr>
          <w:rFonts w:hint="eastAsia"/>
          <w:sz w:val="24"/>
          <w:szCs w:val="32"/>
          <w:u w:val="single"/>
        </w:rPr>
        <w:t>、西至凌江</w:t>
      </w:r>
      <w:r>
        <w:rPr>
          <w:rFonts w:hint="eastAsia"/>
          <w:sz w:val="24"/>
          <w:szCs w:val="28"/>
          <w:u w:val="single"/>
        </w:rPr>
        <w:t>及其沿岸</w:t>
      </w:r>
      <w:r>
        <w:rPr>
          <w:rFonts w:hint="eastAsia"/>
          <w:sz w:val="24"/>
          <w:szCs w:val="32"/>
          <w:u w:val="single"/>
        </w:rPr>
        <w:t>，面积约为</w:t>
      </w:r>
      <w:bookmarkStart w:id="58" w:name="_Hlk171515671"/>
      <w:r>
        <w:rPr>
          <w:sz w:val="24"/>
          <w:szCs w:val="32"/>
          <w:u w:val="single"/>
        </w:rPr>
        <w:t>1.79</w:t>
      </w:r>
      <w:bookmarkEnd w:id="58"/>
      <w:r>
        <w:rPr>
          <w:rFonts w:hint="eastAsia"/>
          <w:sz w:val="24"/>
          <w:szCs w:val="32"/>
          <w:u w:val="single"/>
        </w:rPr>
        <w:t>平方公里</w:t>
      </w:r>
      <w:r>
        <w:rPr>
          <w:sz w:val="24"/>
          <w:szCs w:val="32"/>
          <w:u w:val="single"/>
        </w:rPr>
        <w:t>。</w:t>
      </w:r>
    </w:p>
    <w:p>
      <w:pPr>
        <w:pStyle w:val="4"/>
        <w:numPr>
          <w:ilvl w:val="0"/>
          <w:numId w:val="2"/>
        </w:numPr>
        <w:spacing w:before="312" w:beforeLines="100" w:after="0" w:line="415" w:lineRule="auto"/>
        <w:jc w:val="both"/>
        <w:rPr>
          <w:sz w:val="24"/>
          <w:szCs w:val="24"/>
        </w:rPr>
      </w:pPr>
      <w:r>
        <w:rPr>
          <w:rFonts w:hint="eastAsia"/>
          <w:sz w:val="24"/>
          <w:szCs w:val="24"/>
        </w:rPr>
        <w:t>保护等级划定</w:t>
      </w:r>
    </w:p>
    <w:p>
      <w:pPr>
        <w:ind w:firstLine="480"/>
        <w:rPr>
          <w:sz w:val="24"/>
          <w:szCs w:val="32"/>
          <w:u w:val="single"/>
        </w:rPr>
      </w:pPr>
      <w:r>
        <w:rPr>
          <w:rFonts w:hint="eastAsia"/>
          <w:sz w:val="24"/>
          <w:szCs w:val="32"/>
          <w:u w:val="single"/>
        </w:rPr>
        <w:t>南雄历史城区内包括2片推荐历史地段，其中八一街推荐历史地段核心保护范围</w:t>
      </w:r>
      <w:r>
        <w:rPr>
          <w:sz w:val="24"/>
          <w:szCs w:val="32"/>
          <w:u w:val="single"/>
        </w:rPr>
        <w:t>1.21</w:t>
      </w:r>
      <w:r>
        <w:rPr>
          <w:rFonts w:hint="eastAsia"/>
          <w:sz w:val="24"/>
          <w:szCs w:val="32"/>
          <w:u w:val="single"/>
        </w:rPr>
        <w:t>公顷，建设控制地带</w:t>
      </w:r>
      <w:r>
        <w:rPr>
          <w:sz w:val="24"/>
          <w:szCs w:val="32"/>
          <w:u w:val="single"/>
        </w:rPr>
        <w:t>3.4</w:t>
      </w:r>
      <w:r>
        <w:rPr>
          <w:rFonts w:hint="eastAsia"/>
          <w:sz w:val="24"/>
          <w:szCs w:val="32"/>
          <w:u w:val="single"/>
        </w:rPr>
        <w:t>公顷，滨江推荐历史地段核心保护范围</w:t>
      </w:r>
      <w:r>
        <w:rPr>
          <w:sz w:val="24"/>
          <w:szCs w:val="32"/>
          <w:u w:val="single"/>
        </w:rPr>
        <w:t>8.64</w:t>
      </w:r>
      <w:r>
        <w:rPr>
          <w:rFonts w:hint="eastAsia"/>
          <w:sz w:val="24"/>
          <w:szCs w:val="32"/>
          <w:u w:val="single"/>
        </w:rPr>
        <w:t>公顷，建设控制地带</w:t>
      </w:r>
      <w:r>
        <w:rPr>
          <w:sz w:val="24"/>
          <w:szCs w:val="32"/>
          <w:u w:val="single"/>
        </w:rPr>
        <w:t>31.54</w:t>
      </w:r>
      <w:r>
        <w:rPr>
          <w:rFonts w:hint="eastAsia"/>
          <w:sz w:val="24"/>
          <w:szCs w:val="32"/>
          <w:u w:val="single"/>
        </w:rPr>
        <w:t>公顷。</w:t>
      </w:r>
    </w:p>
    <w:p>
      <w:pPr>
        <w:pStyle w:val="3"/>
        <w:numPr>
          <w:ilvl w:val="0"/>
          <w:numId w:val="10"/>
        </w:numPr>
        <w:spacing w:before="0" w:after="0"/>
        <w:ind w:left="0" w:firstLine="0"/>
        <w:jc w:val="center"/>
        <w:rPr>
          <w:rFonts w:ascii="宋体" w:hAnsi="宋体" w:eastAsia="宋体"/>
          <w:sz w:val="28"/>
          <w:szCs w:val="28"/>
        </w:rPr>
      </w:pPr>
      <w:bookmarkStart w:id="59" w:name="_Toc204964352"/>
      <w:bookmarkStart w:id="60" w:name="_Toc77610793"/>
      <w:r>
        <w:rPr>
          <w:rFonts w:hint="eastAsia" w:ascii="宋体" w:hAnsi="宋体" w:eastAsia="宋体"/>
          <w:sz w:val="28"/>
          <w:szCs w:val="28"/>
        </w:rPr>
        <w:t>功能</w:t>
      </w:r>
      <w:r>
        <w:rPr>
          <w:rFonts w:ascii="宋体" w:hAnsi="宋体" w:eastAsia="宋体"/>
          <w:sz w:val="28"/>
          <w:szCs w:val="28"/>
        </w:rPr>
        <w:t>定位与容量控制</w:t>
      </w:r>
      <w:bookmarkEnd w:id="59"/>
    </w:p>
    <w:p>
      <w:pPr>
        <w:pStyle w:val="4"/>
        <w:numPr>
          <w:ilvl w:val="0"/>
          <w:numId w:val="2"/>
        </w:numPr>
        <w:spacing w:before="312" w:beforeLines="100" w:after="0" w:line="415" w:lineRule="auto"/>
        <w:jc w:val="both"/>
        <w:rPr>
          <w:sz w:val="24"/>
          <w:szCs w:val="24"/>
        </w:rPr>
      </w:pPr>
      <w:r>
        <w:rPr>
          <w:rFonts w:hint="eastAsia"/>
          <w:sz w:val="24"/>
          <w:szCs w:val="24"/>
        </w:rPr>
        <w:t>历史城区的功能定位</w:t>
      </w:r>
    </w:p>
    <w:p>
      <w:pPr>
        <w:ind w:firstLine="480"/>
        <w:rPr>
          <w:sz w:val="24"/>
          <w:szCs w:val="32"/>
          <w:u w:val="single"/>
        </w:rPr>
      </w:pPr>
      <w:r>
        <w:rPr>
          <w:rFonts w:hint="eastAsia"/>
          <w:sz w:val="24"/>
          <w:szCs w:val="32"/>
          <w:u w:val="single"/>
        </w:rPr>
        <w:t>功能定位为南雄文旅融合、人文功能的重要承载区，传承山水营城理念，彰显南雄的历史发展脉络，是宜游、宜居、宜业的历史城区。</w:t>
      </w:r>
    </w:p>
    <w:p>
      <w:pPr>
        <w:pStyle w:val="4"/>
        <w:numPr>
          <w:ilvl w:val="0"/>
          <w:numId w:val="2"/>
        </w:numPr>
        <w:spacing w:before="312" w:beforeLines="100" w:after="0" w:line="415" w:lineRule="auto"/>
        <w:jc w:val="both"/>
        <w:rPr>
          <w:sz w:val="24"/>
          <w:szCs w:val="24"/>
        </w:rPr>
      </w:pPr>
      <w:r>
        <w:rPr>
          <w:rFonts w:hint="eastAsia"/>
          <w:sz w:val="24"/>
          <w:szCs w:val="24"/>
        </w:rPr>
        <w:t>历史城区的职能调整</w:t>
      </w:r>
    </w:p>
    <w:p>
      <w:pPr>
        <w:pStyle w:val="49"/>
        <w:numPr>
          <w:ilvl w:val="0"/>
          <w:numId w:val="11"/>
        </w:numPr>
        <w:ind w:left="0" w:firstLine="480"/>
        <w:rPr>
          <w:sz w:val="24"/>
          <w:szCs w:val="32"/>
        </w:rPr>
      </w:pPr>
      <w:r>
        <w:rPr>
          <w:rFonts w:hint="eastAsia"/>
          <w:sz w:val="24"/>
          <w:szCs w:val="32"/>
        </w:rPr>
        <w:t>逐步调整目前古城承担的行政、商业、文娱、教育于一身的核心地位，将其中的行政、教育等职能向周边地区疏解，调整后的古城职能将以旅游、文娱、商业、居住功能为主。</w:t>
      </w:r>
    </w:p>
    <w:p>
      <w:pPr>
        <w:pStyle w:val="49"/>
        <w:numPr>
          <w:ilvl w:val="0"/>
          <w:numId w:val="11"/>
        </w:numPr>
        <w:ind w:left="0" w:firstLine="480"/>
        <w:rPr>
          <w:sz w:val="24"/>
          <w:szCs w:val="32"/>
        </w:rPr>
      </w:pPr>
      <w:r>
        <w:rPr>
          <w:rFonts w:hint="eastAsia"/>
          <w:sz w:val="24"/>
          <w:szCs w:val="32"/>
        </w:rPr>
        <w:t>改善历史城区传统商业街的环境。改善古城商业氛围，以历史商业街为依托，改善八一街——雄州大道——廻澜门东西走向的商业主街两侧的空间环境，鼓励发展文化娱乐、旅游服务等文旅产业。</w:t>
      </w:r>
    </w:p>
    <w:p>
      <w:pPr>
        <w:pStyle w:val="49"/>
        <w:numPr>
          <w:ilvl w:val="0"/>
          <w:numId w:val="11"/>
        </w:numPr>
        <w:ind w:left="0" w:firstLine="480"/>
        <w:rPr>
          <w:sz w:val="24"/>
          <w:szCs w:val="32"/>
        </w:rPr>
      </w:pPr>
      <w:r>
        <w:rPr>
          <w:rFonts w:hint="eastAsia"/>
          <w:sz w:val="24"/>
          <w:szCs w:val="32"/>
        </w:rPr>
        <w:t>加强公共休闲和绿化空间的建设。以三影塔广场、廻澜门遗址公园、南雄府城正南门、雄州古城墙为核心，营造“点线面”相结合的公共休闲空间和绿色生态系统，拓展历史城区绿色生态网络。</w:t>
      </w:r>
    </w:p>
    <w:p>
      <w:pPr>
        <w:pStyle w:val="49"/>
        <w:numPr>
          <w:ilvl w:val="0"/>
          <w:numId w:val="11"/>
        </w:numPr>
        <w:ind w:left="0" w:firstLine="480"/>
        <w:rPr>
          <w:sz w:val="24"/>
          <w:szCs w:val="32"/>
        </w:rPr>
      </w:pPr>
      <w:r>
        <w:rPr>
          <w:rFonts w:hint="eastAsia"/>
          <w:sz w:val="24"/>
          <w:szCs w:val="32"/>
        </w:rPr>
        <w:t>完善基础与公共服务设施的建设。保护传承南雄历史城区的文脉和传统生活特色，积极推进旧住宅区综合整治和旧城改造工作，通过环境整治、提升防灾减灾功能、完善市政及公共服务设施和建筑节能改造等措施提升宜居品质。</w:t>
      </w:r>
    </w:p>
    <w:p>
      <w:pPr>
        <w:pStyle w:val="4"/>
        <w:numPr>
          <w:ilvl w:val="0"/>
          <w:numId w:val="2"/>
        </w:numPr>
        <w:spacing w:before="312" w:beforeLines="100" w:after="0" w:line="415" w:lineRule="auto"/>
        <w:jc w:val="both"/>
        <w:rPr>
          <w:sz w:val="24"/>
          <w:szCs w:val="24"/>
        </w:rPr>
      </w:pPr>
      <w:r>
        <w:rPr>
          <w:rFonts w:hint="eastAsia"/>
          <w:sz w:val="24"/>
          <w:szCs w:val="24"/>
        </w:rPr>
        <w:t>历史</w:t>
      </w:r>
      <w:r>
        <w:rPr>
          <w:sz w:val="24"/>
          <w:szCs w:val="24"/>
        </w:rPr>
        <w:t>城区的</w:t>
      </w:r>
      <w:bookmarkStart w:id="61" w:name="_Hlk171000905"/>
      <w:r>
        <w:rPr>
          <w:sz w:val="24"/>
          <w:szCs w:val="24"/>
        </w:rPr>
        <w:t>人口规模控制与疏解</w:t>
      </w:r>
      <w:bookmarkEnd w:id="61"/>
    </w:p>
    <w:p>
      <w:pPr>
        <w:ind w:firstLine="482"/>
        <w:rPr>
          <w:b/>
          <w:bCs/>
          <w:sz w:val="24"/>
          <w:szCs w:val="24"/>
        </w:rPr>
      </w:pPr>
      <w:r>
        <w:rPr>
          <w:rFonts w:hint="eastAsia"/>
          <w:b/>
          <w:bCs/>
          <w:sz w:val="24"/>
          <w:szCs w:val="24"/>
        </w:rPr>
        <w:t>（一）古城人口容量</w:t>
      </w:r>
    </w:p>
    <w:p>
      <w:pPr>
        <w:pStyle w:val="49"/>
        <w:numPr>
          <w:ilvl w:val="0"/>
          <w:numId w:val="12"/>
        </w:numPr>
        <w:ind w:left="0" w:firstLine="480"/>
        <w:rPr>
          <w:sz w:val="24"/>
          <w:szCs w:val="32"/>
        </w:rPr>
      </w:pPr>
      <w:bookmarkStart w:id="62" w:name="_Hlk204955774"/>
      <w:r>
        <w:rPr>
          <w:rFonts w:hint="eastAsia"/>
          <w:sz w:val="24"/>
          <w:szCs w:val="32"/>
        </w:rPr>
        <w:t>按照整体保护、人口减量、密度降低的要求，推进历史文化街区、历史地段的保护和有机更新。建立内外联动机制，促进人口有序疏解，改善居民工作生活条件</w:t>
      </w:r>
      <w:bookmarkEnd w:id="62"/>
      <w:r>
        <w:rPr>
          <w:rFonts w:hint="eastAsia"/>
          <w:sz w:val="24"/>
          <w:szCs w:val="32"/>
        </w:rPr>
        <w:t>。</w:t>
      </w:r>
    </w:p>
    <w:p>
      <w:pPr>
        <w:pStyle w:val="49"/>
        <w:numPr>
          <w:ilvl w:val="0"/>
          <w:numId w:val="12"/>
        </w:numPr>
        <w:ind w:left="0" w:firstLine="480"/>
        <w:rPr>
          <w:sz w:val="24"/>
          <w:szCs w:val="32"/>
        </w:rPr>
      </w:pPr>
      <w:r>
        <w:rPr>
          <w:rFonts w:hint="eastAsia"/>
          <w:sz w:val="24"/>
          <w:szCs w:val="32"/>
        </w:rPr>
        <w:t>降低人口密度，调整用地结构，严控建筑高度。</w:t>
      </w:r>
    </w:p>
    <w:p>
      <w:pPr>
        <w:pStyle w:val="49"/>
        <w:numPr>
          <w:ilvl w:val="0"/>
          <w:numId w:val="12"/>
        </w:numPr>
        <w:ind w:left="0" w:firstLine="480"/>
        <w:rPr>
          <w:sz w:val="24"/>
          <w:szCs w:val="32"/>
        </w:rPr>
      </w:pPr>
      <w:bookmarkStart w:id="63" w:name="_Hlk204955860"/>
      <w:r>
        <w:rPr>
          <w:rFonts w:hint="eastAsia"/>
          <w:sz w:val="24"/>
          <w:szCs w:val="32"/>
        </w:rPr>
        <w:t>疏解历史城区现有功能与城市综合整治并举</w:t>
      </w:r>
      <w:bookmarkEnd w:id="63"/>
      <w:r>
        <w:rPr>
          <w:sz w:val="24"/>
          <w:szCs w:val="32"/>
        </w:rPr>
        <w:t>。</w:t>
      </w:r>
      <w:bookmarkStart w:id="64" w:name="_Hlk204955870"/>
      <w:r>
        <w:rPr>
          <w:rFonts w:hint="eastAsia"/>
          <w:sz w:val="24"/>
          <w:szCs w:val="32"/>
        </w:rPr>
        <w:t>把疏解历史城区功能、城市综合整治与人口调控紧密挂钩</w:t>
      </w:r>
      <w:bookmarkEnd w:id="64"/>
      <w:r>
        <w:rPr>
          <w:rFonts w:hint="eastAsia"/>
          <w:sz w:val="24"/>
          <w:szCs w:val="32"/>
        </w:rPr>
        <w:t>。</w:t>
      </w:r>
    </w:p>
    <w:p>
      <w:pPr>
        <w:ind w:firstLine="482"/>
        <w:rPr>
          <w:b/>
          <w:bCs/>
          <w:sz w:val="24"/>
          <w:szCs w:val="24"/>
        </w:rPr>
      </w:pPr>
      <w:r>
        <w:rPr>
          <w:rFonts w:hint="eastAsia"/>
          <w:b/>
          <w:bCs/>
          <w:sz w:val="24"/>
          <w:szCs w:val="24"/>
        </w:rPr>
        <w:t>（二）古城人口疏解</w:t>
      </w:r>
    </w:p>
    <w:p>
      <w:pPr>
        <w:pStyle w:val="49"/>
        <w:numPr>
          <w:ilvl w:val="0"/>
          <w:numId w:val="13"/>
        </w:numPr>
        <w:ind w:left="0" w:firstLine="480"/>
        <w:rPr>
          <w:sz w:val="24"/>
          <w:szCs w:val="32"/>
        </w:rPr>
      </w:pPr>
      <w:r>
        <w:rPr>
          <w:rFonts w:hint="eastAsia"/>
          <w:sz w:val="24"/>
          <w:szCs w:val="32"/>
        </w:rPr>
        <w:t>充分尊重居民居住意愿的自由迁徙原则（由居民意向决定继续在历史城区居住还是迁出）。</w:t>
      </w:r>
    </w:p>
    <w:p>
      <w:pPr>
        <w:pStyle w:val="49"/>
        <w:numPr>
          <w:ilvl w:val="0"/>
          <w:numId w:val="13"/>
        </w:numPr>
        <w:ind w:left="0" w:firstLine="480"/>
        <w:rPr>
          <w:sz w:val="24"/>
          <w:szCs w:val="32"/>
        </w:rPr>
      </w:pPr>
      <w:r>
        <w:rPr>
          <w:rFonts w:hint="eastAsia"/>
          <w:sz w:val="24"/>
          <w:szCs w:val="32"/>
        </w:rPr>
        <w:t>控制引导历史城区内人口结构优化，保留一定量的现有居民，延续原有社会网络特征。</w:t>
      </w:r>
    </w:p>
    <w:p>
      <w:pPr>
        <w:pStyle w:val="4"/>
        <w:numPr>
          <w:ilvl w:val="0"/>
          <w:numId w:val="2"/>
        </w:numPr>
        <w:spacing w:before="312" w:beforeLines="100" w:after="0" w:line="415" w:lineRule="auto"/>
        <w:jc w:val="both"/>
        <w:rPr>
          <w:sz w:val="24"/>
          <w:szCs w:val="24"/>
        </w:rPr>
      </w:pPr>
      <w:bookmarkStart w:id="65" w:name="_Hlk171000942"/>
      <w:r>
        <w:rPr>
          <w:rFonts w:hint="eastAsia"/>
          <w:sz w:val="24"/>
          <w:szCs w:val="24"/>
        </w:rPr>
        <w:t>开发强度控制</w:t>
      </w:r>
    </w:p>
    <w:bookmarkEnd w:id="65"/>
    <w:p>
      <w:pPr>
        <w:spacing w:before="156" w:beforeLines="50" w:after="156" w:afterLines="50"/>
        <w:ind w:firstLine="480"/>
        <w:rPr>
          <w:sz w:val="24"/>
          <w:szCs w:val="32"/>
        </w:rPr>
      </w:pPr>
      <w:bookmarkStart w:id="66" w:name="_Hlk107163078"/>
      <w:r>
        <w:rPr>
          <w:rFonts w:hint="eastAsia"/>
          <w:sz w:val="24"/>
          <w:szCs w:val="32"/>
        </w:rPr>
        <w:t>实施分级空间开发管控，历史城区合理确定老城建设强度和密度。</w:t>
      </w:r>
    </w:p>
    <w:p>
      <w:pPr>
        <w:pStyle w:val="49"/>
        <w:numPr>
          <w:ilvl w:val="0"/>
          <w:numId w:val="14"/>
        </w:numPr>
        <w:ind w:left="0" w:firstLine="480"/>
        <w:rPr>
          <w:sz w:val="24"/>
          <w:szCs w:val="32"/>
        </w:rPr>
      </w:pPr>
      <w:r>
        <w:rPr>
          <w:rFonts w:hint="eastAsia"/>
          <w:sz w:val="24"/>
          <w:szCs w:val="32"/>
        </w:rPr>
        <w:t>针对历史城区内河按沿线重要景观视线廊道地区，优化绿地和开敞空间布局，提升历史城区环境质量。</w:t>
      </w:r>
    </w:p>
    <w:p>
      <w:pPr>
        <w:pStyle w:val="49"/>
        <w:numPr>
          <w:ilvl w:val="0"/>
          <w:numId w:val="14"/>
        </w:numPr>
        <w:ind w:left="0" w:firstLine="480"/>
        <w:rPr>
          <w:sz w:val="24"/>
          <w:szCs w:val="32"/>
        </w:rPr>
      </w:pPr>
      <w:r>
        <w:rPr>
          <w:rFonts w:hint="eastAsia"/>
          <w:sz w:val="24"/>
          <w:szCs w:val="32"/>
        </w:rPr>
        <w:t>限制历史城区、历史地段内借用“低效用地、城中村、危旧房、棚户区改造”等政策进行大拆大建。</w:t>
      </w:r>
    </w:p>
    <w:p>
      <w:pPr>
        <w:pStyle w:val="49"/>
        <w:numPr>
          <w:ilvl w:val="0"/>
          <w:numId w:val="14"/>
        </w:numPr>
        <w:ind w:left="0" w:firstLine="480"/>
        <w:rPr>
          <w:sz w:val="24"/>
          <w:szCs w:val="32"/>
        </w:rPr>
      </w:pPr>
      <w:r>
        <w:rPr>
          <w:rFonts w:hint="eastAsia"/>
          <w:sz w:val="24"/>
          <w:szCs w:val="32"/>
        </w:rPr>
        <w:t>对历史城区包括历史文化街区、历史地段等特定区域，按照保护要求因地制宜确定规划指标。</w:t>
      </w:r>
    </w:p>
    <w:p>
      <w:pPr>
        <w:pStyle w:val="49"/>
        <w:numPr>
          <w:ilvl w:val="0"/>
          <w:numId w:val="14"/>
        </w:numPr>
        <w:ind w:left="0" w:firstLine="480"/>
        <w:rPr>
          <w:sz w:val="24"/>
          <w:szCs w:val="32"/>
        </w:rPr>
      </w:pPr>
      <w:r>
        <w:rPr>
          <w:rFonts w:hint="eastAsia"/>
          <w:sz w:val="24"/>
          <w:szCs w:val="32"/>
        </w:rPr>
        <w:t>衔接《南雄市国土空间总体规划（2</w:t>
      </w:r>
      <w:r>
        <w:rPr>
          <w:sz w:val="24"/>
          <w:szCs w:val="32"/>
        </w:rPr>
        <w:t>021-2035</w:t>
      </w:r>
      <w:r>
        <w:rPr>
          <w:rFonts w:hint="eastAsia"/>
          <w:sz w:val="24"/>
          <w:szCs w:val="32"/>
        </w:rPr>
        <w:t>年）》中心城区开发强度内容，合理控制历史城区内历史文化资源汇聚片区的开发强度。</w:t>
      </w:r>
    </w:p>
    <w:p>
      <w:pPr>
        <w:pStyle w:val="49"/>
        <w:numPr>
          <w:ilvl w:val="0"/>
          <w:numId w:val="15"/>
        </w:numPr>
        <w:ind w:left="0" w:firstLine="480"/>
        <w:rPr>
          <w:sz w:val="24"/>
          <w:szCs w:val="32"/>
        </w:rPr>
      </w:pPr>
      <w:r>
        <w:rPr>
          <w:rFonts w:hint="eastAsia"/>
          <w:sz w:val="24"/>
          <w:szCs w:val="32"/>
        </w:rPr>
        <w:t>有序疏解历史城区非核心功能，</w:t>
      </w:r>
      <w:r>
        <w:rPr>
          <w:sz w:val="24"/>
          <w:szCs w:val="32"/>
        </w:rPr>
        <w:t>引导过度集中的资源要素逐步有序转移</w:t>
      </w:r>
      <w:r>
        <w:rPr>
          <w:rFonts w:hint="eastAsia"/>
          <w:sz w:val="24"/>
          <w:szCs w:val="32"/>
        </w:rPr>
        <w:t>，</w:t>
      </w:r>
      <w:r>
        <w:rPr>
          <w:sz w:val="24"/>
          <w:szCs w:val="32"/>
        </w:rPr>
        <w:t>合理降低</w:t>
      </w:r>
      <w:r>
        <w:rPr>
          <w:rFonts w:hint="eastAsia"/>
          <w:sz w:val="24"/>
          <w:szCs w:val="32"/>
        </w:rPr>
        <w:t>历史</w:t>
      </w:r>
      <w:r>
        <w:rPr>
          <w:sz w:val="24"/>
          <w:szCs w:val="32"/>
        </w:rPr>
        <w:t>城区开发强度</w:t>
      </w:r>
      <w:r>
        <w:rPr>
          <w:rFonts w:hint="eastAsia"/>
          <w:sz w:val="24"/>
          <w:szCs w:val="32"/>
        </w:rPr>
        <w:t>。历史城区内的地块容积率控制在1</w:t>
      </w:r>
      <w:r>
        <w:rPr>
          <w:sz w:val="24"/>
          <w:szCs w:val="32"/>
        </w:rPr>
        <w:t>.0-2.0</w:t>
      </w:r>
      <w:r>
        <w:rPr>
          <w:rFonts w:hint="eastAsia"/>
          <w:sz w:val="24"/>
          <w:szCs w:val="32"/>
        </w:rPr>
        <w:t>之间，建筑密度宜符合《韶关市城乡规划管理技术规定》的相关建设强度内容，建设体量不宜过大，宜与古城风貌相协调。</w:t>
      </w:r>
    </w:p>
    <w:p>
      <w:pPr>
        <w:pStyle w:val="49"/>
        <w:numPr>
          <w:ilvl w:val="0"/>
          <w:numId w:val="15"/>
        </w:numPr>
        <w:ind w:left="0" w:firstLine="480"/>
        <w:rPr>
          <w:sz w:val="24"/>
          <w:szCs w:val="32"/>
        </w:rPr>
      </w:pPr>
      <w:r>
        <w:rPr>
          <w:rFonts w:hint="eastAsia"/>
          <w:sz w:val="24"/>
          <w:szCs w:val="32"/>
        </w:rPr>
        <w:t>除文物景观视廊、历史地段、古城山水格局等重要元素必须严格按保护规划要求进行控制，其他区域原则上允许建设2</w:t>
      </w:r>
      <w:r>
        <w:rPr>
          <w:sz w:val="24"/>
          <w:szCs w:val="32"/>
        </w:rPr>
        <w:t>4</w:t>
      </w:r>
      <w:r>
        <w:rPr>
          <w:rFonts w:hint="eastAsia"/>
          <w:sz w:val="24"/>
          <w:szCs w:val="32"/>
        </w:rPr>
        <w:t>米以上的小高层、高层建筑，但涉及影响古城轮廓线和山水视廊的，必须保护视线通廊并征求保护规划主管部门意见。</w:t>
      </w:r>
    </w:p>
    <w:p>
      <w:pPr>
        <w:pStyle w:val="49"/>
        <w:numPr>
          <w:ilvl w:val="0"/>
          <w:numId w:val="15"/>
        </w:numPr>
        <w:ind w:left="0" w:firstLine="480"/>
        <w:rPr>
          <w:sz w:val="24"/>
          <w:szCs w:val="32"/>
        </w:rPr>
      </w:pPr>
      <w:r>
        <w:rPr>
          <w:rFonts w:hint="eastAsia"/>
          <w:sz w:val="24"/>
          <w:szCs w:val="32"/>
        </w:rPr>
        <w:t>文物保护单位周边宜降低建设强度，控制文物周边视廊、开敞空间不受影响。</w:t>
      </w:r>
    </w:p>
    <w:p>
      <w:pPr>
        <w:pStyle w:val="49"/>
        <w:numPr>
          <w:ilvl w:val="0"/>
          <w:numId w:val="15"/>
        </w:numPr>
        <w:ind w:left="0" w:firstLine="480"/>
        <w:rPr>
          <w:sz w:val="24"/>
          <w:szCs w:val="32"/>
        </w:rPr>
      </w:pPr>
      <w:r>
        <w:rPr>
          <w:rFonts w:hint="eastAsia"/>
          <w:sz w:val="24"/>
          <w:szCs w:val="32"/>
        </w:rPr>
        <w:t>远期应逐步控制历史城区的建筑高度和密度，要求满足显山露水的保护控制原则，形成具有南雄特色的老城天际线，</w:t>
      </w:r>
      <w:r>
        <w:rPr>
          <w:sz w:val="24"/>
          <w:szCs w:val="32"/>
        </w:rPr>
        <w:t>彰显历史文化名城风貌特</w:t>
      </w:r>
      <w:r>
        <w:rPr>
          <w:rFonts w:hint="eastAsia"/>
          <w:sz w:val="24"/>
          <w:szCs w:val="32"/>
        </w:rPr>
        <w:t>色。</w:t>
      </w:r>
    </w:p>
    <w:bookmarkEnd w:id="66"/>
    <w:p>
      <w:pPr>
        <w:pStyle w:val="4"/>
        <w:numPr>
          <w:ilvl w:val="0"/>
          <w:numId w:val="2"/>
        </w:numPr>
        <w:spacing w:before="312" w:beforeLines="100" w:after="0" w:line="415" w:lineRule="auto"/>
        <w:jc w:val="both"/>
        <w:rPr>
          <w:sz w:val="24"/>
          <w:szCs w:val="24"/>
        </w:rPr>
      </w:pPr>
      <w:r>
        <w:rPr>
          <w:rFonts w:hint="eastAsia"/>
          <w:sz w:val="24"/>
          <w:szCs w:val="24"/>
        </w:rPr>
        <w:t>历史审批项目的协调</w:t>
      </w:r>
    </w:p>
    <w:p>
      <w:pPr>
        <w:ind w:firstLine="480"/>
        <w:rPr>
          <w:sz w:val="24"/>
          <w:szCs w:val="32"/>
        </w:rPr>
      </w:pPr>
      <w:r>
        <w:rPr>
          <w:rFonts w:hint="eastAsia"/>
          <w:sz w:val="24"/>
          <w:szCs w:val="32"/>
        </w:rPr>
        <w:t>依照“保护优先、尊重历史、实事求是”的原则，本规划批准后的历史城区用地建设强度按照本规划执行。但本规划批准前，已经取得土地批准文件（包含土地出让合同或者国有建设用地划拨决定书、土地使用权证、建设用地批准书或建设用地通知书、规划条件、修建性详细规划、建设工程设计方案以及规划许可等批准文件）且仍然有效的，经个案核查并依照程序提交城市规划委员会议定的以下两种情况除外：</w:t>
      </w:r>
    </w:p>
    <w:p>
      <w:pPr>
        <w:ind w:firstLine="480"/>
        <w:rPr>
          <w:sz w:val="24"/>
          <w:szCs w:val="32"/>
        </w:rPr>
      </w:pPr>
      <w:r>
        <w:rPr>
          <w:rFonts w:hint="eastAsia"/>
          <w:sz w:val="24"/>
          <w:szCs w:val="32"/>
        </w:rPr>
        <w:t>（1）可按照有效历史批复文件执行的。</w:t>
      </w:r>
    </w:p>
    <w:p>
      <w:pPr>
        <w:ind w:firstLine="480"/>
        <w:rPr>
          <w:sz w:val="24"/>
          <w:szCs w:val="32"/>
        </w:rPr>
      </w:pPr>
      <w:r>
        <w:rPr>
          <w:rFonts w:hint="eastAsia"/>
          <w:sz w:val="24"/>
          <w:szCs w:val="32"/>
        </w:rPr>
        <w:t>（2）可超过本规划控制高度的建设方案。</w:t>
      </w:r>
    </w:p>
    <w:p>
      <w:pPr>
        <w:pStyle w:val="3"/>
        <w:numPr>
          <w:ilvl w:val="0"/>
          <w:numId w:val="10"/>
        </w:numPr>
        <w:spacing w:before="0" w:after="0"/>
        <w:ind w:left="0" w:firstLine="0"/>
        <w:jc w:val="center"/>
        <w:rPr>
          <w:rFonts w:ascii="宋体" w:hAnsi="宋体" w:eastAsia="宋体"/>
          <w:sz w:val="28"/>
          <w:szCs w:val="28"/>
        </w:rPr>
      </w:pPr>
      <w:bookmarkStart w:id="67" w:name="_Toc204964353"/>
      <w:r>
        <w:rPr>
          <w:rFonts w:hint="eastAsia" w:ascii="宋体" w:hAnsi="宋体" w:eastAsia="宋体"/>
          <w:sz w:val="28"/>
          <w:szCs w:val="28"/>
        </w:rPr>
        <w:t>空间格局</w:t>
      </w:r>
      <w:r>
        <w:rPr>
          <w:rFonts w:ascii="宋体" w:hAnsi="宋体" w:eastAsia="宋体"/>
          <w:sz w:val="28"/>
          <w:szCs w:val="28"/>
        </w:rPr>
        <w:t>的保护</w:t>
      </w:r>
      <w:bookmarkEnd w:id="67"/>
    </w:p>
    <w:p>
      <w:pPr>
        <w:pStyle w:val="4"/>
        <w:numPr>
          <w:ilvl w:val="0"/>
          <w:numId w:val="2"/>
        </w:numPr>
        <w:spacing w:before="312" w:beforeLines="100" w:after="0" w:line="415" w:lineRule="auto"/>
        <w:jc w:val="both"/>
        <w:rPr>
          <w:sz w:val="24"/>
          <w:szCs w:val="24"/>
        </w:rPr>
      </w:pPr>
      <w:r>
        <w:rPr>
          <w:rFonts w:hint="eastAsia"/>
          <w:sz w:val="24"/>
          <w:szCs w:val="24"/>
        </w:rPr>
        <w:t>山水格局的保护</w:t>
      </w:r>
    </w:p>
    <w:p>
      <w:pPr>
        <w:spacing w:before="156" w:beforeLines="50" w:after="156" w:afterLines="50"/>
        <w:ind w:firstLine="480"/>
        <w:rPr>
          <w:sz w:val="24"/>
          <w:szCs w:val="32"/>
        </w:rPr>
      </w:pPr>
      <w:bookmarkStart w:id="68" w:name="_Hlk171002860"/>
      <w:r>
        <w:rPr>
          <w:rFonts w:hint="eastAsia"/>
          <w:sz w:val="24"/>
          <w:szCs w:val="32"/>
        </w:rPr>
        <w:t>保护“两江四岸，三山相映”的山水人文格局。加强浈江、凌江两江四岸治理提升，保护滨江城墙遗迹岸线，分类整治保护，融入文化元素，打造南雄滨水景观眺望系统。保护巾山、金马山、天马山山体景观与人居环境的共生关系，挖掘各山体景观的自然资源文化脉络、价值内涵、文化主题、美学特征等。禁止对山体轮廓线和植被产生破坏的任何建设、砍伐行为。</w:t>
      </w:r>
    </w:p>
    <w:bookmarkEnd w:id="68"/>
    <w:p>
      <w:pPr>
        <w:pStyle w:val="4"/>
        <w:numPr>
          <w:ilvl w:val="0"/>
          <w:numId w:val="2"/>
        </w:numPr>
        <w:spacing w:before="312" w:beforeLines="100" w:after="0" w:line="415" w:lineRule="auto"/>
        <w:jc w:val="both"/>
        <w:rPr>
          <w:sz w:val="24"/>
          <w:szCs w:val="24"/>
        </w:rPr>
      </w:pPr>
      <w:bookmarkStart w:id="69" w:name="_Hlk171002878"/>
      <w:r>
        <w:rPr>
          <w:rFonts w:hint="eastAsia"/>
          <w:sz w:val="24"/>
          <w:szCs w:val="24"/>
        </w:rPr>
        <w:t>历史城区</w:t>
      </w:r>
      <w:r>
        <w:rPr>
          <w:sz w:val="24"/>
          <w:szCs w:val="24"/>
        </w:rPr>
        <w:t>传统格局的保护结构</w:t>
      </w:r>
    </w:p>
    <w:bookmarkEnd w:id="69"/>
    <w:p>
      <w:pPr>
        <w:ind w:firstLine="480"/>
        <w:rPr>
          <w:sz w:val="24"/>
          <w:szCs w:val="32"/>
          <w:u w:val="single"/>
        </w:rPr>
      </w:pPr>
      <w:bookmarkStart w:id="70" w:name="_Hlk171002929"/>
      <w:r>
        <w:rPr>
          <w:rFonts w:hint="eastAsia"/>
          <w:sz w:val="24"/>
          <w:szCs w:val="32"/>
          <w:u w:val="single"/>
        </w:rPr>
        <w:t>历史城区保护结构为“一轴、两廊、多节点”，</w:t>
      </w:r>
      <w:bookmarkEnd w:id="70"/>
      <w:r>
        <w:rPr>
          <w:rFonts w:hint="eastAsia"/>
          <w:sz w:val="24"/>
          <w:szCs w:val="32"/>
          <w:u w:val="single"/>
        </w:rPr>
        <w:t>其中：</w:t>
      </w:r>
    </w:p>
    <w:p>
      <w:pPr>
        <w:ind w:firstLine="480"/>
        <w:rPr>
          <w:sz w:val="24"/>
          <w:szCs w:val="32"/>
        </w:rPr>
      </w:pPr>
      <w:r>
        <w:rPr>
          <w:rFonts w:hint="eastAsia"/>
          <w:sz w:val="24"/>
          <w:szCs w:val="32"/>
        </w:rPr>
        <w:t>（1）一轴：</w:t>
      </w:r>
      <w:bookmarkStart w:id="71" w:name="_Hlk171002982"/>
      <w:r>
        <w:rPr>
          <w:rFonts w:hint="eastAsia"/>
          <w:sz w:val="24"/>
          <w:szCs w:val="32"/>
        </w:rPr>
        <w:t>即以古城的水西桥和廻澜门遗址公园片区为起点，沿雄州大道延伸至八一街的古城传统文化轴。</w:t>
      </w:r>
      <w:bookmarkEnd w:id="71"/>
    </w:p>
    <w:p>
      <w:pPr>
        <w:ind w:firstLine="480"/>
        <w:rPr>
          <w:sz w:val="24"/>
          <w:szCs w:val="32"/>
        </w:rPr>
      </w:pPr>
      <w:r>
        <w:rPr>
          <w:rFonts w:hint="eastAsia"/>
          <w:sz w:val="24"/>
          <w:szCs w:val="32"/>
        </w:rPr>
        <w:t>（2）两廊：</w:t>
      </w:r>
      <w:bookmarkStart w:id="72" w:name="_Hlk171003173"/>
      <w:r>
        <w:rPr>
          <w:rFonts w:hint="eastAsia"/>
          <w:sz w:val="24"/>
          <w:szCs w:val="32"/>
        </w:rPr>
        <w:t>主要是指以巾山、正南门、金马山串联的斗城景观轴线，以及由天马山、三影塔、南雄府学宫大成殿串联的新城景观轴线</w:t>
      </w:r>
      <w:bookmarkEnd w:id="72"/>
      <w:r>
        <w:rPr>
          <w:rFonts w:hint="eastAsia"/>
          <w:sz w:val="24"/>
          <w:szCs w:val="32"/>
        </w:rPr>
        <w:t>。</w:t>
      </w:r>
    </w:p>
    <w:p>
      <w:pPr>
        <w:ind w:firstLine="480"/>
        <w:rPr>
          <w:sz w:val="24"/>
          <w:szCs w:val="32"/>
        </w:rPr>
      </w:pPr>
      <w:r>
        <w:rPr>
          <w:rFonts w:hint="eastAsia"/>
          <w:sz w:val="24"/>
          <w:szCs w:val="32"/>
        </w:rPr>
        <w:t>（3）多节点</w:t>
      </w:r>
      <w:bookmarkStart w:id="73" w:name="_Hlk171003239"/>
      <w:r>
        <w:rPr>
          <w:rFonts w:hint="eastAsia"/>
          <w:sz w:val="24"/>
          <w:szCs w:val="32"/>
        </w:rPr>
        <w:t>：以巾山、金马山、天马山、浈江、凌江为代表的古城山水形胜重要眺望点及相关的景观视廊。以及三影塔、水西桥、廻澜门遗址公园、南雄府城正南门、南雄府学宫大成殿、广州会馆等历史文化展示节点</w:t>
      </w:r>
      <w:bookmarkEnd w:id="73"/>
      <w:r>
        <w:rPr>
          <w:rFonts w:hint="eastAsia"/>
          <w:sz w:val="24"/>
          <w:szCs w:val="32"/>
        </w:rPr>
        <w:t>。</w:t>
      </w:r>
    </w:p>
    <w:p>
      <w:pPr>
        <w:pStyle w:val="4"/>
        <w:numPr>
          <w:ilvl w:val="0"/>
          <w:numId w:val="2"/>
        </w:numPr>
        <w:spacing w:before="312" w:beforeLines="100" w:after="0" w:line="415" w:lineRule="auto"/>
        <w:jc w:val="both"/>
        <w:rPr>
          <w:sz w:val="24"/>
          <w:szCs w:val="24"/>
        </w:rPr>
      </w:pPr>
      <w:bookmarkStart w:id="74" w:name="_Hlk171003640"/>
      <w:r>
        <w:rPr>
          <w:rFonts w:hint="eastAsia"/>
          <w:sz w:val="24"/>
          <w:szCs w:val="24"/>
        </w:rPr>
        <w:t>古城</w:t>
      </w:r>
      <w:r>
        <w:rPr>
          <w:sz w:val="24"/>
          <w:szCs w:val="24"/>
        </w:rPr>
        <w:t>轮廓的保护</w:t>
      </w:r>
    </w:p>
    <w:bookmarkEnd w:id="74"/>
    <w:p>
      <w:pPr>
        <w:pStyle w:val="49"/>
        <w:numPr>
          <w:ilvl w:val="0"/>
          <w:numId w:val="16"/>
        </w:numPr>
        <w:ind w:left="0" w:firstLine="480"/>
        <w:rPr>
          <w:sz w:val="24"/>
          <w:szCs w:val="32"/>
        </w:rPr>
      </w:pPr>
      <w:bookmarkStart w:id="75" w:name="_Hlk171003847"/>
      <w:r>
        <w:rPr>
          <w:rFonts w:hint="eastAsia"/>
          <w:sz w:val="24"/>
          <w:szCs w:val="32"/>
        </w:rPr>
        <w:t>保护和整治古城墙周边景观环境。重点控制水西桥、廻澜门、三影塔、广州会馆等重要历史要素与城墙遗迹的空间联系，现有</w:t>
      </w:r>
      <w:r>
        <w:rPr>
          <w:sz w:val="24"/>
          <w:szCs w:val="32"/>
        </w:rPr>
        <w:t>城墙遗迹</w:t>
      </w:r>
      <w:r>
        <w:rPr>
          <w:rFonts w:hint="eastAsia"/>
          <w:sz w:val="24"/>
          <w:szCs w:val="32"/>
        </w:rPr>
        <w:t>周边用地规划为绿地开敞空间。</w:t>
      </w:r>
    </w:p>
    <w:p>
      <w:pPr>
        <w:pStyle w:val="49"/>
        <w:numPr>
          <w:ilvl w:val="0"/>
          <w:numId w:val="16"/>
        </w:numPr>
        <w:ind w:left="0" w:firstLine="480"/>
        <w:rPr>
          <w:sz w:val="24"/>
          <w:szCs w:val="32"/>
        </w:rPr>
      </w:pPr>
      <w:r>
        <w:rPr>
          <w:rFonts w:hint="eastAsia"/>
          <w:sz w:val="24"/>
          <w:szCs w:val="32"/>
        </w:rPr>
        <w:t>保护由古城墙、外城河及城墙环境构成的古城轮廓。</w:t>
      </w:r>
    </w:p>
    <w:p>
      <w:pPr>
        <w:pStyle w:val="49"/>
        <w:numPr>
          <w:ilvl w:val="0"/>
          <w:numId w:val="16"/>
        </w:numPr>
        <w:ind w:left="0" w:firstLine="480"/>
        <w:rPr>
          <w:sz w:val="24"/>
          <w:szCs w:val="32"/>
        </w:rPr>
      </w:pPr>
      <w:r>
        <w:rPr>
          <w:rFonts w:hint="eastAsia"/>
          <w:sz w:val="24"/>
          <w:szCs w:val="32"/>
        </w:rPr>
        <w:t>重点保护历史上南雄府学宫大成殿、三影塔与城墙千百余年未变的空间格局。</w:t>
      </w:r>
    </w:p>
    <w:p>
      <w:pPr>
        <w:pStyle w:val="49"/>
        <w:numPr>
          <w:ilvl w:val="0"/>
          <w:numId w:val="16"/>
        </w:numPr>
        <w:ind w:left="0" w:firstLine="480"/>
        <w:rPr>
          <w:sz w:val="24"/>
          <w:szCs w:val="32"/>
        </w:rPr>
      </w:pPr>
      <w:r>
        <w:rPr>
          <w:rFonts w:hint="eastAsia"/>
          <w:sz w:val="24"/>
          <w:szCs w:val="32"/>
        </w:rPr>
        <w:t>对拆除城墙后形成道路的，保留其原有位置、走向，保持其道路尺度。</w:t>
      </w:r>
    </w:p>
    <w:p>
      <w:pPr>
        <w:pStyle w:val="49"/>
        <w:numPr>
          <w:ilvl w:val="0"/>
          <w:numId w:val="16"/>
        </w:numPr>
        <w:ind w:left="0" w:firstLine="480"/>
        <w:rPr>
          <w:sz w:val="24"/>
          <w:szCs w:val="32"/>
        </w:rPr>
      </w:pPr>
      <w:r>
        <w:rPr>
          <w:rFonts w:hint="eastAsia"/>
          <w:sz w:val="24"/>
          <w:szCs w:val="32"/>
        </w:rPr>
        <w:t>保持“八一街——雄州大道——正南门——廻澜门”历史轴线空间的原真性与完整性，并按传统风貌整治并改造轴线街巷的沿街立面。</w:t>
      </w:r>
    </w:p>
    <w:p>
      <w:pPr>
        <w:pStyle w:val="49"/>
        <w:numPr>
          <w:ilvl w:val="0"/>
          <w:numId w:val="16"/>
        </w:numPr>
        <w:ind w:left="0" w:firstLine="480"/>
        <w:rPr>
          <w:sz w:val="24"/>
          <w:szCs w:val="32"/>
        </w:rPr>
      </w:pPr>
      <w:r>
        <w:rPr>
          <w:rFonts w:hint="eastAsia"/>
          <w:sz w:val="24"/>
          <w:szCs w:val="32"/>
        </w:rPr>
        <w:t>建立城墙历史信息标识系统。</w:t>
      </w:r>
      <w:r>
        <w:rPr>
          <w:sz w:val="24"/>
          <w:szCs w:val="32"/>
        </w:rPr>
        <w:t>对于城墙缺失段落，通过考古、</w:t>
      </w:r>
      <w:r>
        <w:rPr>
          <w:rFonts w:hint="eastAsia"/>
          <w:sz w:val="24"/>
          <w:szCs w:val="32"/>
        </w:rPr>
        <w:t>历史研究与分析，厘清古城轮廓。通过历史城区未来的有机更新，逐步腾退城墙遗址上的建筑，并采用铺地、</w:t>
      </w:r>
      <w:r>
        <w:rPr>
          <w:sz w:val="24"/>
          <w:szCs w:val="32"/>
        </w:rPr>
        <w:t>文化墙、雕塑、标识牌等设计手法将城</w:t>
      </w:r>
      <w:r>
        <w:rPr>
          <w:rFonts w:hint="eastAsia"/>
          <w:sz w:val="24"/>
          <w:szCs w:val="32"/>
        </w:rPr>
        <w:t>墙意向表达，与现有城墙共同构成具有完整意向的环状体系。</w:t>
      </w:r>
    </w:p>
    <w:bookmarkEnd w:id="75"/>
    <w:p>
      <w:pPr>
        <w:pStyle w:val="3"/>
        <w:numPr>
          <w:ilvl w:val="0"/>
          <w:numId w:val="10"/>
        </w:numPr>
        <w:spacing w:before="0" w:after="0"/>
        <w:ind w:left="0" w:firstLine="0"/>
        <w:jc w:val="center"/>
        <w:rPr>
          <w:rFonts w:ascii="宋体" w:hAnsi="宋体" w:eastAsia="宋体"/>
          <w:sz w:val="28"/>
          <w:szCs w:val="28"/>
        </w:rPr>
      </w:pPr>
      <w:bookmarkStart w:id="76" w:name="_Toc204964354"/>
      <w:r>
        <w:rPr>
          <w:rFonts w:hint="eastAsia" w:ascii="宋体" w:hAnsi="宋体" w:eastAsia="宋体"/>
          <w:sz w:val="28"/>
          <w:szCs w:val="28"/>
        </w:rPr>
        <w:t>景观</w:t>
      </w:r>
      <w:r>
        <w:rPr>
          <w:rFonts w:ascii="宋体" w:hAnsi="宋体" w:eastAsia="宋体"/>
          <w:sz w:val="28"/>
          <w:szCs w:val="28"/>
        </w:rPr>
        <w:t>风貌控制引导</w:t>
      </w:r>
      <w:bookmarkEnd w:id="76"/>
    </w:p>
    <w:p>
      <w:pPr>
        <w:pStyle w:val="4"/>
        <w:numPr>
          <w:ilvl w:val="0"/>
          <w:numId w:val="2"/>
        </w:numPr>
        <w:spacing w:before="312" w:beforeLines="100" w:after="0" w:line="415" w:lineRule="auto"/>
        <w:jc w:val="both"/>
        <w:rPr>
          <w:sz w:val="24"/>
          <w:szCs w:val="24"/>
        </w:rPr>
      </w:pPr>
      <w:r>
        <w:rPr>
          <w:rFonts w:hint="eastAsia"/>
          <w:sz w:val="24"/>
          <w:szCs w:val="24"/>
        </w:rPr>
        <w:t>传统</w:t>
      </w:r>
      <w:r>
        <w:rPr>
          <w:sz w:val="24"/>
          <w:szCs w:val="24"/>
        </w:rPr>
        <w:t>街巷的保护</w:t>
      </w:r>
    </w:p>
    <w:p>
      <w:pPr>
        <w:pStyle w:val="49"/>
        <w:numPr>
          <w:ilvl w:val="0"/>
          <w:numId w:val="17"/>
        </w:numPr>
        <w:ind w:left="0" w:firstLine="480"/>
        <w:rPr>
          <w:sz w:val="24"/>
          <w:szCs w:val="32"/>
          <w:u w:val="single"/>
        </w:rPr>
      </w:pPr>
      <w:bookmarkStart w:id="77" w:name="_Hlk204702398"/>
      <w:r>
        <w:rPr>
          <w:rFonts w:hint="eastAsia"/>
          <w:sz w:val="24"/>
          <w:szCs w:val="32"/>
          <w:u w:val="single"/>
        </w:rPr>
        <w:t>一类保护街巷为八一街。严格保护八一街的街巷格局、尺度、界面、名称，原则上不得进行道路拓宽，市政工程管线宜采用地敷设方式。当条件限制，需要架空或沿墙敷设时，应采取装饰、美化措施。</w:t>
      </w:r>
      <w:r>
        <w:rPr>
          <w:sz w:val="24"/>
          <w:szCs w:val="32"/>
          <w:u w:val="single"/>
        </w:rPr>
        <w:t>不协调</w:t>
      </w:r>
      <w:r>
        <w:rPr>
          <w:rFonts w:hint="eastAsia"/>
          <w:sz w:val="24"/>
          <w:szCs w:val="32"/>
          <w:u w:val="single"/>
        </w:rPr>
        <w:t>的建筑物、构筑物和架空市政管线等逐步进行整治，逐步恢复街巷传统风貌</w:t>
      </w:r>
      <w:bookmarkEnd w:id="77"/>
      <w:r>
        <w:rPr>
          <w:rFonts w:hint="eastAsia"/>
          <w:sz w:val="24"/>
          <w:szCs w:val="32"/>
          <w:u w:val="single"/>
        </w:rPr>
        <w:t>。</w:t>
      </w:r>
    </w:p>
    <w:p>
      <w:pPr>
        <w:pStyle w:val="49"/>
        <w:numPr>
          <w:ilvl w:val="0"/>
          <w:numId w:val="17"/>
        </w:numPr>
        <w:ind w:left="0" w:firstLine="480"/>
        <w:rPr>
          <w:sz w:val="24"/>
          <w:szCs w:val="32"/>
          <w:u w:val="single"/>
        </w:rPr>
      </w:pPr>
      <w:r>
        <w:rPr>
          <w:rFonts w:hint="eastAsia"/>
          <w:sz w:val="24"/>
          <w:szCs w:val="32"/>
          <w:u w:val="single"/>
        </w:rPr>
        <w:t>二类保护街巷保护街巷的尺度和名称，两侧新建改建的建筑高度、风貌应与历史城区整体风貌相协调。</w:t>
      </w:r>
    </w:p>
    <w:p>
      <w:pPr>
        <w:pStyle w:val="49"/>
        <w:numPr>
          <w:ilvl w:val="0"/>
          <w:numId w:val="17"/>
        </w:numPr>
        <w:ind w:left="0" w:firstLine="480"/>
        <w:rPr>
          <w:sz w:val="24"/>
          <w:szCs w:val="32"/>
          <w:u w:val="single"/>
        </w:rPr>
      </w:pPr>
      <w:r>
        <w:rPr>
          <w:rFonts w:hint="eastAsia"/>
          <w:sz w:val="24"/>
          <w:szCs w:val="32"/>
          <w:u w:val="single"/>
        </w:rPr>
        <w:t>三类保护街巷保护街巷走向和名称，</w:t>
      </w:r>
      <w:r>
        <w:rPr>
          <w:sz w:val="24"/>
          <w:szCs w:val="32"/>
          <w:u w:val="single"/>
        </w:rPr>
        <w:t>通过街头小品、路牌、铺地、绿地</w:t>
      </w:r>
      <w:r>
        <w:rPr>
          <w:rFonts w:hint="eastAsia"/>
          <w:sz w:val="24"/>
          <w:szCs w:val="32"/>
          <w:u w:val="single"/>
        </w:rPr>
        <w:t>等方式进行重点标识，</w:t>
      </w:r>
      <w:r>
        <w:rPr>
          <w:sz w:val="24"/>
          <w:szCs w:val="32"/>
          <w:u w:val="single"/>
        </w:rPr>
        <w:t>保护这些街巷所体现的</w:t>
      </w:r>
      <w:r>
        <w:rPr>
          <w:rFonts w:hint="eastAsia"/>
          <w:sz w:val="24"/>
          <w:szCs w:val="32"/>
          <w:u w:val="single"/>
        </w:rPr>
        <w:t>古城轮廓和历史发展印记。</w:t>
      </w:r>
    </w:p>
    <w:p>
      <w:pPr>
        <w:pStyle w:val="49"/>
        <w:numPr>
          <w:ilvl w:val="0"/>
          <w:numId w:val="17"/>
        </w:numPr>
        <w:ind w:left="0" w:firstLine="480"/>
        <w:rPr>
          <w:sz w:val="24"/>
          <w:szCs w:val="32"/>
          <w:u w:val="single"/>
        </w:rPr>
      </w:pPr>
      <w:r>
        <w:rPr>
          <w:rFonts w:hint="eastAsia"/>
          <w:sz w:val="24"/>
          <w:szCs w:val="32"/>
          <w:u w:val="single"/>
        </w:rPr>
        <w:t>四类保护街巷</w:t>
      </w:r>
      <w:r>
        <w:rPr>
          <w:sz w:val="24"/>
          <w:szCs w:val="32"/>
          <w:u w:val="single"/>
        </w:rPr>
        <w:t>保护街巷的走向不变，重点通过景观或标识设计展示城墙风貌和历史文化风貌</w:t>
      </w:r>
      <w:r>
        <w:rPr>
          <w:rFonts w:hint="eastAsia"/>
          <w:sz w:val="24"/>
          <w:szCs w:val="32"/>
          <w:u w:val="single"/>
        </w:rPr>
        <w:t>。</w:t>
      </w:r>
    </w:p>
    <w:p>
      <w:pPr>
        <w:pStyle w:val="49"/>
        <w:numPr>
          <w:ilvl w:val="0"/>
          <w:numId w:val="17"/>
        </w:numPr>
        <w:ind w:left="0" w:firstLine="480"/>
        <w:rPr>
          <w:sz w:val="24"/>
          <w:szCs w:val="32"/>
          <w:u w:val="single"/>
        </w:rPr>
      </w:pPr>
      <w:r>
        <w:rPr>
          <w:rFonts w:hint="eastAsia"/>
          <w:sz w:val="24"/>
          <w:szCs w:val="32"/>
          <w:u w:val="single"/>
        </w:rPr>
        <w:t>严格保护以东西向的雄州大道为轴线，两侧平行分布的巷道为骨架的历史道路格局。</w:t>
      </w:r>
    </w:p>
    <w:p>
      <w:pPr>
        <w:pStyle w:val="49"/>
        <w:numPr>
          <w:ilvl w:val="0"/>
          <w:numId w:val="17"/>
        </w:numPr>
        <w:ind w:left="0" w:firstLine="480"/>
        <w:rPr>
          <w:sz w:val="24"/>
          <w:szCs w:val="32"/>
          <w:u w:val="single"/>
        </w:rPr>
      </w:pPr>
      <w:r>
        <w:rPr>
          <w:rFonts w:hint="eastAsia"/>
          <w:sz w:val="24"/>
          <w:szCs w:val="32"/>
          <w:u w:val="single"/>
        </w:rPr>
        <w:t>八一街推荐历史地段内的传统街巷，应当保护两侧沿街界面的历史风貌，延续现有路名、街名，并遵循历史地段保护要求进行控制。</w:t>
      </w:r>
    </w:p>
    <w:p>
      <w:pPr>
        <w:pStyle w:val="49"/>
        <w:numPr>
          <w:ilvl w:val="0"/>
          <w:numId w:val="17"/>
        </w:numPr>
        <w:ind w:left="0" w:firstLine="480"/>
        <w:rPr>
          <w:sz w:val="24"/>
          <w:szCs w:val="32"/>
          <w:u w:val="single"/>
        </w:rPr>
      </w:pPr>
      <w:r>
        <w:rPr>
          <w:rFonts w:hint="eastAsia"/>
          <w:sz w:val="24"/>
          <w:szCs w:val="32"/>
          <w:u w:val="single"/>
        </w:rPr>
        <w:t>传统街巷有传统骑楼界面的，应按原风格逐步修复接续原有骑楼界面，在修旧如故的基础上考虑现代商业、文化、居住等功能对建筑的需求。</w:t>
      </w:r>
    </w:p>
    <w:p>
      <w:pPr>
        <w:pStyle w:val="49"/>
        <w:numPr>
          <w:ilvl w:val="0"/>
          <w:numId w:val="17"/>
        </w:numPr>
        <w:ind w:left="0" w:firstLine="480"/>
        <w:rPr>
          <w:sz w:val="24"/>
          <w:szCs w:val="32"/>
          <w:u w:val="single"/>
        </w:rPr>
      </w:pPr>
      <w:r>
        <w:rPr>
          <w:rFonts w:hint="eastAsia"/>
          <w:sz w:val="24"/>
          <w:szCs w:val="32"/>
          <w:u w:val="single"/>
        </w:rPr>
        <w:t>具有保护价值的传统街巷的历史名称，经征求专家和公众意见后，应挂牌标明街巷历史名称和更名沿革。</w:t>
      </w:r>
    </w:p>
    <w:p>
      <w:pPr>
        <w:pStyle w:val="49"/>
        <w:numPr>
          <w:ilvl w:val="0"/>
          <w:numId w:val="17"/>
        </w:numPr>
        <w:ind w:left="0" w:firstLine="480"/>
        <w:rPr>
          <w:sz w:val="24"/>
          <w:szCs w:val="32"/>
        </w:rPr>
      </w:pPr>
      <w:r>
        <w:rPr>
          <w:rFonts w:hint="eastAsia"/>
          <w:sz w:val="24"/>
          <w:szCs w:val="32"/>
          <w:u w:val="single"/>
        </w:rPr>
        <w:t>历史城区内原则上不再新建或拓宽道路，如确需拓宽，应符合历史城区原有的传统街巷格局。</w:t>
      </w:r>
    </w:p>
    <w:p>
      <w:pPr>
        <w:pStyle w:val="4"/>
        <w:numPr>
          <w:ilvl w:val="0"/>
          <w:numId w:val="2"/>
        </w:numPr>
        <w:spacing w:before="312" w:beforeLines="100" w:after="0" w:line="415" w:lineRule="auto"/>
        <w:jc w:val="both"/>
        <w:rPr>
          <w:sz w:val="24"/>
          <w:szCs w:val="24"/>
        </w:rPr>
      </w:pPr>
      <w:r>
        <w:rPr>
          <w:rFonts w:hint="eastAsia"/>
          <w:sz w:val="24"/>
          <w:szCs w:val="24"/>
        </w:rPr>
        <w:t>重要节点空间的保护</w:t>
      </w:r>
    </w:p>
    <w:p>
      <w:pPr>
        <w:pStyle w:val="49"/>
        <w:numPr>
          <w:ilvl w:val="0"/>
          <w:numId w:val="18"/>
        </w:numPr>
        <w:ind w:left="0" w:firstLine="480"/>
        <w:rPr>
          <w:sz w:val="24"/>
          <w:szCs w:val="28"/>
        </w:rPr>
      </w:pPr>
      <w:r>
        <w:rPr>
          <w:rFonts w:hint="eastAsia"/>
          <w:sz w:val="24"/>
          <w:szCs w:val="28"/>
        </w:rPr>
        <w:t>保护南雄滨江古城墙，滨水空间因地制宜建设景观小品，标识古城墙历史信息，形成有文化魅力的滨水开敞空间。</w:t>
      </w:r>
    </w:p>
    <w:p>
      <w:pPr>
        <w:pStyle w:val="49"/>
        <w:numPr>
          <w:ilvl w:val="0"/>
          <w:numId w:val="18"/>
        </w:numPr>
        <w:ind w:left="0" w:firstLine="480"/>
        <w:rPr>
          <w:sz w:val="24"/>
          <w:szCs w:val="28"/>
        </w:rPr>
      </w:pPr>
      <w:r>
        <w:rPr>
          <w:rFonts w:hint="eastAsia"/>
          <w:sz w:val="24"/>
          <w:szCs w:val="28"/>
        </w:rPr>
        <w:t>保护和强化南雄府城正南门、廻澜门遗址公园、三影塔广场、水西桥等作为古城的历史标志物与视觉控制点。</w:t>
      </w:r>
    </w:p>
    <w:p>
      <w:pPr>
        <w:pStyle w:val="49"/>
        <w:numPr>
          <w:ilvl w:val="0"/>
          <w:numId w:val="18"/>
        </w:numPr>
        <w:ind w:left="0" w:firstLine="480"/>
        <w:rPr>
          <w:sz w:val="24"/>
          <w:szCs w:val="28"/>
        </w:rPr>
      </w:pPr>
      <w:r>
        <w:rPr>
          <w:rFonts w:hint="eastAsia"/>
          <w:sz w:val="24"/>
          <w:szCs w:val="28"/>
        </w:rPr>
        <w:t>保护和提升八一街毛泽东居住旧址和人民公园牌坊等重要历史空间节点，注重空间环境整治提升和历史信息标识。</w:t>
      </w:r>
    </w:p>
    <w:p>
      <w:pPr>
        <w:pStyle w:val="4"/>
        <w:numPr>
          <w:ilvl w:val="0"/>
          <w:numId w:val="2"/>
        </w:numPr>
        <w:spacing w:before="312" w:beforeLines="100" w:after="0" w:line="415" w:lineRule="auto"/>
        <w:jc w:val="both"/>
        <w:rPr>
          <w:sz w:val="24"/>
          <w:szCs w:val="24"/>
        </w:rPr>
      </w:pPr>
      <w:r>
        <w:rPr>
          <w:rFonts w:hint="eastAsia"/>
          <w:sz w:val="24"/>
          <w:szCs w:val="24"/>
        </w:rPr>
        <w:t>开放空间的保护</w:t>
      </w:r>
    </w:p>
    <w:p>
      <w:pPr>
        <w:ind w:firstLine="480"/>
        <w:rPr>
          <w:sz w:val="24"/>
          <w:szCs w:val="24"/>
        </w:rPr>
      </w:pPr>
      <w:r>
        <w:rPr>
          <w:rFonts w:hint="eastAsia"/>
          <w:sz w:val="24"/>
          <w:szCs w:val="24"/>
        </w:rPr>
        <w:t>保护三影塔广场和南雄府城正南门广场两大开敞空间，从文化、景观上强化开敞空间的特色和主题，创造可触摸历史的开敞性空间，创造人性化尺度与休闲和谐的开敞景观空间。重点强调南雄地域特色所延伸出的场地精神特征，</w:t>
      </w:r>
      <w:r>
        <w:rPr>
          <w:sz w:val="24"/>
          <w:szCs w:val="24"/>
        </w:rPr>
        <w:t>形成内在的空间魅力</w:t>
      </w:r>
      <w:r>
        <w:rPr>
          <w:rFonts w:hint="eastAsia"/>
          <w:sz w:val="24"/>
          <w:szCs w:val="24"/>
        </w:rPr>
        <w:t>，</w:t>
      </w:r>
      <w:r>
        <w:rPr>
          <w:sz w:val="24"/>
          <w:szCs w:val="24"/>
        </w:rPr>
        <w:t>从而实现历史文化传承的本质意义</w:t>
      </w:r>
      <w:r>
        <w:rPr>
          <w:rFonts w:hint="eastAsia"/>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绿化景观的保护</w:t>
      </w:r>
    </w:p>
    <w:p>
      <w:pPr>
        <w:pStyle w:val="49"/>
        <w:numPr>
          <w:ilvl w:val="0"/>
          <w:numId w:val="19"/>
        </w:numPr>
        <w:ind w:left="0" w:firstLine="480"/>
        <w:rPr>
          <w:sz w:val="24"/>
          <w:szCs w:val="28"/>
        </w:rPr>
      </w:pPr>
      <w:r>
        <w:rPr>
          <w:sz w:val="24"/>
          <w:szCs w:val="28"/>
        </w:rPr>
        <w:t>重点保护历史城区内古树名木和公</w:t>
      </w:r>
      <w:r>
        <w:rPr>
          <w:rFonts w:hint="eastAsia"/>
          <w:sz w:val="24"/>
          <w:szCs w:val="28"/>
        </w:rPr>
        <w:t>园</w:t>
      </w:r>
      <w:r>
        <w:rPr>
          <w:sz w:val="24"/>
          <w:szCs w:val="28"/>
        </w:rPr>
        <w:t>绿地不受侵占和破坏。</w:t>
      </w:r>
    </w:p>
    <w:p>
      <w:pPr>
        <w:pStyle w:val="49"/>
        <w:numPr>
          <w:ilvl w:val="0"/>
          <w:numId w:val="19"/>
        </w:numPr>
        <w:ind w:left="0" w:firstLine="480"/>
        <w:rPr>
          <w:sz w:val="24"/>
          <w:szCs w:val="28"/>
        </w:rPr>
      </w:pPr>
      <w:r>
        <w:rPr>
          <w:sz w:val="24"/>
          <w:szCs w:val="28"/>
        </w:rPr>
        <w:t>建立古城墙风貌绿化带。</w:t>
      </w:r>
      <w:r>
        <w:rPr>
          <w:rFonts w:hint="eastAsia"/>
          <w:sz w:val="24"/>
          <w:szCs w:val="28"/>
        </w:rPr>
        <w:t>依托滨江古城墙组织公共休闲空间，</w:t>
      </w:r>
      <w:r>
        <w:rPr>
          <w:sz w:val="24"/>
          <w:szCs w:val="28"/>
        </w:rPr>
        <w:t>将</w:t>
      </w:r>
      <w:r>
        <w:rPr>
          <w:rFonts w:hint="eastAsia"/>
          <w:sz w:val="24"/>
          <w:szCs w:val="28"/>
        </w:rPr>
        <w:t>雄州</w:t>
      </w:r>
      <w:r>
        <w:rPr>
          <w:sz w:val="24"/>
          <w:szCs w:val="28"/>
        </w:rPr>
        <w:t>古城墙</w:t>
      </w:r>
      <w:r>
        <w:rPr>
          <w:rFonts w:hint="eastAsia"/>
          <w:sz w:val="24"/>
          <w:szCs w:val="28"/>
        </w:rPr>
        <w:t>滨水带状公园</w:t>
      </w:r>
      <w:r>
        <w:rPr>
          <w:sz w:val="24"/>
          <w:szCs w:val="28"/>
        </w:rPr>
        <w:t>、</w:t>
      </w:r>
      <w:r>
        <w:rPr>
          <w:rFonts w:hint="eastAsia"/>
          <w:sz w:val="24"/>
          <w:szCs w:val="28"/>
        </w:rPr>
        <w:t>廻澜门遗址公园、三影塔广场</w:t>
      </w:r>
      <w:r>
        <w:rPr>
          <w:sz w:val="24"/>
          <w:szCs w:val="28"/>
        </w:rPr>
        <w:t>等</w:t>
      </w:r>
      <w:r>
        <w:rPr>
          <w:rFonts w:hint="eastAsia"/>
          <w:sz w:val="24"/>
          <w:szCs w:val="28"/>
        </w:rPr>
        <w:t>城市公园绿地</w:t>
      </w:r>
      <w:r>
        <w:rPr>
          <w:sz w:val="24"/>
          <w:szCs w:val="28"/>
        </w:rPr>
        <w:t>串连起来，</w:t>
      </w:r>
      <w:r>
        <w:rPr>
          <w:rFonts w:hint="eastAsia"/>
          <w:sz w:val="24"/>
          <w:szCs w:val="28"/>
        </w:rPr>
        <w:t>形成生态、景观、旅游、休闲、历史、文化于一体的休闲风光带</w:t>
      </w:r>
      <w:r>
        <w:rPr>
          <w:sz w:val="24"/>
          <w:szCs w:val="28"/>
        </w:rPr>
        <w:t>。</w:t>
      </w:r>
    </w:p>
    <w:p>
      <w:pPr>
        <w:pStyle w:val="49"/>
        <w:numPr>
          <w:ilvl w:val="0"/>
          <w:numId w:val="19"/>
        </w:numPr>
        <w:ind w:left="0" w:firstLine="480"/>
        <w:rPr>
          <w:sz w:val="24"/>
          <w:szCs w:val="28"/>
        </w:rPr>
      </w:pPr>
      <w:r>
        <w:rPr>
          <w:rFonts w:hint="eastAsia"/>
          <w:sz w:val="24"/>
          <w:szCs w:val="28"/>
        </w:rPr>
        <w:t>结合历史城区更新见缝插绿。</w:t>
      </w:r>
      <w:r>
        <w:rPr>
          <w:sz w:val="24"/>
          <w:szCs w:val="28"/>
        </w:rPr>
        <w:t>梳理历史城区可利用的空间，增加</w:t>
      </w:r>
      <w:r>
        <w:rPr>
          <w:rFonts w:hint="eastAsia"/>
          <w:sz w:val="24"/>
          <w:szCs w:val="28"/>
        </w:rPr>
        <w:t>各具特色的点状绿地</w:t>
      </w:r>
      <w:r>
        <w:rPr>
          <w:sz w:val="24"/>
          <w:szCs w:val="28"/>
        </w:rPr>
        <w:t>，提升城市活力，美化街区形象。</w:t>
      </w:r>
      <w:r>
        <w:rPr>
          <w:rFonts w:hint="eastAsia"/>
          <w:sz w:val="24"/>
          <w:szCs w:val="28"/>
        </w:rPr>
        <w:t>让古城整体景观“更上镜、更出片”，丰富“城区即景区、旅游即生活”体验。</w:t>
      </w:r>
    </w:p>
    <w:p>
      <w:pPr>
        <w:pStyle w:val="49"/>
        <w:numPr>
          <w:ilvl w:val="0"/>
          <w:numId w:val="18"/>
        </w:numPr>
        <w:ind w:left="0" w:firstLine="480"/>
        <w:rPr>
          <w:sz w:val="24"/>
          <w:szCs w:val="28"/>
        </w:rPr>
      </w:pPr>
      <w:r>
        <w:rPr>
          <w:rFonts w:hint="eastAsia"/>
          <w:sz w:val="24"/>
          <w:szCs w:val="28"/>
        </w:rPr>
        <w:t>加强周边道路绿化，控制道路两侧绿化带。推行绿色交通工程，加强道路绿化，特别是围绕历史城区的城市干道和传统街巷，结合支巷架空线整治工程，全方位、多层次提升绿化景观。</w:t>
      </w:r>
    </w:p>
    <w:p>
      <w:pPr>
        <w:pStyle w:val="4"/>
        <w:numPr>
          <w:ilvl w:val="0"/>
          <w:numId w:val="2"/>
        </w:numPr>
        <w:spacing w:before="312" w:beforeLines="100" w:after="0" w:line="415" w:lineRule="auto"/>
        <w:jc w:val="both"/>
        <w:rPr>
          <w:sz w:val="24"/>
          <w:szCs w:val="24"/>
        </w:rPr>
      </w:pPr>
      <w:r>
        <w:rPr>
          <w:rFonts w:hint="eastAsia"/>
          <w:sz w:val="24"/>
          <w:szCs w:val="24"/>
        </w:rPr>
        <w:t>历史景观的保护</w:t>
      </w:r>
    </w:p>
    <w:p>
      <w:pPr>
        <w:pStyle w:val="49"/>
        <w:numPr>
          <w:ilvl w:val="0"/>
          <w:numId w:val="20"/>
        </w:numPr>
        <w:ind w:left="0" w:firstLine="480"/>
        <w:rPr>
          <w:sz w:val="24"/>
          <w:szCs w:val="24"/>
        </w:rPr>
      </w:pPr>
      <w:r>
        <w:rPr>
          <w:rFonts w:hint="eastAsia"/>
          <w:sz w:val="24"/>
          <w:szCs w:val="24"/>
        </w:rPr>
        <w:t>强化南雄古城历史景观的核心单元（阴晴塔影、凌江秋月），通过梳理山水视线通廊，加强自然环境与城市文脉的关联，为古城发展构建一个整体性的保护体系。</w:t>
      </w:r>
    </w:p>
    <w:p>
      <w:pPr>
        <w:pStyle w:val="49"/>
        <w:numPr>
          <w:ilvl w:val="0"/>
          <w:numId w:val="20"/>
        </w:numPr>
        <w:ind w:left="0" w:firstLine="480"/>
        <w:rPr>
          <w:sz w:val="24"/>
          <w:szCs w:val="24"/>
        </w:rPr>
      </w:pPr>
      <w:r>
        <w:rPr>
          <w:rFonts w:hint="eastAsia"/>
          <w:sz w:val="24"/>
          <w:szCs w:val="24"/>
        </w:rPr>
        <w:t>以廻澜门遗址保护为契机打造廻澜门遗址公园，强化古城历史景观单元的核心区，再现江、城、塔、山的历史景观格局。</w:t>
      </w:r>
    </w:p>
    <w:p>
      <w:pPr>
        <w:pStyle w:val="4"/>
        <w:numPr>
          <w:ilvl w:val="0"/>
          <w:numId w:val="2"/>
        </w:numPr>
        <w:spacing w:before="312" w:beforeLines="100" w:after="0" w:line="415" w:lineRule="auto"/>
        <w:jc w:val="both"/>
        <w:rPr>
          <w:sz w:val="24"/>
          <w:szCs w:val="24"/>
        </w:rPr>
      </w:pPr>
      <w:r>
        <w:rPr>
          <w:rFonts w:hint="eastAsia"/>
          <w:sz w:val="24"/>
          <w:szCs w:val="24"/>
        </w:rPr>
        <w:t>风貌分区控制引导保护</w:t>
      </w:r>
    </w:p>
    <w:p>
      <w:pPr>
        <w:pStyle w:val="49"/>
        <w:numPr>
          <w:ilvl w:val="0"/>
          <w:numId w:val="21"/>
        </w:numPr>
        <w:ind w:left="0" w:firstLine="480"/>
        <w:rPr>
          <w:sz w:val="24"/>
          <w:szCs w:val="32"/>
        </w:rPr>
      </w:pPr>
      <w:r>
        <w:rPr>
          <w:rFonts w:hint="eastAsia"/>
          <w:sz w:val="24"/>
          <w:szCs w:val="32"/>
        </w:rPr>
        <w:t>风貌保护地区</w:t>
      </w:r>
    </w:p>
    <w:p>
      <w:pPr>
        <w:ind w:firstLine="480"/>
        <w:rPr>
          <w:sz w:val="24"/>
          <w:szCs w:val="24"/>
        </w:rPr>
      </w:pPr>
      <w:r>
        <w:rPr>
          <w:rFonts w:hint="eastAsia"/>
          <w:sz w:val="24"/>
          <w:szCs w:val="24"/>
        </w:rPr>
        <w:t>包括历史城区内历史地段的核心保护范围、不可移动文物本体和自然景观风貌区等区域。该分区进行严格控制，林荫道的树木原则上不得迁移，城市建设必须研究对历史城区风貌的影响和保护。</w:t>
      </w:r>
    </w:p>
    <w:p>
      <w:pPr>
        <w:pStyle w:val="49"/>
        <w:numPr>
          <w:ilvl w:val="0"/>
          <w:numId w:val="21"/>
        </w:numPr>
        <w:ind w:left="0" w:firstLine="480"/>
        <w:rPr>
          <w:sz w:val="24"/>
          <w:szCs w:val="24"/>
        </w:rPr>
      </w:pPr>
      <w:r>
        <w:rPr>
          <w:rFonts w:hint="eastAsia"/>
          <w:sz w:val="24"/>
          <w:szCs w:val="32"/>
        </w:rPr>
        <w:t>风貌控制地区</w:t>
      </w:r>
    </w:p>
    <w:p>
      <w:pPr>
        <w:ind w:firstLine="480"/>
        <w:rPr>
          <w:sz w:val="24"/>
          <w:szCs w:val="24"/>
        </w:rPr>
      </w:pPr>
      <w:r>
        <w:rPr>
          <w:rFonts w:hint="eastAsia"/>
          <w:sz w:val="24"/>
          <w:szCs w:val="24"/>
        </w:rPr>
        <w:t>保护重要的历史标志物或景观，对周边一定区域风貌特色加以严格控制，应加强风貌设计，力求保护历史文化城区内的整体风貌特色。</w:t>
      </w:r>
    </w:p>
    <w:p>
      <w:pPr>
        <w:pStyle w:val="49"/>
        <w:numPr>
          <w:ilvl w:val="0"/>
          <w:numId w:val="21"/>
        </w:numPr>
        <w:ind w:left="0" w:firstLine="480"/>
        <w:rPr>
          <w:sz w:val="24"/>
          <w:szCs w:val="32"/>
        </w:rPr>
        <w:sectPr>
          <w:pgSz w:w="11907" w:h="16839"/>
          <w:pgMar w:top="1440" w:right="1080" w:bottom="1440" w:left="1080" w:header="851" w:footer="737" w:gutter="0"/>
          <w:cols w:space="425" w:num="1"/>
          <w:docGrid w:type="lines" w:linePitch="312" w:charSpace="0"/>
        </w:sectPr>
      </w:pPr>
    </w:p>
    <w:p>
      <w:pPr>
        <w:pStyle w:val="49"/>
        <w:numPr>
          <w:ilvl w:val="0"/>
          <w:numId w:val="21"/>
        </w:numPr>
        <w:ind w:left="0" w:firstLine="480"/>
        <w:rPr>
          <w:sz w:val="24"/>
          <w:szCs w:val="32"/>
        </w:rPr>
      </w:pPr>
      <w:r>
        <w:rPr>
          <w:rFonts w:hint="eastAsia"/>
          <w:sz w:val="24"/>
          <w:szCs w:val="32"/>
        </w:rPr>
        <w:t>风貌引导地区</w:t>
      </w:r>
    </w:p>
    <w:p>
      <w:pPr>
        <w:ind w:firstLine="480"/>
        <w:rPr>
          <w:sz w:val="24"/>
          <w:szCs w:val="24"/>
        </w:rPr>
      </w:pPr>
      <w:r>
        <w:rPr>
          <w:rFonts w:hint="eastAsia"/>
          <w:sz w:val="24"/>
          <w:szCs w:val="24"/>
        </w:rPr>
        <w:t>在历史城区保护范围内，除了风貌保护和控制地区以外的所有地区，建筑高度必须符合历史城区的高度控制要求。在满足基本功能的情况下，建筑体量宜小不宜大，建筑层数宜低不宜高，建筑布局宜疏不宜密。建筑色彩以传统建筑的色彩为主色调，屋顶一般采用坡顶设计。</w:t>
      </w:r>
    </w:p>
    <w:p>
      <w:pPr>
        <w:pStyle w:val="3"/>
        <w:numPr>
          <w:ilvl w:val="0"/>
          <w:numId w:val="10"/>
        </w:numPr>
        <w:spacing w:before="0" w:after="0"/>
        <w:ind w:left="0" w:firstLine="0"/>
        <w:jc w:val="center"/>
        <w:rPr>
          <w:rFonts w:ascii="宋体" w:hAnsi="宋体" w:eastAsia="宋体"/>
          <w:sz w:val="28"/>
          <w:szCs w:val="28"/>
        </w:rPr>
      </w:pPr>
      <w:bookmarkStart w:id="78" w:name="_Toc204964355"/>
      <w:r>
        <w:rPr>
          <w:rFonts w:hint="eastAsia" w:ascii="宋体" w:hAnsi="宋体" w:eastAsia="宋体"/>
          <w:sz w:val="28"/>
          <w:szCs w:val="28"/>
        </w:rPr>
        <w:t>建筑</w:t>
      </w:r>
      <w:r>
        <w:rPr>
          <w:rFonts w:ascii="宋体" w:hAnsi="宋体" w:eastAsia="宋体"/>
          <w:sz w:val="28"/>
          <w:szCs w:val="28"/>
        </w:rPr>
        <w:t>高度控制</w:t>
      </w:r>
      <w:bookmarkEnd w:id="78"/>
    </w:p>
    <w:p>
      <w:pPr>
        <w:pStyle w:val="4"/>
        <w:numPr>
          <w:ilvl w:val="0"/>
          <w:numId w:val="2"/>
        </w:numPr>
        <w:spacing w:before="312" w:beforeLines="100" w:after="0" w:line="415" w:lineRule="auto"/>
        <w:jc w:val="both"/>
        <w:rPr>
          <w:sz w:val="24"/>
          <w:szCs w:val="24"/>
        </w:rPr>
      </w:pPr>
      <w:r>
        <w:rPr>
          <w:rFonts w:hint="eastAsia"/>
          <w:sz w:val="24"/>
          <w:szCs w:val="24"/>
        </w:rPr>
        <w:t>建筑</w:t>
      </w:r>
      <w:r>
        <w:rPr>
          <w:sz w:val="24"/>
          <w:szCs w:val="24"/>
        </w:rPr>
        <w:t>高度控制分区</w:t>
      </w:r>
    </w:p>
    <w:p>
      <w:pPr>
        <w:pStyle w:val="49"/>
        <w:numPr>
          <w:ilvl w:val="0"/>
          <w:numId w:val="22"/>
        </w:numPr>
        <w:ind w:left="0" w:firstLine="480"/>
        <w:rPr>
          <w:sz w:val="24"/>
          <w:szCs w:val="32"/>
        </w:rPr>
      </w:pPr>
      <w:bookmarkStart w:id="79" w:name="_Toc82683052"/>
      <w:r>
        <w:rPr>
          <w:rFonts w:hint="eastAsia"/>
          <w:sz w:val="24"/>
          <w:szCs w:val="32"/>
        </w:rPr>
        <w:t>不可移动文物、历史建筑的高度控制</w:t>
      </w:r>
      <w:bookmarkEnd w:id="79"/>
    </w:p>
    <w:p>
      <w:pPr>
        <w:ind w:firstLine="480"/>
        <w:rPr>
          <w:sz w:val="24"/>
          <w:szCs w:val="24"/>
          <w:u w:val="single"/>
        </w:rPr>
      </w:pPr>
      <w:r>
        <w:rPr>
          <w:rFonts w:hint="eastAsia"/>
          <w:sz w:val="24"/>
          <w:szCs w:val="24"/>
          <w:u w:val="single"/>
        </w:rPr>
        <w:t>文物保护单位、未核定公布为文物保护单位的不可移动文物、历史建筑及推荐历史建筑保持其原有建筑高度不变。文物保护单位周边的建筑高度应按文物保护规划的建筑高度控制内容进行严格管控。</w:t>
      </w:r>
    </w:p>
    <w:p>
      <w:pPr>
        <w:pStyle w:val="49"/>
        <w:numPr>
          <w:ilvl w:val="0"/>
          <w:numId w:val="22"/>
        </w:numPr>
        <w:ind w:left="0" w:firstLine="480"/>
        <w:rPr>
          <w:sz w:val="24"/>
          <w:szCs w:val="32"/>
        </w:rPr>
      </w:pPr>
      <w:bookmarkStart w:id="80" w:name="_Toc82683053"/>
      <w:r>
        <w:rPr>
          <w:rFonts w:hint="eastAsia"/>
          <w:sz w:val="24"/>
          <w:szCs w:val="32"/>
        </w:rPr>
        <w:t>历史地段的建筑高度控制</w:t>
      </w:r>
      <w:bookmarkEnd w:id="80"/>
    </w:p>
    <w:p>
      <w:pPr>
        <w:ind w:firstLine="480"/>
        <w:rPr>
          <w:sz w:val="24"/>
          <w:szCs w:val="24"/>
          <w:u w:val="single"/>
        </w:rPr>
      </w:pPr>
      <w:r>
        <w:rPr>
          <w:rFonts w:hint="eastAsia"/>
          <w:sz w:val="24"/>
          <w:szCs w:val="24"/>
          <w:u w:val="single"/>
        </w:rPr>
        <w:t>八一街推荐历史地段核心保护范围内的建筑层数不超过</w:t>
      </w:r>
      <w:r>
        <w:rPr>
          <w:sz w:val="24"/>
          <w:szCs w:val="24"/>
          <w:u w:val="single"/>
        </w:rPr>
        <w:t>3层，檐口高度</w:t>
      </w:r>
      <w:r>
        <w:rPr>
          <w:rFonts w:hint="eastAsia"/>
          <w:sz w:val="24"/>
          <w:szCs w:val="24"/>
          <w:u w:val="single"/>
        </w:rPr>
        <w:t>不超过</w:t>
      </w:r>
      <w:r>
        <w:rPr>
          <w:sz w:val="24"/>
          <w:szCs w:val="24"/>
          <w:u w:val="single"/>
        </w:rPr>
        <w:t>9米。</w:t>
      </w:r>
      <w:r>
        <w:rPr>
          <w:rFonts w:hint="eastAsia"/>
          <w:sz w:val="24"/>
          <w:szCs w:val="24"/>
          <w:u w:val="single"/>
        </w:rPr>
        <w:t>建设控制地带内的建筑层数不超过</w:t>
      </w:r>
      <w:r>
        <w:rPr>
          <w:sz w:val="24"/>
          <w:szCs w:val="24"/>
          <w:u w:val="single"/>
        </w:rPr>
        <w:t>5层，檐口高度</w:t>
      </w:r>
      <w:r>
        <w:rPr>
          <w:rFonts w:hint="eastAsia"/>
          <w:sz w:val="24"/>
          <w:szCs w:val="24"/>
          <w:u w:val="single"/>
        </w:rPr>
        <w:t>不超过</w:t>
      </w:r>
      <w:r>
        <w:rPr>
          <w:sz w:val="24"/>
          <w:szCs w:val="24"/>
          <w:u w:val="single"/>
        </w:rPr>
        <w:t>15米。</w:t>
      </w:r>
    </w:p>
    <w:p>
      <w:pPr>
        <w:pStyle w:val="49"/>
        <w:numPr>
          <w:ilvl w:val="0"/>
          <w:numId w:val="22"/>
        </w:numPr>
        <w:ind w:left="0" w:firstLine="480"/>
        <w:rPr>
          <w:sz w:val="24"/>
          <w:szCs w:val="32"/>
        </w:rPr>
      </w:pPr>
      <w:r>
        <w:rPr>
          <w:rFonts w:hint="eastAsia"/>
          <w:sz w:val="24"/>
          <w:szCs w:val="32"/>
        </w:rPr>
        <w:t>视线通廊的建筑高度控制</w:t>
      </w:r>
    </w:p>
    <w:p>
      <w:pPr>
        <w:ind w:firstLine="480"/>
        <w:rPr>
          <w:sz w:val="24"/>
          <w:szCs w:val="24"/>
          <w:u w:val="single"/>
        </w:rPr>
      </w:pPr>
      <w:r>
        <w:rPr>
          <w:rFonts w:hint="eastAsia"/>
          <w:sz w:val="24"/>
          <w:szCs w:val="24"/>
          <w:u w:val="single"/>
        </w:rPr>
        <w:t>保护正南门往北方向的视线通廊。规划控制视线通廊范围内，建筑层数不超过</w:t>
      </w:r>
      <w:r>
        <w:rPr>
          <w:sz w:val="24"/>
          <w:szCs w:val="24"/>
          <w:u w:val="single"/>
        </w:rPr>
        <w:t>6层，檐口高度不超过18</w:t>
      </w:r>
      <w:r>
        <w:rPr>
          <w:rFonts w:hint="eastAsia"/>
          <w:sz w:val="24"/>
          <w:szCs w:val="24"/>
          <w:u w:val="single"/>
        </w:rPr>
        <w:t>米</w:t>
      </w:r>
      <w:r>
        <w:rPr>
          <w:sz w:val="24"/>
          <w:szCs w:val="24"/>
          <w:u w:val="single"/>
        </w:rPr>
        <w:t>。</w:t>
      </w:r>
      <w:r>
        <w:rPr>
          <w:rFonts w:hint="eastAsia"/>
          <w:sz w:val="24"/>
          <w:szCs w:val="24"/>
          <w:u w:val="single"/>
        </w:rPr>
        <w:t>保护三影塔与八一街之间的视线通廊。在八一街向西南看三影塔的延长线通廊范围内，建筑层数不超过</w:t>
      </w:r>
      <w:r>
        <w:rPr>
          <w:sz w:val="24"/>
          <w:szCs w:val="24"/>
          <w:u w:val="single"/>
        </w:rPr>
        <w:t>6层，檐</w:t>
      </w:r>
      <w:r>
        <w:rPr>
          <w:rFonts w:hint="eastAsia"/>
          <w:sz w:val="24"/>
          <w:szCs w:val="24"/>
          <w:u w:val="single"/>
        </w:rPr>
        <w:t>口高度不超过</w:t>
      </w:r>
      <w:r>
        <w:rPr>
          <w:sz w:val="24"/>
          <w:szCs w:val="24"/>
          <w:u w:val="single"/>
        </w:rPr>
        <w:t>18</w:t>
      </w:r>
      <w:r>
        <w:rPr>
          <w:rFonts w:hint="eastAsia"/>
          <w:sz w:val="24"/>
          <w:szCs w:val="24"/>
          <w:u w:val="single"/>
        </w:rPr>
        <w:t>米</w:t>
      </w:r>
      <w:r>
        <w:rPr>
          <w:sz w:val="24"/>
          <w:szCs w:val="24"/>
          <w:u w:val="single"/>
        </w:rPr>
        <w:t>。</w:t>
      </w:r>
    </w:p>
    <w:p>
      <w:pPr>
        <w:pStyle w:val="49"/>
        <w:numPr>
          <w:ilvl w:val="0"/>
          <w:numId w:val="22"/>
        </w:numPr>
        <w:ind w:left="0" w:firstLine="480"/>
        <w:rPr>
          <w:sz w:val="24"/>
          <w:szCs w:val="32"/>
        </w:rPr>
      </w:pPr>
      <w:r>
        <w:rPr>
          <w:rFonts w:hint="eastAsia"/>
          <w:sz w:val="24"/>
          <w:szCs w:val="32"/>
        </w:rPr>
        <w:t>滨水地区的建筑高度控制</w:t>
      </w:r>
    </w:p>
    <w:p>
      <w:pPr>
        <w:ind w:firstLine="480"/>
        <w:rPr>
          <w:sz w:val="24"/>
          <w:szCs w:val="24"/>
          <w:u w:val="single"/>
        </w:rPr>
      </w:pPr>
      <w:r>
        <w:rPr>
          <w:rFonts w:hint="eastAsia"/>
          <w:sz w:val="24"/>
          <w:szCs w:val="24"/>
          <w:u w:val="single"/>
        </w:rPr>
        <w:t>浈江北岸、凌江东岸地区预留</w:t>
      </w:r>
      <w:r>
        <w:rPr>
          <w:sz w:val="24"/>
          <w:szCs w:val="24"/>
          <w:u w:val="single"/>
        </w:rPr>
        <w:t>15-30</w:t>
      </w:r>
      <w:r>
        <w:rPr>
          <w:rFonts w:hint="eastAsia"/>
          <w:sz w:val="24"/>
          <w:szCs w:val="24"/>
          <w:u w:val="single"/>
        </w:rPr>
        <w:t>米</w:t>
      </w:r>
      <w:r>
        <w:rPr>
          <w:sz w:val="24"/>
          <w:szCs w:val="24"/>
          <w:u w:val="single"/>
        </w:rPr>
        <w:t>宽带状绿地广场，保障沿江</w:t>
      </w:r>
      <w:r>
        <w:rPr>
          <w:rFonts w:hint="eastAsia"/>
          <w:sz w:val="24"/>
          <w:szCs w:val="24"/>
          <w:u w:val="single"/>
        </w:rPr>
        <w:t>视线的开阔。</w:t>
      </w:r>
    </w:p>
    <w:p>
      <w:pPr>
        <w:pStyle w:val="49"/>
        <w:numPr>
          <w:ilvl w:val="0"/>
          <w:numId w:val="22"/>
        </w:numPr>
        <w:ind w:left="0" w:firstLine="480"/>
        <w:rPr>
          <w:sz w:val="24"/>
          <w:szCs w:val="32"/>
        </w:rPr>
      </w:pPr>
      <w:r>
        <w:rPr>
          <w:rFonts w:hint="eastAsia"/>
          <w:sz w:val="24"/>
          <w:szCs w:val="32"/>
        </w:rPr>
        <w:t>历史城区其他地块高度控制</w:t>
      </w:r>
    </w:p>
    <w:p>
      <w:pPr>
        <w:ind w:firstLine="480"/>
        <w:rPr>
          <w:sz w:val="24"/>
          <w:szCs w:val="24"/>
          <w:u w:val="single"/>
        </w:rPr>
      </w:pPr>
      <w:r>
        <w:rPr>
          <w:rFonts w:hint="eastAsia"/>
          <w:sz w:val="24"/>
          <w:szCs w:val="24"/>
          <w:u w:val="single"/>
        </w:rPr>
        <w:t>历史城区其他地块内的建筑，层数不超过</w:t>
      </w:r>
      <w:r>
        <w:rPr>
          <w:sz w:val="24"/>
          <w:szCs w:val="24"/>
          <w:u w:val="single"/>
        </w:rPr>
        <w:t>10层，檐口高度原则上</w:t>
      </w:r>
      <w:r>
        <w:rPr>
          <w:rFonts w:hint="eastAsia"/>
          <w:sz w:val="24"/>
          <w:szCs w:val="24"/>
          <w:u w:val="single"/>
        </w:rPr>
        <w:t>不超过</w:t>
      </w:r>
      <w:r>
        <w:rPr>
          <w:sz w:val="24"/>
          <w:szCs w:val="24"/>
          <w:u w:val="single"/>
        </w:rPr>
        <w:t>30</w:t>
      </w:r>
      <w:r>
        <w:rPr>
          <w:rFonts w:hint="eastAsia"/>
          <w:sz w:val="24"/>
          <w:szCs w:val="24"/>
          <w:u w:val="single"/>
        </w:rPr>
        <w:t>米。现存建筑檐口高于</w:t>
      </w:r>
      <w:r>
        <w:rPr>
          <w:sz w:val="24"/>
          <w:szCs w:val="24"/>
          <w:u w:val="single"/>
        </w:rPr>
        <w:t>30米或建筑层数高于10层的建筑予以保留，但未来建设活动需遵守本规划建筑高度控制。</w:t>
      </w:r>
    </w:p>
    <w:p>
      <w:pPr>
        <w:pStyle w:val="4"/>
        <w:numPr>
          <w:ilvl w:val="0"/>
          <w:numId w:val="2"/>
        </w:numPr>
        <w:spacing w:before="312" w:beforeLines="100" w:after="0" w:line="415" w:lineRule="auto"/>
        <w:jc w:val="both"/>
        <w:rPr>
          <w:sz w:val="24"/>
          <w:szCs w:val="24"/>
        </w:rPr>
      </w:pPr>
      <w:r>
        <w:rPr>
          <w:rFonts w:hint="eastAsia"/>
          <w:sz w:val="24"/>
          <w:szCs w:val="24"/>
        </w:rPr>
        <w:t>景观</w:t>
      </w:r>
      <w:r>
        <w:rPr>
          <w:sz w:val="24"/>
          <w:szCs w:val="24"/>
        </w:rPr>
        <w:t>视廊</w:t>
      </w:r>
      <w:r>
        <w:rPr>
          <w:rFonts w:hint="eastAsia"/>
          <w:sz w:val="24"/>
          <w:szCs w:val="24"/>
        </w:rPr>
        <w:t>控制</w:t>
      </w:r>
    </w:p>
    <w:p>
      <w:pPr>
        <w:ind w:firstLine="480"/>
        <w:rPr>
          <w:sz w:val="24"/>
          <w:szCs w:val="24"/>
        </w:rPr>
      </w:pPr>
      <w:r>
        <w:rPr>
          <w:rFonts w:hint="eastAsia"/>
          <w:sz w:val="24"/>
          <w:szCs w:val="24"/>
        </w:rPr>
        <w:t>保护以三影塔、巾山、天马山为对景的</w:t>
      </w:r>
      <w:r>
        <w:rPr>
          <w:sz w:val="24"/>
          <w:szCs w:val="24"/>
        </w:rPr>
        <w:t>5</w:t>
      </w:r>
      <w:r>
        <w:rPr>
          <w:rFonts w:hint="eastAsia"/>
          <w:sz w:val="24"/>
          <w:szCs w:val="24"/>
        </w:rPr>
        <w:t>条景观视廊。严格控制景观视廊范围内的建设活动，不得在视廊范围内进行阻挡视线和影响景观风貌完整性的建设，保证景观视廊的贯通。现有阻碍视廊的建筑应在未来有条件的情况下，择机进行降层或拆除。</w:t>
      </w:r>
    </w:p>
    <w:p>
      <w:pPr>
        <w:pStyle w:val="49"/>
        <w:numPr>
          <w:ilvl w:val="0"/>
          <w:numId w:val="23"/>
        </w:numPr>
        <w:ind w:left="0" w:firstLine="480"/>
        <w:rPr>
          <w:sz w:val="24"/>
          <w:szCs w:val="32"/>
        </w:rPr>
      </w:pPr>
      <w:r>
        <w:rPr>
          <w:rFonts w:hint="eastAsia"/>
          <w:sz w:val="24"/>
          <w:szCs w:val="32"/>
        </w:rPr>
        <w:t>以三影塔为对景的景观视廊，严格控制视廊周边建构筑物的高度、体量、风貌等，保持视廊的贯通，特别注重三影塔周边区域的建筑与景观设计，突出三影塔节点的重要空间地位。</w:t>
      </w:r>
    </w:p>
    <w:p>
      <w:pPr>
        <w:pStyle w:val="49"/>
        <w:numPr>
          <w:ilvl w:val="0"/>
          <w:numId w:val="23"/>
        </w:numPr>
        <w:ind w:left="0" w:firstLine="480"/>
        <w:rPr>
          <w:sz w:val="24"/>
          <w:szCs w:val="32"/>
        </w:rPr>
      </w:pPr>
      <w:r>
        <w:rPr>
          <w:rFonts w:hint="eastAsia"/>
          <w:sz w:val="24"/>
          <w:szCs w:val="32"/>
        </w:rPr>
        <w:t>以</w:t>
      </w:r>
      <w:r>
        <w:rPr>
          <w:sz w:val="24"/>
          <w:szCs w:val="24"/>
        </w:rPr>
        <w:t>巾山</w:t>
      </w:r>
      <w:r>
        <w:rPr>
          <w:rFonts w:hint="eastAsia"/>
          <w:sz w:val="24"/>
          <w:szCs w:val="24"/>
        </w:rPr>
        <w:t>、天马山</w:t>
      </w:r>
      <w:r>
        <w:rPr>
          <w:rFonts w:hint="eastAsia"/>
          <w:sz w:val="24"/>
          <w:szCs w:val="32"/>
        </w:rPr>
        <w:t>为对景的景观视廊保护，加强对视廊内建筑高度的控制，至少保证山体</w:t>
      </w:r>
      <w:r>
        <w:rPr>
          <w:sz w:val="24"/>
          <w:szCs w:val="32"/>
        </w:rPr>
        <w:t>1/3高度以上部分的观赏效果，不得破坏背</w:t>
      </w:r>
      <w:r>
        <w:rPr>
          <w:rFonts w:hint="eastAsia"/>
          <w:sz w:val="24"/>
          <w:szCs w:val="32"/>
        </w:rPr>
        <w:t>景山体景观界面的完整性。</w:t>
      </w:r>
    </w:p>
    <w:p>
      <w:pPr>
        <w:pStyle w:val="4"/>
        <w:numPr>
          <w:ilvl w:val="0"/>
          <w:numId w:val="2"/>
        </w:numPr>
        <w:spacing w:before="312" w:beforeLines="100" w:after="0" w:line="415" w:lineRule="auto"/>
        <w:jc w:val="both"/>
        <w:rPr>
          <w:sz w:val="24"/>
          <w:szCs w:val="24"/>
        </w:rPr>
      </w:pPr>
      <w:r>
        <w:rPr>
          <w:rFonts w:hint="eastAsia"/>
          <w:sz w:val="24"/>
          <w:szCs w:val="24"/>
        </w:rPr>
        <w:t>城市</w:t>
      </w:r>
      <w:r>
        <w:rPr>
          <w:sz w:val="24"/>
          <w:szCs w:val="24"/>
        </w:rPr>
        <w:t>重点轮廓线控制</w:t>
      </w:r>
    </w:p>
    <w:p>
      <w:pPr>
        <w:ind w:firstLine="480"/>
        <w:rPr>
          <w:sz w:val="24"/>
          <w:szCs w:val="24"/>
        </w:rPr>
      </w:pPr>
      <w:r>
        <w:rPr>
          <w:rFonts w:hint="eastAsia"/>
          <w:bCs/>
          <w:sz w:val="24"/>
          <w:szCs w:val="24"/>
        </w:rPr>
        <w:t>保护三影塔这一重要眺望点和历史标志景观特色，形成以古塔为中心的自然公园，对古塔进行良好的保护展示。保持古塔在城市中的地标作用和景观地位，尤其是通过对历史城区景观视廊和建筑高度的控制，保持三影塔在南雄历史城区景观视线对景及天际轮廓线控制中的突出地位</w:t>
      </w:r>
      <w:r>
        <w:rPr>
          <w:rFonts w:hint="eastAsia"/>
          <w:sz w:val="24"/>
          <w:szCs w:val="24"/>
        </w:rPr>
        <w:t>。</w:t>
      </w:r>
    </w:p>
    <w:p>
      <w:pPr>
        <w:ind w:firstLine="480"/>
        <w:rPr>
          <w:bCs/>
          <w:sz w:val="24"/>
          <w:szCs w:val="24"/>
        </w:rPr>
      </w:pPr>
      <w:r>
        <w:rPr>
          <w:rFonts w:hint="eastAsia"/>
          <w:sz w:val="24"/>
          <w:szCs w:val="24"/>
        </w:rPr>
        <w:t>保护南雄历史城区依水筑城，江河——城墙——古城梯级变化的城市轮廓线。结合职能调整和功能定位的内容引导历史城区未来发展，降低历史城区建筑高度，不协调的高层建筑应拆除或降层，进一步控制引导历史城区形成高低错落、层次丰富、进退有序的古城轮廓线。</w:t>
      </w:r>
    </w:p>
    <w:p>
      <w:pPr>
        <w:pStyle w:val="3"/>
        <w:numPr>
          <w:ilvl w:val="0"/>
          <w:numId w:val="10"/>
        </w:numPr>
        <w:spacing w:before="0" w:after="0"/>
        <w:ind w:left="0" w:firstLine="0"/>
        <w:jc w:val="center"/>
        <w:rPr>
          <w:rFonts w:ascii="宋体" w:hAnsi="宋体" w:eastAsia="宋体"/>
          <w:sz w:val="28"/>
          <w:szCs w:val="28"/>
        </w:rPr>
      </w:pPr>
      <w:bookmarkStart w:id="81" w:name="_Toc204964356"/>
      <w:r>
        <w:rPr>
          <w:rFonts w:hint="eastAsia" w:ascii="宋体" w:hAnsi="宋体" w:eastAsia="宋体"/>
          <w:sz w:val="28"/>
          <w:szCs w:val="28"/>
        </w:rPr>
        <w:t>环境</w:t>
      </w:r>
      <w:r>
        <w:rPr>
          <w:rFonts w:ascii="宋体" w:hAnsi="宋体" w:eastAsia="宋体"/>
          <w:sz w:val="28"/>
          <w:szCs w:val="28"/>
        </w:rPr>
        <w:t>与设施改善规划</w:t>
      </w:r>
      <w:bookmarkEnd w:id="81"/>
    </w:p>
    <w:p>
      <w:pPr>
        <w:pStyle w:val="4"/>
        <w:numPr>
          <w:ilvl w:val="0"/>
          <w:numId w:val="2"/>
        </w:numPr>
        <w:spacing w:before="312" w:beforeLines="100" w:after="0" w:line="415" w:lineRule="auto"/>
        <w:jc w:val="both"/>
        <w:rPr>
          <w:sz w:val="24"/>
          <w:szCs w:val="24"/>
        </w:rPr>
      </w:pPr>
      <w:r>
        <w:rPr>
          <w:rFonts w:hint="eastAsia"/>
          <w:sz w:val="24"/>
          <w:szCs w:val="24"/>
        </w:rPr>
        <w:t>城市更新引导</w:t>
      </w:r>
    </w:p>
    <w:p>
      <w:pPr>
        <w:pStyle w:val="49"/>
        <w:numPr>
          <w:ilvl w:val="0"/>
          <w:numId w:val="24"/>
        </w:numPr>
        <w:ind w:left="0" w:firstLine="480"/>
        <w:rPr>
          <w:sz w:val="24"/>
          <w:szCs w:val="32"/>
        </w:rPr>
      </w:pPr>
      <w:r>
        <w:rPr>
          <w:rFonts w:hint="eastAsia"/>
          <w:sz w:val="24"/>
          <w:szCs w:val="32"/>
        </w:rPr>
        <w:t>延续城市传统格局。历史城区范围内严格保护整体“鱼骨状”格局特色，保护各类历史文化资源，保持和传承传统风貌特征。</w:t>
      </w:r>
    </w:p>
    <w:p>
      <w:pPr>
        <w:pStyle w:val="49"/>
        <w:numPr>
          <w:ilvl w:val="0"/>
          <w:numId w:val="24"/>
        </w:numPr>
        <w:ind w:left="0" w:firstLine="480"/>
        <w:rPr>
          <w:sz w:val="24"/>
          <w:szCs w:val="32"/>
        </w:rPr>
      </w:pPr>
      <w:r>
        <w:rPr>
          <w:rFonts w:hint="eastAsia"/>
          <w:sz w:val="24"/>
          <w:szCs w:val="32"/>
        </w:rPr>
        <w:t>合理界定城市更新类别，采取“绣花”“织补”等微改造方式进行，避免大拆大建，在历史城区内严禁大体量公共建筑的建设。涉及老街区、老建筑的城市更新改造项目，要预先进行历史文化资源调查，组织专家开展评估论证，确保不破坏地形地貌、不拆除历史遗存、不砍伐古树及古树后备资源。</w:t>
      </w:r>
    </w:p>
    <w:p>
      <w:pPr>
        <w:pStyle w:val="49"/>
        <w:numPr>
          <w:ilvl w:val="0"/>
          <w:numId w:val="24"/>
        </w:numPr>
        <w:ind w:left="0" w:firstLine="480"/>
        <w:rPr>
          <w:sz w:val="24"/>
          <w:szCs w:val="32"/>
        </w:rPr>
      </w:pPr>
      <w:r>
        <w:rPr>
          <w:rFonts w:hint="eastAsia"/>
          <w:sz w:val="24"/>
          <w:szCs w:val="32"/>
        </w:rPr>
        <w:t>历史城区不规划新建环境敏感型设施，不规划新建生产、贮存易燃易爆、有毒危险品的工厂和仓库，现有环境敏感型设施、工厂和仓库，待条件成熟时，应逐步迁出。</w:t>
      </w:r>
    </w:p>
    <w:p>
      <w:pPr>
        <w:pStyle w:val="49"/>
        <w:numPr>
          <w:ilvl w:val="0"/>
          <w:numId w:val="24"/>
        </w:numPr>
        <w:ind w:left="0" w:firstLine="480"/>
        <w:rPr>
          <w:sz w:val="24"/>
          <w:szCs w:val="32"/>
        </w:rPr>
      </w:pPr>
      <w:r>
        <w:rPr>
          <w:rFonts w:hint="eastAsia"/>
          <w:sz w:val="24"/>
          <w:szCs w:val="32"/>
        </w:rPr>
        <w:t>完善廻澜门——正南门传统风貌片区、三影塔传统风貌片区、滨江古城墙和八一街历史地段之间的慢行系统，衔接梅关古驿道文化线路保护利用专项规划，有效串联自然山水人文资源。</w:t>
      </w:r>
    </w:p>
    <w:p>
      <w:pPr>
        <w:pStyle w:val="49"/>
        <w:numPr>
          <w:ilvl w:val="0"/>
          <w:numId w:val="24"/>
        </w:numPr>
        <w:ind w:left="0" w:firstLine="480"/>
        <w:rPr>
          <w:sz w:val="24"/>
          <w:szCs w:val="32"/>
        </w:rPr>
      </w:pPr>
      <w:r>
        <w:rPr>
          <w:rFonts w:hint="eastAsia"/>
          <w:sz w:val="24"/>
          <w:szCs w:val="32"/>
        </w:rPr>
        <w:t>建筑分类保护与整治。针对历史城区范围内不同类型的建筑，按照修缮、维修、改善、保留、整治五类保护更新模式进行分类保护与整治。</w:t>
      </w:r>
    </w:p>
    <w:p>
      <w:pPr>
        <w:pStyle w:val="4"/>
        <w:numPr>
          <w:ilvl w:val="0"/>
          <w:numId w:val="2"/>
        </w:numPr>
        <w:spacing w:before="312" w:beforeLines="100" w:after="0" w:line="415" w:lineRule="auto"/>
        <w:jc w:val="both"/>
        <w:rPr>
          <w:sz w:val="24"/>
          <w:szCs w:val="24"/>
        </w:rPr>
      </w:pPr>
      <w:r>
        <w:rPr>
          <w:rFonts w:hint="eastAsia"/>
          <w:sz w:val="24"/>
          <w:szCs w:val="24"/>
        </w:rPr>
        <w:t>土地</w:t>
      </w:r>
      <w:r>
        <w:rPr>
          <w:sz w:val="24"/>
          <w:szCs w:val="24"/>
        </w:rPr>
        <w:t>利用</w:t>
      </w:r>
      <w:r>
        <w:rPr>
          <w:rFonts w:hint="eastAsia"/>
          <w:sz w:val="24"/>
          <w:szCs w:val="24"/>
        </w:rPr>
        <w:t>优化调整</w:t>
      </w:r>
    </w:p>
    <w:p>
      <w:pPr>
        <w:pStyle w:val="49"/>
        <w:numPr>
          <w:ilvl w:val="0"/>
          <w:numId w:val="25"/>
        </w:numPr>
        <w:ind w:left="0" w:firstLine="480"/>
        <w:rPr>
          <w:sz w:val="24"/>
          <w:szCs w:val="32"/>
        </w:rPr>
      </w:pPr>
      <w:r>
        <w:rPr>
          <w:rFonts w:hint="eastAsia"/>
          <w:sz w:val="24"/>
          <w:szCs w:val="32"/>
        </w:rPr>
        <w:t>合理优化用地布局为主。根据现行文物保护单位的保护范围，并衔接正在编制的文物保护范围落实文物古迹用地。历史城区内以居住用地为主，增加居住用地内部绿地与开敞空间用地及公共管理与公共服务用地，改善居住环境。</w:t>
      </w:r>
    </w:p>
    <w:p>
      <w:pPr>
        <w:pStyle w:val="49"/>
        <w:numPr>
          <w:ilvl w:val="0"/>
          <w:numId w:val="25"/>
        </w:numPr>
        <w:ind w:left="0" w:firstLine="480"/>
        <w:rPr>
          <w:sz w:val="24"/>
          <w:szCs w:val="32"/>
        </w:rPr>
      </w:pPr>
      <w:r>
        <w:rPr>
          <w:rFonts w:hint="eastAsia"/>
          <w:sz w:val="24"/>
          <w:szCs w:val="32"/>
        </w:rPr>
        <w:t>增加绿地空间和公共空间，提升历史城区空间品质，完善古城墙沿线、南雄府城正南门、三影塔等重要历史文化资源绿地和开敞空间系统。</w:t>
      </w:r>
    </w:p>
    <w:p>
      <w:pPr>
        <w:pStyle w:val="49"/>
        <w:numPr>
          <w:ilvl w:val="0"/>
          <w:numId w:val="25"/>
        </w:numPr>
        <w:ind w:left="0" w:firstLine="480"/>
        <w:rPr>
          <w:sz w:val="24"/>
          <w:szCs w:val="32"/>
        </w:rPr>
      </w:pPr>
      <w:r>
        <w:rPr>
          <w:rFonts w:hint="eastAsia"/>
          <w:sz w:val="24"/>
          <w:szCs w:val="32"/>
        </w:rPr>
        <w:t>保留传统、特色商业，重点发展雄州大道——八一街两侧的商业功能，深入挖掘“老字号”“老牌子”等商业资源，鼓励完善文化娱乐、旅游服务等产业。</w:t>
      </w:r>
    </w:p>
    <w:p>
      <w:pPr>
        <w:pStyle w:val="49"/>
        <w:numPr>
          <w:ilvl w:val="0"/>
          <w:numId w:val="25"/>
        </w:numPr>
        <w:ind w:left="0" w:firstLine="480"/>
        <w:rPr>
          <w:sz w:val="24"/>
          <w:szCs w:val="32"/>
        </w:rPr>
      </w:pPr>
      <w:r>
        <w:rPr>
          <w:rFonts w:hint="eastAsia"/>
          <w:sz w:val="24"/>
          <w:szCs w:val="32"/>
        </w:rPr>
        <w:t>本规划中所提的土地使用性质调整内容在《南雄市国土空间总体规划（</w:t>
      </w:r>
      <w:r>
        <w:rPr>
          <w:sz w:val="24"/>
          <w:szCs w:val="32"/>
        </w:rPr>
        <w:t>2021-2035年）》中期评估中作为参考，视情况作修改参考并纳入国土空间规划“一张图”实施监督信息系统。</w:t>
      </w:r>
    </w:p>
    <w:p>
      <w:pPr>
        <w:pStyle w:val="4"/>
        <w:numPr>
          <w:ilvl w:val="0"/>
          <w:numId w:val="2"/>
        </w:numPr>
        <w:spacing w:before="312" w:beforeLines="100" w:after="0" w:line="415" w:lineRule="auto"/>
        <w:jc w:val="both"/>
        <w:rPr>
          <w:sz w:val="24"/>
          <w:szCs w:val="24"/>
        </w:rPr>
      </w:pPr>
      <w:r>
        <w:rPr>
          <w:rFonts w:hint="eastAsia"/>
          <w:sz w:val="24"/>
          <w:szCs w:val="24"/>
        </w:rPr>
        <w:t>道路</w:t>
      </w:r>
      <w:r>
        <w:rPr>
          <w:sz w:val="24"/>
          <w:szCs w:val="24"/>
        </w:rPr>
        <w:t>交通</w:t>
      </w:r>
      <w:r>
        <w:rPr>
          <w:rFonts w:hint="eastAsia"/>
          <w:sz w:val="24"/>
          <w:szCs w:val="24"/>
        </w:rPr>
        <w:t>改善规划</w:t>
      </w:r>
    </w:p>
    <w:p>
      <w:pPr>
        <w:pStyle w:val="49"/>
        <w:numPr>
          <w:ilvl w:val="0"/>
          <w:numId w:val="26"/>
        </w:numPr>
        <w:ind w:left="0" w:firstLine="480"/>
        <w:rPr>
          <w:sz w:val="24"/>
          <w:szCs w:val="32"/>
        </w:rPr>
      </w:pPr>
      <w:r>
        <w:rPr>
          <w:rFonts w:hint="eastAsia"/>
          <w:sz w:val="24"/>
          <w:szCs w:val="32"/>
        </w:rPr>
        <w:t>延续历史城区传统街巷格局，适度增加传统街巷的通行能力。构建以主次干路为骨架，支路为辅助，街巷为补充的历史城区多层次道路网络系统。</w:t>
      </w:r>
    </w:p>
    <w:p>
      <w:pPr>
        <w:pStyle w:val="49"/>
        <w:numPr>
          <w:ilvl w:val="0"/>
          <w:numId w:val="26"/>
        </w:numPr>
        <w:ind w:left="0" w:firstLine="480"/>
        <w:rPr>
          <w:sz w:val="24"/>
          <w:szCs w:val="32"/>
        </w:rPr>
      </w:pPr>
      <w:r>
        <w:rPr>
          <w:rFonts w:hint="eastAsia"/>
          <w:sz w:val="24"/>
          <w:szCs w:val="32"/>
        </w:rPr>
        <w:t>降低穿越历史城区核心的交通。结合《南雄市国土空间总体规划（2</w:t>
      </w:r>
      <w:r>
        <w:rPr>
          <w:sz w:val="24"/>
          <w:szCs w:val="32"/>
        </w:rPr>
        <w:t>021-2035</w:t>
      </w:r>
      <w:r>
        <w:rPr>
          <w:rFonts w:hint="eastAsia"/>
          <w:sz w:val="24"/>
          <w:szCs w:val="32"/>
        </w:rPr>
        <w:t>年）》，强化历史城区外围“两横两纵”的</w:t>
      </w:r>
      <w:r>
        <w:rPr>
          <w:sz w:val="24"/>
          <w:szCs w:val="32"/>
        </w:rPr>
        <w:t>主干道路体系</w:t>
      </w:r>
      <w:r>
        <w:rPr>
          <w:rFonts w:hint="eastAsia"/>
          <w:sz w:val="24"/>
          <w:szCs w:val="32"/>
        </w:rPr>
        <w:t>，分解、降低穿越历史城区的交通流量。</w:t>
      </w:r>
    </w:p>
    <w:p>
      <w:pPr>
        <w:pStyle w:val="49"/>
        <w:numPr>
          <w:ilvl w:val="0"/>
          <w:numId w:val="26"/>
        </w:numPr>
        <w:ind w:left="0" w:firstLine="480"/>
        <w:rPr>
          <w:sz w:val="24"/>
          <w:szCs w:val="32"/>
        </w:rPr>
      </w:pPr>
      <w:r>
        <w:rPr>
          <w:rFonts w:hint="eastAsia"/>
          <w:sz w:val="24"/>
          <w:szCs w:val="32"/>
        </w:rPr>
        <w:t>历史城区内严格控制新建道路或拓宽传统街巷。严格按照本规划相关内容保护传统街巷，适度增加传统街巷的通行能力。</w:t>
      </w:r>
    </w:p>
    <w:p>
      <w:pPr>
        <w:pStyle w:val="49"/>
        <w:numPr>
          <w:ilvl w:val="0"/>
          <w:numId w:val="26"/>
        </w:numPr>
        <w:ind w:left="0" w:firstLine="480"/>
        <w:rPr>
          <w:sz w:val="24"/>
          <w:szCs w:val="32"/>
        </w:rPr>
      </w:pPr>
      <w:r>
        <w:rPr>
          <w:rFonts w:hint="eastAsia"/>
          <w:sz w:val="24"/>
          <w:szCs w:val="32"/>
        </w:rPr>
        <w:t>大型机动车停车场安排在历史城区外围，充分挖掘历史城区内停车存量资源，历史城区内停车设施供应以建筑配建为主，路侧停车作为补充。鼓励采用小型停车场、地下停车及立体停车，强化停车管理的方式，解决停车位紧张的问题。</w:t>
      </w:r>
    </w:p>
    <w:p>
      <w:pPr>
        <w:pStyle w:val="4"/>
        <w:numPr>
          <w:ilvl w:val="0"/>
          <w:numId w:val="2"/>
        </w:numPr>
        <w:spacing w:before="312" w:beforeLines="100" w:after="0" w:line="415" w:lineRule="auto"/>
        <w:jc w:val="both"/>
        <w:rPr>
          <w:sz w:val="24"/>
          <w:szCs w:val="24"/>
        </w:rPr>
      </w:pPr>
      <w:r>
        <w:rPr>
          <w:rFonts w:hint="eastAsia"/>
          <w:sz w:val="24"/>
          <w:szCs w:val="24"/>
        </w:rPr>
        <w:t>公共</w:t>
      </w:r>
      <w:r>
        <w:rPr>
          <w:sz w:val="24"/>
          <w:szCs w:val="24"/>
        </w:rPr>
        <w:t>服务设施</w:t>
      </w:r>
      <w:r>
        <w:rPr>
          <w:rFonts w:hint="eastAsia"/>
          <w:sz w:val="24"/>
          <w:szCs w:val="24"/>
        </w:rPr>
        <w:t>改善规划</w:t>
      </w:r>
    </w:p>
    <w:p>
      <w:pPr>
        <w:ind w:firstLine="480"/>
        <w:rPr>
          <w:sz w:val="24"/>
          <w:szCs w:val="24"/>
        </w:rPr>
      </w:pPr>
      <w:r>
        <w:rPr>
          <w:rFonts w:hint="eastAsia"/>
          <w:sz w:val="24"/>
          <w:szCs w:val="24"/>
        </w:rPr>
        <w:t>根据社区生活圈优化历史城区公共服务设施布局，保障历史城区内的教育、医疗卫生、文化体育、社会福利与保障、商业、行政管理与社区服务等基本公共服务需求，构建满足历史城区居民和外来游客双重需求的公共服务设施体系。</w:t>
      </w:r>
    </w:p>
    <w:p>
      <w:pPr>
        <w:pStyle w:val="49"/>
        <w:numPr>
          <w:ilvl w:val="0"/>
          <w:numId w:val="27"/>
        </w:numPr>
        <w:ind w:left="0" w:firstLine="480"/>
        <w:rPr>
          <w:sz w:val="24"/>
          <w:szCs w:val="32"/>
        </w:rPr>
      </w:pPr>
      <w:r>
        <w:rPr>
          <w:rFonts w:hint="eastAsia"/>
          <w:sz w:val="24"/>
          <w:szCs w:val="32"/>
        </w:rPr>
        <w:t>结合规划定位，弱化行政职能、合理控制大型学校及医疗设施用地的增加，有条件的考虑逐步疏散，逐步迁出农贸批发市场等，达到人口疏解的目的，为历史城区腾出更多的土地空间用于改善民生和产业升级。</w:t>
      </w:r>
    </w:p>
    <w:p>
      <w:pPr>
        <w:pStyle w:val="49"/>
        <w:numPr>
          <w:ilvl w:val="0"/>
          <w:numId w:val="27"/>
        </w:numPr>
        <w:ind w:left="0" w:firstLine="480"/>
        <w:rPr>
          <w:sz w:val="24"/>
          <w:szCs w:val="32"/>
        </w:rPr>
      </w:pPr>
      <w:r>
        <w:rPr>
          <w:rFonts w:hint="eastAsia"/>
          <w:sz w:val="24"/>
          <w:szCs w:val="32"/>
        </w:rPr>
        <w:t>功能整合，将功能性质互通、面向人群趋同的设施进行复合利用，开放共享。将学校、行政部门、企事业单位的文化体育设施分时段、分片区合理地向城区居民开放。</w:t>
      </w:r>
    </w:p>
    <w:p>
      <w:pPr>
        <w:pStyle w:val="49"/>
        <w:numPr>
          <w:ilvl w:val="0"/>
          <w:numId w:val="27"/>
        </w:numPr>
        <w:ind w:left="0" w:firstLine="480"/>
        <w:rPr>
          <w:sz w:val="24"/>
          <w:szCs w:val="32"/>
        </w:rPr>
      </w:pPr>
      <w:r>
        <w:rPr>
          <w:rFonts w:hint="eastAsia"/>
          <w:sz w:val="24"/>
          <w:szCs w:val="32"/>
        </w:rPr>
        <w:t>加强利用闲置的不可移动文物、历史建筑、传统风貌建筑等历史文化遗产获得可利用的空间，在满足保护的前提下，鼓励将此类保护性建筑活化利用，置入文化展示、社区服务等功能。</w:t>
      </w:r>
    </w:p>
    <w:p>
      <w:pPr>
        <w:pStyle w:val="49"/>
        <w:numPr>
          <w:ilvl w:val="0"/>
          <w:numId w:val="27"/>
        </w:numPr>
        <w:ind w:left="0" w:firstLine="480"/>
        <w:rPr>
          <w:sz w:val="24"/>
          <w:szCs w:val="32"/>
        </w:rPr>
      </w:pPr>
      <w:r>
        <w:rPr>
          <w:rFonts w:hint="eastAsia"/>
          <w:sz w:val="24"/>
          <w:szCs w:val="32"/>
        </w:rPr>
        <w:t>完善居住区的社区公共服务配套，合理配置文化设施、教育设施、体育设施、医疗设施和社会福利设施，满足历史城区居民的生活需求。</w:t>
      </w:r>
    </w:p>
    <w:p>
      <w:pPr>
        <w:pStyle w:val="49"/>
        <w:numPr>
          <w:ilvl w:val="0"/>
          <w:numId w:val="27"/>
        </w:numPr>
        <w:ind w:left="0" w:firstLine="480"/>
        <w:rPr>
          <w:sz w:val="24"/>
          <w:szCs w:val="32"/>
        </w:rPr>
      </w:pPr>
      <w:r>
        <w:rPr>
          <w:rFonts w:hint="eastAsia"/>
          <w:sz w:val="24"/>
          <w:szCs w:val="32"/>
        </w:rPr>
        <w:t>鼓励未来有条件的情况下，逐步恢复古城内历史上具有重要地位的公共建筑，作为文化旅游或公共服务设施用地。</w:t>
      </w:r>
    </w:p>
    <w:p>
      <w:pPr>
        <w:pStyle w:val="4"/>
        <w:numPr>
          <w:ilvl w:val="0"/>
          <w:numId w:val="2"/>
        </w:numPr>
        <w:spacing w:before="312" w:beforeLines="100" w:after="0" w:line="415" w:lineRule="auto"/>
        <w:jc w:val="both"/>
        <w:rPr>
          <w:sz w:val="24"/>
          <w:szCs w:val="24"/>
        </w:rPr>
      </w:pPr>
      <w:r>
        <w:rPr>
          <w:rFonts w:hint="eastAsia"/>
          <w:sz w:val="24"/>
          <w:szCs w:val="24"/>
        </w:rPr>
        <w:t>市政基础</w:t>
      </w:r>
      <w:r>
        <w:rPr>
          <w:sz w:val="24"/>
          <w:szCs w:val="24"/>
        </w:rPr>
        <w:t>设施</w:t>
      </w:r>
      <w:r>
        <w:rPr>
          <w:rFonts w:hint="eastAsia"/>
          <w:sz w:val="24"/>
          <w:szCs w:val="24"/>
        </w:rPr>
        <w:t>改善规划</w:t>
      </w:r>
    </w:p>
    <w:p>
      <w:pPr>
        <w:ind w:firstLine="480"/>
        <w:rPr>
          <w:sz w:val="24"/>
          <w:szCs w:val="28"/>
        </w:rPr>
      </w:pPr>
      <w:r>
        <w:rPr>
          <w:rFonts w:hint="eastAsia"/>
          <w:sz w:val="24"/>
          <w:szCs w:val="28"/>
        </w:rPr>
        <w:t>历史城区内的市政基础设施以改造为主，与用地布局、道路交通组织统筹协调。</w:t>
      </w:r>
    </w:p>
    <w:p>
      <w:pPr>
        <w:pStyle w:val="49"/>
        <w:numPr>
          <w:ilvl w:val="1"/>
          <w:numId w:val="28"/>
        </w:numPr>
        <w:ind w:left="0" w:firstLine="480"/>
        <w:rPr>
          <w:bCs/>
          <w:sz w:val="24"/>
          <w:szCs w:val="24"/>
        </w:rPr>
      </w:pPr>
      <w:r>
        <w:rPr>
          <w:rFonts w:hint="eastAsia"/>
          <w:bCs/>
          <w:sz w:val="24"/>
          <w:szCs w:val="24"/>
        </w:rPr>
        <w:t>优化调整规划</w:t>
      </w:r>
    </w:p>
    <w:p>
      <w:pPr>
        <w:ind w:firstLine="480"/>
        <w:rPr>
          <w:sz w:val="24"/>
          <w:szCs w:val="24"/>
        </w:rPr>
      </w:pPr>
      <w:r>
        <w:rPr>
          <w:rFonts w:hint="eastAsia"/>
          <w:sz w:val="24"/>
          <w:szCs w:val="24"/>
        </w:rPr>
        <w:t>对于现状历史城区已存在的大型市政基础设施要统筹优化，提出调整措施：历史城区内的环城东路垃圾转运站、环城西路垃圾转运站、通信二类局站应逐步向历史城区外围转移。</w:t>
      </w:r>
    </w:p>
    <w:p>
      <w:pPr>
        <w:ind w:firstLine="480"/>
        <w:rPr>
          <w:sz w:val="24"/>
          <w:szCs w:val="24"/>
        </w:rPr>
      </w:pPr>
      <w:r>
        <w:rPr>
          <w:rFonts w:hint="eastAsia"/>
          <w:sz w:val="24"/>
          <w:szCs w:val="24"/>
        </w:rPr>
        <w:t>历史城区内部不新增市政基础设施，为历史城区服务的市政基础设施宜布置在历史城区周边地带。</w:t>
      </w:r>
    </w:p>
    <w:p>
      <w:pPr>
        <w:ind w:firstLine="480"/>
        <w:rPr>
          <w:sz w:val="24"/>
          <w:szCs w:val="24"/>
        </w:rPr>
      </w:pPr>
      <w:r>
        <w:rPr>
          <w:rFonts w:hint="eastAsia"/>
          <w:sz w:val="24"/>
          <w:szCs w:val="24"/>
        </w:rPr>
        <w:t>市政管线以地下敷设为主，当建设条件受限时需要沿墙或架空敷设时，应进行隐蔽和美化处理，要求市政设施建设与历史城区整体风貌相协调。</w:t>
      </w:r>
    </w:p>
    <w:p>
      <w:pPr>
        <w:pStyle w:val="49"/>
        <w:numPr>
          <w:ilvl w:val="1"/>
          <w:numId w:val="28"/>
        </w:numPr>
        <w:ind w:left="0" w:firstLine="480"/>
        <w:rPr>
          <w:bCs/>
          <w:sz w:val="24"/>
          <w:szCs w:val="24"/>
        </w:rPr>
      </w:pPr>
      <w:r>
        <w:rPr>
          <w:rFonts w:hint="eastAsia"/>
          <w:bCs/>
          <w:sz w:val="24"/>
          <w:szCs w:val="24"/>
        </w:rPr>
        <w:t>给水工程规划</w:t>
      </w:r>
    </w:p>
    <w:p>
      <w:pPr>
        <w:ind w:firstLine="480"/>
        <w:rPr>
          <w:sz w:val="24"/>
          <w:szCs w:val="24"/>
        </w:rPr>
      </w:pPr>
      <w:r>
        <w:rPr>
          <w:rFonts w:hint="eastAsia"/>
          <w:sz w:val="24"/>
          <w:szCs w:val="24"/>
        </w:rPr>
        <w:t>完善历史城区内供水管网，以更新供水管材为主</w:t>
      </w:r>
      <w:r>
        <w:rPr>
          <w:sz w:val="24"/>
          <w:szCs w:val="24"/>
        </w:rPr>
        <w:t>。供水量除满足历史城区居住及公共服务设施的需求外，还应考虑旅游人口的用水需求。</w:t>
      </w:r>
    </w:p>
    <w:p>
      <w:pPr>
        <w:pStyle w:val="49"/>
        <w:numPr>
          <w:ilvl w:val="1"/>
          <w:numId w:val="28"/>
        </w:numPr>
        <w:ind w:left="0" w:firstLine="480"/>
        <w:rPr>
          <w:bCs/>
          <w:sz w:val="24"/>
          <w:szCs w:val="24"/>
        </w:rPr>
      </w:pPr>
      <w:r>
        <w:rPr>
          <w:rFonts w:hint="eastAsia"/>
          <w:bCs/>
          <w:sz w:val="24"/>
          <w:szCs w:val="24"/>
        </w:rPr>
        <w:t>排水工程规划</w:t>
      </w:r>
    </w:p>
    <w:p>
      <w:pPr>
        <w:ind w:firstLine="480"/>
        <w:rPr>
          <w:sz w:val="24"/>
          <w:szCs w:val="24"/>
        </w:rPr>
      </w:pPr>
      <w:r>
        <w:rPr>
          <w:sz w:val="24"/>
          <w:szCs w:val="24"/>
        </w:rPr>
        <w:t>完善历史城区的污水管网系统，结合传统街巷改造，进一步延伸污水末梢管道，提高收集率和集中处理率。雨水排放遵循分片就近原则。</w:t>
      </w:r>
    </w:p>
    <w:p>
      <w:pPr>
        <w:ind w:firstLine="480"/>
        <w:rPr>
          <w:sz w:val="24"/>
          <w:szCs w:val="24"/>
        </w:rPr>
      </w:pPr>
      <w:r>
        <w:rPr>
          <w:sz w:val="24"/>
          <w:szCs w:val="24"/>
        </w:rPr>
        <w:t>雨水排放遵循分片就近原则，历史城区内具有历史风貌特色的传统雨水收集、排除和利用设施应予以保护并延续其功能。</w:t>
      </w:r>
    </w:p>
    <w:p>
      <w:pPr>
        <w:pStyle w:val="49"/>
        <w:numPr>
          <w:ilvl w:val="1"/>
          <w:numId w:val="28"/>
        </w:numPr>
        <w:ind w:left="0" w:firstLine="480"/>
        <w:rPr>
          <w:bCs/>
          <w:sz w:val="24"/>
          <w:szCs w:val="24"/>
        </w:rPr>
        <w:sectPr>
          <w:pgSz w:w="11907" w:h="16839"/>
          <w:pgMar w:top="1440" w:right="1080" w:bottom="1440" w:left="1080" w:header="851" w:footer="737" w:gutter="0"/>
          <w:cols w:space="425" w:num="1"/>
          <w:docGrid w:type="lines" w:linePitch="312" w:charSpace="0"/>
        </w:sectPr>
      </w:pPr>
    </w:p>
    <w:p>
      <w:pPr>
        <w:pStyle w:val="49"/>
        <w:numPr>
          <w:ilvl w:val="1"/>
          <w:numId w:val="28"/>
        </w:numPr>
        <w:ind w:left="0" w:firstLine="480"/>
        <w:rPr>
          <w:bCs/>
          <w:sz w:val="24"/>
          <w:szCs w:val="24"/>
        </w:rPr>
      </w:pPr>
      <w:r>
        <w:rPr>
          <w:rFonts w:hint="eastAsia"/>
          <w:bCs/>
          <w:sz w:val="24"/>
          <w:szCs w:val="24"/>
        </w:rPr>
        <w:t>电力通讯规划</w:t>
      </w:r>
    </w:p>
    <w:p>
      <w:pPr>
        <w:ind w:firstLine="480"/>
        <w:rPr>
          <w:sz w:val="24"/>
          <w:szCs w:val="24"/>
        </w:rPr>
      </w:pPr>
      <w:r>
        <w:rPr>
          <w:sz w:val="24"/>
          <w:szCs w:val="24"/>
        </w:rPr>
        <w:t>历史城区的用电负荷应能充分满足居民生活用电、公共设施用电、旅游景观用电及消防安全用电的需求，留有发展余地。</w:t>
      </w:r>
      <w:r>
        <w:rPr>
          <w:rFonts w:hint="eastAsia"/>
          <w:sz w:val="24"/>
          <w:szCs w:val="24"/>
        </w:rPr>
        <w:t>完善</w:t>
      </w:r>
      <w:r>
        <w:rPr>
          <w:sz w:val="24"/>
          <w:szCs w:val="24"/>
        </w:rPr>
        <w:t>5G移</w:t>
      </w:r>
      <w:r>
        <w:rPr>
          <w:rFonts w:hint="eastAsia"/>
          <w:sz w:val="24"/>
          <w:szCs w:val="24"/>
        </w:rPr>
        <w:t>动通信基础设施建设，实现</w:t>
      </w:r>
      <w:r>
        <w:rPr>
          <w:sz w:val="24"/>
          <w:szCs w:val="24"/>
        </w:rPr>
        <w:t>5G</w:t>
      </w:r>
      <w:r>
        <w:rPr>
          <w:rFonts w:hint="eastAsia"/>
          <w:sz w:val="24"/>
          <w:szCs w:val="24"/>
        </w:rPr>
        <w:t>历史城区</w:t>
      </w:r>
      <w:r>
        <w:rPr>
          <w:sz w:val="24"/>
          <w:szCs w:val="24"/>
        </w:rPr>
        <w:t>网络全覆盖，</w:t>
      </w:r>
      <w:r>
        <w:rPr>
          <w:rFonts w:hint="eastAsia"/>
          <w:sz w:val="24"/>
          <w:szCs w:val="24"/>
        </w:rPr>
        <w:t>加快千兆光纤网络部署，弱电线路可以共用市政管道</w:t>
      </w:r>
      <w:r>
        <w:rPr>
          <w:sz w:val="24"/>
          <w:szCs w:val="24"/>
        </w:rPr>
        <w:t>。</w:t>
      </w:r>
    </w:p>
    <w:p>
      <w:pPr>
        <w:pStyle w:val="49"/>
        <w:numPr>
          <w:ilvl w:val="1"/>
          <w:numId w:val="28"/>
        </w:numPr>
        <w:ind w:left="0" w:firstLine="480"/>
        <w:rPr>
          <w:bCs/>
          <w:sz w:val="24"/>
          <w:szCs w:val="24"/>
        </w:rPr>
      </w:pPr>
      <w:r>
        <w:rPr>
          <w:rFonts w:hint="eastAsia"/>
          <w:bCs/>
          <w:sz w:val="24"/>
          <w:szCs w:val="24"/>
        </w:rPr>
        <w:t>环卫工程规划</w:t>
      </w:r>
    </w:p>
    <w:p>
      <w:pPr>
        <w:ind w:firstLine="480"/>
        <w:rPr>
          <w:sz w:val="24"/>
          <w:szCs w:val="24"/>
        </w:rPr>
      </w:pPr>
      <w:r>
        <w:rPr>
          <w:sz w:val="24"/>
          <w:szCs w:val="24"/>
        </w:rPr>
        <w:t>历史城区的垃圾产生量预测包括居民垃圾量、通勤人口垃圾量及旅游人口垃圾量；逐步推进垃圾分类收集，力争减量化、无害化、资源化。按风貌相匹配的原则，提升改造现状垃圾收集房、收集桶。公共厕所及垃圾果壳箱布置应充分考虑旅游及景观要求</w:t>
      </w:r>
      <w:r>
        <w:rPr>
          <w:rFonts w:hint="eastAsia"/>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防灾</w:t>
      </w:r>
      <w:r>
        <w:rPr>
          <w:sz w:val="24"/>
          <w:szCs w:val="24"/>
        </w:rPr>
        <w:t>设施</w:t>
      </w:r>
      <w:r>
        <w:rPr>
          <w:rFonts w:hint="eastAsia"/>
          <w:sz w:val="24"/>
          <w:szCs w:val="24"/>
        </w:rPr>
        <w:t>改善规划</w:t>
      </w:r>
    </w:p>
    <w:p>
      <w:pPr>
        <w:ind w:firstLine="482"/>
        <w:rPr>
          <w:b/>
          <w:sz w:val="24"/>
          <w:szCs w:val="24"/>
        </w:rPr>
      </w:pPr>
      <w:r>
        <w:rPr>
          <w:rFonts w:hint="eastAsia"/>
          <w:b/>
          <w:sz w:val="24"/>
          <w:szCs w:val="24"/>
        </w:rPr>
        <w:t>（一）消防工程规划</w:t>
      </w:r>
    </w:p>
    <w:p>
      <w:pPr>
        <w:pStyle w:val="49"/>
        <w:numPr>
          <w:ilvl w:val="0"/>
          <w:numId w:val="29"/>
        </w:numPr>
        <w:ind w:firstLineChars="0"/>
        <w:rPr>
          <w:bCs/>
          <w:sz w:val="24"/>
          <w:szCs w:val="24"/>
        </w:rPr>
      </w:pPr>
      <w:r>
        <w:rPr>
          <w:rFonts w:hint="eastAsia"/>
          <w:bCs/>
          <w:sz w:val="24"/>
          <w:szCs w:val="24"/>
        </w:rPr>
        <w:t>消防通道</w:t>
      </w:r>
    </w:p>
    <w:p>
      <w:pPr>
        <w:ind w:firstLine="480"/>
        <w:rPr>
          <w:sz w:val="24"/>
          <w:szCs w:val="24"/>
        </w:rPr>
      </w:pPr>
      <w:r>
        <w:rPr>
          <w:rFonts w:hint="eastAsia"/>
          <w:sz w:val="24"/>
          <w:szCs w:val="24"/>
        </w:rPr>
        <w:t>历史城区保护范围内按现行消防技术标准设置消火栓和消防车道。当道路街巷系统无法满足消防通道要求时，加大区内消防栓布置密度，配备小型或便于携带的消防设备。</w:t>
      </w:r>
    </w:p>
    <w:p>
      <w:pPr>
        <w:pStyle w:val="49"/>
        <w:numPr>
          <w:ilvl w:val="0"/>
          <w:numId w:val="29"/>
        </w:numPr>
        <w:ind w:left="0" w:firstLine="480"/>
        <w:rPr>
          <w:bCs/>
          <w:sz w:val="24"/>
          <w:szCs w:val="24"/>
        </w:rPr>
      </w:pPr>
      <w:r>
        <w:rPr>
          <w:rFonts w:hint="eastAsia"/>
          <w:bCs/>
          <w:sz w:val="24"/>
          <w:szCs w:val="24"/>
        </w:rPr>
        <w:t>消防设备</w:t>
      </w:r>
    </w:p>
    <w:p>
      <w:pPr>
        <w:ind w:firstLine="480"/>
        <w:rPr>
          <w:bCs/>
          <w:sz w:val="24"/>
          <w:szCs w:val="24"/>
        </w:rPr>
      </w:pPr>
      <w:r>
        <w:rPr>
          <w:rFonts w:hint="eastAsia"/>
          <w:bCs/>
          <w:sz w:val="24"/>
          <w:szCs w:val="24"/>
        </w:rPr>
        <w:t>市政消火栓宜采用直径150毫米的室外消火栓，并应符合下列要求：室外地上式消火栓应有一个直径为150毫米或100毫米和两个直径为65毫米的栓口；室外地下式消火栓应有直径为100毫米和65毫米的栓口各一个。除布置消火栓以外，对有保护价值建筑适当设置自动喷淋系统保护重要的建筑构件。室内装备的手提式干粉灭火器，辅助室内火灾自动报警系统，烟雾探测器，共同组成消防设施系统。</w:t>
      </w:r>
    </w:p>
    <w:p>
      <w:pPr>
        <w:pStyle w:val="49"/>
        <w:numPr>
          <w:ilvl w:val="0"/>
          <w:numId w:val="29"/>
        </w:numPr>
        <w:ind w:left="0" w:firstLine="480"/>
        <w:rPr>
          <w:bCs/>
          <w:sz w:val="24"/>
          <w:szCs w:val="24"/>
        </w:rPr>
      </w:pPr>
      <w:r>
        <w:rPr>
          <w:rFonts w:hint="eastAsia"/>
          <w:bCs/>
          <w:sz w:val="24"/>
          <w:szCs w:val="24"/>
        </w:rPr>
        <w:t>消防供水</w:t>
      </w:r>
    </w:p>
    <w:p>
      <w:pPr>
        <w:ind w:firstLine="480"/>
        <w:rPr>
          <w:sz w:val="24"/>
          <w:szCs w:val="24"/>
        </w:rPr>
      </w:pPr>
      <w:r>
        <w:rPr>
          <w:rFonts w:hint="eastAsia"/>
          <w:sz w:val="24"/>
          <w:szCs w:val="24"/>
        </w:rPr>
        <w:t>结合给水管设置消防栓，间距不大于</w:t>
      </w:r>
      <w:r>
        <w:rPr>
          <w:sz w:val="24"/>
          <w:szCs w:val="24"/>
        </w:rPr>
        <w:t>80米，同时基于对重要建筑及街巷的保护需求，增加</w:t>
      </w:r>
      <w:r>
        <w:rPr>
          <w:rFonts w:hint="eastAsia"/>
          <w:sz w:val="24"/>
          <w:szCs w:val="24"/>
        </w:rPr>
        <w:t>三影塔</w:t>
      </w:r>
      <w:r>
        <w:rPr>
          <w:sz w:val="24"/>
          <w:szCs w:val="24"/>
        </w:rPr>
        <w:t>、</w:t>
      </w:r>
      <w:r>
        <w:rPr>
          <w:rFonts w:hint="eastAsia"/>
          <w:sz w:val="24"/>
          <w:szCs w:val="24"/>
        </w:rPr>
        <w:t>正南门、廻澜门</w:t>
      </w:r>
      <w:r>
        <w:rPr>
          <w:sz w:val="24"/>
          <w:szCs w:val="24"/>
        </w:rPr>
        <w:t>以及</w:t>
      </w:r>
      <w:r>
        <w:rPr>
          <w:rFonts w:hint="eastAsia"/>
          <w:sz w:val="24"/>
          <w:szCs w:val="24"/>
        </w:rPr>
        <w:t>八一街</w:t>
      </w:r>
      <w:r>
        <w:rPr>
          <w:sz w:val="24"/>
          <w:szCs w:val="24"/>
        </w:rPr>
        <w:t>周边的消防栓设置密度，以保证消防安全。</w:t>
      </w:r>
      <w:r>
        <w:rPr>
          <w:rFonts w:hint="eastAsia"/>
          <w:sz w:val="24"/>
          <w:szCs w:val="24"/>
        </w:rPr>
        <w:t>为保证火灾时管网的有效水压，规定接市政消火栓的给水管网运行压力为0.14兆帕，火灾时压力从地面算起不应低于0.10兆帕。</w:t>
      </w:r>
    </w:p>
    <w:p>
      <w:pPr>
        <w:ind w:firstLine="480"/>
        <w:rPr>
          <w:sz w:val="24"/>
          <w:szCs w:val="24"/>
        </w:rPr>
      </w:pPr>
      <w:r>
        <w:rPr>
          <w:rFonts w:hint="eastAsia"/>
          <w:sz w:val="24"/>
          <w:szCs w:val="24"/>
        </w:rPr>
        <w:t>南雄市公安消防大队</w:t>
      </w:r>
      <w:r>
        <w:rPr>
          <w:sz w:val="24"/>
          <w:szCs w:val="24"/>
        </w:rPr>
        <w:t>负责消防水源建成后的使用，</w:t>
      </w:r>
      <w:r>
        <w:rPr>
          <w:rFonts w:hint="eastAsia"/>
          <w:sz w:val="24"/>
          <w:szCs w:val="24"/>
        </w:rPr>
        <w:t>消防水源以人工水源为主，可将具备取水条件的浈江、凌江水系作为消防备用水源。</w:t>
      </w:r>
    </w:p>
    <w:p>
      <w:pPr>
        <w:pStyle w:val="49"/>
        <w:numPr>
          <w:ilvl w:val="0"/>
          <w:numId w:val="29"/>
        </w:numPr>
        <w:ind w:left="0" w:firstLine="480"/>
        <w:rPr>
          <w:bCs/>
          <w:sz w:val="24"/>
          <w:szCs w:val="24"/>
        </w:rPr>
        <w:sectPr>
          <w:pgSz w:w="11907" w:h="16839"/>
          <w:pgMar w:top="1440" w:right="1080" w:bottom="1440" w:left="1080" w:header="851" w:footer="737" w:gutter="0"/>
          <w:cols w:space="425" w:num="1"/>
          <w:docGrid w:type="lines" w:linePitch="312" w:charSpace="0"/>
        </w:sectPr>
      </w:pPr>
    </w:p>
    <w:p>
      <w:pPr>
        <w:pStyle w:val="49"/>
        <w:numPr>
          <w:ilvl w:val="0"/>
          <w:numId w:val="29"/>
        </w:numPr>
        <w:ind w:left="0" w:firstLine="480"/>
        <w:rPr>
          <w:bCs/>
          <w:sz w:val="24"/>
          <w:szCs w:val="24"/>
        </w:rPr>
      </w:pPr>
      <w:r>
        <w:rPr>
          <w:rFonts w:hint="eastAsia"/>
          <w:bCs/>
          <w:sz w:val="24"/>
          <w:szCs w:val="24"/>
        </w:rPr>
        <w:t>新技术应用</w:t>
      </w:r>
    </w:p>
    <w:p>
      <w:pPr>
        <w:ind w:firstLine="480"/>
        <w:rPr>
          <w:bCs/>
          <w:sz w:val="24"/>
          <w:szCs w:val="24"/>
        </w:rPr>
      </w:pPr>
      <w:r>
        <w:rPr>
          <w:rFonts w:hint="eastAsia"/>
          <w:bCs/>
          <w:sz w:val="24"/>
          <w:szCs w:val="24"/>
        </w:rPr>
        <w:t>建议在历史城区高价值保护区域建立一套基于热成像应用的高精度防火系统，通过热成像技术可监测到文物内部空间的温度异常，发现火情更快速、预报火警更准确、火警处置更高效，实现科学防火，最大化降低损失。</w:t>
      </w:r>
    </w:p>
    <w:p>
      <w:pPr>
        <w:ind w:firstLine="482"/>
        <w:rPr>
          <w:b/>
          <w:sz w:val="24"/>
          <w:szCs w:val="24"/>
        </w:rPr>
      </w:pPr>
      <w:r>
        <w:rPr>
          <w:rFonts w:hint="eastAsia"/>
          <w:b/>
          <w:sz w:val="24"/>
          <w:szCs w:val="24"/>
        </w:rPr>
        <w:t>（二）防洪排涝规划</w:t>
      </w:r>
    </w:p>
    <w:p>
      <w:pPr>
        <w:ind w:firstLine="480"/>
        <w:rPr>
          <w:sz w:val="24"/>
          <w:szCs w:val="24"/>
        </w:rPr>
      </w:pPr>
      <w:r>
        <w:rPr>
          <w:rFonts w:hint="eastAsia"/>
          <w:sz w:val="24"/>
          <w:szCs w:val="24"/>
        </w:rPr>
        <w:t>历史城区防洪标准按</w:t>
      </w:r>
      <w:r>
        <w:rPr>
          <w:sz w:val="24"/>
          <w:szCs w:val="24"/>
        </w:rPr>
        <w:t>50年一遇</w:t>
      </w:r>
      <w:r>
        <w:rPr>
          <w:rFonts w:hint="eastAsia"/>
          <w:sz w:val="24"/>
          <w:szCs w:val="24"/>
        </w:rPr>
        <w:t>设防，</w:t>
      </w:r>
      <w:r>
        <w:rPr>
          <w:sz w:val="24"/>
          <w:szCs w:val="24"/>
        </w:rPr>
        <w:t>20</w:t>
      </w:r>
      <w:r>
        <w:rPr>
          <w:rFonts w:hint="eastAsia"/>
          <w:sz w:val="24"/>
          <w:szCs w:val="24"/>
        </w:rPr>
        <w:t>年一遇暴雨不成灾</w:t>
      </w:r>
      <w:r>
        <w:rPr>
          <w:sz w:val="24"/>
          <w:szCs w:val="24"/>
        </w:rPr>
        <w:t>的</w:t>
      </w:r>
      <w:r>
        <w:rPr>
          <w:rFonts w:hint="eastAsia"/>
          <w:sz w:val="24"/>
          <w:szCs w:val="24"/>
        </w:rPr>
        <w:t>排涝</w:t>
      </w:r>
      <w:r>
        <w:rPr>
          <w:sz w:val="24"/>
          <w:szCs w:val="24"/>
        </w:rPr>
        <w:t>标准。</w:t>
      </w:r>
      <w:r>
        <w:rPr>
          <w:rFonts w:hint="eastAsia"/>
          <w:sz w:val="24"/>
          <w:szCs w:val="24"/>
        </w:rPr>
        <w:t>定期检测维护雄州古城墙，确保行洪安全。临近历史城区的</w:t>
      </w:r>
      <w:r>
        <w:rPr>
          <w:sz w:val="24"/>
          <w:szCs w:val="24"/>
        </w:rPr>
        <w:t>防洪堤坝应与自然环境和历史环境协调，</w:t>
      </w:r>
      <w:r>
        <w:rPr>
          <w:rFonts w:hint="eastAsia"/>
          <w:sz w:val="24"/>
          <w:szCs w:val="24"/>
        </w:rPr>
        <w:t>合理利用南雄古城墙营造人文景观与特色，构建游憩休闲系统；</w:t>
      </w:r>
    </w:p>
    <w:p>
      <w:pPr>
        <w:ind w:firstLine="480"/>
        <w:rPr>
          <w:sz w:val="24"/>
          <w:szCs w:val="24"/>
        </w:rPr>
      </w:pPr>
      <w:r>
        <w:rPr>
          <w:rFonts w:hint="eastAsia"/>
          <w:sz w:val="24"/>
          <w:szCs w:val="24"/>
        </w:rPr>
        <w:t>加强水土保持工作，防止水土流失。南雄市的防洪规划应当与浈江流域整治规划相结合，加强上游绿化，增加植被，提高植被涵养水分的能力；</w:t>
      </w:r>
    </w:p>
    <w:p>
      <w:pPr>
        <w:ind w:firstLine="480"/>
        <w:rPr>
          <w:sz w:val="24"/>
          <w:szCs w:val="24"/>
        </w:rPr>
      </w:pPr>
      <w:r>
        <w:rPr>
          <w:rFonts w:hint="eastAsia"/>
          <w:sz w:val="24"/>
          <w:szCs w:val="24"/>
        </w:rPr>
        <w:t>按照海绵城市的建设要求，</w:t>
      </w:r>
      <w:r>
        <w:rPr>
          <w:sz w:val="24"/>
          <w:szCs w:val="24"/>
        </w:rPr>
        <w:t>因地制宜，采取蓄、滞、渗、净、用、排结合</w:t>
      </w:r>
      <w:r>
        <w:rPr>
          <w:rFonts w:hint="eastAsia"/>
          <w:sz w:val="24"/>
          <w:szCs w:val="24"/>
        </w:rPr>
        <w:t>的方式</w:t>
      </w:r>
      <w:r>
        <w:rPr>
          <w:sz w:val="24"/>
          <w:szCs w:val="24"/>
        </w:rPr>
        <w:t>，</w:t>
      </w:r>
      <w:r>
        <w:rPr>
          <w:rFonts w:hint="eastAsia"/>
          <w:sz w:val="24"/>
          <w:szCs w:val="24"/>
        </w:rPr>
        <w:t>历史城区</w:t>
      </w:r>
      <w:r>
        <w:rPr>
          <w:sz w:val="24"/>
          <w:szCs w:val="24"/>
        </w:rPr>
        <w:t>严格控制城市不透水面积比例</w:t>
      </w:r>
      <w:r>
        <w:rPr>
          <w:rFonts w:hint="eastAsia"/>
          <w:sz w:val="24"/>
          <w:szCs w:val="24"/>
        </w:rPr>
        <w:t>。</w:t>
      </w:r>
    </w:p>
    <w:p>
      <w:pPr>
        <w:ind w:firstLine="482"/>
        <w:rPr>
          <w:b/>
          <w:sz w:val="24"/>
          <w:szCs w:val="24"/>
        </w:rPr>
      </w:pPr>
      <w:r>
        <w:rPr>
          <w:rFonts w:hint="eastAsia"/>
          <w:b/>
          <w:sz w:val="24"/>
          <w:szCs w:val="24"/>
        </w:rPr>
        <w:t>（三）避难空间规划</w:t>
      </w:r>
    </w:p>
    <w:p>
      <w:pPr>
        <w:ind w:firstLine="480"/>
        <w:rPr>
          <w:sz w:val="24"/>
          <w:szCs w:val="24"/>
        </w:rPr>
      </w:pPr>
      <w:bookmarkStart w:id="82" w:name="_Hlk171079983"/>
      <w:r>
        <w:rPr>
          <w:rFonts w:hint="eastAsia"/>
          <w:sz w:val="24"/>
          <w:szCs w:val="24"/>
        </w:rPr>
        <w:t>完善历史城区防灾减灾空间布局，应急避难场所结合三影塔广场、正南门前广场、迴澜门遗址公园等城市广场、公园绿地等开敞空间设置，承担历史城区的应急避难任务。依托历史城区的社区生活圈构建分布式、全覆盖的防灾、疏散、安全救援管理单元，建设“平急两用”公共基础设施。</w:t>
      </w:r>
    </w:p>
    <w:bookmarkEnd w:id="82"/>
    <w:p>
      <w:pPr>
        <w:pStyle w:val="4"/>
        <w:numPr>
          <w:ilvl w:val="0"/>
          <w:numId w:val="2"/>
        </w:numPr>
        <w:spacing w:before="312" w:beforeLines="100" w:after="0" w:line="415" w:lineRule="auto"/>
        <w:jc w:val="both"/>
        <w:rPr>
          <w:sz w:val="24"/>
          <w:szCs w:val="24"/>
        </w:rPr>
      </w:pPr>
      <w:r>
        <w:rPr>
          <w:rFonts w:hint="eastAsia"/>
          <w:sz w:val="24"/>
          <w:szCs w:val="24"/>
        </w:rPr>
        <w:t>环境保护规划</w:t>
      </w:r>
    </w:p>
    <w:p>
      <w:pPr>
        <w:ind w:firstLine="482"/>
        <w:rPr>
          <w:b/>
          <w:sz w:val="24"/>
          <w:szCs w:val="24"/>
        </w:rPr>
      </w:pPr>
      <w:bookmarkStart w:id="83" w:name="_Hlk171079944"/>
      <w:r>
        <w:rPr>
          <w:rFonts w:hint="eastAsia"/>
          <w:b/>
          <w:sz w:val="24"/>
          <w:szCs w:val="24"/>
        </w:rPr>
        <w:t>（一）水环境保护规划</w:t>
      </w:r>
    </w:p>
    <w:p>
      <w:pPr>
        <w:ind w:firstLine="480"/>
        <w:rPr>
          <w:sz w:val="24"/>
          <w:szCs w:val="24"/>
        </w:rPr>
      </w:pPr>
      <w:r>
        <w:rPr>
          <w:rFonts w:hint="eastAsia"/>
          <w:sz w:val="24"/>
          <w:szCs w:val="24"/>
        </w:rPr>
        <w:t>加强历史城区河道的综合整治。严格控制南雄市历史城区范围内浈江、凌江的水质。按照环保的要求对河流进行保护，限制上游地区的污水排放，并积极地进行滨水绿带及景观的建设。</w:t>
      </w:r>
    </w:p>
    <w:p>
      <w:pPr>
        <w:ind w:firstLine="482"/>
        <w:rPr>
          <w:b/>
          <w:sz w:val="24"/>
          <w:szCs w:val="24"/>
        </w:rPr>
      </w:pPr>
      <w:r>
        <w:rPr>
          <w:rFonts w:hint="eastAsia"/>
          <w:b/>
          <w:sz w:val="24"/>
          <w:szCs w:val="24"/>
        </w:rPr>
        <w:t>（二）大气环境保护规划</w:t>
      </w:r>
    </w:p>
    <w:p>
      <w:pPr>
        <w:ind w:firstLine="480"/>
        <w:rPr>
          <w:sz w:val="24"/>
          <w:szCs w:val="24"/>
        </w:rPr>
      </w:pPr>
      <w:r>
        <w:rPr>
          <w:rFonts w:hint="eastAsia"/>
          <w:sz w:val="24"/>
          <w:szCs w:val="24"/>
        </w:rPr>
        <w:t>历史城区执行《环境空气质量标准》（</w:t>
      </w:r>
      <w:r>
        <w:rPr>
          <w:sz w:val="24"/>
          <w:szCs w:val="24"/>
        </w:rPr>
        <w:t>GB3095-2012）</w:t>
      </w:r>
      <w:r>
        <w:rPr>
          <w:rFonts w:hint="eastAsia"/>
          <w:sz w:val="24"/>
          <w:szCs w:val="24"/>
        </w:rPr>
        <w:t>二类区质量标准</w:t>
      </w:r>
      <w:r>
        <w:rPr>
          <w:sz w:val="24"/>
          <w:szCs w:val="24"/>
        </w:rPr>
        <w:t>。</w:t>
      </w:r>
    </w:p>
    <w:p>
      <w:pPr>
        <w:ind w:firstLine="480"/>
        <w:rPr>
          <w:sz w:val="24"/>
          <w:szCs w:val="24"/>
        </w:rPr>
      </w:pPr>
      <w:r>
        <w:rPr>
          <w:rFonts w:hint="eastAsia"/>
          <w:sz w:val="24"/>
          <w:szCs w:val="24"/>
        </w:rPr>
        <w:t>加强大气污染防治与治理，结合绿地系统与江河水系构建的历史城区通风廊道，严禁在历史城区风道经过的区域布置有热污染和严重空气污染影响的工业用地。</w:t>
      </w:r>
    </w:p>
    <w:p>
      <w:pPr>
        <w:ind w:firstLine="482"/>
        <w:rPr>
          <w:b/>
          <w:sz w:val="24"/>
          <w:szCs w:val="24"/>
        </w:rPr>
      </w:pPr>
      <w:r>
        <w:rPr>
          <w:rFonts w:hint="eastAsia"/>
          <w:b/>
          <w:sz w:val="24"/>
          <w:szCs w:val="24"/>
        </w:rPr>
        <w:t>（三）声环境保护规划</w:t>
      </w:r>
    </w:p>
    <w:p>
      <w:pPr>
        <w:ind w:firstLine="480"/>
        <w:rPr>
          <w:sz w:val="24"/>
          <w:szCs w:val="24"/>
        </w:rPr>
      </w:pPr>
      <w:r>
        <w:rPr>
          <w:rFonts w:hint="eastAsia"/>
          <w:sz w:val="24"/>
          <w:szCs w:val="24"/>
        </w:rPr>
        <w:t>加强历史城区内环境噪音的综合整治，对产生环境噪音的源点进行限制或要求采取控制措施。</w:t>
      </w:r>
    </w:p>
    <w:p>
      <w:pPr>
        <w:ind w:firstLine="480"/>
        <w:rPr>
          <w:sz w:val="24"/>
          <w:szCs w:val="24"/>
        </w:rPr>
      </w:pPr>
      <w:r>
        <w:rPr>
          <w:rFonts w:hint="eastAsia"/>
          <w:sz w:val="24"/>
          <w:szCs w:val="24"/>
        </w:rPr>
        <w:t>加强对工程项目的环境质量评价，有效治理和控制噪声源。加强建筑工地管理，严格限制非施工</w:t>
      </w:r>
      <w:r>
        <w:rPr>
          <w:sz w:val="24"/>
          <w:szCs w:val="24"/>
        </w:rPr>
        <w:t>时段的施工</w:t>
      </w:r>
      <w:r>
        <w:rPr>
          <w:rFonts w:hint="eastAsia"/>
          <w:sz w:val="24"/>
          <w:szCs w:val="24"/>
        </w:rPr>
        <w:t>建设活动。</w:t>
      </w:r>
    </w:p>
    <w:p>
      <w:pPr>
        <w:ind w:firstLine="482"/>
        <w:rPr>
          <w:b/>
          <w:sz w:val="24"/>
          <w:szCs w:val="24"/>
        </w:rPr>
      </w:pPr>
      <w:r>
        <w:rPr>
          <w:rFonts w:hint="eastAsia"/>
          <w:b/>
          <w:sz w:val="24"/>
          <w:szCs w:val="24"/>
        </w:rPr>
        <w:t>（四）固体废物防治</w:t>
      </w:r>
    </w:p>
    <w:p>
      <w:pPr>
        <w:ind w:firstLine="480"/>
        <w:rPr>
          <w:sz w:val="24"/>
          <w:szCs w:val="24"/>
        </w:rPr>
      </w:pPr>
      <w:r>
        <w:rPr>
          <w:rFonts w:hint="eastAsia"/>
          <w:sz w:val="24"/>
          <w:szCs w:val="24"/>
        </w:rPr>
        <w:t>建立和完善历史城区生活垃圾的分类收集和处理系统，要求垃圾无害化处理率达到1</w:t>
      </w:r>
      <w:r>
        <w:rPr>
          <w:sz w:val="24"/>
          <w:szCs w:val="24"/>
        </w:rPr>
        <w:t>00%</w:t>
      </w:r>
      <w:r>
        <w:rPr>
          <w:rFonts w:hint="eastAsia"/>
          <w:sz w:val="24"/>
          <w:szCs w:val="24"/>
        </w:rPr>
        <w:t>。</w:t>
      </w:r>
    </w:p>
    <w:p>
      <w:pPr>
        <w:ind w:firstLine="480"/>
        <w:rPr>
          <w:sz w:val="24"/>
          <w:szCs w:val="24"/>
        </w:rPr>
      </w:pPr>
      <w:r>
        <w:rPr>
          <w:rFonts w:hint="eastAsia"/>
          <w:sz w:val="24"/>
          <w:szCs w:val="24"/>
        </w:rPr>
        <w:t>坚持建筑垃圾原位利用，</w:t>
      </w:r>
      <w:r>
        <w:rPr>
          <w:sz w:val="24"/>
          <w:szCs w:val="24"/>
        </w:rPr>
        <w:t>推动餐厨</w:t>
      </w:r>
      <w:r>
        <w:rPr>
          <w:rFonts w:hint="eastAsia"/>
          <w:sz w:val="24"/>
          <w:szCs w:val="24"/>
        </w:rPr>
        <w:t>湿</w:t>
      </w:r>
      <w:r>
        <w:rPr>
          <w:sz w:val="24"/>
          <w:szCs w:val="24"/>
        </w:rPr>
        <w:t>垃圾收集改造升级</w:t>
      </w:r>
      <w:r>
        <w:rPr>
          <w:rFonts w:hint="eastAsia"/>
          <w:sz w:val="24"/>
          <w:szCs w:val="24"/>
        </w:rPr>
        <w:t>，</w:t>
      </w:r>
      <w:r>
        <w:rPr>
          <w:sz w:val="24"/>
          <w:szCs w:val="24"/>
        </w:rPr>
        <w:t>加强固体废物监管</w:t>
      </w:r>
      <w:r>
        <w:rPr>
          <w:rFonts w:hint="eastAsia"/>
          <w:sz w:val="24"/>
          <w:szCs w:val="24"/>
        </w:rPr>
        <w:t>，</w:t>
      </w:r>
      <w:r>
        <w:rPr>
          <w:sz w:val="24"/>
          <w:szCs w:val="24"/>
        </w:rPr>
        <w:t>助力历史文化名城有机更新</w:t>
      </w:r>
      <w:r>
        <w:rPr>
          <w:rFonts w:hint="eastAsia"/>
          <w:sz w:val="24"/>
          <w:szCs w:val="24"/>
        </w:rPr>
        <w:t>。</w:t>
      </w:r>
    </w:p>
    <w:bookmarkEnd w:id="60"/>
    <w:bookmarkEnd w:id="83"/>
    <w:p>
      <w:pPr>
        <w:pStyle w:val="2"/>
        <w:ind w:left="0"/>
      </w:pPr>
      <w:bookmarkStart w:id="84" w:name="_Toc204964357"/>
      <w:bookmarkStart w:id="85" w:name="_Toc77610800"/>
      <w:r>
        <w:rPr>
          <w:rFonts w:hint="eastAsia"/>
        </w:rPr>
        <w:t>历史文化名镇名村和传统村落的保护</w:t>
      </w:r>
      <w:bookmarkEnd w:id="84"/>
      <w:bookmarkEnd w:id="85"/>
    </w:p>
    <w:p>
      <w:pPr>
        <w:pStyle w:val="3"/>
        <w:numPr>
          <w:ilvl w:val="0"/>
          <w:numId w:val="30"/>
        </w:numPr>
        <w:spacing w:before="0" w:after="0"/>
        <w:ind w:left="0" w:firstLine="0"/>
        <w:jc w:val="center"/>
        <w:rPr>
          <w:rFonts w:ascii="宋体" w:hAnsi="宋体" w:eastAsia="宋体"/>
          <w:sz w:val="28"/>
          <w:szCs w:val="28"/>
        </w:rPr>
      </w:pPr>
      <w:bookmarkStart w:id="86" w:name="_Toc204964358"/>
      <w:bookmarkStart w:id="87" w:name="_Toc77610801"/>
      <w:r>
        <w:rPr>
          <w:rFonts w:hint="eastAsia" w:ascii="宋体" w:hAnsi="宋体" w:eastAsia="宋体"/>
          <w:sz w:val="28"/>
          <w:szCs w:val="28"/>
        </w:rPr>
        <w:t>历史文化名镇的保护</w:t>
      </w:r>
      <w:bookmarkEnd w:id="86"/>
    </w:p>
    <w:p>
      <w:pPr>
        <w:pStyle w:val="4"/>
        <w:numPr>
          <w:ilvl w:val="0"/>
          <w:numId w:val="2"/>
        </w:numPr>
        <w:spacing w:before="312" w:beforeLines="100" w:after="0"/>
        <w:jc w:val="both"/>
        <w:rPr>
          <w:sz w:val="24"/>
          <w:szCs w:val="24"/>
        </w:rPr>
      </w:pPr>
      <w:r>
        <w:rPr>
          <w:rFonts w:hint="eastAsia"/>
          <w:sz w:val="24"/>
          <w:szCs w:val="24"/>
        </w:rPr>
        <w:t>保护</w:t>
      </w:r>
      <w:r>
        <w:rPr>
          <w:sz w:val="24"/>
          <w:szCs w:val="24"/>
        </w:rPr>
        <w:t>名录</w:t>
      </w:r>
    </w:p>
    <w:p>
      <w:pPr>
        <w:ind w:firstLine="480"/>
        <w:rPr>
          <w:sz w:val="24"/>
          <w:szCs w:val="24"/>
          <w:u w:val="single"/>
        </w:rPr>
      </w:pPr>
      <w:r>
        <w:rPr>
          <w:rFonts w:hint="eastAsia"/>
          <w:sz w:val="24"/>
          <w:szCs w:val="24"/>
          <w:u w:val="single"/>
        </w:rPr>
        <w:t>保护1个广东省历史文化名镇，即珠玑镇（详见附表2）。</w:t>
      </w:r>
    </w:p>
    <w:p>
      <w:pPr>
        <w:pStyle w:val="4"/>
        <w:numPr>
          <w:ilvl w:val="0"/>
          <w:numId w:val="2"/>
        </w:numPr>
        <w:spacing w:before="312" w:beforeLines="100" w:after="0"/>
        <w:jc w:val="both"/>
        <w:rPr>
          <w:sz w:val="24"/>
          <w:szCs w:val="24"/>
        </w:rPr>
      </w:pPr>
      <w:r>
        <w:rPr>
          <w:rFonts w:hint="eastAsia"/>
          <w:sz w:val="24"/>
          <w:szCs w:val="24"/>
        </w:rPr>
        <w:t>名镇一般保护</w:t>
      </w:r>
      <w:r>
        <w:rPr>
          <w:sz w:val="24"/>
          <w:szCs w:val="24"/>
        </w:rPr>
        <w:t>控制措施</w:t>
      </w:r>
    </w:p>
    <w:p>
      <w:pPr>
        <w:pStyle w:val="49"/>
        <w:numPr>
          <w:ilvl w:val="0"/>
          <w:numId w:val="31"/>
        </w:numPr>
        <w:ind w:left="0" w:firstLine="480"/>
        <w:rPr>
          <w:bCs/>
          <w:sz w:val="24"/>
          <w:szCs w:val="24"/>
          <w:u w:val="single"/>
        </w:rPr>
      </w:pPr>
      <w:bookmarkStart w:id="88" w:name="_Hlk171090388"/>
      <w:r>
        <w:rPr>
          <w:bCs/>
          <w:sz w:val="24"/>
          <w:szCs w:val="24"/>
          <w:u w:val="single"/>
        </w:rPr>
        <w:t>在历史文化名镇保护范围内从事建设活动，应当符合</w:t>
      </w:r>
      <w:r>
        <w:rPr>
          <w:rFonts w:hint="eastAsia"/>
          <w:bCs/>
          <w:sz w:val="24"/>
          <w:szCs w:val="24"/>
          <w:u w:val="single"/>
        </w:rPr>
        <w:t>保护规划确定的建设控制要求，在高度、体量、色彩等方面与历史风貌相协调</w:t>
      </w:r>
      <w:r>
        <w:rPr>
          <w:bCs/>
          <w:sz w:val="24"/>
          <w:szCs w:val="24"/>
          <w:u w:val="single"/>
        </w:rPr>
        <w:t>，不得损害历史文化遗产的真实性和完整性，不得对其传统格局和历史风貌构成破坏性影响。</w:t>
      </w:r>
    </w:p>
    <w:p>
      <w:pPr>
        <w:pStyle w:val="49"/>
        <w:numPr>
          <w:ilvl w:val="0"/>
          <w:numId w:val="31"/>
        </w:numPr>
        <w:ind w:left="0" w:firstLine="480"/>
        <w:rPr>
          <w:bCs/>
          <w:sz w:val="24"/>
          <w:szCs w:val="24"/>
          <w:u w:val="single"/>
        </w:rPr>
      </w:pPr>
      <w:bookmarkStart w:id="89" w:name="_Hlk204963265"/>
      <w:r>
        <w:rPr>
          <w:rFonts w:hint="eastAsia"/>
          <w:bCs/>
          <w:sz w:val="24"/>
          <w:szCs w:val="24"/>
          <w:u w:val="single"/>
        </w:rPr>
        <w:t>因实施保护规划以及保持或者恢复传统格局、历史风貌的需要，难以符合现行技术标准和规范的，在保持原有建筑基底，不改变四至关系，且不减少相邻建筑原有建筑间距的前提下，经专家论证可行后，可以进行相关建设活动，并依法办理规划许可等手续</w:t>
      </w:r>
      <w:bookmarkEnd w:id="89"/>
      <w:r>
        <w:rPr>
          <w:rFonts w:hint="eastAsia"/>
          <w:bCs/>
          <w:sz w:val="24"/>
          <w:szCs w:val="24"/>
          <w:u w:val="single"/>
        </w:rPr>
        <w:t>。</w:t>
      </w:r>
    </w:p>
    <w:p>
      <w:pPr>
        <w:pStyle w:val="49"/>
        <w:numPr>
          <w:ilvl w:val="0"/>
          <w:numId w:val="31"/>
        </w:numPr>
        <w:ind w:left="0" w:firstLine="480"/>
        <w:rPr>
          <w:bCs/>
          <w:sz w:val="24"/>
          <w:szCs w:val="24"/>
          <w:u w:val="single"/>
        </w:rPr>
      </w:pPr>
      <w:r>
        <w:rPr>
          <w:rFonts w:hint="eastAsia"/>
          <w:bCs/>
          <w:sz w:val="24"/>
          <w:szCs w:val="24"/>
          <w:u w:val="single"/>
        </w:rPr>
        <w:t>对核心保护范围内的建筑物、构筑物，应当区分不同情况，采取相应措施，实行分类保护；</w:t>
      </w:r>
      <w:r>
        <w:rPr>
          <w:bCs/>
          <w:sz w:val="24"/>
          <w:szCs w:val="24"/>
          <w:u w:val="single"/>
        </w:rPr>
        <w:t>历史建筑应当保持原有的高度、体量、外观形象及色彩等</w:t>
      </w:r>
      <w:r>
        <w:rPr>
          <w:rFonts w:hint="eastAsia"/>
          <w:bCs/>
          <w:sz w:val="24"/>
          <w:szCs w:val="24"/>
          <w:u w:val="single"/>
        </w:rPr>
        <w:t>；</w:t>
      </w:r>
      <w:r>
        <w:rPr>
          <w:bCs/>
          <w:sz w:val="24"/>
          <w:szCs w:val="24"/>
          <w:u w:val="single"/>
        </w:rPr>
        <w:t>拆除历史建筑以外的建筑物、构筑物或者其他设施的，应当经</w:t>
      </w:r>
      <w:r>
        <w:rPr>
          <w:rFonts w:hint="eastAsia"/>
          <w:bCs/>
          <w:sz w:val="24"/>
          <w:szCs w:val="24"/>
          <w:u w:val="single"/>
        </w:rPr>
        <w:t>南雄市</w:t>
      </w:r>
      <w:r>
        <w:rPr>
          <w:bCs/>
          <w:sz w:val="24"/>
          <w:szCs w:val="24"/>
          <w:u w:val="single"/>
        </w:rPr>
        <w:t>人民政府</w:t>
      </w:r>
      <w:r>
        <w:rPr>
          <w:rFonts w:hint="eastAsia"/>
          <w:bCs/>
          <w:sz w:val="24"/>
          <w:szCs w:val="24"/>
          <w:u w:val="single"/>
        </w:rPr>
        <w:t>保护</w:t>
      </w:r>
      <w:r>
        <w:rPr>
          <w:bCs/>
          <w:sz w:val="24"/>
          <w:szCs w:val="24"/>
          <w:u w:val="single"/>
        </w:rPr>
        <w:t>规划主管部门会同同级文物主管部门批准。</w:t>
      </w:r>
    </w:p>
    <w:p>
      <w:pPr>
        <w:pStyle w:val="49"/>
        <w:numPr>
          <w:ilvl w:val="0"/>
          <w:numId w:val="31"/>
        </w:numPr>
        <w:ind w:left="0" w:firstLine="480"/>
        <w:rPr>
          <w:bCs/>
          <w:sz w:val="24"/>
          <w:szCs w:val="24"/>
          <w:u w:val="single"/>
        </w:rPr>
      </w:pPr>
      <w:r>
        <w:rPr>
          <w:rFonts w:hint="eastAsia"/>
          <w:bCs/>
          <w:sz w:val="24"/>
          <w:szCs w:val="24"/>
          <w:u w:val="single"/>
        </w:rPr>
        <w:t>在核心保护范围内不得进行新建、扩建活动。但是，新建、扩建必要的基础设施和公共服务设施除外；新建、扩建必要的基础设施和公共服务设施的，南雄市</w:t>
      </w:r>
      <w:r>
        <w:rPr>
          <w:bCs/>
          <w:sz w:val="24"/>
          <w:szCs w:val="24"/>
          <w:u w:val="single"/>
        </w:rPr>
        <w:t>人民政府</w:t>
      </w:r>
      <w:r>
        <w:rPr>
          <w:rFonts w:hint="eastAsia"/>
          <w:bCs/>
          <w:sz w:val="24"/>
          <w:szCs w:val="24"/>
          <w:u w:val="single"/>
        </w:rPr>
        <w:t>自然资源</w:t>
      </w:r>
      <w:r>
        <w:rPr>
          <w:bCs/>
          <w:sz w:val="24"/>
          <w:szCs w:val="24"/>
          <w:u w:val="single"/>
        </w:rPr>
        <w:t>主管部门核发建设工程规划许可证、乡村建设规划许可证前，应当征求同级</w:t>
      </w:r>
      <w:r>
        <w:rPr>
          <w:rFonts w:hint="eastAsia"/>
          <w:bCs/>
          <w:sz w:val="24"/>
          <w:szCs w:val="24"/>
          <w:u w:val="single"/>
        </w:rPr>
        <w:t>保护规划主管部门及</w:t>
      </w:r>
      <w:r>
        <w:rPr>
          <w:bCs/>
          <w:sz w:val="24"/>
          <w:szCs w:val="24"/>
          <w:u w:val="single"/>
        </w:rPr>
        <w:t>文物主管部门的意见</w:t>
      </w:r>
      <w:r>
        <w:rPr>
          <w:rFonts w:hint="eastAsia"/>
          <w:bCs/>
          <w:sz w:val="24"/>
          <w:szCs w:val="24"/>
          <w:u w:val="single"/>
        </w:rPr>
        <w:t>。</w:t>
      </w:r>
    </w:p>
    <w:p>
      <w:pPr>
        <w:pStyle w:val="49"/>
        <w:numPr>
          <w:ilvl w:val="0"/>
          <w:numId w:val="31"/>
        </w:numPr>
        <w:ind w:left="0" w:firstLine="480"/>
        <w:rPr>
          <w:bCs/>
          <w:sz w:val="24"/>
          <w:szCs w:val="24"/>
          <w:u w:val="single"/>
        </w:rPr>
      </w:pPr>
      <w:r>
        <w:rPr>
          <w:rFonts w:hint="eastAsia"/>
          <w:bCs/>
          <w:sz w:val="24"/>
          <w:szCs w:val="24"/>
          <w:u w:val="single"/>
        </w:rPr>
        <w:t>新建或改扩建干线公路、铁路、高压电力线路、输油管线、燃气干线管道原则上不得穿越核心保护范围。已经建设但存在重大风险隐患的，应当按照规划逐步迁出。</w:t>
      </w:r>
    </w:p>
    <w:p>
      <w:pPr>
        <w:pStyle w:val="49"/>
        <w:numPr>
          <w:ilvl w:val="0"/>
          <w:numId w:val="31"/>
        </w:numPr>
        <w:ind w:left="0" w:firstLine="480"/>
        <w:rPr>
          <w:bCs/>
          <w:sz w:val="24"/>
          <w:szCs w:val="24"/>
          <w:u w:val="single"/>
        </w:rPr>
      </w:pPr>
      <w:r>
        <w:rPr>
          <w:rFonts w:hint="eastAsia"/>
          <w:bCs/>
          <w:sz w:val="24"/>
          <w:szCs w:val="24"/>
          <w:u w:val="single"/>
        </w:rPr>
        <w:t>核心保护范围内应当按照消防安全重点单位管理，设置消防设施，明确消防安全责任人，建立消防组织，明确消防管理主体，制定消防安全管理制度；核心保护范围内确因保护需要，无法按照消防技术标准设置的，由地级南雄市人民政府公安机关消防机构会同确定的保护规划主管部门和文物部门制定防火安全保障方案。</w:t>
      </w:r>
    </w:p>
    <w:p>
      <w:pPr>
        <w:pStyle w:val="49"/>
        <w:numPr>
          <w:ilvl w:val="0"/>
          <w:numId w:val="31"/>
        </w:numPr>
        <w:ind w:left="0" w:firstLine="480"/>
        <w:rPr>
          <w:bCs/>
          <w:sz w:val="24"/>
          <w:szCs w:val="24"/>
          <w:u w:val="single"/>
        </w:rPr>
      </w:pPr>
      <w:bookmarkStart w:id="90" w:name="_Hlk209087849"/>
      <w:r>
        <w:rPr>
          <w:bCs/>
          <w:sz w:val="24"/>
          <w:szCs w:val="24"/>
          <w:u w:val="single"/>
        </w:rPr>
        <w:t>在保护范围内新建建筑密度、容积率不应大于现状指标。新建建筑色彩和外观形式应与传统风貌相协调，有条件情况下应按原形式、原结构、原材料、原工艺进行施工建设。</w:t>
      </w:r>
    </w:p>
    <w:bookmarkEnd w:id="90"/>
    <w:p>
      <w:pPr>
        <w:pStyle w:val="49"/>
        <w:numPr>
          <w:ilvl w:val="0"/>
          <w:numId w:val="31"/>
        </w:numPr>
        <w:ind w:left="0" w:firstLine="480"/>
        <w:rPr>
          <w:bCs/>
          <w:sz w:val="24"/>
          <w:szCs w:val="24"/>
          <w:u w:val="single"/>
        </w:rPr>
      </w:pPr>
      <w:r>
        <w:rPr>
          <w:bCs/>
          <w:sz w:val="24"/>
          <w:szCs w:val="24"/>
          <w:u w:val="single"/>
        </w:rPr>
        <w:t>保护范围内涉水项目的开发建设，应符合《中华人民共和国水法》《中华人民共和国防洪法》《广东省河道管理条例》和《广东省水利工程管理条例》等有关规定和岸线保护与利用等相关规划，确保所在地区江河流域的防洪安全。</w:t>
      </w:r>
    </w:p>
    <w:p>
      <w:pPr>
        <w:pStyle w:val="49"/>
        <w:numPr>
          <w:ilvl w:val="0"/>
          <w:numId w:val="31"/>
        </w:numPr>
        <w:ind w:left="0" w:firstLine="480"/>
        <w:rPr>
          <w:bCs/>
          <w:sz w:val="24"/>
          <w:szCs w:val="24"/>
          <w:u w:val="single"/>
        </w:rPr>
      </w:pPr>
      <w:r>
        <w:rPr>
          <w:bCs/>
          <w:sz w:val="24"/>
          <w:szCs w:val="24"/>
          <w:u w:val="single"/>
        </w:rPr>
        <w:t>环境协调区内新建、扩建建筑不得破坏周边环境，环境协调区内新建或改建的建筑应遵循现状传统建筑风貌及格局，在高度、体量、色彩、建筑风格等方面与传统风貌相协调，不得破坏传统格局和历史风貌。</w:t>
      </w:r>
    </w:p>
    <w:p>
      <w:pPr>
        <w:pStyle w:val="49"/>
        <w:numPr>
          <w:ilvl w:val="0"/>
          <w:numId w:val="31"/>
        </w:numPr>
        <w:ind w:left="0" w:firstLine="480"/>
        <w:rPr>
          <w:bCs/>
          <w:sz w:val="24"/>
          <w:szCs w:val="24"/>
          <w:u w:val="single"/>
        </w:rPr>
      </w:pPr>
      <w:r>
        <w:rPr>
          <w:bCs/>
          <w:sz w:val="24"/>
          <w:szCs w:val="24"/>
          <w:u w:val="single"/>
        </w:rPr>
        <w:t>新建、扩建、改建道路和配套市政公用设施时，不得破坏名镇历史风貌。</w:t>
      </w:r>
    </w:p>
    <w:p>
      <w:pPr>
        <w:pStyle w:val="49"/>
        <w:numPr>
          <w:ilvl w:val="0"/>
          <w:numId w:val="31"/>
        </w:numPr>
        <w:ind w:left="0" w:firstLine="480"/>
        <w:rPr>
          <w:bCs/>
          <w:sz w:val="24"/>
          <w:szCs w:val="24"/>
          <w:u w:val="single"/>
        </w:rPr>
      </w:pPr>
      <w:r>
        <w:rPr>
          <w:bCs/>
          <w:sz w:val="24"/>
          <w:szCs w:val="24"/>
          <w:u w:val="single"/>
        </w:rPr>
        <w:t>保存传承镇、村、街区历史文脉，组织有关部门抢救性发掘地方镇、村、街的有关资料，包括村落的历史影像、民俗文化、宗族家庭数量、街区、建筑形制与分布情况等，条件允许下还应该有二维影像、三维模型等资料</w:t>
      </w:r>
      <w:r>
        <w:rPr>
          <w:rFonts w:hint="eastAsia"/>
          <w:bCs/>
          <w:sz w:val="24"/>
          <w:szCs w:val="24"/>
          <w:u w:val="single"/>
        </w:rPr>
        <w:t>。</w:t>
      </w:r>
    </w:p>
    <w:bookmarkEnd w:id="88"/>
    <w:p>
      <w:pPr>
        <w:pStyle w:val="4"/>
        <w:numPr>
          <w:ilvl w:val="0"/>
          <w:numId w:val="2"/>
        </w:numPr>
        <w:spacing w:before="312" w:beforeLines="100" w:after="0"/>
        <w:jc w:val="both"/>
        <w:rPr>
          <w:sz w:val="24"/>
          <w:szCs w:val="24"/>
        </w:rPr>
      </w:pPr>
      <w:r>
        <w:rPr>
          <w:rFonts w:hint="eastAsia"/>
          <w:sz w:val="24"/>
          <w:szCs w:val="24"/>
        </w:rPr>
        <w:t>名镇划定</w:t>
      </w:r>
      <w:r>
        <w:rPr>
          <w:sz w:val="24"/>
          <w:szCs w:val="24"/>
        </w:rPr>
        <w:t>保护范围</w:t>
      </w:r>
    </w:p>
    <w:p>
      <w:pPr>
        <w:ind w:firstLine="480"/>
        <w:rPr>
          <w:sz w:val="24"/>
          <w:szCs w:val="24"/>
          <w:u w:val="single"/>
        </w:rPr>
      </w:pPr>
      <w:r>
        <w:rPr>
          <w:rFonts w:hint="eastAsia"/>
          <w:sz w:val="24"/>
          <w:szCs w:val="24"/>
          <w:u w:val="single"/>
        </w:rPr>
        <w:t>珠玑镇历史文化名镇保护范围包括珠玑古巷历史文化街区与珠玑石塔、虎距桥、传统街巷沿线风貌保持良好的建筑群等文物古迹以及外围环境，保护范围总面积约</w:t>
      </w:r>
      <w:r>
        <w:rPr>
          <w:sz w:val="24"/>
          <w:szCs w:val="24"/>
          <w:u w:val="single"/>
        </w:rPr>
        <w:t>44.81公顷</w:t>
      </w:r>
      <w:r>
        <w:rPr>
          <w:rFonts w:hint="eastAsia"/>
          <w:sz w:val="24"/>
          <w:szCs w:val="24"/>
          <w:u w:val="single"/>
        </w:rPr>
        <w:t>，其中核心保护范围面积约</w:t>
      </w:r>
      <w:r>
        <w:rPr>
          <w:sz w:val="24"/>
          <w:szCs w:val="24"/>
          <w:u w:val="single"/>
        </w:rPr>
        <w:t>14.07公顷，建设控制</w:t>
      </w:r>
      <w:r>
        <w:rPr>
          <w:rFonts w:hint="eastAsia"/>
          <w:sz w:val="24"/>
          <w:szCs w:val="24"/>
          <w:u w:val="single"/>
        </w:rPr>
        <w:t>地带</w:t>
      </w:r>
      <w:r>
        <w:rPr>
          <w:sz w:val="24"/>
          <w:szCs w:val="24"/>
          <w:u w:val="single"/>
        </w:rPr>
        <w:t>范围面积约30.74公顷</w:t>
      </w:r>
      <w:r>
        <w:rPr>
          <w:rFonts w:hint="eastAsia"/>
          <w:sz w:val="24"/>
          <w:szCs w:val="24"/>
          <w:u w:val="single"/>
        </w:rPr>
        <w:t>，另外划定</w:t>
      </w:r>
      <w:r>
        <w:rPr>
          <w:sz w:val="24"/>
          <w:szCs w:val="24"/>
          <w:u w:val="single"/>
        </w:rPr>
        <w:t>环境协调区范围67.21公顷。</w:t>
      </w:r>
    </w:p>
    <w:p>
      <w:pPr>
        <w:pStyle w:val="4"/>
        <w:numPr>
          <w:ilvl w:val="0"/>
          <w:numId w:val="2"/>
        </w:numPr>
        <w:spacing w:before="312" w:beforeLines="100" w:after="0"/>
        <w:jc w:val="both"/>
        <w:rPr>
          <w:sz w:val="24"/>
          <w:szCs w:val="24"/>
        </w:rPr>
      </w:pPr>
      <w:r>
        <w:rPr>
          <w:rFonts w:hint="eastAsia"/>
          <w:sz w:val="24"/>
          <w:szCs w:val="24"/>
        </w:rPr>
        <w:t>保护重点</w:t>
      </w:r>
    </w:p>
    <w:p>
      <w:pPr>
        <w:ind w:firstLine="480"/>
        <w:rPr>
          <w:sz w:val="24"/>
          <w:szCs w:val="24"/>
          <w:u w:val="single"/>
        </w:rPr>
      </w:pPr>
      <w:bookmarkStart w:id="91" w:name="_Hlk168073440"/>
      <w:bookmarkStart w:id="92" w:name="_Hlk168073366"/>
      <w:r>
        <w:rPr>
          <w:rFonts w:hint="eastAsia"/>
          <w:sz w:val="24"/>
          <w:szCs w:val="24"/>
          <w:u w:val="single"/>
        </w:rPr>
        <w:t>以“一轴两核三心多节点”为依托的镇域保护结构，重点对镇域历史文化遗产进行整体保护。保护重点包括自然环境要素、人工环境要素和非物质文化要素，内容详见下表。</w:t>
      </w:r>
    </w:p>
    <w:p>
      <w:pPr>
        <w:ind w:firstLine="0" w:firstLineChars="0"/>
        <w:jc w:val="center"/>
        <w:rPr>
          <w:b/>
          <w:bCs/>
          <w:sz w:val="24"/>
          <w:szCs w:val="24"/>
        </w:rPr>
      </w:pPr>
      <w:r>
        <w:rPr>
          <w:rFonts w:hint="eastAsia"/>
          <w:b/>
          <w:bCs/>
          <w:sz w:val="24"/>
          <w:szCs w:val="24"/>
        </w:rPr>
        <w:t>保护重点一览表</w:t>
      </w:r>
    </w:p>
    <w:bookmarkEnd w:id="87"/>
    <w:bookmarkEnd w:id="91"/>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7"/>
        <w:gridCol w:w="63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3397" w:type="dxa"/>
            <w:shd w:val="clear" w:color="auto" w:fill="BEBEBE" w:themeFill="background1" w:themeFillShade="BF"/>
            <w:vAlign w:val="center"/>
          </w:tcPr>
          <w:p>
            <w:pPr>
              <w:widowControl w:val="0"/>
              <w:ind w:firstLine="0" w:firstLineChars="0"/>
              <w:jc w:val="center"/>
              <w:rPr>
                <w:rFonts w:cs="Times New Roman"/>
                <w:kern w:val="0"/>
                <w:sz w:val="22"/>
                <w:szCs w:val="20"/>
              </w:rPr>
            </w:pPr>
            <w:bookmarkStart w:id="93" w:name="_Hlk168073380"/>
            <w:r>
              <w:rPr>
                <w:rFonts w:hint="eastAsia" w:cs="Times New Roman"/>
                <w:kern w:val="0"/>
                <w:sz w:val="22"/>
                <w:szCs w:val="22"/>
              </w:rPr>
              <w:t>保护要素</w:t>
            </w:r>
          </w:p>
        </w:tc>
        <w:tc>
          <w:tcPr>
            <w:tcW w:w="6339" w:type="dxa"/>
            <w:shd w:val="clear" w:color="auto" w:fill="BEBEBE" w:themeFill="background1" w:themeFillShade="BF"/>
            <w:vAlign w:val="center"/>
          </w:tcPr>
          <w:p>
            <w:pPr>
              <w:widowControl w:val="0"/>
              <w:ind w:firstLine="0" w:firstLineChars="0"/>
              <w:jc w:val="center"/>
              <w:rPr>
                <w:rFonts w:cs="Times New Roman"/>
                <w:kern w:val="0"/>
                <w:sz w:val="22"/>
                <w:szCs w:val="22"/>
              </w:rPr>
            </w:pPr>
            <w:r>
              <w:rPr>
                <w:rFonts w:hint="eastAsia" w:cs="Times New Roman"/>
                <w:kern w:val="0"/>
                <w:sz w:val="22"/>
                <w:szCs w:val="22"/>
              </w:rPr>
              <w:t>保护对象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restart"/>
            <w:vAlign w:val="center"/>
          </w:tcPr>
          <w:p>
            <w:pPr>
              <w:widowControl w:val="0"/>
              <w:ind w:firstLine="0" w:firstLineChars="0"/>
              <w:jc w:val="center"/>
              <w:rPr>
                <w:rFonts w:cs="Times New Roman"/>
                <w:kern w:val="0"/>
                <w:sz w:val="22"/>
                <w:szCs w:val="20"/>
              </w:rPr>
            </w:pPr>
            <w:r>
              <w:rPr>
                <w:rFonts w:hint="eastAsia" w:cs="Times New Roman"/>
                <w:kern w:val="0"/>
                <w:sz w:val="22"/>
                <w:szCs w:val="22"/>
              </w:rPr>
              <w:t>自然环境要素</w:t>
            </w:r>
          </w:p>
        </w:tc>
        <w:tc>
          <w:tcPr>
            <w:tcW w:w="6339" w:type="dxa"/>
          </w:tcPr>
          <w:p>
            <w:pPr>
              <w:widowControl w:val="0"/>
              <w:ind w:firstLine="0" w:firstLineChars="0"/>
              <w:jc w:val="center"/>
              <w:rPr>
                <w:rFonts w:cs="Times New Roman"/>
                <w:kern w:val="0"/>
                <w:sz w:val="22"/>
                <w:szCs w:val="22"/>
              </w:rPr>
            </w:pPr>
            <w:r>
              <w:rPr>
                <w:rFonts w:hint="eastAsia" w:cs="Times New Roman"/>
                <w:kern w:val="0"/>
                <w:sz w:val="22"/>
                <w:szCs w:val="22"/>
              </w:rPr>
              <w:t>大庾岭，梅岭等山体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Merge w:val="continue"/>
          </w:tcPr>
          <w:p>
            <w:pPr>
              <w:widowControl w:val="0"/>
              <w:ind w:firstLine="0" w:firstLineChars="0"/>
              <w:jc w:val="center"/>
              <w:rPr>
                <w:rFonts w:cs="Times New Roman"/>
                <w:kern w:val="0"/>
                <w:sz w:val="22"/>
                <w:szCs w:val="20"/>
              </w:rPr>
            </w:pPr>
          </w:p>
        </w:tc>
        <w:tc>
          <w:tcPr>
            <w:tcW w:w="6339" w:type="dxa"/>
          </w:tcPr>
          <w:p>
            <w:pPr>
              <w:widowControl w:val="0"/>
              <w:ind w:firstLine="0" w:firstLineChars="0"/>
              <w:jc w:val="center"/>
              <w:rPr>
                <w:rFonts w:cs="Times New Roman"/>
                <w:kern w:val="0"/>
                <w:sz w:val="22"/>
                <w:szCs w:val="22"/>
              </w:rPr>
            </w:pPr>
            <w:r>
              <w:rPr>
                <w:rFonts w:hint="eastAsia" w:cs="Times New Roman"/>
                <w:kern w:val="0"/>
                <w:sz w:val="22"/>
                <w:szCs w:val="22"/>
              </w:rPr>
              <w:t>沙水河、横江水库、乌坭水库等水系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Align w:val="center"/>
          </w:tcPr>
          <w:p>
            <w:pPr>
              <w:widowControl w:val="0"/>
              <w:ind w:firstLine="0" w:firstLineChars="0"/>
              <w:jc w:val="center"/>
              <w:rPr>
                <w:rFonts w:cs="Times New Roman"/>
                <w:kern w:val="0"/>
                <w:sz w:val="22"/>
                <w:szCs w:val="20"/>
              </w:rPr>
            </w:pPr>
            <w:r>
              <w:rPr>
                <w:rFonts w:hint="eastAsia" w:cs="Times New Roman"/>
                <w:kern w:val="0"/>
                <w:sz w:val="22"/>
                <w:szCs w:val="22"/>
              </w:rPr>
              <w:t>人工环境要素</w:t>
            </w:r>
          </w:p>
        </w:tc>
        <w:tc>
          <w:tcPr>
            <w:tcW w:w="6339" w:type="dxa"/>
            <w:vAlign w:val="center"/>
          </w:tcPr>
          <w:p>
            <w:pPr>
              <w:widowControl w:val="0"/>
              <w:ind w:firstLine="0" w:firstLineChars="0"/>
              <w:rPr>
                <w:rFonts w:cs="Times New Roman"/>
                <w:kern w:val="0"/>
                <w:sz w:val="22"/>
                <w:szCs w:val="22"/>
              </w:rPr>
            </w:pPr>
            <w:r>
              <w:rPr>
                <w:rFonts w:hint="eastAsia" w:cs="Times New Roman"/>
                <w:kern w:val="0"/>
                <w:sz w:val="22"/>
                <w:szCs w:val="20"/>
              </w:rPr>
              <w:t>历史文化名镇、历史文化街区、历史地段、不可移动文物、历史建筑、线性文化遗产以及其它古村落、特色民居、古迹遗存等人工环境要素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7" w:type="dxa"/>
            <w:vAlign w:val="center"/>
          </w:tcPr>
          <w:p>
            <w:pPr>
              <w:widowControl w:val="0"/>
              <w:ind w:firstLine="0" w:firstLineChars="0"/>
              <w:jc w:val="center"/>
              <w:rPr>
                <w:rFonts w:cs="Times New Roman"/>
                <w:kern w:val="0"/>
                <w:sz w:val="22"/>
                <w:szCs w:val="20"/>
              </w:rPr>
            </w:pPr>
            <w:r>
              <w:rPr>
                <w:rFonts w:hint="eastAsia" w:cs="Times New Roman"/>
                <w:kern w:val="0"/>
                <w:sz w:val="22"/>
                <w:szCs w:val="22"/>
              </w:rPr>
              <w:t>非物质文化要素</w:t>
            </w:r>
          </w:p>
        </w:tc>
        <w:tc>
          <w:tcPr>
            <w:tcW w:w="6339" w:type="dxa"/>
          </w:tcPr>
          <w:p>
            <w:pPr>
              <w:widowControl w:val="0"/>
              <w:ind w:firstLine="0" w:firstLineChars="0"/>
              <w:jc w:val="left"/>
              <w:rPr>
                <w:rFonts w:cs="Times New Roman"/>
                <w:kern w:val="0"/>
                <w:sz w:val="22"/>
                <w:szCs w:val="22"/>
              </w:rPr>
            </w:pPr>
            <w:r>
              <w:rPr>
                <w:rFonts w:hint="eastAsia" w:cs="Times New Roman"/>
                <w:kern w:val="0"/>
                <w:sz w:val="22"/>
                <w:szCs w:val="22"/>
              </w:rPr>
              <w:t>文化特色、历史人物、民间传说、民间艺术、红色资源等非物质文化遗产资源</w:t>
            </w:r>
          </w:p>
        </w:tc>
      </w:tr>
      <w:bookmarkEnd w:id="92"/>
      <w:bookmarkEnd w:id="93"/>
    </w:tbl>
    <w:p>
      <w:pPr>
        <w:pStyle w:val="3"/>
        <w:numPr>
          <w:ilvl w:val="0"/>
          <w:numId w:val="30"/>
        </w:numPr>
        <w:spacing w:before="0" w:after="0"/>
        <w:ind w:left="0" w:firstLine="0"/>
        <w:jc w:val="center"/>
        <w:rPr>
          <w:rFonts w:ascii="宋体" w:hAnsi="宋体" w:eastAsia="宋体"/>
          <w:sz w:val="28"/>
          <w:szCs w:val="28"/>
        </w:rPr>
      </w:pPr>
      <w:bookmarkStart w:id="94" w:name="_Toc204964359"/>
      <w:bookmarkStart w:id="95" w:name="_Toc77610802"/>
      <w:r>
        <w:rPr>
          <w:rFonts w:hint="eastAsia" w:ascii="宋体" w:hAnsi="宋体" w:eastAsia="宋体"/>
          <w:sz w:val="28"/>
          <w:szCs w:val="28"/>
        </w:rPr>
        <w:t>历史</w:t>
      </w:r>
      <w:r>
        <w:rPr>
          <w:rFonts w:ascii="宋体" w:hAnsi="宋体" w:eastAsia="宋体"/>
          <w:sz w:val="28"/>
          <w:szCs w:val="28"/>
        </w:rPr>
        <w:t>文化名村的保护</w:t>
      </w:r>
      <w:bookmarkEnd w:id="94"/>
    </w:p>
    <w:p>
      <w:pPr>
        <w:pStyle w:val="4"/>
        <w:numPr>
          <w:ilvl w:val="0"/>
          <w:numId w:val="2"/>
        </w:numPr>
        <w:spacing w:before="312" w:beforeLines="100" w:after="0"/>
        <w:jc w:val="both"/>
        <w:rPr>
          <w:sz w:val="24"/>
          <w:szCs w:val="24"/>
        </w:rPr>
      </w:pPr>
      <w:r>
        <w:rPr>
          <w:rFonts w:hint="eastAsia"/>
          <w:sz w:val="24"/>
          <w:szCs w:val="24"/>
        </w:rPr>
        <w:t>保护</w:t>
      </w:r>
      <w:r>
        <w:rPr>
          <w:sz w:val="24"/>
          <w:szCs w:val="24"/>
        </w:rPr>
        <w:t>名录</w:t>
      </w:r>
    </w:p>
    <w:p>
      <w:pPr>
        <w:ind w:firstLine="480"/>
        <w:rPr>
          <w:sz w:val="24"/>
          <w:szCs w:val="24"/>
          <w:u w:val="single"/>
        </w:rPr>
      </w:pPr>
      <w:r>
        <w:rPr>
          <w:rFonts w:hint="eastAsia"/>
          <w:sz w:val="24"/>
          <w:szCs w:val="24"/>
          <w:u w:val="single"/>
        </w:rPr>
        <w:t>保护1个广东省历史文化名村新田村（详见附表2）。</w:t>
      </w:r>
    </w:p>
    <w:p>
      <w:pPr>
        <w:pStyle w:val="4"/>
        <w:numPr>
          <w:ilvl w:val="0"/>
          <w:numId w:val="2"/>
        </w:numPr>
        <w:spacing w:before="312" w:beforeLines="100" w:after="0"/>
        <w:jc w:val="both"/>
        <w:rPr>
          <w:sz w:val="24"/>
          <w:szCs w:val="24"/>
        </w:rPr>
      </w:pPr>
      <w:r>
        <w:rPr>
          <w:rFonts w:hint="eastAsia"/>
          <w:sz w:val="24"/>
          <w:szCs w:val="24"/>
        </w:rPr>
        <w:t>名村一般保护</w:t>
      </w:r>
      <w:r>
        <w:rPr>
          <w:sz w:val="24"/>
          <w:szCs w:val="24"/>
        </w:rPr>
        <w:t>控制措施</w:t>
      </w:r>
    </w:p>
    <w:p>
      <w:pPr>
        <w:pStyle w:val="49"/>
        <w:numPr>
          <w:ilvl w:val="0"/>
          <w:numId w:val="32"/>
        </w:numPr>
        <w:ind w:left="0" w:firstLine="480"/>
        <w:rPr>
          <w:bCs/>
          <w:sz w:val="24"/>
          <w:szCs w:val="24"/>
          <w:u w:val="single"/>
        </w:rPr>
      </w:pPr>
      <w:bookmarkStart w:id="96" w:name="_Hlk171090763"/>
      <w:r>
        <w:rPr>
          <w:rFonts w:hint="eastAsia"/>
          <w:bCs/>
          <w:sz w:val="24"/>
          <w:szCs w:val="24"/>
          <w:u w:val="single"/>
        </w:rPr>
        <w:t>整体保护，保持传统格局、历史风貌和空间尺度，不得改变与名村相互依存的自然景观和环境。</w:t>
      </w:r>
    </w:p>
    <w:p>
      <w:pPr>
        <w:pStyle w:val="49"/>
        <w:numPr>
          <w:ilvl w:val="0"/>
          <w:numId w:val="32"/>
        </w:numPr>
        <w:ind w:left="0" w:firstLine="480"/>
        <w:rPr>
          <w:bCs/>
          <w:sz w:val="24"/>
          <w:szCs w:val="24"/>
          <w:u w:val="single"/>
        </w:rPr>
      </w:pPr>
      <w:r>
        <w:rPr>
          <w:rFonts w:hint="eastAsia"/>
          <w:bCs/>
          <w:sz w:val="24"/>
          <w:szCs w:val="24"/>
          <w:u w:val="single"/>
        </w:rPr>
        <w:t>确保核心保护范围以内的建筑物、街巷及环境不受破坏，如需改动，必须严格按照保护规划执行并经过上级保护规划主管部门审定批准。各种建（构）筑物的修建必须在保护规划主管部门及文物行政主管部门等有关部门严格监督下进行，其建设活动应以维修、整理、修复及内部更新为主，不得损害名村历史文化遗产的真实性和完整性，不得对其传统格局和历史风貌构成破坏性影响。其建设内容应服从对文物古迹的保护要求，其外观造型、体量、色彩、高度都应与保护对象相协调，较大的建筑活动和环境变化应由上级保护规划主管部门组织专家评审会通过方可执行。</w:t>
      </w:r>
    </w:p>
    <w:p>
      <w:pPr>
        <w:pStyle w:val="49"/>
        <w:numPr>
          <w:ilvl w:val="0"/>
          <w:numId w:val="32"/>
        </w:numPr>
        <w:ind w:left="0" w:firstLine="480"/>
        <w:rPr>
          <w:bCs/>
          <w:sz w:val="24"/>
          <w:szCs w:val="24"/>
          <w:u w:val="single"/>
        </w:rPr>
      </w:pPr>
      <w:r>
        <w:rPr>
          <w:rFonts w:hint="eastAsia"/>
          <w:bCs/>
          <w:sz w:val="24"/>
          <w:szCs w:val="24"/>
          <w:u w:val="single"/>
        </w:rPr>
        <w:t>建设控制地带内的一切建设活动均应当符合保护规划确定的建设控制要求，经保护规划主管部门、文物行政主管部门审核批准后才能进行。</w:t>
      </w:r>
    </w:p>
    <w:p>
      <w:pPr>
        <w:pStyle w:val="49"/>
        <w:numPr>
          <w:ilvl w:val="0"/>
          <w:numId w:val="32"/>
        </w:numPr>
        <w:ind w:left="0" w:firstLine="480"/>
        <w:rPr>
          <w:bCs/>
          <w:sz w:val="24"/>
          <w:szCs w:val="24"/>
          <w:u w:val="single"/>
        </w:rPr>
      </w:pPr>
      <w:r>
        <w:rPr>
          <w:rFonts w:hint="eastAsia"/>
          <w:bCs/>
          <w:sz w:val="24"/>
          <w:szCs w:val="24"/>
          <w:u w:val="single"/>
        </w:rPr>
        <w:t>在保护范围内禁止以下活动：破坏名村传统格局与历史风貌的活动；占用保护规划确定保留的园林绿地、河湖水系、传统街巷等；修建生产、储存易燃、易爆、有毒等危险物品的工厂、仓库等；在历史建筑上刻画、涂污。</w:t>
      </w:r>
    </w:p>
    <w:p>
      <w:pPr>
        <w:pStyle w:val="49"/>
        <w:numPr>
          <w:ilvl w:val="0"/>
          <w:numId w:val="32"/>
        </w:numPr>
        <w:ind w:left="0" w:firstLine="480"/>
        <w:rPr>
          <w:bCs/>
          <w:sz w:val="24"/>
          <w:szCs w:val="24"/>
          <w:u w:val="single"/>
        </w:rPr>
      </w:pPr>
      <w:bookmarkStart w:id="97" w:name="_Hlk167634666"/>
      <w:r>
        <w:rPr>
          <w:rFonts w:hint="eastAsia"/>
          <w:bCs/>
          <w:sz w:val="24"/>
          <w:szCs w:val="24"/>
          <w:u w:val="single"/>
        </w:rPr>
        <w:t>保护范围周边涉水项目的开发建设，应符合《中华人民共和国水法》《中华人民共和国防洪法》《广东省河道管理条例》和《广东省水利工程管理条例》等有关规定和岸线保护与利用等相关规划，确保所在地区江河流域的防洪安全。</w:t>
      </w:r>
    </w:p>
    <w:p>
      <w:pPr>
        <w:pStyle w:val="49"/>
        <w:numPr>
          <w:ilvl w:val="0"/>
          <w:numId w:val="32"/>
        </w:numPr>
        <w:ind w:left="0" w:firstLine="480"/>
        <w:rPr>
          <w:bCs/>
          <w:sz w:val="24"/>
          <w:szCs w:val="24"/>
          <w:u w:val="single"/>
        </w:rPr>
      </w:pPr>
      <w:r>
        <w:rPr>
          <w:rFonts w:hint="eastAsia"/>
          <w:bCs/>
          <w:sz w:val="24"/>
          <w:szCs w:val="24"/>
          <w:u w:val="single"/>
        </w:rPr>
        <w:t>保存传承名村历史文脉，组织有关部门抢救性发掘村落的有关资料，包括村落的历史影像、民俗文化、宗族家庭数量、建筑形制与分布情况、历史名人、重要历史事件等，条件允许下还应该有二维影像、三维模型等资料。</w:t>
      </w:r>
    </w:p>
    <w:bookmarkEnd w:id="97"/>
    <w:p>
      <w:pPr>
        <w:pStyle w:val="49"/>
        <w:numPr>
          <w:ilvl w:val="0"/>
          <w:numId w:val="32"/>
        </w:numPr>
        <w:ind w:left="0" w:firstLine="480"/>
        <w:rPr>
          <w:bCs/>
          <w:sz w:val="24"/>
          <w:szCs w:val="24"/>
          <w:u w:val="single"/>
        </w:rPr>
      </w:pPr>
      <w:r>
        <w:rPr>
          <w:rFonts w:hint="eastAsia"/>
          <w:bCs/>
          <w:sz w:val="24"/>
          <w:szCs w:val="24"/>
          <w:u w:val="single"/>
        </w:rPr>
        <w:t>历史文化名村批准公布后，南雄市人民政府应当组织编制历史文化名村保护规划。保护规划应当自历史文化名村批准公布之日起</w:t>
      </w:r>
      <w:r>
        <w:rPr>
          <w:bCs/>
          <w:sz w:val="24"/>
          <w:szCs w:val="24"/>
          <w:u w:val="single"/>
        </w:rPr>
        <w:t>1年内编制完成。</w:t>
      </w:r>
    </w:p>
    <w:bookmarkEnd w:id="96"/>
    <w:p>
      <w:pPr>
        <w:pStyle w:val="4"/>
        <w:numPr>
          <w:ilvl w:val="0"/>
          <w:numId w:val="2"/>
        </w:numPr>
        <w:spacing w:before="312" w:beforeLines="100" w:after="0"/>
        <w:jc w:val="both"/>
        <w:rPr>
          <w:sz w:val="24"/>
          <w:szCs w:val="24"/>
        </w:rPr>
      </w:pPr>
      <w:r>
        <w:rPr>
          <w:rFonts w:hint="eastAsia"/>
          <w:sz w:val="24"/>
          <w:szCs w:val="24"/>
        </w:rPr>
        <w:t>名村划定</w:t>
      </w:r>
      <w:r>
        <w:rPr>
          <w:sz w:val="24"/>
          <w:szCs w:val="24"/>
        </w:rPr>
        <w:t>保护范围</w:t>
      </w:r>
    </w:p>
    <w:p>
      <w:pPr>
        <w:ind w:firstLine="480"/>
        <w:rPr>
          <w:sz w:val="24"/>
          <w:szCs w:val="24"/>
        </w:rPr>
      </w:pPr>
      <w:bookmarkStart w:id="98" w:name="_Hlk171090562"/>
      <w:r>
        <w:rPr>
          <w:rFonts w:hint="eastAsia"/>
          <w:sz w:val="24"/>
          <w:szCs w:val="24"/>
          <w:u w:val="single"/>
        </w:rPr>
        <w:t>划定新田村历史名村范围主要包括九井十八厅、爱敬堂、叙伦堂等重要的历史文化资源，以及传统建筑集中连片的区域，保护范围约</w:t>
      </w:r>
      <w:r>
        <w:rPr>
          <w:sz w:val="24"/>
          <w:szCs w:val="24"/>
          <w:u w:val="single"/>
        </w:rPr>
        <w:t>18.61公顷。其中核心保护范围面积约为6.12公顷；建设控制地带面积约为12.49公顷。另外划定确保新田山水格局的完整性的区域作为</w:t>
      </w:r>
      <w:r>
        <w:rPr>
          <w:rFonts w:hint="eastAsia"/>
          <w:sz w:val="24"/>
          <w:szCs w:val="24"/>
          <w:u w:val="single"/>
        </w:rPr>
        <w:t>环境</w:t>
      </w:r>
      <w:r>
        <w:rPr>
          <w:sz w:val="24"/>
          <w:szCs w:val="24"/>
          <w:u w:val="single"/>
        </w:rPr>
        <w:t>协调区，面积约26.40公顷。</w:t>
      </w:r>
      <w:r>
        <w:rPr>
          <w:rFonts w:hint="eastAsia"/>
          <w:sz w:val="24"/>
          <w:szCs w:val="24"/>
          <w:u w:val="single"/>
        </w:rPr>
        <w:t>名村保护范围与环境协调区面积共计4</w:t>
      </w:r>
      <w:r>
        <w:rPr>
          <w:sz w:val="24"/>
          <w:szCs w:val="24"/>
          <w:u w:val="single"/>
        </w:rPr>
        <w:t>5.01</w:t>
      </w:r>
      <w:r>
        <w:rPr>
          <w:rFonts w:hint="eastAsia"/>
          <w:sz w:val="24"/>
          <w:szCs w:val="24"/>
          <w:u w:val="single"/>
        </w:rPr>
        <w:t>公顷。</w:t>
      </w:r>
    </w:p>
    <w:bookmarkEnd w:id="98"/>
    <w:p>
      <w:pPr>
        <w:pStyle w:val="4"/>
        <w:numPr>
          <w:ilvl w:val="0"/>
          <w:numId w:val="2"/>
        </w:numPr>
        <w:spacing w:before="312" w:beforeLines="100" w:after="0"/>
        <w:jc w:val="both"/>
        <w:rPr>
          <w:sz w:val="24"/>
          <w:szCs w:val="24"/>
        </w:rPr>
      </w:pPr>
      <w:r>
        <w:rPr>
          <w:rFonts w:hint="eastAsia"/>
          <w:sz w:val="24"/>
          <w:szCs w:val="24"/>
        </w:rPr>
        <w:t>保护重点</w:t>
      </w:r>
    </w:p>
    <w:bookmarkEnd w:id="95"/>
    <w:p>
      <w:pPr>
        <w:ind w:firstLine="482"/>
        <w:rPr>
          <w:b/>
          <w:bCs/>
          <w:sz w:val="24"/>
          <w:szCs w:val="24"/>
        </w:rPr>
      </w:pPr>
      <w:bookmarkStart w:id="99" w:name="_Toc77610803"/>
      <w:r>
        <w:rPr>
          <w:rFonts w:hint="eastAsia"/>
          <w:b/>
          <w:bCs/>
          <w:sz w:val="24"/>
          <w:szCs w:val="24"/>
        </w:rPr>
        <w:t>（一）保护山水格局</w:t>
      </w:r>
    </w:p>
    <w:p>
      <w:pPr>
        <w:ind w:firstLine="480"/>
        <w:rPr>
          <w:sz w:val="24"/>
          <w:szCs w:val="24"/>
          <w:u w:val="single"/>
        </w:rPr>
      </w:pPr>
      <w:r>
        <w:rPr>
          <w:rFonts w:hint="eastAsia"/>
          <w:sz w:val="24"/>
          <w:szCs w:val="24"/>
          <w:u w:val="single"/>
        </w:rPr>
        <w:t>保护门口岭、金龙岭等山体的轮廓线，禁止随意对山体进行开发；保护山上的植被，保持生态平衡，禁止随意砍伐树木。保护浈江河流新田段水系，保护村内遗存的水塘、古井等水网要素。</w:t>
      </w:r>
    </w:p>
    <w:p>
      <w:pPr>
        <w:ind w:firstLine="482"/>
        <w:rPr>
          <w:b/>
          <w:bCs/>
          <w:sz w:val="24"/>
          <w:szCs w:val="24"/>
        </w:rPr>
      </w:pPr>
      <w:r>
        <w:rPr>
          <w:rFonts w:hint="eastAsia"/>
          <w:b/>
          <w:bCs/>
          <w:sz w:val="24"/>
          <w:szCs w:val="24"/>
        </w:rPr>
        <w:t>（二）保护物质与非物质遗产</w:t>
      </w:r>
    </w:p>
    <w:p>
      <w:pPr>
        <w:ind w:firstLine="480"/>
        <w:rPr>
          <w:sz w:val="24"/>
          <w:szCs w:val="24"/>
          <w:u w:val="single"/>
        </w:rPr>
      </w:pPr>
      <w:r>
        <w:rPr>
          <w:rFonts w:hint="eastAsia"/>
          <w:sz w:val="24"/>
          <w:szCs w:val="24"/>
          <w:u w:val="single"/>
        </w:rPr>
        <w:t>包括各级文物保护单位和未核定公布为文物保护单位的不可移动文物、历史建筑、古驿道、历史环境要素、非物质文化遗产等。</w:t>
      </w:r>
    </w:p>
    <w:p>
      <w:pPr>
        <w:ind w:firstLine="482"/>
        <w:rPr>
          <w:b/>
          <w:bCs/>
          <w:sz w:val="24"/>
          <w:szCs w:val="24"/>
        </w:rPr>
      </w:pPr>
      <w:r>
        <w:rPr>
          <w:rFonts w:hint="eastAsia"/>
          <w:b/>
          <w:bCs/>
          <w:sz w:val="24"/>
          <w:szCs w:val="24"/>
        </w:rPr>
        <w:t>（三）保护景观视廊</w:t>
      </w:r>
    </w:p>
    <w:p>
      <w:pPr>
        <w:ind w:firstLine="480"/>
        <w:rPr>
          <w:sz w:val="24"/>
          <w:szCs w:val="24"/>
          <w:u w:val="single"/>
        </w:rPr>
      </w:pPr>
      <w:r>
        <w:rPr>
          <w:rFonts w:hint="eastAsia"/>
          <w:sz w:val="24"/>
          <w:szCs w:val="24"/>
          <w:u w:val="single"/>
        </w:rPr>
        <w:t>保护村内周边的基本农田，严格控制该区域的建设，保障新田村与浈江有足够的开敞空间；保护以西川公祠为核心的十字景观视廊。</w:t>
      </w:r>
    </w:p>
    <w:p>
      <w:pPr>
        <w:pStyle w:val="3"/>
        <w:numPr>
          <w:ilvl w:val="0"/>
          <w:numId w:val="30"/>
        </w:numPr>
        <w:spacing w:before="0" w:after="0"/>
        <w:ind w:left="0" w:firstLine="0"/>
        <w:jc w:val="center"/>
        <w:rPr>
          <w:rFonts w:ascii="宋体" w:hAnsi="宋体" w:eastAsia="宋体"/>
          <w:sz w:val="28"/>
          <w:szCs w:val="28"/>
        </w:rPr>
        <w:sectPr>
          <w:pgSz w:w="11907" w:h="16839"/>
          <w:pgMar w:top="1440" w:right="1080" w:bottom="1440" w:left="1080" w:header="851" w:footer="737" w:gutter="0"/>
          <w:cols w:space="425" w:num="1"/>
          <w:docGrid w:type="lines" w:linePitch="312" w:charSpace="0"/>
        </w:sectPr>
      </w:pPr>
      <w:bookmarkStart w:id="100" w:name="_Toc204964360"/>
    </w:p>
    <w:p>
      <w:pPr>
        <w:pStyle w:val="3"/>
        <w:numPr>
          <w:ilvl w:val="0"/>
          <w:numId w:val="30"/>
        </w:numPr>
        <w:spacing w:before="0" w:after="0"/>
        <w:ind w:left="0" w:firstLine="0"/>
        <w:jc w:val="center"/>
        <w:rPr>
          <w:rFonts w:ascii="宋体" w:hAnsi="宋体" w:eastAsia="宋体"/>
          <w:sz w:val="28"/>
          <w:szCs w:val="28"/>
        </w:rPr>
      </w:pPr>
      <w:r>
        <w:rPr>
          <w:rFonts w:hint="eastAsia" w:ascii="宋体" w:hAnsi="宋体" w:eastAsia="宋体"/>
          <w:sz w:val="28"/>
          <w:szCs w:val="28"/>
        </w:rPr>
        <w:t>传统村落的保护</w:t>
      </w:r>
      <w:bookmarkEnd w:id="99"/>
      <w:bookmarkEnd w:id="100"/>
    </w:p>
    <w:p>
      <w:pPr>
        <w:pStyle w:val="4"/>
        <w:numPr>
          <w:ilvl w:val="0"/>
          <w:numId w:val="2"/>
        </w:numPr>
        <w:spacing w:before="312" w:beforeLines="100" w:after="0"/>
        <w:jc w:val="both"/>
        <w:rPr>
          <w:sz w:val="24"/>
          <w:szCs w:val="24"/>
        </w:rPr>
      </w:pPr>
      <w:r>
        <w:rPr>
          <w:rFonts w:hint="eastAsia"/>
          <w:sz w:val="24"/>
          <w:szCs w:val="24"/>
        </w:rPr>
        <w:t>保护</w:t>
      </w:r>
      <w:r>
        <w:rPr>
          <w:sz w:val="24"/>
          <w:szCs w:val="24"/>
        </w:rPr>
        <w:t>名录</w:t>
      </w:r>
    </w:p>
    <w:p>
      <w:pPr>
        <w:ind w:firstLine="480"/>
        <w:rPr>
          <w:sz w:val="24"/>
          <w:szCs w:val="24"/>
          <w:u w:val="single"/>
        </w:rPr>
      </w:pPr>
      <w:r>
        <w:rPr>
          <w:rFonts w:hint="eastAsia"/>
          <w:sz w:val="24"/>
          <w:szCs w:val="24"/>
          <w:u w:val="single"/>
        </w:rPr>
        <w:t>保护</w:t>
      </w:r>
      <w:r>
        <w:rPr>
          <w:sz w:val="24"/>
          <w:szCs w:val="24"/>
          <w:u w:val="single"/>
        </w:rPr>
        <w:t>4处中国传统村落</w:t>
      </w:r>
      <w:r>
        <w:rPr>
          <w:rFonts w:hint="eastAsia"/>
          <w:sz w:val="24"/>
          <w:szCs w:val="24"/>
          <w:u w:val="single"/>
        </w:rPr>
        <w:t>（其中1处同时是广东省历史文化名村，详见附表2）</w:t>
      </w:r>
      <w:r>
        <w:rPr>
          <w:sz w:val="24"/>
          <w:szCs w:val="24"/>
          <w:u w:val="single"/>
        </w:rPr>
        <w:t>。</w:t>
      </w:r>
    </w:p>
    <w:p>
      <w:pPr>
        <w:pStyle w:val="4"/>
        <w:numPr>
          <w:ilvl w:val="0"/>
          <w:numId w:val="2"/>
        </w:numPr>
        <w:spacing w:before="312" w:beforeLines="100" w:after="0"/>
        <w:jc w:val="both"/>
        <w:rPr>
          <w:sz w:val="24"/>
          <w:szCs w:val="24"/>
        </w:rPr>
      </w:pPr>
      <w:r>
        <w:rPr>
          <w:rFonts w:hint="eastAsia"/>
          <w:sz w:val="24"/>
          <w:szCs w:val="24"/>
        </w:rPr>
        <w:t>传统村落一般保护控制</w:t>
      </w:r>
      <w:r>
        <w:rPr>
          <w:sz w:val="24"/>
          <w:szCs w:val="24"/>
        </w:rPr>
        <w:t>措施</w:t>
      </w:r>
    </w:p>
    <w:p>
      <w:pPr>
        <w:pStyle w:val="49"/>
        <w:numPr>
          <w:ilvl w:val="0"/>
          <w:numId w:val="33"/>
        </w:numPr>
        <w:ind w:left="0" w:firstLine="480"/>
        <w:rPr>
          <w:bCs/>
          <w:sz w:val="24"/>
          <w:szCs w:val="24"/>
          <w:u w:val="single"/>
        </w:rPr>
      </w:pPr>
      <w:bookmarkStart w:id="101" w:name="_Hlk171091229"/>
      <w:r>
        <w:rPr>
          <w:rFonts w:hint="eastAsia"/>
          <w:bCs/>
          <w:sz w:val="24"/>
          <w:szCs w:val="24"/>
          <w:u w:val="single"/>
        </w:rPr>
        <w:t>遵循已公布施行的《传统村落保护发展规划》，推进未编制保护规划的传统村落规划编制工作，划定保护范围，明确传统村落保护要素和保护要求。</w:t>
      </w:r>
    </w:p>
    <w:p>
      <w:pPr>
        <w:pStyle w:val="49"/>
        <w:numPr>
          <w:ilvl w:val="0"/>
          <w:numId w:val="33"/>
        </w:numPr>
        <w:ind w:left="0" w:firstLine="480"/>
        <w:rPr>
          <w:bCs/>
          <w:sz w:val="24"/>
          <w:szCs w:val="24"/>
          <w:u w:val="single"/>
        </w:rPr>
      </w:pPr>
      <w:r>
        <w:rPr>
          <w:rFonts w:hint="eastAsia"/>
          <w:bCs/>
          <w:sz w:val="24"/>
          <w:szCs w:val="24"/>
          <w:u w:val="single"/>
        </w:rPr>
        <w:t>整体保护，保持传统格局、历史风貌和空间尺度，保护与传统村落相互依存的自然景观和环境，保护传统村落的不可移动文物、历史建筑、历史环境要素等内容，严禁大拆大建，新建的建筑高度、风貌、体量应符合保护规划的管控要求。</w:t>
      </w:r>
    </w:p>
    <w:p>
      <w:pPr>
        <w:pStyle w:val="49"/>
        <w:numPr>
          <w:ilvl w:val="0"/>
          <w:numId w:val="33"/>
        </w:numPr>
        <w:ind w:left="0" w:firstLine="480"/>
        <w:rPr>
          <w:bCs/>
          <w:sz w:val="24"/>
          <w:szCs w:val="24"/>
          <w:u w:val="single"/>
        </w:rPr>
      </w:pPr>
      <w:r>
        <w:rPr>
          <w:rFonts w:hint="eastAsia"/>
          <w:bCs/>
          <w:sz w:val="24"/>
          <w:szCs w:val="24"/>
          <w:u w:val="single"/>
        </w:rPr>
        <w:t>在传统村落的核心保护范围内，不得进行新建、扩建活动。但是，新建、扩建必要的基础设施和公共服务设施除外。保持或者恢复传统格局、历史风貌的需要</w:t>
      </w:r>
    </w:p>
    <w:p>
      <w:pPr>
        <w:pStyle w:val="49"/>
        <w:numPr>
          <w:ilvl w:val="0"/>
          <w:numId w:val="33"/>
        </w:numPr>
        <w:ind w:left="0" w:firstLine="480"/>
        <w:rPr>
          <w:bCs/>
          <w:sz w:val="24"/>
          <w:szCs w:val="24"/>
          <w:u w:val="single"/>
        </w:rPr>
      </w:pPr>
      <w:r>
        <w:rPr>
          <w:rFonts w:hint="eastAsia"/>
          <w:bCs/>
          <w:sz w:val="24"/>
          <w:szCs w:val="24"/>
          <w:u w:val="single"/>
        </w:rPr>
        <w:t>在传统村落的核心保护范围内，拆除历史建筑以外的建筑物、构筑物或者其他设施的，应当经南雄市人民政府保护规划主管部门会同文物主管部门批准。</w:t>
      </w:r>
    </w:p>
    <w:p>
      <w:pPr>
        <w:pStyle w:val="49"/>
        <w:numPr>
          <w:ilvl w:val="0"/>
          <w:numId w:val="33"/>
        </w:numPr>
        <w:ind w:left="0" w:firstLine="480"/>
        <w:rPr>
          <w:bCs/>
          <w:sz w:val="24"/>
          <w:szCs w:val="24"/>
          <w:u w:val="single"/>
        </w:rPr>
      </w:pPr>
      <w:r>
        <w:rPr>
          <w:rFonts w:hint="eastAsia"/>
          <w:bCs/>
          <w:sz w:val="24"/>
          <w:szCs w:val="24"/>
          <w:u w:val="single"/>
        </w:rPr>
        <w:t>加强非物质文化遗产及地方历史文化资源的搜集、整理、研究和保护，挖掘和阐释文化价值和精神内涵，与传统村落的传承利用有机结合，促进传统文化与现代生活结合。</w:t>
      </w:r>
    </w:p>
    <w:p>
      <w:pPr>
        <w:pStyle w:val="49"/>
        <w:numPr>
          <w:ilvl w:val="0"/>
          <w:numId w:val="33"/>
        </w:numPr>
        <w:ind w:left="0" w:firstLine="480"/>
        <w:rPr>
          <w:bCs/>
          <w:sz w:val="24"/>
          <w:szCs w:val="24"/>
        </w:rPr>
      </w:pPr>
      <w:r>
        <w:rPr>
          <w:rFonts w:hint="eastAsia"/>
          <w:bCs/>
          <w:sz w:val="24"/>
          <w:szCs w:val="24"/>
          <w:u w:val="single"/>
        </w:rPr>
        <w:t>南雄市人民政府应当在传统村落核心保护范围的主要出入口设置保护标志牌，南雄市保护规划主管部门应当定期巡查维护，对保护标志破损、遮挡、设置不规范等问题及时整改。</w:t>
      </w:r>
    </w:p>
    <w:bookmarkEnd w:id="101"/>
    <w:p>
      <w:pPr>
        <w:pStyle w:val="4"/>
        <w:numPr>
          <w:ilvl w:val="0"/>
          <w:numId w:val="2"/>
        </w:numPr>
        <w:spacing w:before="312" w:beforeLines="100" w:after="0"/>
        <w:jc w:val="both"/>
        <w:rPr>
          <w:sz w:val="24"/>
          <w:szCs w:val="24"/>
        </w:rPr>
      </w:pPr>
      <w:r>
        <w:rPr>
          <w:rFonts w:hint="eastAsia"/>
          <w:sz w:val="24"/>
          <w:szCs w:val="24"/>
        </w:rPr>
        <w:t>各</w:t>
      </w:r>
      <w:r>
        <w:rPr>
          <w:sz w:val="24"/>
          <w:szCs w:val="24"/>
        </w:rPr>
        <w:t>传统村落</w:t>
      </w:r>
      <w:r>
        <w:rPr>
          <w:rFonts w:hint="eastAsia"/>
          <w:sz w:val="24"/>
          <w:szCs w:val="24"/>
        </w:rPr>
        <w:t>的保护</w:t>
      </w:r>
    </w:p>
    <w:p>
      <w:pPr>
        <w:spacing w:before="156" w:beforeLines="50" w:after="156" w:afterLines="50"/>
        <w:ind w:firstLine="482"/>
        <w:rPr>
          <w:b/>
          <w:bCs/>
          <w:sz w:val="24"/>
          <w:szCs w:val="28"/>
        </w:rPr>
      </w:pPr>
      <w:r>
        <w:rPr>
          <w:rFonts w:hint="eastAsia"/>
          <w:b/>
          <w:bCs/>
          <w:sz w:val="24"/>
          <w:szCs w:val="28"/>
        </w:rPr>
        <w:t>（一）中国传统村落上朔村的保护</w:t>
      </w:r>
    </w:p>
    <w:p>
      <w:pPr>
        <w:pStyle w:val="49"/>
        <w:widowControl w:val="0"/>
        <w:numPr>
          <w:ilvl w:val="0"/>
          <w:numId w:val="34"/>
        </w:numPr>
        <w:ind w:firstLineChars="0"/>
        <w:rPr>
          <w:b/>
          <w:bCs/>
          <w:sz w:val="24"/>
          <w:szCs w:val="24"/>
        </w:rPr>
      </w:pPr>
      <w:r>
        <w:rPr>
          <w:rFonts w:hint="eastAsia"/>
          <w:b/>
          <w:bCs/>
          <w:sz w:val="24"/>
          <w:szCs w:val="24"/>
        </w:rPr>
        <w:t>保护范围</w:t>
      </w:r>
    </w:p>
    <w:p>
      <w:pPr>
        <w:widowControl w:val="0"/>
        <w:ind w:firstLine="480"/>
        <w:rPr>
          <w:sz w:val="24"/>
          <w:szCs w:val="24"/>
          <w:u w:val="single"/>
        </w:rPr>
      </w:pPr>
      <w:bookmarkStart w:id="102" w:name="_Hlk168839500"/>
      <w:r>
        <w:rPr>
          <w:rFonts w:hint="eastAsia"/>
          <w:sz w:val="24"/>
          <w:szCs w:val="24"/>
          <w:u w:val="single"/>
        </w:rPr>
        <w:t>保护范围主要包括上朔老城、上朔北城两座城池，彭家大院、南雄县苏维埃政府旧址、徐氏宗祠、上朔人民会堂及周边区域，村南的名人故居、光大堂、大彭氏宗祠及周边自然环境，总面积为</w:t>
      </w:r>
      <w:r>
        <w:rPr>
          <w:sz w:val="24"/>
          <w:szCs w:val="24"/>
          <w:u w:val="single"/>
        </w:rPr>
        <w:t>11.45公顷，其中核心保护范围4.34公顷，建</w:t>
      </w:r>
      <w:r>
        <w:rPr>
          <w:rFonts w:hint="eastAsia"/>
          <w:sz w:val="24"/>
          <w:szCs w:val="24"/>
          <w:u w:val="single"/>
        </w:rPr>
        <w:t>设控制地带</w:t>
      </w:r>
      <w:r>
        <w:rPr>
          <w:sz w:val="24"/>
          <w:szCs w:val="24"/>
          <w:u w:val="single"/>
        </w:rPr>
        <w:t>7.11公顷。另划定环境协调区28.37公顷。</w:t>
      </w:r>
      <w:r>
        <w:rPr>
          <w:rFonts w:hint="eastAsia"/>
          <w:sz w:val="24"/>
          <w:szCs w:val="24"/>
          <w:u w:val="single"/>
        </w:rPr>
        <w:t>保护范围与环境协调区面积共计3</w:t>
      </w:r>
      <w:r>
        <w:rPr>
          <w:sz w:val="24"/>
          <w:szCs w:val="24"/>
          <w:u w:val="single"/>
        </w:rPr>
        <w:t>9.82</w:t>
      </w:r>
      <w:r>
        <w:rPr>
          <w:rFonts w:hint="eastAsia"/>
          <w:sz w:val="24"/>
          <w:szCs w:val="24"/>
          <w:u w:val="single"/>
        </w:rPr>
        <w:t>公顷。</w:t>
      </w:r>
    </w:p>
    <w:bookmarkEnd w:id="102"/>
    <w:p>
      <w:pPr>
        <w:pStyle w:val="49"/>
        <w:widowControl w:val="0"/>
        <w:numPr>
          <w:ilvl w:val="0"/>
          <w:numId w:val="34"/>
        </w:numPr>
        <w:ind w:firstLineChars="0"/>
        <w:rPr>
          <w:b/>
          <w:bCs/>
          <w:sz w:val="24"/>
          <w:szCs w:val="24"/>
        </w:rPr>
      </w:pPr>
      <w:r>
        <w:rPr>
          <w:rFonts w:hint="eastAsia"/>
          <w:b/>
          <w:bCs/>
          <w:sz w:val="24"/>
          <w:szCs w:val="24"/>
        </w:rPr>
        <w:t>村落价值</w:t>
      </w:r>
    </w:p>
    <w:p>
      <w:pPr>
        <w:widowControl w:val="0"/>
        <w:ind w:firstLine="480"/>
        <w:rPr>
          <w:sz w:val="24"/>
          <w:szCs w:val="24"/>
        </w:rPr>
      </w:pPr>
      <w:r>
        <w:rPr>
          <w:sz w:val="24"/>
          <w:szCs w:val="24"/>
        </w:rPr>
        <w:t>上朔村自汉唐时期建村，历经朝代兴替与战争，保留了丰富的文化遗产，如上朔塔和苏维埃政府旧址，具有极高的历史研究价值。村中建筑融合南北文化，青砖灰瓦、雕樑木柱等装饰工艺精湛，如《红太阳光芒万丈》青砖戏台等体现时代特色，传统工艺为后人借鉴和传承。村落自唐代始建，至今仍适用原有村防和给排水设施，建筑材料和工艺考究，展示了当时高超的科技水平。</w:t>
      </w:r>
      <w:r>
        <w:rPr>
          <w:rFonts w:hint="eastAsia"/>
          <w:sz w:val="24"/>
          <w:szCs w:val="24"/>
        </w:rPr>
        <w:t>上朔村还是南雄第一届县苏维埃政府所在地，这里曾打响南雄农民武装斗争的第一枪，是南雄红色革命的摇篮</w:t>
      </w:r>
      <w:r>
        <w:rPr>
          <w:sz w:val="24"/>
          <w:szCs w:val="24"/>
        </w:rPr>
        <w:t>。</w:t>
      </w:r>
    </w:p>
    <w:p>
      <w:pPr>
        <w:pStyle w:val="49"/>
        <w:widowControl w:val="0"/>
        <w:numPr>
          <w:ilvl w:val="0"/>
          <w:numId w:val="34"/>
        </w:numPr>
        <w:ind w:firstLineChars="0"/>
        <w:rPr>
          <w:b/>
          <w:bCs/>
          <w:sz w:val="24"/>
          <w:szCs w:val="24"/>
        </w:rPr>
      </w:pPr>
      <w:r>
        <w:rPr>
          <w:rFonts w:hint="eastAsia"/>
          <w:b/>
          <w:bCs/>
          <w:sz w:val="24"/>
          <w:szCs w:val="24"/>
        </w:rPr>
        <w:t>保护重点</w:t>
      </w:r>
    </w:p>
    <w:p>
      <w:pPr>
        <w:widowControl w:val="0"/>
        <w:ind w:firstLine="480"/>
        <w:rPr>
          <w:sz w:val="24"/>
          <w:szCs w:val="24"/>
          <w:u w:val="single"/>
        </w:rPr>
      </w:pPr>
      <w:bookmarkStart w:id="103" w:name="_Hlk171265461"/>
      <w:r>
        <w:rPr>
          <w:rFonts w:hint="eastAsia"/>
          <w:sz w:val="24"/>
          <w:szCs w:val="24"/>
          <w:u w:val="single"/>
        </w:rPr>
        <w:t>保护上朔村三面环水，</w:t>
      </w:r>
      <w:r>
        <w:rPr>
          <w:sz w:val="24"/>
          <w:szCs w:val="24"/>
          <w:u w:val="single"/>
        </w:rPr>
        <w:t>坐北朝</w:t>
      </w:r>
      <w:r>
        <w:rPr>
          <w:rFonts w:hint="eastAsia"/>
          <w:sz w:val="24"/>
          <w:szCs w:val="24"/>
          <w:u w:val="single"/>
        </w:rPr>
        <w:t>南呈船形的传统村落格局；保护周边山体形态和多样化、具有地方特色的自然山林景观；重点保护村落传统街巷的肌理、原有的空间形态和尺度。重点保护上朔塔、上朔村《当红军歌》题壁、大彭氏宗祠等文物古迹和历史环境要素。</w:t>
      </w:r>
    </w:p>
    <w:bookmarkEnd w:id="103"/>
    <w:p>
      <w:pPr>
        <w:spacing w:before="156" w:beforeLines="50" w:after="156" w:afterLines="50"/>
        <w:ind w:firstLine="482"/>
        <w:rPr>
          <w:b/>
          <w:bCs/>
          <w:sz w:val="24"/>
          <w:szCs w:val="28"/>
        </w:rPr>
      </w:pPr>
      <w:r>
        <w:rPr>
          <w:rFonts w:hint="eastAsia"/>
          <w:b/>
          <w:bCs/>
          <w:sz w:val="24"/>
          <w:szCs w:val="28"/>
        </w:rPr>
        <w:t>（二）中国传统村落黄屋城村的保护</w:t>
      </w:r>
    </w:p>
    <w:p>
      <w:pPr>
        <w:pStyle w:val="49"/>
        <w:widowControl w:val="0"/>
        <w:numPr>
          <w:ilvl w:val="0"/>
          <w:numId w:val="35"/>
        </w:numPr>
        <w:ind w:firstLineChars="0"/>
        <w:rPr>
          <w:b/>
          <w:bCs/>
          <w:sz w:val="24"/>
          <w:szCs w:val="24"/>
        </w:rPr>
      </w:pPr>
      <w:r>
        <w:rPr>
          <w:rFonts w:hint="eastAsia"/>
          <w:b/>
          <w:bCs/>
          <w:sz w:val="24"/>
          <w:szCs w:val="24"/>
        </w:rPr>
        <w:t>保护范围</w:t>
      </w:r>
    </w:p>
    <w:p>
      <w:pPr>
        <w:widowControl w:val="0"/>
        <w:ind w:firstLine="480"/>
        <w:rPr>
          <w:sz w:val="24"/>
          <w:szCs w:val="24"/>
          <w:u w:val="single"/>
        </w:rPr>
      </w:pPr>
      <w:r>
        <w:rPr>
          <w:rFonts w:hint="eastAsia"/>
          <w:sz w:val="24"/>
          <w:szCs w:val="24"/>
          <w:u w:val="single"/>
        </w:rPr>
        <w:t>保护范围主要包括黄屋城古城建筑群、其南边具有历史传统风貌的建筑群还有周边的农田、水系和历史环境要素，总面积为</w:t>
      </w:r>
      <w:r>
        <w:rPr>
          <w:sz w:val="24"/>
          <w:szCs w:val="24"/>
          <w:u w:val="single"/>
        </w:rPr>
        <w:t>5公顷，其中核心保护范围1.42公顷，建设控制地带</w:t>
      </w:r>
      <w:r>
        <w:rPr>
          <w:rFonts w:hint="eastAsia"/>
          <w:sz w:val="24"/>
          <w:szCs w:val="24"/>
          <w:u w:val="single"/>
        </w:rPr>
        <w:t>3</w:t>
      </w:r>
      <w:r>
        <w:rPr>
          <w:sz w:val="24"/>
          <w:szCs w:val="24"/>
          <w:u w:val="single"/>
        </w:rPr>
        <w:t>.58公顷。另划定环境协调区11.7公顷。</w:t>
      </w:r>
      <w:r>
        <w:rPr>
          <w:rFonts w:hint="eastAsia"/>
          <w:sz w:val="24"/>
          <w:szCs w:val="24"/>
          <w:u w:val="single"/>
        </w:rPr>
        <w:t>保护范围与环境协调区面积共计</w:t>
      </w:r>
      <w:r>
        <w:rPr>
          <w:sz w:val="24"/>
          <w:szCs w:val="24"/>
          <w:u w:val="single"/>
        </w:rPr>
        <w:t>16.7</w:t>
      </w:r>
      <w:r>
        <w:rPr>
          <w:rFonts w:hint="eastAsia"/>
          <w:sz w:val="24"/>
          <w:szCs w:val="24"/>
          <w:u w:val="single"/>
        </w:rPr>
        <w:t>公顷。</w:t>
      </w:r>
    </w:p>
    <w:p>
      <w:pPr>
        <w:pStyle w:val="49"/>
        <w:widowControl w:val="0"/>
        <w:numPr>
          <w:ilvl w:val="0"/>
          <w:numId w:val="35"/>
        </w:numPr>
        <w:ind w:firstLineChars="0"/>
        <w:rPr>
          <w:b/>
          <w:bCs/>
          <w:sz w:val="24"/>
          <w:szCs w:val="24"/>
        </w:rPr>
      </w:pPr>
      <w:r>
        <w:rPr>
          <w:rFonts w:hint="eastAsia"/>
          <w:b/>
          <w:bCs/>
          <w:sz w:val="24"/>
          <w:szCs w:val="24"/>
        </w:rPr>
        <w:t>村落价值</w:t>
      </w:r>
    </w:p>
    <w:p>
      <w:pPr>
        <w:widowControl w:val="0"/>
        <w:ind w:firstLine="480"/>
        <w:rPr>
          <w:sz w:val="24"/>
          <w:szCs w:val="24"/>
        </w:rPr>
      </w:pPr>
      <w:r>
        <w:rPr>
          <w:rFonts w:hint="eastAsia"/>
          <w:sz w:val="24"/>
          <w:szCs w:val="24"/>
        </w:rPr>
        <w:t>黄屋城村自明代建村，历经百年沧桑，保留了真实的历史变革特征，如黄屋城古城和小金汤围楼等文物古迹，是研究粤北传统村落历史的重要资料。村内建筑融汇南北文化，装饰工艺如青砖灰瓦、雕梁画栋等精美绝伦，反映了多代民间艺人的智慧结晶。村落规划与设计自明代始建至今仍有效，建筑材料和工艺显示出当时的先进科技水平。黄屋城村还具有深厚的红色文化，革命战争的遗迹处处可见，是南雄地区光辉革命史的一部分。</w:t>
      </w:r>
    </w:p>
    <w:p>
      <w:pPr>
        <w:pStyle w:val="49"/>
        <w:widowControl w:val="0"/>
        <w:numPr>
          <w:ilvl w:val="0"/>
          <w:numId w:val="35"/>
        </w:numPr>
        <w:ind w:firstLineChars="0"/>
        <w:rPr>
          <w:b/>
          <w:bCs/>
          <w:sz w:val="24"/>
          <w:szCs w:val="24"/>
        </w:rPr>
      </w:pPr>
      <w:r>
        <w:rPr>
          <w:rFonts w:hint="eastAsia"/>
          <w:b/>
          <w:bCs/>
          <w:sz w:val="24"/>
          <w:szCs w:val="24"/>
        </w:rPr>
        <w:t>保护重点</w:t>
      </w:r>
    </w:p>
    <w:p>
      <w:pPr>
        <w:widowControl w:val="0"/>
        <w:ind w:firstLine="480"/>
        <w:rPr>
          <w:sz w:val="24"/>
          <w:szCs w:val="24"/>
          <w:u w:val="single"/>
        </w:rPr>
      </w:pPr>
      <w:bookmarkStart w:id="104" w:name="_Hlk171265520"/>
      <w:r>
        <w:rPr>
          <w:rFonts w:hint="eastAsia"/>
          <w:sz w:val="24"/>
          <w:szCs w:val="24"/>
          <w:u w:val="single"/>
        </w:rPr>
        <w:t>重点</w:t>
      </w:r>
      <w:r>
        <w:rPr>
          <w:sz w:val="24"/>
          <w:szCs w:val="24"/>
          <w:u w:val="single"/>
        </w:rPr>
        <w:t>保护黄屋城村依</w:t>
      </w:r>
      <w:r>
        <w:rPr>
          <w:rFonts w:hint="eastAsia"/>
          <w:sz w:val="24"/>
          <w:szCs w:val="24"/>
          <w:u w:val="single"/>
        </w:rPr>
        <w:t>水而居的传统村落格局，</w:t>
      </w:r>
      <w:r>
        <w:rPr>
          <w:sz w:val="24"/>
          <w:szCs w:val="24"/>
          <w:u w:val="single"/>
        </w:rPr>
        <w:t>保护周边山体</w:t>
      </w:r>
      <w:r>
        <w:rPr>
          <w:rFonts w:hint="eastAsia"/>
          <w:sz w:val="24"/>
          <w:szCs w:val="24"/>
          <w:u w:val="single"/>
        </w:rPr>
        <w:t>轮廓线；重点</w:t>
      </w:r>
      <w:r>
        <w:rPr>
          <w:sz w:val="24"/>
          <w:szCs w:val="24"/>
          <w:u w:val="single"/>
        </w:rPr>
        <w:t>保护传统村落内的空间脉络及街巷组织体系，保护其肌理，</w:t>
      </w:r>
      <w:r>
        <w:rPr>
          <w:rFonts w:hint="eastAsia"/>
          <w:sz w:val="24"/>
          <w:szCs w:val="24"/>
          <w:u w:val="single"/>
        </w:rPr>
        <w:t>维持顺直、具有梳式布局和传统村落特有的亲切尺度；保护传统街巷的</w:t>
      </w:r>
      <w:r>
        <w:rPr>
          <w:sz w:val="24"/>
          <w:szCs w:val="24"/>
          <w:u w:val="single"/>
        </w:rPr>
        <w:t>青石板</w:t>
      </w:r>
      <w:r>
        <w:rPr>
          <w:rFonts w:hint="eastAsia"/>
          <w:sz w:val="24"/>
          <w:szCs w:val="24"/>
          <w:u w:val="single"/>
        </w:rPr>
        <w:t>铺地材质和原有的排水系统；重点保护南雄府百顺巡检司等文物古迹及历史环境要素。</w:t>
      </w:r>
    </w:p>
    <w:bookmarkEnd w:id="104"/>
    <w:p>
      <w:pPr>
        <w:spacing w:before="156" w:beforeLines="50" w:after="156" w:afterLines="50"/>
        <w:ind w:firstLine="482"/>
        <w:rPr>
          <w:b/>
          <w:bCs/>
          <w:sz w:val="24"/>
          <w:szCs w:val="28"/>
        </w:rPr>
      </w:pPr>
      <w:r>
        <w:rPr>
          <w:rFonts w:hint="eastAsia"/>
          <w:b/>
          <w:bCs/>
          <w:sz w:val="24"/>
          <w:szCs w:val="28"/>
        </w:rPr>
        <w:t>（三）中国传统村落鱼鲜村的保护</w:t>
      </w:r>
    </w:p>
    <w:p>
      <w:pPr>
        <w:pStyle w:val="49"/>
        <w:widowControl w:val="0"/>
        <w:numPr>
          <w:ilvl w:val="0"/>
          <w:numId w:val="36"/>
        </w:numPr>
        <w:ind w:firstLineChars="0"/>
        <w:rPr>
          <w:b/>
          <w:bCs/>
          <w:sz w:val="24"/>
          <w:szCs w:val="24"/>
        </w:rPr>
      </w:pPr>
      <w:r>
        <w:rPr>
          <w:rFonts w:hint="eastAsia"/>
          <w:b/>
          <w:bCs/>
          <w:sz w:val="24"/>
          <w:szCs w:val="24"/>
        </w:rPr>
        <w:t>保护范围</w:t>
      </w:r>
    </w:p>
    <w:p>
      <w:pPr>
        <w:widowControl w:val="0"/>
        <w:ind w:firstLine="480"/>
        <w:rPr>
          <w:sz w:val="24"/>
          <w:szCs w:val="24"/>
          <w:u w:val="single"/>
        </w:rPr>
      </w:pPr>
      <w:r>
        <w:rPr>
          <w:rFonts w:hint="eastAsia"/>
          <w:sz w:val="24"/>
          <w:szCs w:val="24"/>
          <w:u w:val="single"/>
        </w:rPr>
        <w:t>保护范围主要包括花林寺片区、樟树下村的余庆堂、坪地山村的裕庆堂等重要建筑，是历史风貌最为完整、历史建筑最为集中、保存状况最为完好的区域，总面积为</w:t>
      </w:r>
      <w:r>
        <w:rPr>
          <w:sz w:val="24"/>
          <w:szCs w:val="24"/>
          <w:u w:val="single"/>
        </w:rPr>
        <w:t>7.67公顷</w:t>
      </w:r>
      <w:r>
        <w:rPr>
          <w:rFonts w:hint="eastAsia"/>
          <w:sz w:val="24"/>
          <w:szCs w:val="24"/>
          <w:u w:val="single"/>
        </w:rPr>
        <w:t>。</w:t>
      </w:r>
      <w:r>
        <w:rPr>
          <w:sz w:val="24"/>
          <w:szCs w:val="24"/>
          <w:u w:val="single"/>
        </w:rPr>
        <w:t>其中核心保护范围4.38公顷，建设控制地带3.29公顷。</w:t>
      </w:r>
    </w:p>
    <w:p>
      <w:pPr>
        <w:pStyle w:val="49"/>
        <w:widowControl w:val="0"/>
        <w:numPr>
          <w:ilvl w:val="0"/>
          <w:numId w:val="36"/>
        </w:numPr>
        <w:ind w:firstLineChars="0"/>
        <w:rPr>
          <w:b/>
          <w:bCs/>
          <w:sz w:val="24"/>
          <w:szCs w:val="24"/>
        </w:rPr>
      </w:pPr>
      <w:r>
        <w:rPr>
          <w:rFonts w:hint="eastAsia"/>
          <w:b/>
          <w:bCs/>
          <w:sz w:val="24"/>
          <w:szCs w:val="24"/>
        </w:rPr>
        <w:t>价值特色</w:t>
      </w:r>
    </w:p>
    <w:p>
      <w:pPr>
        <w:widowControl w:val="0"/>
        <w:ind w:firstLine="480"/>
        <w:rPr>
          <w:sz w:val="24"/>
          <w:szCs w:val="24"/>
        </w:rPr>
      </w:pPr>
      <w:r>
        <w:rPr>
          <w:rFonts w:hint="eastAsia"/>
          <w:sz w:val="24"/>
          <w:szCs w:val="24"/>
        </w:rPr>
        <w:t>鱼鲜村整体历史风貌和文化生态保存较好，村中保留了大量传统民居，对研究粤北地区客家建筑文化特征和旅游开发具有重要参考价值。建筑类型丰富，多样的建筑形制、材料和工艺，是研究岭南地区客家古建筑文化流源的重要标本之一，对了解粤北和岭南客家人的建筑文化、艺术风格和中原文化联系具有重要意义。鱼鲜村在地方历史社会文化研究，尤其是传统地方商贸、文化交流和宗族社会组织等方面具有重要研究价值。</w:t>
      </w:r>
    </w:p>
    <w:p>
      <w:pPr>
        <w:pStyle w:val="49"/>
        <w:widowControl w:val="0"/>
        <w:numPr>
          <w:ilvl w:val="0"/>
          <w:numId w:val="36"/>
        </w:numPr>
        <w:ind w:firstLineChars="0"/>
        <w:rPr>
          <w:b/>
          <w:bCs/>
          <w:sz w:val="24"/>
          <w:szCs w:val="24"/>
        </w:rPr>
      </w:pPr>
      <w:bookmarkStart w:id="105" w:name="_Hlk171265566"/>
      <w:r>
        <w:rPr>
          <w:rFonts w:hint="eastAsia"/>
          <w:b/>
          <w:bCs/>
          <w:sz w:val="24"/>
          <w:szCs w:val="24"/>
        </w:rPr>
        <w:t>保护重点</w:t>
      </w:r>
    </w:p>
    <w:p>
      <w:pPr>
        <w:widowControl w:val="0"/>
        <w:ind w:firstLine="480"/>
        <w:rPr>
          <w:sz w:val="24"/>
          <w:szCs w:val="24"/>
          <w:u w:val="single"/>
        </w:rPr>
      </w:pPr>
      <w:r>
        <w:rPr>
          <w:rFonts w:hint="eastAsia"/>
          <w:sz w:val="24"/>
          <w:szCs w:val="24"/>
          <w:u w:val="single"/>
        </w:rPr>
        <w:t>重点保护村落整体空间格局、风貌；保护村落完整的街巷网络体系，以及街巷的石板和卵石铺地材质；重点保护村内传统客家民居、花林寺及其周边环境；保护村落丰富的民俗文化。</w:t>
      </w:r>
    </w:p>
    <w:p>
      <w:pPr>
        <w:spacing w:before="156" w:beforeLines="50" w:after="156" w:afterLines="50"/>
        <w:ind w:firstLine="482"/>
        <w:rPr>
          <w:b/>
          <w:bCs/>
          <w:sz w:val="24"/>
          <w:szCs w:val="28"/>
        </w:rPr>
      </w:pPr>
      <w:r>
        <w:rPr>
          <w:rFonts w:hint="eastAsia"/>
          <w:b/>
          <w:bCs/>
          <w:sz w:val="24"/>
          <w:szCs w:val="28"/>
        </w:rPr>
        <w:t>（四）中国传统村落新田村的保护</w:t>
      </w:r>
    </w:p>
    <w:p>
      <w:pPr>
        <w:widowControl w:val="0"/>
        <w:ind w:firstLine="480"/>
        <w:rPr>
          <w:sz w:val="24"/>
          <w:szCs w:val="24"/>
          <w:u w:val="single"/>
        </w:rPr>
      </w:pPr>
      <w:r>
        <w:rPr>
          <w:rFonts w:hint="eastAsia"/>
          <w:sz w:val="24"/>
          <w:szCs w:val="24"/>
          <w:u w:val="single"/>
        </w:rPr>
        <w:t>新田村的保护范围、价值特色及保护重点按历史文化名村内容进行控制，详见文本第五章第二节内容。</w:t>
      </w:r>
    </w:p>
    <w:bookmarkEnd w:id="105"/>
    <w:p>
      <w:pPr>
        <w:pStyle w:val="2"/>
        <w:ind w:left="0"/>
      </w:pPr>
      <w:bookmarkStart w:id="106" w:name="_Toc77610804"/>
      <w:bookmarkStart w:id="107" w:name="_Toc204964361"/>
      <w:r>
        <w:rPr>
          <w:rFonts w:hint="eastAsia"/>
        </w:rPr>
        <w:t>历史文化街区和</w:t>
      </w:r>
      <w:r>
        <w:t>历史</w:t>
      </w:r>
      <w:r>
        <w:rPr>
          <w:rFonts w:hint="eastAsia"/>
        </w:rPr>
        <w:t>地段的保护</w:t>
      </w:r>
      <w:bookmarkEnd w:id="106"/>
      <w:bookmarkEnd w:id="107"/>
    </w:p>
    <w:p>
      <w:pPr>
        <w:pStyle w:val="3"/>
        <w:numPr>
          <w:ilvl w:val="0"/>
          <w:numId w:val="37"/>
        </w:numPr>
        <w:spacing w:before="0" w:after="0"/>
        <w:jc w:val="center"/>
        <w:rPr>
          <w:rFonts w:ascii="宋体" w:hAnsi="宋体" w:eastAsia="宋体"/>
          <w:sz w:val="28"/>
          <w:szCs w:val="28"/>
        </w:rPr>
      </w:pPr>
      <w:bookmarkStart w:id="108" w:name="_Toc204964362"/>
      <w:bookmarkStart w:id="109" w:name="_Toc77610805"/>
      <w:r>
        <w:rPr>
          <w:rFonts w:hint="eastAsia" w:ascii="宋体" w:hAnsi="宋体" w:eastAsia="宋体"/>
          <w:sz w:val="28"/>
          <w:szCs w:val="28"/>
        </w:rPr>
        <w:t>历史</w:t>
      </w:r>
      <w:r>
        <w:rPr>
          <w:rFonts w:ascii="宋体" w:hAnsi="宋体" w:eastAsia="宋体"/>
          <w:sz w:val="28"/>
          <w:szCs w:val="28"/>
        </w:rPr>
        <w:t>文化街区的保护</w:t>
      </w:r>
      <w:bookmarkEnd w:id="108"/>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名录</w:t>
      </w:r>
    </w:p>
    <w:p>
      <w:pPr>
        <w:ind w:firstLine="480"/>
        <w:rPr>
          <w:sz w:val="24"/>
          <w:szCs w:val="24"/>
          <w:u w:val="single"/>
        </w:rPr>
      </w:pPr>
      <w:r>
        <w:rPr>
          <w:rFonts w:hint="eastAsia"/>
          <w:sz w:val="24"/>
          <w:szCs w:val="24"/>
          <w:u w:val="single"/>
        </w:rPr>
        <w:t>保护1个广东省历史文化街区，即珠玑古巷历史文化街区</w:t>
      </w:r>
      <w:bookmarkStart w:id="110" w:name="_Hlk168760052"/>
      <w:r>
        <w:rPr>
          <w:sz w:val="24"/>
          <w:szCs w:val="24"/>
          <w:u w:val="single"/>
        </w:rPr>
        <w:t>。</w:t>
      </w:r>
    </w:p>
    <w:bookmarkEnd w:id="110"/>
    <w:p>
      <w:pPr>
        <w:pStyle w:val="4"/>
        <w:numPr>
          <w:ilvl w:val="0"/>
          <w:numId w:val="2"/>
        </w:numPr>
        <w:spacing w:before="312" w:beforeLines="100" w:after="0" w:line="415" w:lineRule="auto"/>
        <w:jc w:val="both"/>
        <w:rPr>
          <w:sz w:val="24"/>
          <w:szCs w:val="24"/>
        </w:rPr>
      </w:pPr>
      <w:r>
        <w:rPr>
          <w:rFonts w:hint="eastAsia"/>
          <w:sz w:val="24"/>
          <w:szCs w:val="24"/>
        </w:rPr>
        <w:t>历史文化街区</w:t>
      </w:r>
      <w:bookmarkStart w:id="111" w:name="_Hlk171092369"/>
      <w:r>
        <w:rPr>
          <w:rFonts w:hint="eastAsia"/>
          <w:sz w:val="24"/>
          <w:szCs w:val="24"/>
        </w:rPr>
        <w:t>一般保护措施</w:t>
      </w:r>
      <w:bookmarkEnd w:id="111"/>
    </w:p>
    <w:p>
      <w:pPr>
        <w:widowControl w:val="0"/>
        <w:ind w:left="561" w:firstLine="0" w:firstLineChars="0"/>
        <w:rPr>
          <w:sz w:val="24"/>
          <w:szCs w:val="24"/>
          <w:u w:val="single"/>
        </w:rPr>
      </w:pPr>
      <w:bookmarkStart w:id="112" w:name="_Hlk208831380"/>
      <w:bookmarkStart w:id="113" w:name="_Hlk171092380"/>
      <w:r>
        <w:rPr>
          <w:rFonts w:hint="eastAsia"/>
          <w:sz w:val="24"/>
          <w:szCs w:val="24"/>
          <w:u w:val="single"/>
        </w:rPr>
        <w:t>历史文化街区的保护措施与历史文化名镇保持一致</w:t>
      </w:r>
      <w:bookmarkEnd w:id="112"/>
      <w:r>
        <w:rPr>
          <w:rFonts w:hint="eastAsia"/>
          <w:sz w:val="24"/>
          <w:szCs w:val="24"/>
          <w:u w:val="single"/>
        </w:rPr>
        <w:t>，详见文本第五章第一节第四十九条。</w:t>
      </w:r>
    </w:p>
    <w:bookmarkEnd w:id="113"/>
    <w:p>
      <w:pPr>
        <w:pStyle w:val="4"/>
        <w:numPr>
          <w:ilvl w:val="0"/>
          <w:numId w:val="2"/>
        </w:numPr>
        <w:spacing w:before="312" w:beforeLines="100" w:after="0" w:line="415" w:lineRule="auto"/>
        <w:jc w:val="both"/>
        <w:rPr>
          <w:sz w:val="24"/>
          <w:szCs w:val="24"/>
        </w:rPr>
      </w:pPr>
      <w:r>
        <w:rPr>
          <w:rFonts w:hint="eastAsia"/>
          <w:sz w:val="24"/>
          <w:szCs w:val="24"/>
        </w:rPr>
        <w:t>保护范围</w:t>
      </w:r>
    </w:p>
    <w:p>
      <w:pPr>
        <w:ind w:firstLine="480"/>
        <w:rPr>
          <w:sz w:val="24"/>
          <w:szCs w:val="24"/>
        </w:rPr>
      </w:pPr>
      <w:bookmarkStart w:id="114" w:name="_Hlk168942480"/>
      <w:r>
        <w:rPr>
          <w:rFonts w:hint="eastAsia"/>
          <w:sz w:val="24"/>
          <w:szCs w:val="24"/>
          <w:u w:val="single"/>
        </w:rPr>
        <w:t>珠玑古巷历史文化街区的保护范围约</w:t>
      </w:r>
      <w:r>
        <w:rPr>
          <w:sz w:val="24"/>
          <w:szCs w:val="24"/>
          <w:u w:val="single"/>
        </w:rPr>
        <w:t>41.39公顷，其中核心保护范围面积约14.07公顷，建设控制地带面积约30.74公顷，另外划定环境协调区</w:t>
      </w:r>
      <w:r>
        <w:rPr>
          <w:rFonts w:hint="eastAsia"/>
          <w:sz w:val="24"/>
          <w:szCs w:val="24"/>
          <w:u w:val="single"/>
        </w:rPr>
        <w:t>50</w:t>
      </w:r>
      <w:r>
        <w:rPr>
          <w:sz w:val="24"/>
          <w:szCs w:val="24"/>
          <w:u w:val="single"/>
        </w:rPr>
        <w:t>.47公顷。</w:t>
      </w:r>
    </w:p>
    <w:bookmarkEnd w:id="114"/>
    <w:p>
      <w:pPr>
        <w:pStyle w:val="4"/>
        <w:numPr>
          <w:ilvl w:val="0"/>
          <w:numId w:val="2"/>
        </w:numPr>
        <w:spacing w:before="312" w:beforeLines="100" w:after="0" w:line="415" w:lineRule="auto"/>
        <w:jc w:val="both"/>
        <w:rPr>
          <w:sz w:val="24"/>
          <w:szCs w:val="24"/>
        </w:rPr>
      </w:pPr>
      <w:r>
        <w:rPr>
          <w:rFonts w:hint="eastAsia"/>
          <w:sz w:val="24"/>
          <w:szCs w:val="24"/>
        </w:rPr>
        <w:t>价值梳理</w:t>
      </w:r>
    </w:p>
    <w:p>
      <w:pPr>
        <w:widowControl w:val="0"/>
        <w:ind w:firstLine="480"/>
        <w:rPr>
          <w:sz w:val="24"/>
          <w:szCs w:val="24"/>
        </w:rPr>
      </w:pPr>
      <w:r>
        <w:rPr>
          <w:sz w:val="24"/>
          <w:szCs w:val="24"/>
        </w:rPr>
        <w:t>珠玑古巷是中原文化向岭南传播的重要中转站，被誉为“天下广府根源”，是广府人及海外华侨的发祥地，推动了岭南文化和经济的发展。迁徙至此的氏族形成了以姓氏为纽带的氏族文化，崇祖敬宗、勤劳勇敢。同时，珠玑古巷还是中央苏区红色文化的重要支点，为</w:t>
      </w:r>
      <w:r>
        <w:rPr>
          <w:rFonts w:hint="eastAsia"/>
          <w:sz w:val="24"/>
          <w:szCs w:val="24"/>
        </w:rPr>
        <w:t>地区</w:t>
      </w:r>
      <w:r>
        <w:rPr>
          <w:sz w:val="24"/>
          <w:szCs w:val="24"/>
        </w:rPr>
        <w:t>革命运动和抗争奠定了基础。</w:t>
      </w:r>
    </w:p>
    <w:p>
      <w:pPr>
        <w:pStyle w:val="4"/>
        <w:numPr>
          <w:ilvl w:val="0"/>
          <w:numId w:val="2"/>
        </w:numPr>
        <w:spacing w:before="312" w:beforeLines="100" w:after="0" w:line="415" w:lineRule="auto"/>
        <w:jc w:val="both"/>
        <w:rPr>
          <w:sz w:val="24"/>
          <w:szCs w:val="24"/>
        </w:rPr>
      </w:pPr>
      <w:r>
        <w:rPr>
          <w:rFonts w:hint="eastAsia"/>
          <w:sz w:val="24"/>
          <w:szCs w:val="24"/>
        </w:rPr>
        <w:t>保护重点</w:t>
      </w:r>
    </w:p>
    <w:p>
      <w:pPr>
        <w:widowControl w:val="0"/>
        <w:ind w:firstLine="480"/>
        <w:rPr>
          <w:sz w:val="24"/>
          <w:szCs w:val="24"/>
          <w:u w:val="single"/>
        </w:rPr>
      </w:pPr>
      <w:bookmarkStart w:id="115" w:name="_Hlk171092283"/>
      <w:r>
        <w:rPr>
          <w:rFonts w:hint="eastAsia"/>
          <w:sz w:val="24"/>
          <w:szCs w:val="24"/>
          <w:u w:val="single"/>
        </w:rPr>
        <w:t>重点保护街区“三街四巷”的传统街巷格局；重点保护硅门牌坊至珠玑街通透的视廊，严禁任何阻碍该轴线的视线贯通性的建设活动，强化该片区庄重的空间序列感和仪式感；保护双龙桥开敞空间景观视廊，保护由“街—水—寺—水—山”组成的景观轴线；保护街区内的不可移动文物、历史建筑与历史环境要素</w:t>
      </w:r>
      <w:bookmarkEnd w:id="115"/>
      <w:r>
        <w:rPr>
          <w:rFonts w:hint="eastAsia"/>
          <w:sz w:val="24"/>
          <w:szCs w:val="24"/>
          <w:u w:val="single"/>
        </w:rPr>
        <w:t>。</w:t>
      </w:r>
    </w:p>
    <w:p>
      <w:pPr>
        <w:pStyle w:val="3"/>
        <w:numPr>
          <w:ilvl w:val="0"/>
          <w:numId w:val="37"/>
        </w:numPr>
        <w:spacing w:before="0" w:after="0"/>
        <w:jc w:val="center"/>
        <w:rPr>
          <w:rFonts w:ascii="宋体" w:hAnsi="宋体" w:eastAsia="宋体"/>
          <w:sz w:val="28"/>
          <w:szCs w:val="28"/>
        </w:rPr>
      </w:pPr>
      <w:bookmarkStart w:id="116" w:name="_Toc204964363"/>
      <w:r>
        <w:rPr>
          <w:rFonts w:hint="eastAsia" w:ascii="宋体" w:hAnsi="宋体" w:eastAsia="宋体"/>
          <w:sz w:val="28"/>
          <w:szCs w:val="28"/>
        </w:rPr>
        <w:t>历史地段</w:t>
      </w:r>
      <w:r>
        <w:rPr>
          <w:rFonts w:ascii="宋体" w:hAnsi="宋体" w:eastAsia="宋体"/>
          <w:sz w:val="28"/>
          <w:szCs w:val="28"/>
        </w:rPr>
        <w:t>的保护</w:t>
      </w:r>
      <w:bookmarkEnd w:id="116"/>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名录</w:t>
      </w:r>
    </w:p>
    <w:p>
      <w:pPr>
        <w:widowControl w:val="0"/>
        <w:ind w:firstLine="480"/>
        <w:rPr>
          <w:sz w:val="24"/>
          <w:szCs w:val="24"/>
          <w:u w:val="single"/>
        </w:rPr>
      </w:pPr>
      <w:r>
        <w:rPr>
          <w:rFonts w:hint="eastAsia"/>
          <w:sz w:val="24"/>
          <w:szCs w:val="24"/>
          <w:u w:val="single"/>
        </w:rPr>
        <w:t>本规划划定6片历史地段，保护范围面积总计约6</w:t>
      </w:r>
      <w:r>
        <w:rPr>
          <w:sz w:val="24"/>
          <w:szCs w:val="24"/>
          <w:u w:val="single"/>
        </w:rPr>
        <w:t>4.7</w:t>
      </w:r>
      <w:r>
        <w:rPr>
          <w:rFonts w:hint="eastAsia"/>
          <w:sz w:val="24"/>
          <w:szCs w:val="24"/>
          <w:u w:val="single"/>
        </w:rPr>
        <w:t>公顷，其中核心保护范围共计约13.</w:t>
      </w:r>
      <w:r>
        <w:rPr>
          <w:sz w:val="24"/>
          <w:szCs w:val="24"/>
          <w:u w:val="single"/>
        </w:rPr>
        <w:t>38</w:t>
      </w:r>
      <w:r>
        <w:rPr>
          <w:rFonts w:hint="eastAsia"/>
          <w:sz w:val="24"/>
          <w:szCs w:val="24"/>
          <w:u w:val="single"/>
        </w:rPr>
        <w:t>公顷，建设控制地带共计约</w:t>
      </w:r>
      <w:r>
        <w:rPr>
          <w:sz w:val="24"/>
          <w:szCs w:val="24"/>
          <w:u w:val="single"/>
        </w:rPr>
        <w:t>51</w:t>
      </w:r>
      <w:r>
        <w:rPr>
          <w:rFonts w:hint="eastAsia"/>
          <w:sz w:val="24"/>
          <w:szCs w:val="24"/>
          <w:u w:val="single"/>
        </w:rPr>
        <w:t>.</w:t>
      </w:r>
      <w:r>
        <w:rPr>
          <w:sz w:val="24"/>
          <w:szCs w:val="24"/>
          <w:u w:val="single"/>
        </w:rPr>
        <w:t>34</w:t>
      </w:r>
      <w:r>
        <w:rPr>
          <w:rFonts w:hint="eastAsia"/>
          <w:sz w:val="24"/>
          <w:szCs w:val="24"/>
          <w:u w:val="single"/>
        </w:rPr>
        <w:t>公顷（详见附表4）。</w:t>
      </w:r>
    </w:p>
    <w:p>
      <w:pPr>
        <w:pStyle w:val="4"/>
        <w:numPr>
          <w:ilvl w:val="0"/>
          <w:numId w:val="2"/>
        </w:numPr>
        <w:spacing w:before="312" w:beforeLines="100" w:after="0" w:line="415" w:lineRule="auto"/>
        <w:jc w:val="both"/>
        <w:rPr>
          <w:sz w:val="24"/>
          <w:szCs w:val="24"/>
        </w:rPr>
      </w:pPr>
      <w:r>
        <w:rPr>
          <w:rFonts w:hint="eastAsia"/>
          <w:sz w:val="24"/>
          <w:szCs w:val="24"/>
        </w:rPr>
        <w:t>历史地段一般保护措施</w:t>
      </w:r>
    </w:p>
    <w:p>
      <w:pPr>
        <w:pStyle w:val="49"/>
        <w:widowControl w:val="0"/>
        <w:numPr>
          <w:ilvl w:val="0"/>
          <w:numId w:val="38"/>
        </w:numPr>
        <w:ind w:left="0" w:firstLine="480"/>
        <w:rPr>
          <w:sz w:val="24"/>
          <w:szCs w:val="24"/>
          <w:u w:val="single"/>
        </w:rPr>
      </w:pPr>
      <w:bookmarkStart w:id="117" w:name="_Hlk171093180"/>
      <w:bookmarkStart w:id="118" w:name="_Hlk168942364"/>
      <w:r>
        <w:rPr>
          <w:rFonts w:hint="eastAsia"/>
          <w:sz w:val="24"/>
          <w:szCs w:val="24"/>
          <w:u w:val="single"/>
        </w:rPr>
        <w:t>对历史地段进行整体保护，保持其传统格局、历史风貌和空间尺度，保护与其相互依存的自然景观和环境。划定历史地段的保护范围，纳入历史文化保护传承体系数据库。保护范围包含核心保护范围和建设控制地带，可根据实际情况需要划定额外的环境协调区。</w:t>
      </w:r>
    </w:p>
    <w:p>
      <w:pPr>
        <w:pStyle w:val="49"/>
        <w:widowControl w:val="0"/>
        <w:numPr>
          <w:ilvl w:val="0"/>
          <w:numId w:val="38"/>
        </w:numPr>
        <w:ind w:left="0" w:firstLine="480"/>
        <w:rPr>
          <w:sz w:val="24"/>
          <w:szCs w:val="24"/>
          <w:u w:val="single"/>
        </w:rPr>
      </w:pPr>
      <w:r>
        <w:rPr>
          <w:rFonts w:hint="eastAsia"/>
          <w:sz w:val="24"/>
          <w:szCs w:val="24"/>
          <w:u w:val="single"/>
        </w:rPr>
        <w:t>鼓励历史地段的原住居民在原址居住，在符合保护规划规定的前提下，改善生产生活条件，从事非物质文化遗产传承和利用、当地特色产业的生产经营等相关活动，促进原有形态、生活方式的延续传承。尊重原住居民的意愿，不得以保护利用为由强制将原住居民整体迁出。</w:t>
      </w:r>
    </w:p>
    <w:p>
      <w:pPr>
        <w:pStyle w:val="49"/>
        <w:widowControl w:val="0"/>
        <w:numPr>
          <w:ilvl w:val="0"/>
          <w:numId w:val="38"/>
        </w:numPr>
        <w:ind w:left="0" w:firstLine="480"/>
        <w:rPr>
          <w:sz w:val="24"/>
          <w:szCs w:val="24"/>
          <w:u w:val="single"/>
        </w:rPr>
      </w:pPr>
      <w:r>
        <w:rPr>
          <w:rFonts w:hint="eastAsia"/>
          <w:sz w:val="24"/>
          <w:szCs w:val="24"/>
          <w:u w:val="single"/>
        </w:rPr>
        <w:t>地级以上市、县级人民政府可以采用微改造方式改善历史地段整体风貌，增加公共开放空间；补足配套基础设施和公共服务设施，配套建设或者利用既有建筑设置非物质文化遗产展示馆等公共文化设施，扶持老字号、非物质文化遗产代表项目，培育文化创意等产业。</w:t>
      </w:r>
    </w:p>
    <w:p>
      <w:pPr>
        <w:pStyle w:val="49"/>
        <w:widowControl w:val="0"/>
        <w:numPr>
          <w:ilvl w:val="0"/>
          <w:numId w:val="38"/>
        </w:numPr>
        <w:ind w:left="0" w:firstLine="480"/>
        <w:rPr>
          <w:sz w:val="24"/>
          <w:szCs w:val="24"/>
          <w:u w:val="single"/>
        </w:rPr>
      </w:pPr>
      <w:r>
        <w:rPr>
          <w:rFonts w:hint="eastAsia"/>
          <w:sz w:val="24"/>
          <w:szCs w:val="24"/>
          <w:u w:val="single"/>
        </w:rPr>
        <w:t>划定历史地段的，由所在地县级人民政府提出申请，经地级以上市保护主管部门会同文物主管部门组织有关部门、专家进行论证，提出审查意见，报地级以上市人民政府核定公布。</w:t>
      </w:r>
    </w:p>
    <w:p>
      <w:pPr>
        <w:pStyle w:val="49"/>
        <w:widowControl w:val="0"/>
        <w:numPr>
          <w:ilvl w:val="0"/>
          <w:numId w:val="38"/>
        </w:numPr>
        <w:ind w:left="0" w:firstLine="480"/>
        <w:rPr>
          <w:sz w:val="24"/>
          <w:szCs w:val="24"/>
          <w:u w:val="single"/>
        </w:rPr>
      </w:pPr>
      <w:r>
        <w:rPr>
          <w:rFonts w:hint="eastAsia"/>
          <w:sz w:val="24"/>
          <w:szCs w:val="24"/>
          <w:u w:val="single"/>
        </w:rPr>
        <w:t>鼓励单位和个人参与历史地段的保护利用和运营管理，开展历史文化资源的传承和利用。县级以上人民政府有关部门应当加强对商业化运营过程中历史文化资源保护落实情况的监督和指导。</w:t>
      </w:r>
    </w:p>
    <w:bookmarkEnd w:id="117"/>
    <w:bookmarkEnd w:id="118"/>
    <w:p>
      <w:pPr>
        <w:pStyle w:val="4"/>
        <w:numPr>
          <w:ilvl w:val="0"/>
          <w:numId w:val="2"/>
        </w:numPr>
        <w:spacing w:before="312" w:beforeLines="100" w:after="0" w:line="415" w:lineRule="auto"/>
        <w:jc w:val="both"/>
        <w:rPr>
          <w:sz w:val="24"/>
          <w:szCs w:val="24"/>
        </w:rPr>
      </w:pPr>
      <w:r>
        <w:rPr>
          <w:rFonts w:hint="eastAsia"/>
          <w:sz w:val="24"/>
          <w:szCs w:val="24"/>
        </w:rPr>
        <w:t>各推荐历史地段的保护</w:t>
      </w:r>
    </w:p>
    <w:p>
      <w:pPr>
        <w:ind w:firstLine="482"/>
        <w:rPr>
          <w:b/>
          <w:bCs/>
          <w:sz w:val="24"/>
          <w:szCs w:val="28"/>
        </w:rPr>
      </w:pPr>
      <w:r>
        <w:rPr>
          <w:rFonts w:hint="eastAsia"/>
          <w:b/>
          <w:bCs/>
          <w:sz w:val="24"/>
          <w:szCs w:val="28"/>
        </w:rPr>
        <w:t>（一）八一街推荐历史地段</w:t>
      </w:r>
    </w:p>
    <w:p>
      <w:pPr>
        <w:pStyle w:val="49"/>
        <w:widowControl w:val="0"/>
        <w:numPr>
          <w:ilvl w:val="0"/>
          <w:numId w:val="39"/>
        </w:numPr>
        <w:ind w:firstLineChars="0"/>
        <w:rPr>
          <w:b/>
          <w:bCs/>
          <w:sz w:val="24"/>
          <w:szCs w:val="24"/>
        </w:rPr>
      </w:pPr>
      <w:r>
        <w:rPr>
          <w:rFonts w:hint="eastAsia"/>
          <w:b/>
          <w:bCs/>
          <w:sz w:val="24"/>
          <w:szCs w:val="24"/>
        </w:rPr>
        <w:t>保护范围</w:t>
      </w:r>
    </w:p>
    <w:p>
      <w:pPr>
        <w:ind w:firstLine="480"/>
        <w:rPr>
          <w:sz w:val="24"/>
          <w:szCs w:val="24"/>
          <w:u w:val="single"/>
        </w:rPr>
      </w:pPr>
      <w:bookmarkStart w:id="119" w:name="_Hlk171092965"/>
      <w:r>
        <w:rPr>
          <w:rFonts w:hint="eastAsia"/>
          <w:sz w:val="24"/>
          <w:szCs w:val="24"/>
          <w:u w:val="single"/>
        </w:rPr>
        <w:t>八一街推荐历史地段</w:t>
      </w:r>
      <w:r>
        <w:rPr>
          <w:sz w:val="24"/>
          <w:szCs w:val="24"/>
          <w:u w:val="single"/>
        </w:rPr>
        <w:t>保护范围</w:t>
      </w:r>
      <w:r>
        <w:rPr>
          <w:rFonts w:hint="eastAsia"/>
          <w:sz w:val="24"/>
          <w:szCs w:val="24"/>
          <w:u w:val="single"/>
        </w:rPr>
        <w:t>北至环城东路，西至宾阳北路，南至雄州大道，东至崇贤大道</w:t>
      </w:r>
      <w:r>
        <w:rPr>
          <w:sz w:val="24"/>
          <w:szCs w:val="24"/>
          <w:u w:val="single"/>
        </w:rPr>
        <w:t>，面积</w:t>
      </w:r>
      <w:r>
        <w:rPr>
          <w:rFonts w:hint="eastAsia"/>
          <w:sz w:val="24"/>
          <w:szCs w:val="24"/>
          <w:u w:val="single"/>
        </w:rPr>
        <w:t>约</w:t>
      </w:r>
      <w:r>
        <w:rPr>
          <w:sz w:val="24"/>
          <w:szCs w:val="24"/>
          <w:u w:val="single"/>
        </w:rPr>
        <w:t>4.61公顷。其中</w:t>
      </w:r>
      <w:r>
        <w:rPr>
          <w:rFonts w:hint="eastAsia"/>
          <w:sz w:val="24"/>
          <w:szCs w:val="24"/>
          <w:u w:val="single"/>
        </w:rPr>
        <w:t>，</w:t>
      </w:r>
      <w:r>
        <w:rPr>
          <w:sz w:val="24"/>
          <w:szCs w:val="24"/>
          <w:u w:val="single"/>
        </w:rPr>
        <w:t>核心保护范围包括八一街及其两侧的竹筒屋、门楼等传统建筑，面积约1.21公顷。建设控制地带面积为3.4公顷</w:t>
      </w:r>
      <w:bookmarkEnd w:id="119"/>
      <w:r>
        <w:rPr>
          <w:sz w:val="24"/>
          <w:szCs w:val="24"/>
          <w:u w:val="single"/>
        </w:rPr>
        <w:t>。</w:t>
      </w:r>
    </w:p>
    <w:p>
      <w:pPr>
        <w:pStyle w:val="49"/>
        <w:widowControl w:val="0"/>
        <w:numPr>
          <w:ilvl w:val="0"/>
          <w:numId w:val="39"/>
        </w:numPr>
        <w:ind w:firstLineChars="0"/>
        <w:rPr>
          <w:b/>
          <w:bCs/>
          <w:sz w:val="24"/>
          <w:szCs w:val="24"/>
        </w:rPr>
      </w:pPr>
      <w:r>
        <w:rPr>
          <w:rFonts w:hint="eastAsia"/>
          <w:b/>
          <w:bCs/>
          <w:sz w:val="24"/>
          <w:szCs w:val="24"/>
        </w:rPr>
        <w:t>价值梳理</w:t>
      </w:r>
    </w:p>
    <w:p>
      <w:pPr>
        <w:ind w:firstLine="480"/>
        <w:rPr>
          <w:sz w:val="24"/>
          <w:szCs w:val="24"/>
        </w:rPr>
      </w:pPr>
      <w:bookmarkStart w:id="120" w:name="_Hlk171092736"/>
      <w:bookmarkStart w:id="121" w:name="_Hlk171092849"/>
      <w:r>
        <w:rPr>
          <w:rFonts w:hint="eastAsia"/>
          <w:sz w:val="24"/>
          <w:szCs w:val="24"/>
        </w:rPr>
        <w:t>八一街</w:t>
      </w:r>
      <w:r>
        <w:rPr>
          <w:sz w:val="24"/>
          <w:szCs w:val="24"/>
        </w:rPr>
        <w:t>是南雄老城</w:t>
      </w:r>
      <w:r>
        <w:rPr>
          <w:rFonts w:hint="eastAsia"/>
          <w:sz w:val="24"/>
          <w:szCs w:val="24"/>
        </w:rPr>
        <w:t>在新中国成立后</w:t>
      </w:r>
      <w:r>
        <w:rPr>
          <w:sz w:val="24"/>
          <w:szCs w:val="24"/>
        </w:rPr>
        <w:t>向东扩展的</w:t>
      </w:r>
      <w:r>
        <w:rPr>
          <w:rFonts w:hint="eastAsia"/>
          <w:sz w:val="24"/>
          <w:szCs w:val="24"/>
        </w:rPr>
        <w:t>最早</w:t>
      </w:r>
      <w:r>
        <w:rPr>
          <w:sz w:val="24"/>
          <w:szCs w:val="24"/>
        </w:rPr>
        <w:t>片区</w:t>
      </w:r>
      <w:bookmarkEnd w:id="120"/>
      <w:r>
        <w:rPr>
          <w:sz w:val="24"/>
          <w:szCs w:val="24"/>
        </w:rPr>
        <w:t>。</w:t>
      </w:r>
      <w:bookmarkEnd w:id="121"/>
      <w:r>
        <w:rPr>
          <w:sz w:val="24"/>
          <w:szCs w:val="24"/>
        </w:rPr>
        <w:t>其</w:t>
      </w:r>
      <w:r>
        <w:rPr>
          <w:rFonts w:hint="eastAsia"/>
          <w:sz w:val="24"/>
          <w:szCs w:val="24"/>
        </w:rPr>
        <w:t>空间</w:t>
      </w:r>
      <w:r>
        <w:rPr>
          <w:sz w:val="24"/>
          <w:szCs w:val="24"/>
        </w:rPr>
        <w:t>格局、街巷尺度和风貌保存较好，竹筒屋为岭南传统商住结合建筑，适应潮湿闷热气候，多为原住民居住。沿街商业主要服务本地居民，</w:t>
      </w:r>
      <w:r>
        <w:rPr>
          <w:rFonts w:hint="eastAsia"/>
          <w:sz w:val="24"/>
          <w:szCs w:val="24"/>
        </w:rPr>
        <w:t>保持了社区功能的延续性</w:t>
      </w:r>
      <w:r>
        <w:rPr>
          <w:sz w:val="24"/>
          <w:szCs w:val="24"/>
        </w:rPr>
        <w:t>。“人民公园”门楼为</w:t>
      </w:r>
      <w:r>
        <w:rPr>
          <w:rFonts w:hint="eastAsia"/>
          <w:sz w:val="24"/>
          <w:szCs w:val="24"/>
        </w:rPr>
        <w:t>中华人民共和国成立</w:t>
      </w:r>
      <w:r>
        <w:rPr>
          <w:sz w:val="24"/>
          <w:szCs w:val="24"/>
        </w:rPr>
        <w:t>初期巴洛克风格建筑，曾是烈士陵园出入口和市民活动场所，承载</w:t>
      </w:r>
      <w:r>
        <w:rPr>
          <w:rFonts w:hint="eastAsia"/>
          <w:sz w:val="24"/>
          <w:szCs w:val="24"/>
        </w:rPr>
        <w:t>当地居民的集体记忆和情感</w:t>
      </w:r>
      <w:r>
        <w:rPr>
          <w:sz w:val="24"/>
          <w:szCs w:val="24"/>
        </w:rPr>
        <w:t>。八一街</w:t>
      </w:r>
      <w:r>
        <w:rPr>
          <w:rFonts w:hint="eastAsia"/>
          <w:sz w:val="24"/>
          <w:szCs w:val="24"/>
        </w:rPr>
        <w:t>是</w:t>
      </w:r>
      <w:r>
        <w:rPr>
          <w:sz w:val="24"/>
          <w:szCs w:val="24"/>
        </w:rPr>
        <w:t>展示</w:t>
      </w:r>
      <w:r>
        <w:rPr>
          <w:rFonts w:hint="eastAsia"/>
          <w:sz w:val="24"/>
          <w:szCs w:val="24"/>
        </w:rPr>
        <w:t>南雄</w:t>
      </w:r>
      <w:r>
        <w:rPr>
          <w:sz w:val="24"/>
          <w:szCs w:val="24"/>
        </w:rPr>
        <w:t>城市发展、建筑风貌</w:t>
      </w:r>
      <w:r>
        <w:rPr>
          <w:rFonts w:hint="eastAsia"/>
          <w:sz w:val="24"/>
          <w:szCs w:val="24"/>
        </w:rPr>
        <w:t>及社区生活特征的区域</w:t>
      </w:r>
      <w:r>
        <w:rPr>
          <w:sz w:val="24"/>
          <w:szCs w:val="24"/>
        </w:rPr>
        <w:t>。</w:t>
      </w:r>
    </w:p>
    <w:p>
      <w:pPr>
        <w:pStyle w:val="49"/>
        <w:widowControl w:val="0"/>
        <w:numPr>
          <w:ilvl w:val="0"/>
          <w:numId w:val="39"/>
        </w:numPr>
        <w:ind w:firstLineChars="0"/>
        <w:rPr>
          <w:b/>
          <w:bCs/>
          <w:sz w:val="24"/>
          <w:szCs w:val="24"/>
        </w:rPr>
      </w:pPr>
      <w:r>
        <w:rPr>
          <w:rFonts w:hint="eastAsia"/>
          <w:b/>
          <w:bCs/>
          <w:sz w:val="24"/>
          <w:szCs w:val="24"/>
        </w:rPr>
        <w:t>保护重点</w:t>
      </w:r>
    </w:p>
    <w:p>
      <w:pPr>
        <w:pStyle w:val="49"/>
        <w:ind w:firstLine="480"/>
        <w:rPr>
          <w:sz w:val="24"/>
          <w:szCs w:val="24"/>
          <w:u w:val="single"/>
        </w:rPr>
      </w:pPr>
      <w:bookmarkStart w:id="122" w:name="_Hlk171093101"/>
      <w:r>
        <w:rPr>
          <w:rFonts w:hint="eastAsia"/>
          <w:sz w:val="24"/>
          <w:szCs w:val="24"/>
          <w:u w:val="single"/>
        </w:rPr>
        <w:t>重点保护与重要历史名人和重大历史事件密切相关的场所如毛泽东居住旧址、人民公园牌坊等文物古迹；保护八一街自新中国成立后发展至今的历史脉络、空间格局、街巷肌理。鼓励采用历史建筑保护、城市更新管理、人居环境提升、文旅融合发展、社区共享共治等方式活力复兴</w:t>
      </w:r>
      <w:bookmarkEnd w:id="122"/>
      <w:r>
        <w:rPr>
          <w:rFonts w:hint="eastAsia"/>
          <w:sz w:val="24"/>
          <w:szCs w:val="24"/>
          <w:u w:val="single"/>
        </w:rPr>
        <w:t>。</w:t>
      </w:r>
    </w:p>
    <w:p>
      <w:pPr>
        <w:ind w:firstLine="482"/>
        <w:rPr>
          <w:b/>
          <w:bCs/>
          <w:sz w:val="24"/>
          <w:szCs w:val="28"/>
        </w:rPr>
      </w:pPr>
      <w:r>
        <w:rPr>
          <w:rFonts w:hint="eastAsia"/>
          <w:b/>
          <w:bCs/>
          <w:sz w:val="24"/>
          <w:szCs w:val="28"/>
        </w:rPr>
        <w:t>（二）滨江推荐历史地段</w:t>
      </w:r>
    </w:p>
    <w:p>
      <w:pPr>
        <w:pStyle w:val="49"/>
        <w:widowControl w:val="0"/>
        <w:numPr>
          <w:ilvl w:val="0"/>
          <w:numId w:val="40"/>
        </w:numPr>
        <w:ind w:firstLineChars="0"/>
        <w:rPr>
          <w:b/>
          <w:bCs/>
          <w:sz w:val="24"/>
          <w:szCs w:val="24"/>
        </w:rPr>
      </w:pPr>
      <w:r>
        <w:rPr>
          <w:rFonts w:hint="eastAsia"/>
          <w:b/>
          <w:bCs/>
          <w:sz w:val="24"/>
          <w:szCs w:val="24"/>
        </w:rPr>
        <w:t>保护范围</w:t>
      </w:r>
    </w:p>
    <w:p>
      <w:pPr>
        <w:ind w:firstLine="480"/>
        <w:rPr>
          <w:sz w:val="24"/>
          <w:szCs w:val="24"/>
          <w:highlight w:val="yellow"/>
          <w:u w:val="single"/>
        </w:rPr>
      </w:pPr>
      <w:r>
        <w:rPr>
          <w:rFonts w:hint="eastAsia"/>
          <w:sz w:val="24"/>
          <w:szCs w:val="24"/>
          <w:u w:val="single"/>
        </w:rPr>
        <w:t>滨江推荐历史地段保护范围</w:t>
      </w:r>
      <w:r>
        <w:rPr>
          <w:sz w:val="24"/>
          <w:szCs w:val="24"/>
          <w:u w:val="single"/>
        </w:rPr>
        <w:t>包括</w:t>
      </w:r>
      <w:r>
        <w:rPr>
          <w:rFonts w:hint="eastAsia"/>
          <w:sz w:val="24"/>
          <w:szCs w:val="24"/>
          <w:u w:val="single"/>
        </w:rPr>
        <w:t>雄州古城墙</w:t>
      </w:r>
      <w:r>
        <w:rPr>
          <w:sz w:val="24"/>
          <w:szCs w:val="24"/>
          <w:u w:val="single"/>
        </w:rPr>
        <w:t>及其</w:t>
      </w:r>
      <w:r>
        <w:rPr>
          <w:rFonts w:hint="eastAsia"/>
          <w:sz w:val="24"/>
          <w:szCs w:val="24"/>
          <w:u w:val="single"/>
        </w:rPr>
        <w:t>周边</w:t>
      </w:r>
      <w:r>
        <w:rPr>
          <w:sz w:val="24"/>
          <w:szCs w:val="24"/>
          <w:u w:val="single"/>
        </w:rPr>
        <w:t>的</w:t>
      </w:r>
      <w:r>
        <w:rPr>
          <w:rFonts w:hint="eastAsia"/>
          <w:sz w:val="24"/>
          <w:szCs w:val="24"/>
          <w:u w:val="single"/>
        </w:rPr>
        <w:t>文物古迹，面积约40</w:t>
      </w:r>
      <w:r>
        <w:rPr>
          <w:sz w:val="24"/>
          <w:szCs w:val="24"/>
          <w:u w:val="single"/>
        </w:rPr>
        <w:t>.</w:t>
      </w:r>
      <w:r>
        <w:rPr>
          <w:rFonts w:hint="eastAsia"/>
          <w:sz w:val="24"/>
          <w:szCs w:val="24"/>
          <w:u w:val="single"/>
        </w:rPr>
        <w:t>18</w:t>
      </w:r>
      <w:r>
        <w:rPr>
          <w:sz w:val="24"/>
          <w:szCs w:val="24"/>
          <w:u w:val="single"/>
        </w:rPr>
        <w:t>公顷。</w:t>
      </w:r>
      <w:r>
        <w:rPr>
          <w:rFonts w:hint="eastAsia"/>
          <w:sz w:val="24"/>
          <w:szCs w:val="24"/>
          <w:u w:val="single"/>
        </w:rPr>
        <w:t>其中，核心保护范围</w:t>
      </w:r>
      <w:r>
        <w:rPr>
          <w:sz w:val="24"/>
          <w:szCs w:val="24"/>
          <w:u w:val="single"/>
        </w:rPr>
        <w:t>面积</w:t>
      </w:r>
      <w:r>
        <w:rPr>
          <w:rFonts w:hint="eastAsia"/>
          <w:sz w:val="24"/>
          <w:szCs w:val="24"/>
          <w:u w:val="single"/>
        </w:rPr>
        <w:t>约8</w:t>
      </w:r>
      <w:r>
        <w:rPr>
          <w:sz w:val="24"/>
          <w:szCs w:val="24"/>
          <w:u w:val="single"/>
        </w:rPr>
        <w:t>.</w:t>
      </w:r>
      <w:r>
        <w:rPr>
          <w:rFonts w:hint="eastAsia"/>
          <w:sz w:val="24"/>
          <w:szCs w:val="24"/>
          <w:u w:val="single"/>
        </w:rPr>
        <w:t>64</w:t>
      </w:r>
      <w:r>
        <w:rPr>
          <w:sz w:val="24"/>
          <w:szCs w:val="24"/>
          <w:u w:val="single"/>
        </w:rPr>
        <w:t>公顷</w:t>
      </w:r>
      <w:r>
        <w:rPr>
          <w:rFonts w:hint="eastAsia"/>
          <w:sz w:val="24"/>
          <w:szCs w:val="24"/>
          <w:u w:val="single"/>
        </w:rPr>
        <w:t>，建设控制地带</w:t>
      </w:r>
      <w:r>
        <w:rPr>
          <w:sz w:val="24"/>
          <w:szCs w:val="24"/>
          <w:u w:val="single"/>
        </w:rPr>
        <w:t>面积</w:t>
      </w:r>
      <w:r>
        <w:rPr>
          <w:rFonts w:hint="eastAsia"/>
          <w:sz w:val="24"/>
          <w:szCs w:val="24"/>
          <w:u w:val="single"/>
        </w:rPr>
        <w:t>约</w:t>
      </w:r>
      <w:r>
        <w:rPr>
          <w:sz w:val="24"/>
          <w:szCs w:val="24"/>
          <w:u w:val="single"/>
        </w:rPr>
        <w:t>为</w:t>
      </w:r>
      <w:r>
        <w:rPr>
          <w:rFonts w:hint="eastAsia"/>
          <w:sz w:val="24"/>
          <w:szCs w:val="24"/>
          <w:u w:val="single"/>
        </w:rPr>
        <w:t>31.54</w:t>
      </w:r>
      <w:r>
        <w:rPr>
          <w:sz w:val="24"/>
          <w:szCs w:val="24"/>
          <w:u w:val="single"/>
        </w:rPr>
        <w:t>公顷</w:t>
      </w:r>
      <w:r>
        <w:rPr>
          <w:rFonts w:hint="eastAsia"/>
          <w:sz w:val="24"/>
          <w:szCs w:val="24"/>
          <w:u w:val="single"/>
        </w:rPr>
        <w:t>。</w:t>
      </w:r>
    </w:p>
    <w:p>
      <w:pPr>
        <w:pStyle w:val="49"/>
        <w:widowControl w:val="0"/>
        <w:numPr>
          <w:ilvl w:val="0"/>
          <w:numId w:val="40"/>
        </w:numPr>
        <w:ind w:firstLineChars="0"/>
        <w:rPr>
          <w:b/>
          <w:bCs/>
          <w:sz w:val="24"/>
          <w:szCs w:val="24"/>
        </w:rPr>
      </w:pPr>
      <w:r>
        <w:rPr>
          <w:rFonts w:hint="eastAsia"/>
          <w:b/>
          <w:bCs/>
          <w:sz w:val="24"/>
          <w:szCs w:val="24"/>
        </w:rPr>
        <w:t>价值梳理</w:t>
      </w:r>
    </w:p>
    <w:p>
      <w:pPr>
        <w:ind w:firstLine="480"/>
        <w:rPr>
          <w:sz w:val="24"/>
          <w:szCs w:val="24"/>
          <w:highlight w:val="yellow"/>
        </w:rPr>
      </w:pPr>
      <w:r>
        <w:rPr>
          <w:rFonts w:hint="eastAsia"/>
          <w:sz w:val="24"/>
          <w:szCs w:val="24"/>
        </w:rPr>
        <w:t>滨江历史地段是南北商贸与文化交流的活态见证，浈江、凌江古水道为大庾岭片区漕运咽喉，清代《南雄州志》印证南雄贸易核心地位，明代城墙基址等见证城防中水利与防御的融合智慧；其</w:t>
      </w:r>
      <w:r>
        <w:rPr>
          <w:sz w:val="24"/>
          <w:szCs w:val="24"/>
        </w:rPr>
        <w:t>“城水共生”风貌独特，原始河道与太平水门等构成“水道</w:t>
      </w:r>
      <w:r>
        <w:rPr>
          <w:rFonts w:hint="eastAsia"/>
          <w:sz w:val="24"/>
          <w:szCs w:val="24"/>
        </w:rPr>
        <w:t>——</w:t>
      </w:r>
      <w:r>
        <w:rPr>
          <w:sz w:val="24"/>
          <w:szCs w:val="24"/>
        </w:rPr>
        <w:t>城防</w:t>
      </w:r>
      <w:r>
        <w:rPr>
          <w:rFonts w:hint="eastAsia"/>
          <w:sz w:val="24"/>
          <w:szCs w:val="24"/>
        </w:rPr>
        <w:t>——</w:t>
      </w:r>
      <w:r>
        <w:rPr>
          <w:sz w:val="24"/>
          <w:szCs w:val="24"/>
        </w:rPr>
        <w:t>商埠”完整肌理</w:t>
      </w:r>
      <w:r>
        <w:rPr>
          <w:rFonts w:hint="eastAsia"/>
          <w:sz w:val="24"/>
          <w:szCs w:val="24"/>
        </w:rPr>
        <w:t>；</w:t>
      </w:r>
      <w:r>
        <w:rPr>
          <w:sz w:val="24"/>
          <w:szCs w:val="24"/>
        </w:rPr>
        <w:t>作为衔接中原与岭南的漕运节点，修复后可联动珠玑巷等遗产点，为区域注入新动能。</w:t>
      </w:r>
    </w:p>
    <w:p>
      <w:pPr>
        <w:pStyle w:val="49"/>
        <w:widowControl w:val="0"/>
        <w:numPr>
          <w:ilvl w:val="0"/>
          <w:numId w:val="40"/>
        </w:numPr>
        <w:ind w:firstLineChars="0"/>
        <w:rPr>
          <w:b/>
          <w:bCs/>
          <w:sz w:val="24"/>
          <w:szCs w:val="24"/>
        </w:rPr>
        <w:sectPr>
          <w:pgSz w:w="11907" w:h="16839"/>
          <w:pgMar w:top="1440" w:right="1080" w:bottom="1440" w:left="1080" w:header="851" w:footer="737" w:gutter="0"/>
          <w:cols w:space="425" w:num="1"/>
          <w:docGrid w:type="lines" w:linePitch="312" w:charSpace="0"/>
        </w:sectPr>
      </w:pPr>
    </w:p>
    <w:p>
      <w:pPr>
        <w:pStyle w:val="49"/>
        <w:widowControl w:val="0"/>
        <w:numPr>
          <w:ilvl w:val="0"/>
          <w:numId w:val="40"/>
        </w:numPr>
        <w:ind w:firstLineChars="0"/>
        <w:rPr>
          <w:b/>
          <w:bCs/>
          <w:sz w:val="24"/>
          <w:szCs w:val="24"/>
        </w:rPr>
      </w:pPr>
      <w:r>
        <w:rPr>
          <w:rFonts w:hint="eastAsia"/>
          <w:b/>
          <w:bCs/>
          <w:sz w:val="24"/>
          <w:szCs w:val="24"/>
        </w:rPr>
        <w:t>保护重点</w:t>
      </w:r>
    </w:p>
    <w:p>
      <w:pPr>
        <w:pStyle w:val="49"/>
        <w:ind w:firstLine="480"/>
        <w:rPr>
          <w:sz w:val="24"/>
          <w:szCs w:val="24"/>
          <w:highlight w:val="yellow"/>
        </w:rPr>
      </w:pPr>
      <w:r>
        <w:rPr>
          <w:rFonts w:hint="eastAsia"/>
          <w:sz w:val="24"/>
          <w:szCs w:val="24"/>
        </w:rPr>
        <w:t>重点保护浈江和凌江古城外围运河水道；保护历史地段内古城墙等文物古迹及蓝绿交织、水城共融的景观风貌；控制现代建筑对保护范围历史风貌的影响。</w:t>
      </w:r>
    </w:p>
    <w:p>
      <w:pPr>
        <w:ind w:firstLine="482"/>
        <w:rPr>
          <w:b/>
          <w:bCs/>
          <w:sz w:val="24"/>
          <w:szCs w:val="28"/>
        </w:rPr>
      </w:pPr>
      <w:r>
        <w:rPr>
          <w:rFonts w:hint="eastAsia"/>
          <w:b/>
          <w:bCs/>
          <w:sz w:val="24"/>
          <w:szCs w:val="28"/>
        </w:rPr>
        <w:t>（三）中站推荐历史地段</w:t>
      </w:r>
    </w:p>
    <w:p>
      <w:pPr>
        <w:pStyle w:val="49"/>
        <w:widowControl w:val="0"/>
        <w:numPr>
          <w:ilvl w:val="0"/>
          <w:numId w:val="41"/>
        </w:numPr>
        <w:ind w:firstLineChars="0"/>
        <w:rPr>
          <w:b/>
          <w:bCs/>
          <w:sz w:val="24"/>
          <w:szCs w:val="24"/>
        </w:rPr>
      </w:pPr>
      <w:r>
        <w:rPr>
          <w:rFonts w:hint="eastAsia"/>
          <w:b/>
          <w:bCs/>
          <w:sz w:val="24"/>
          <w:szCs w:val="24"/>
        </w:rPr>
        <w:t>保护范围</w:t>
      </w:r>
    </w:p>
    <w:p>
      <w:pPr>
        <w:ind w:firstLine="480"/>
        <w:rPr>
          <w:sz w:val="24"/>
          <w:szCs w:val="24"/>
          <w:u w:val="single"/>
        </w:rPr>
      </w:pPr>
      <w:r>
        <w:rPr>
          <w:rFonts w:hint="eastAsia"/>
          <w:sz w:val="24"/>
          <w:szCs w:val="24"/>
          <w:u w:val="single"/>
        </w:rPr>
        <w:t>中站推荐历史地段保护范围</w:t>
      </w:r>
      <w:r>
        <w:rPr>
          <w:sz w:val="24"/>
          <w:szCs w:val="24"/>
          <w:u w:val="single"/>
        </w:rPr>
        <w:t>包括商业街及其两侧的商铺、宗祠、碉楼、民居等</w:t>
      </w:r>
      <w:r>
        <w:rPr>
          <w:rFonts w:hint="eastAsia"/>
          <w:sz w:val="24"/>
          <w:szCs w:val="24"/>
          <w:u w:val="single"/>
        </w:rPr>
        <w:t>传统建筑和古驿道本体，面积约6.41</w:t>
      </w:r>
      <w:r>
        <w:rPr>
          <w:sz w:val="24"/>
          <w:szCs w:val="24"/>
          <w:u w:val="single"/>
        </w:rPr>
        <w:t>公顷。</w:t>
      </w:r>
      <w:r>
        <w:rPr>
          <w:rFonts w:hint="eastAsia"/>
          <w:sz w:val="24"/>
          <w:szCs w:val="24"/>
          <w:u w:val="single"/>
        </w:rPr>
        <w:t>其中，核心保护范围</w:t>
      </w:r>
      <w:r>
        <w:rPr>
          <w:sz w:val="24"/>
          <w:szCs w:val="24"/>
          <w:u w:val="single"/>
        </w:rPr>
        <w:t>面积</w:t>
      </w:r>
      <w:r>
        <w:rPr>
          <w:rFonts w:hint="eastAsia"/>
          <w:sz w:val="24"/>
          <w:szCs w:val="24"/>
          <w:u w:val="single"/>
        </w:rPr>
        <w:t>约</w:t>
      </w:r>
      <w:r>
        <w:rPr>
          <w:sz w:val="24"/>
          <w:szCs w:val="24"/>
          <w:u w:val="single"/>
        </w:rPr>
        <w:t>1.</w:t>
      </w:r>
      <w:r>
        <w:rPr>
          <w:rFonts w:hint="eastAsia"/>
          <w:sz w:val="24"/>
          <w:szCs w:val="24"/>
          <w:u w:val="single"/>
        </w:rPr>
        <w:t>55</w:t>
      </w:r>
      <w:r>
        <w:rPr>
          <w:sz w:val="24"/>
          <w:szCs w:val="24"/>
          <w:u w:val="single"/>
        </w:rPr>
        <w:t>公顷</w:t>
      </w:r>
      <w:r>
        <w:rPr>
          <w:rFonts w:hint="eastAsia"/>
          <w:sz w:val="24"/>
          <w:szCs w:val="24"/>
          <w:u w:val="single"/>
        </w:rPr>
        <w:t>，建设控制地带</w:t>
      </w:r>
      <w:r>
        <w:rPr>
          <w:sz w:val="24"/>
          <w:szCs w:val="24"/>
          <w:u w:val="single"/>
        </w:rPr>
        <w:t>面积</w:t>
      </w:r>
      <w:r>
        <w:rPr>
          <w:rFonts w:hint="eastAsia"/>
          <w:sz w:val="24"/>
          <w:szCs w:val="24"/>
          <w:u w:val="single"/>
        </w:rPr>
        <w:t>约</w:t>
      </w:r>
      <w:r>
        <w:rPr>
          <w:sz w:val="24"/>
          <w:szCs w:val="24"/>
          <w:u w:val="single"/>
        </w:rPr>
        <w:t>为4.</w:t>
      </w:r>
      <w:r>
        <w:rPr>
          <w:rFonts w:hint="eastAsia"/>
          <w:sz w:val="24"/>
          <w:szCs w:val="24"/>
          <w:u w:val="single"/>
        </w:rPr>
        <w:t>86</w:t>
      </w:r>
      <w:r>
        <w:rPr>
          <w:sz w:val="24"/>
          <w:szCs w:val="24"/>
          <w:u w:val="single"/>
        </w:rPr>
        <w:t>公顷</w:t>
      </w:r>
      <w:r>
        <w:rPr>
          <w:rFonts w:hint="eastAsia"/>
          <w:sz w:val="24"/>
          <w:szCs w:val="24"/>
          <w:u w:val="single"/>
        </w:rPr>
        <w:t>。</w:t>
      </w:r>
    </w:p>
    <w:p>
      <w:pPr>
        <w:pStyle w:val="49"/>
        <w:widowControl w:val="0"/>
        <w:numPr>
          <w:ilvl w:val="0"/>
          <w:numId w:val="41"/>
        </w:numPr>
        <w:ind w:firstLineChars="0"/>
        <w:rPr>
          <w:b/>
          <w:bCs/>
          <w:sz w:val="24"/>
          <w:szCs w:val="24"/>
        </w:rPr>
      </w:pPr>
      <w:r>
        <w:rPr>
          <w:rFonts w:hint="eastAsia"/>
          <w:b/>
          <w:bCs/>
          <w:sz w:val="24"/>
          <w:szCs w:val="24"/>
        </w:rPr>
        <w:t>价值梳理</w:t>
      </w:r>
    </w:p>
    <w:p>
      <w:pPr>
        <w:ind w:firstLine="480"/>
        <w:rPr>
          <w:sz w:val="24"/>
          <w:szCs w:val="24"/>
        </w:rPr>
      </w:pPr>
      <w:r>
        <w:rPr>
          <w:sz w:val="24"/>
          <w:szCs w:val="24"/>
        </w:rPr>
        <w:t>梅关古道途经的中站街，保存了朝代更迭、战争洗礼和经济发展的真实物证，现存古驿道及两侧商铺体现了千年古道文化，</w:t>
      </w:r>
      <w:r>
        <w:rPr>
          <w:rFonts w:hint="eastAsia"/>
          <w:sz w:val="24"/>
          <w:szCs w:val="24"/>
        </w:rPr>
        <w:t>突显南雄作为南北咽喉要地在经济、文化和军事等方面的重要地位</w:t>
      </w:r>
      <w:r>
        <w:rPr>
          <w:sz w:val="24"/>
          <w:szCs w:val="24"/>
        </w:rPr>
        <w:t>。中站街拥有丰富的红色文化遗产，如人民公社礼堂和徐氏宗祠，见证了</w:t>
      </w:r>
      <w:r>
        <w:rPr>
          <w:rFonts w:hint="eastAsia"/>
          <w:sz w:val="24"/>
          <w:szCs w:val="24"/>
        </w:rPr>
        <w:t>中华人民共和国成立</w:t>
      </w:r>
      <w:r>
        <w:rPr>
          <w:sz w:val="24"/>
          <w:szCs w:val="24"/>
        </w:rPr>
        <w:t>初期的集体生活和</w:t>
      </w:r>
      <w:r>
        <w:rPr>
          <w:rFonts w:hint="eastAsia"/>
          <w:sz w:val="24"/>
          <w:szCs w:val="24"/>
        </w:rPr>
        <w:t>重要</w:t>
      </w:r>
      <w:r>
        <w:rPr>
          <w:sz w:val="24"/>
          <w:szCs w:val="24"/>
        </w:rPr>
        <w:t>历史事件。这里的民居和祠堂建筑融合南北文化，装饰工艺精美，是几代民间</w:t>
      </w:r>
      <w:r>
        <w:rPr>
          <w:rFonts w:hint="eastAsia"/>
          <w:sz w:val="24"/>
          <w:szCs w:val="24"/>
        </w:rPr>
        <w:t>工匠</w:t>
      </w:r>
      <w:r>
        <w:rPr>
          <w:sz w:val="24"/>
          <w:szCs w:val="24"/>
        </w:rPr>
        <w:t>的智慧结晶，为研究古建筑风貌和传统技艺提供了宝贵资源，具有极高的历史、社会和艺术价值。</w:t>
      </w:r>
    </w:p>
    <w:p>
      <w:pPr>
        <w:pStyle w:val="49"/>
        <w:widowControl w:val="0"/>
        <w:numPr>
          <w:ilvl w:val="0"/>
          <w:numId w:val="41"/>
        </w:numPr>
        <w:ind w:firstLineChars="0"/>
        <w:rPr>
          <w:b/>
          <w:bCs/>
          <w:sz w:val="24"/>
          <w:szCs w:val="24"/>
        </w:rPr>
      </w:pPr>
      <w:r>
        <w:rPr>
          <w:rFonts w:hint="eastAsia"/>
          <w:b/>
          <w:bCs/>
          <w:sz w:val="24"/>
          <w:szCs w:val="24"/>
        </w:rPr>
        <w:t>保护重点</w:t>
      </w:r>
    </w:p>
    <w:p>
      <w:pPr>
        <w:pStyle w:val="49"/>
        <w:ind w:firstLine="480"/>
        <w:rPr>
          <w:sz w:val="24"/>
          <w:szCs w:val="24"/>
          <w:u w:val="single"/>
        </w:rPr>
      </w:pPr>
      <w:bookmarkStart w:id="123" w:name="_Hlk171094907"/>
      <w:r>
        <w:rPr>
          <w:rFonts w:hint="eastAsia"/>
          <w:sz w:val="24"/>
          <w:szCs w:val="24"/>
          <w:u w:val="single"/>
        </w:rPr>
        <w:t>保护历史地段内麻石铺设的古驿道和碉楼、传统商铺、传统民居群等文物古迹和历史环境要素；保护传统街巷，维修改善地段区内的传统建筑；保护范围与范围外的民居之间应增加绿化，减少现代建筑对保护范围内传统风貌的影响。</w:t>
      </w:r>
    </w:p>
    <w:bookmarkEnd w:id="123"/>
    <w:p>
      <w:pPr>
        <w:ind w:firstLine="482"/>
        <w:rPr>
          <w:b/>
          <w:bCs/>
          <w:sz w:val="24"/>
          <w:szCs w:val="28"/>
        </w:rPr>
      </w:pPr>
      <w:r>
        <w:rPr>
          <w:rFonts w:hint="eastAsia"/>
          <w:b/>
          <w:bCs/>
          <w:sz w:val="24"/>
          <w:szCs w:val="28"/>
        </w:rPr>
        <w:t>（四）里东推荐</w:t>
      </w:r>
      <w:r>
        <w:rPr>
          <w:b/>
          <w:bCs/>
          <w:sz w:val="24"/>
          <w:szCs w:val="28"/>
        </w:rPr>
        <w:t>历史</w:t>
      </w:r>
      <w:r>
        <w:rPr>
          <w:rFonts w:hint="eastAsia"/>
          <w:b/>
          <w:bCs/>
          <w:sz w:val="24"/>
          <w:szCs w:val="28"/>
        </w:rPr>
        <w:t>地段</w:t>
      </w:r>
    </w:p>
    <w:p>
      <w:pPr>
        <w:pStyle w:val="49"/>
        <w:widowControl w:val="0"/>
        <w:numPr>
          <w:ilvl w:val="0"/>
          <w:numId w:val="42"/>
        </w:numPr>
        <w:ind w:firstLineChars="0"/>
        <w:rPr>
          <w:b/>
          <w:bCs/>
          <w:sz w:val="24"/>
          <w:szCs w:val="24"/>
        </w:rPr>
      </w:pPr>
      <w:r>
        <w:rPr>
          <w:rFonts w:hint="eastAsia"/>
          <w:b/>
          <w:bCs/>
          <w:sz w:val="24"/>
          <w:szCs w:val="24"/>
        </w:rPr>
        <w:t>保护范围</w:t>
      </w:r>
    </w:p>
    <w:p>
      <w:pPr>
        <w:ind w:firstLine="480"/>
        <w:rPr>
          <w:sz w:val="24"/>
          <w:szCs w:val="24"/>
          <w:u w:val="single"/>
        </w:rPr>
      </w:pPr>
      <w:r>
        <w:rPr>
          <w:rFonts w:hint="eastAsia"/>
          <w:sz w:val="24"/>
          <w:szCs w:val="24"/>
          <w:u w:val="single"/>
        </w:rPr>
        <w:t>里东街推荐历史地段保护范围包括里东街及其两侧的古戏台、古商铺、门楼等传统建筑，面积约3.74</w:t>
      </w:r>
      <w:r>
        <w:rPr>
          <w:sz w:val="24"/>
          <w:szCs w:val="24"/>
          <w:u w:val="single"/>
        </w:rPr>
        <w:t>公顷。</w:t>
      </w:r>
      <w:r>
        <w:rPr>
          <w:rFonts w:hint="eastAsia"/>
          <w:sz w:val="24"/>
          <w:szCs w:val="24"/>
          <w:u w:val="single"/>
        </w:rPr>
        <w:t>其中，核心保护范围</w:t>
      </w:r>
      <w:r>
        <w:rPr>
          <w:sz w:val="24"/>
          <w:szCs w:val="24"/>
          <w:u w:val="single"/>
        </w:rPr>
        <w:t>面积</w:t>
      </w:r>
      <w:r>
        <w:rPr>
          <w:rFonts w:hint="eastAsia"/>
          <w:sz w:val="24"/>
          <w:szCs w:val="24"/>
          <w:u w:val="single"/>
        </w:rPr>
        <w:t>约</w:t>
      </w:r>
      <w:r>
        <w:rPr>
          <w:sz w:val="24"/>
          <w:szCs w:val="24"/>
          <w:u w:val="single"/>
        </w:rPr>
        <w:t>0.63公顷</w:t>
      </w:r>
      <w:r>
        <w:rPr>
          <w:rFonts w:hint="eastAsia"/>
          <w:sz w:val="24"/>
          <w:szCs w:val="24"/>
          <w:u w:val="single"/>
        </w:rPr>
        <w:t>，建设控制地带</w:t>
      </w:r>
      <w:r>
        <w:rPr>
          <w:sz w:val="24"/>
          <w:szCs w:val="24"/>
          <w:u w:val="single"/>
        </w:rPr>
        <w:t>面积</w:t>
      </w:r>
      <w:r>
        <w:rPr>
          <w:rFonts w:hint="eastAsia"/>
          <w:sz w:val="24"/>
          <w:szCs w:val="24"/>
          <w:u w:val="single"/>
        </w:rPr>
        <w:t>约</w:t>
      </w:r>
      <w:r>
        <w:rPr>
          <w:sz w:val="24"/>
          <w:szCs w:val="24"/>
          <w:u w:val="single"/>
        </w:rPr>
        <w:t>为</w:t>
      </w:r>
      <w:r>
        <w:rPr>
          <w:rFonts w:hint="eastAsia"/>
          <w:sz w:val="24"/>
          <w:szCs w:val="24"/>
          <w:u w:val="single"/>
        </w:rPr>
        <w:t>3</w:t>
      </w:r>
      <w:r>
        <w:rPr>
          <w:sz w:val="24"/>
          <w:szCs w:val="24"/>
          <w:u w:val="single"/>
        </w:rPr>
        <w:t>.</w:t>
      </w:r>
      <w:r>
        <w:rPr>
          <w:rFonts w:hint="eastAsia"/>
          <w:sz w:val="24"/>
          <w:szCs w:val="24"/>
          <w:u w:val="single"/>
        </w:rPr>
        <w:t>11</w:t>
      </w:r>
      <w:r>
        <w:rPr>
          <w:sz w:val="24"/>
          <w:szCs w:val="24"/>
          <w:u w:val="single"/>
        </w:rPr>
        <w:t>公顷</w:t>
      </w:r>
      <w:r>
        <w:rPr>
          <w:rFonts w:hint="eastAsia"/>
          <w:sz w:val="24"/>
          <w:szCs w:val="24"/>
          <w:u w:val="single"/>
        </w:rPr>
        <w:t>。</w:t>
      </w:r>
    </w:p>
    <w:p>
      <w:pPr>
        <w:pStyle w:val="49"/>
        <w:widowControl w:val="0"/>
        <w:numPr>
          <w:ilvl w:val="0"/>
          <w:numId w:val="42"/>
        </w:numPr>
        <w:ind w:firstLineChars="0"/>
        <w:rPr>
          <w:b/>
          <w:bCs/>
          <w:sz w:val="24"/>
          <w:szCs w:val="24"/>
        </w:rPr>
      </w:pPr>
      <w:r>
        <w:rPr>
          <w:rFonts w:hint="eastAsia"/>
          <w:b/>
          <w:bCs/>
          <w:sz w:val="24"/>
          <w:szCs w:val="24"/>
        </w:rPr>
        <w:t>价值梳理</w:t>
      </w:r>
    </w:p>
    <w:p>
      <w:pPr>
        <w:ind w:firstLine="480"/>
        <w:rPr>
          <w:sz w:val="24"/>
          <w:szCs w:val="24"/>
        </w:rPr>
      </w:pPr>
      <w:r>
        <w:rPr>
          <w:rFonts w:hint="eastAsia"/>
          <w:sz w:val="24"/>
          <w:szCs w:val="24"/>
        </w:rPr>
        <w:t>里东古街大部分建筑为中华人民共和国成立前的传统建筑，保存了里东街牌坊、里东戏台、古碉楼、康王庙和古榕树等重要历史文化资源，真实反映了时代变革和历史发展的特征。这里的民居、祠堂和戏台体现了南北文化交融的建筑风格，青砖灰瓦、石门石窗、雕樑木柱等装饰工艺精美。古碉楼、古戏台和古民居展示了客家民俗风情和岭南传统商业建筑的特点。作为梅关古道上的“古街集市”代表，里东古街是驿路的重要商贸节点，对研究民国期间古驿道沿线墟市商铺具有重要参考价值。</w:t>
      </w:r>
    </w:p>
    <w:p>
      <w:pPr>
        <w:pStyle w:val="49"/>
        <w:widowControl w:val="0"/>
        <w:numPr>
          <w:ilvl w:val="0"/>
          <w:numId w:val="42"/>
        </w:numPr>
        <w:ind w:firstLineChars="0"/>
        <w:rPr>
          <w:b/>
          <w:bCs/>
          <w:sz w:val="24"/>
          <w:szCs w:val="24"/>
        </w:rPr>
      </w:pPr>
      <w:r>
        <w:rPr>
          <w:rFonts w:hint="eastAsia"/>
          <w:b/>
          <w:bCs/>
          <w:sz w:val="24"/>
          <w:szCs w:val="24"/>
        </w:rPr>
        <w:t>保护重点</w:t>
      </w:r>
    </w:p>
    <w:p>
      <w:pPr>
        <w:pStyle w:val="49"/>
        <w:ind w:firstLine="480"/>
        <w:rPr>
          <w:sz w:val="24"/>
          <w:szCs w:val="24"/>
          <w:u w:val="single"/>
        </w:rPr>
      </w:pPr>
      <w:bookmarkStart w:id="124" w:name="_Hlk171094004"/>
      <w:r>
        <w:rPr>
          <w:rFonts w:hint="eastAsia"/>
          <w:sz w:val="24"/>
          <w:szCs w:val="24"/>
          <w:u w:val="single"/>
        </w:rPr>
        <w:t>重点保护具有商贸特色的古街集市里东古街和里东戏台为代表的文物古迹；保护历史地段空间格局和街巷肌理，维修改善地段区内的传统建筑，增加绿化，减少现代建筑对保护范围内传统风貌的影响。</w:t>
      </w:r>
    </w:p>
    <w:bookmarkEnd w:id="124"/>
    <w:p>
      <w:pPr>
        <w:ind w:firstLine="482"/>
        <w:rPr>
          <w:b/>
          <w:bCs/>
          <w:sz w:val="24"/>
          <w:szCs w:val="28"/>
        </w:rPr>
      </w:pPr>
      <w:r>
        <w:rPr>
          <w:rFonts w:hint="eastAsia"/>
          <w:b/>
          <w:bCs/>
          <w:sz w:val="24"/>
          <w:szCs w:val="28"/>
        </w:rPr>
        <w:t>（五）雉公嵊推荐</w:t>
      </w:r>
      <w:r>
        <w:rPr>
          <w:b/>
          <w:bCs/>
          <w:sz w:val="24"/>
          <w:szCs w:val="28"/>
        </w:rPr>
        <w:t>历史</w:t>
      </w:r>
      <w:r>
        <w:rPr>
          <w:rFonts w:hint="eastAsia"/>
          <w:b/>
          <w:bCs/>
          <w:sz w:val="24"/>
          <w:szCs w:val="28"/>
        </w:rPr>
        <w:t>地段</w:t>
      </w:r>
    </w:p>
    <w:p>
      <w:pPr>
        <w:pStyle w:val="49"/>
        <w:widowControl w:val="0"/>
        <w:numPr>
          <w:ilvl w:val="0"/>
          <w:numId w:val="43"/>
        </w:numPr>
        <w:ind w:firstLineChars="0"/>
        <w:rPr>
          <w:b/>
          <w:bCs/>
          <w:sz w:val="24"/>
          <w:szCs w:val="24"/>
        </w:rPr>
      </w:pPr>
      <w:r>
        <w:rPr>
          <w:rFonts w:hint="eastAsia"/>
          <w:b/>
          <w:bCs/>
          <w:sz w:val="24"/>
          <w:szCs w:val="24"/>
        </w:rPr>
        <w:t>保护范围</w:t>
      </w:r>
    </w:p>
    <w:p>
      <w:pPr>
        <w:pStyle w:val="49"/>
        <w:ind w:firstLine="480"/>
        <w:rPr>
          <w:sz w:val="24"/>
          <w:szCs w:val="24"/>
          <w:u w:val="single"/>
        </w:rPr>
      </w:pPr>
      <w:bookmarkStart w:id="125" w:name="_Hlk171093928"/>
      <w:r>
        <w:rPr>
          <w:rFonts w:hint="eastAsia"/>
          <w:sz w:val="24"/>
          <w:szCs w:val="24"/>
          <w:u w:val="single"/>
        </w:rPr>
        <w:t>雉公嵊推荐历史地段保护范围包括南粤雄关与古道的部分本体及其村落的传统民居、门楼等传统建筑，面积约7.53</w:t>
      </w:r>
      <w:r>
        <w:rPr>
          <w:sz w:val="24"/>
          <w:szCs w:val="24"/>
          <w:u w:val="single"/>
        </w:rPr>
        <w:t>公顷。</w:t>
      </w:r>
      <w:r>
        <w:rPr>
          <w:rFonts w:hint="eastAsia"/>
          <w:sz w:val="24"/>
          <w:szCs w:val="24"/>
          <w:u w:val="single"/>
        </w:rPr>
        <w:t>其中，核心保护范围</w:t>
      </w:r>
      <w:r>
        <w:rPr>
          <w:sz w:val="24"/>
          <w:szCs w:val="24"/>
          <w:u w:val="single"/>
        </w:rPr>
        <w:t>面积</w:t>
      </w:r>
      <w:r>
        <w:rPr>
          <w:rFonts w:hint="eastAsia"/>
          <w:sz w:val="24"/>
          <w:szCs w:val="24"/>
          <w:u w:val="single"/>
        </w:rPr>
        <w:t>约</w:t>
      </w:r>
      <w:r>
        <w:rPr>
          <w:sz w:val="24"/>
          <w:szCs w:val="24"/>
          <w:u w:val="single"/>
        </w:rPr>
        <w:t>0.</w:t>
      </w:r>
      <w:r>
        <w:rPr>
          <w:rFonts w:hint="eastAsia"/>
          <w:sz w:val="24"/>
          <w:szCs w:val="24"/>
          <w:u w:val="single"/>
        </w:rPr>
        <w:t>87</w:t>
      </w:r>
      <w:r>
        <w:rPr>
          <w:sz w:val="24"/>
          <w:szCs w:val="24"/>
          <w:u w:val="single"/>
        </w:rPr>
        <w:t>公顷</w:t>
      </w:r>
      <w:r>
        <w:rPr>
          <w:rFonts w:hint="eastAsia"/>
          <w:sz w:val="24"/>
          <w:szCs w:val="24"/>
          <w:u w:val="single"/>
        </w:rPr>
        <w:t>，建设控制地带</w:t>
      </w:r>
      <w:r>
        <w:rPr>
          <w:sz w:val="24"/>
          <w:szCs w:val="24"/>
          <w:u w:val="single"/>
        </w:rPr>
        <w:t>面积</w:t>
      </w:r>
      <w:r>
        <w:rPr>
          <w:rFonts w:hint="eastAsia"/>
          <w:sz w:val="24"/>
          <w:szCs w:val="24"/>
          <w:u w:val="single"/>
        </w:rPr>
        <w:t>约</w:t>
      </w:r>
      <w:r>
        <w:rPr>
          <w:sz w:val="24"/>
          <w:szCs w:val="24"/>
          <w:u w:val="single"/>
        </w:rPr>
        <w:t>为</w:t>
      </w:r>
      <w:r>
        <w:rPr>
          <w:rFonts w:hint="eastAsia"/>
          <w:sz w:val="24"/>
          <w:szCs w:val="24"/>
          <w:u w:val="single"/>
        </w:rPr>
        <w:t>6.66</w:t>
      </w:r>
      <w:r>
        <w:rPr>
          <w:sz w:val="24"/>
          <w:szCs w:val="24"/>
          <w:u w:val="single"/>
        </w:rPr>
        <w:t>公顷</w:t>
      </w:r>
      <w:bookmarkEnd w:id="125"/>
      <w:r>
        <w:rPr>
          <w:rFonts w:hint="eastAsia"/>
          <w:sz w:val="24"/>
          <w:szCs w:val="24"/>
          <w:u w:val="single"/>
        </w:rPr>
        <w:t>。</w:t>
      </w:r>
    </w:p>
    <w:p>
      <w:pPr>
        <w:pStyle w:val="49"/>
        <w:widowControl w:val="0"/>
        <w:numPr>
          <w:ilvl w:val="0"/>
          <w:numId w:val="43"/>
        </w:numPr>
        <w:ind w:firstLineChars="0"/>
        <w:rPr>
          <w:b/>
          <w:bCs/>
          <w:sz w:val="24"/>
          <w:szCs w:val="24"/>
        </w:rPr>
      </w:pPr>
      <w:r>
        <w:rPr>
          <w:rFonts w:hint="eastAsia"/>
          <w:b/>
          <w:bCs/>
          <w:sz w:val="24"/>
          <w:szCs w:val="24"/>
        </w:rPr>
        <w:t>价值梳理</w:t>
      </w:r>
    </w:p>
    <w:p>
      <w:pPr>
        <w:pStyle w:val="49"/>
        <w:ind w:firstLine="480"/>
        <w:rPr>
          <w:sz w:val="24"/>
          <w:szCs w:val="24"/>
        </w:rPr>
      </w:pPr>
      <w:r>
        <w:rPr>
          <w:sz w:val="24"/>
          <w:szCs w:val="24"/>
        </w:rPr>
        <w:t>雉公嵊历史</w:t>
      </w:r>
      <w:r>
        <w:rPr>
          <w:rFonts w:hint="eastAsia"/>
          <w:sz w:val="24"/>
          <w:szCs w:val="24"/>
        </w:rPr>
        <w:t>地段</w:t>
      </w:r>
      <w:r>
        <w:rPr>
          <w:sz w:val="24"/>
          <w:szCs w:val="24"/>
        </w:rPr>
        <w:t>位于梅关古道沿线，是岭南文化溯源的重要节点，村落保存完整，文化积淀深厚，人文景观丰富。雉公嵊的村落形态、建筑风貌及其构件特征，对研究中原文化在岭南地区的演化，以及赣湘闽等地区建筑文化在与广东交界地区的影响及在广东区域的交融具有较高的科学研究价值。现存的民居和祠堂融合南北文化，装饰工艺精美，展示了古代客家民俗风情和耕读传家的优秀传统文化。</w:t>
      </w:r>
    </w:p>
    <w:p>
      <w:pPr>
        <w:pStyle w:val="49"/>
        <w:widowControl w:val="0"/>
        <w:numPr>
          <w:ilvl w:val="0"/>
          <w:numId w:val="43"/>
        </w:numPr>
        <w:ind w:firstLineChars="0"/>
        <w:rPr>
          <w:b/>
          <w:bCs/>
          <w:sz w:val="24"/>
          <w:szCs w:val="24"/>
        </w:rPr>
      </w:pPr>
      <w:r>
        <w:rPr>
          <w:rFonts w:hint="eastAsia"/>
          <w:b/>
          <w:bCs/>
          <w:sz w:val="24"/>
          <w:szCs w:val="24"/>
        </w:rPr>
        <w:t>保护重点</w:t>
      </w:r>
    </w:p>
    <w:p>
      <w:pPr>
        <w:pStyle w:val="49"/>
        <w:ind w:firstLine="480"/>
        <w:rPr>
          <w:sz w:val="24"/>
          <w:szCs w:val="24"/>
          <w:u w:val="single"/>
        </w:rPr>
      </w:pPr>
      <w:bookmarkStart w:id="126" w:name="_Hlk171093952"/>
      <w:r>
        <w:rPr>
          <w:rFonts w:hint="eastAsia"/>
          <w:sz w:val="24"/>
          <w:szCs w:val="24"/>
          <w:u w:val="single"/>
        </w:rPr>
        <w:t>保护雉公嵊大庾岭下的山水自然环境格局；重点保护在历史地段内的古驿道遗存本体，保护地段内的其它文物古迹和周边环境。</w:t>
      </w:r>
    </w:p>
    <w:bookmarkEnd w:id="126"/>
    <w:p>
      <w:pPr>
        <w:ind w:firstLine="482"/>
        <w:rPr>
          <w:b/>
          <w:bCs/>
          <w:sz w:val="24"/>
          <w:szCs w:val="28"/>
        </w:rPr>
      </w:pPr>
      <w:r>
        <w:rPr>
          <w:rFonts w:hint="eastAsia"/>
          <w:b/>
          <w:bCs/>
          <w:sz w:val="24"/>
          <w:szCs w:val="28"/>
        </w:rPr>
        <w:t>（六）灵潭推荐</w:t>
      </w:r>
      <w:r>
        <w:rPr>
          <w:b/>
          <w:bCs/>
          <w:sz w:val="24"/>
          <w:szCs w:val="28"/>
        </w:rPr>
        <w:t>历史</w:t>
      </w:r>
      <w:r>
        <w:rPr>
          <w:rFonts w:hint="eastAsia"/>
          <w:b/>
          <w:bCs/>
          <w:sz w:val="24"/>
          <w:szCs w:val="28"/>
        </w:rPr>
        <w:t>地段</w:t>
      </w:r>
    </w:p>
    <w:p>
      <w:pPr>
        <w:pStyle w:val="49"/>
        <w:widowControl w:val="0"/>
        <w:numPr>
          <w:ilvl w:val="0"/>
          <w:numId w:val="44"/>
        </w:numPr>
        <w:ind w:firstLineChars="0"/>
        <w:rPr>
          <w:b/>
          <w:bCs/>
          <w:sz w:val="24"/>
          <w:szCs w:val="24"/>
        </w:rPr>
      </w:pPr>
      <w:r>
        <w:rPr>
          <w:rFonts w:hint="eastAsia"/>
          <w:b/>
          <w:bCs/>
          <w:sz w:val="24"/>
          <w:szCs w:val="24"/>
        </w:rPr>
        <w:t>保护范围</w:t>
      </w:r>
    </w:p>
    <w:p>
      <w:pPr>
        <w:pStyle w:val="49"/>
        <w:ind w:firstLine="480"/>
        <w:rPr>
          <w:sz w:val="24"/>
          <w:szCs w:val="24"/>
          <w:u w:val="single"/>
        </w:rPr>
      </w:pPr>
      <w:bookmarkStart w:id="127" w:name="_Hlk171094176"/>
      <w:r>
        <w:rPr>
          <w:rFonts w:hint="eastAsia"/>
          <w:sz w:val="24"/>
          <w:szCs w:val="24"/>
          <w:u w:val="single"/>
        </w:rPr>
        <w:t>灵潭推荐历史地段保护范围以古驿道本体为依托，向古驿道两侧建筑拓展，包含灵潭围楼、关帝庙等传统建筑和南山水在内的水系，面积约</w:t>
      </w:r>
      <w:r>
        <w:rPr>
          <w:sz w:val="24"/>
          <w:szCs w:val="24"/>
          <w:u w:val="single"/>
        </w:rPr>
        <w:t>2.25公顷。其中，核心保护范围面积约0.48公顷，建设控制地带面积约为1.77公顷</w:t>
      </w:r>
      <w:bookmarkEnd w:id="127"/>
      <w:r>
        <w:rPr>
          <w:sz w:val="24"/>
          <w:szCs w:val="24"/>
          <w:u w:val="single"/>
        </w:rPr>
        <w:t>。</w:t>
      </w:r>
    </w:p>
    <w:p>
      <w:pPr>
        <w:pStyle w:val="49"/>
        <w:widowControl w:val="0"/>
        <w:numPr>
          <w:ilvl w:val="0"/>
          <w:numId w:val="44"/>
        </w:numPr>
        <w:ind w:firstLineChars="0"/>
        <w:rPr>
          <w:b/>
          <w:bCs/>
          <w:sz w:val="24"/>
          <w:szCs w:val="24"/>
        </w:rPr>
      </w:pPr>
      <w:r>
        <w:rPr>
          <w:rFonts w:hint="eastAsia"/>
          <w:b/>
          <w:bCs/>
          <w:sz w:val="24"/>
          <w:szCs w:val="24"/>
        </w:rPr>
        <w:t>价值梳理</w:t>
      </w:r>
    </w:p>
    <w:p>
      <w:pPr>
        <w:pStyle w:val="49"/>
        <w:ind w:firstLine="480"/>
        <w:rPr>
          <w:sz w:val="24"/>
          <w:szCs w:val="24"/>
        </w:rPr>
      </w:pPr>
      <w:r>
        <w:rPr>
          <w:rFonts w:hint="eastAsia"/>
          <w:sz w:val="24"/>
          <w:szCs w:val="24"/>
        </w:rPr>
        <w:t>灵潭古街两侧建筑多垂直于街道方向排列，呈鱼骨状分布，格局规整，肌理清晰。作为梅关古道上的重要村落，灵潭村在历史变革和经济发展过程中涌现了许多民居、商铺、围楼和庙宇，南迁汉人与早期移民文化在此交融，形成独具客家特色的建筑形制，展示了客家传统建筑的风采，值得后人借鉴和传承。此外，灵潭村保存了较多完好的抗战遗址，是重要的红色文化教育基地，对历史教育和文化传承具有重要意义。</w:t>
      </w:r>
    </w:p>
    <w:p>
      <w:pPr>
        <w:pStyle w:val="49"/>
        <w:widowControl w:val="0"/>
        <w:numPr>
          <w:ilvl w:val="0"/>
          <w:numId w:val="44"/>
        </w:numPr>
        <w:ind w:firstLineChars="0"/>
        <w:rPr>
          <w:b/>
          <w:bCs/>
          <w:sz w:val="24"/>
          <w:szCs w:val="24"/>
        </w:rPr>
      </w:pPr>
      <w:r>
        <w:rPr>
          <w:rFonts w:hint="eastAsia"/>
          <w:b/>
          <w:bCs/>
          <w:sz w:val="24"/>
          <w:szCs w:val="24"/>
        </w:rPr>
        <w:t>保护重点</w:t>
      </w:r>
    </w:p>
    <w:p>
      <w:pPr>
        <w:pStyle w:val="49"/>
        <w:ind w:firstLine="480"/>
        <w:rPr>
          <w:sz w:val="24"/>
          <w:szCs w:val="24"/>
          <w:u w:val="single"/>
        </w:rPr>
      </w:pPr>
      <w:bookmarkStart w:id="128" w:name="_Hlk171094140"/>
      <w:r>
        <w:rPr>
          <w:rFonts w:hint="eastAsia"/>
          <w:sz w:val="24"/>
          <w:szCs w:val="24"/>
          <w:u w:val="single"/>
        </w:rPr>
        <w:t>保护历史地段“</w:t>
      </w:r>
      <w:r>
        <w:rPr>
          <w:sz w:val="24"/>
          <w:szCs w:val="24"/>
          <w:u w:val="single"/>
        </w:rPr>
        <w:t>山-村-水-田”的自然风貌格局</w:t>
      </w:r>
      <w:r>
        <w:rPr>
          <w:rFonts w:hint="eastAsia"/>
          <w:sz w:val="24"/>
          <w:szCs w:val="24"/>
          <w:u w:val="single"/>
        </w:rPr>
        <w:t>；保护历史地段的空间格局和街巷肌理；保护以灵潭围楼、关帝庙为代表的传统建筑和历史环境要素；保护非物质文化遗产灵潭腐竹制作技艺及其场所</w:t>
      </w:r>
      <w:bookmarkEnd w:id="128"/>
      <w:r>
        <w:rPr>
          <w:rFonts w:hint="eastAsia"/>
          <w:sz w:val="24"/>
          <w:szCs w:val="24"/>
          <w:u w:val="single"/>
        </w:rPr>
        <w:t>。</w:t>
      </w:r>
      <w:bookmarkEnd w:id="109"/>
    </w:p>
    <w:p>
      <w:pPr>
        <w:pStyle w:val="2"/>
        <w:ind w:left="0"/>
      </w:pPr>
      <w:bookmarkStart w:id="129" w:name="_Toc135989704"/>
      <w:bookmarkStart w:id="130" w:name="_Toc204964364"/>
      <w:bookmarkStart w:id="131" w:name="_Toc77610812"/>
      <w:r>
        <w:rPr>
          <w:rFonts w:hint="eastAsia"/>
        </w:rPr>
        <w:t>文物古迹的保护</w:t>
      </w:r>
      <w:bookmarkEnd w:id="129"/>
      <w:bookmarkEnd w:id="130"/>
      <w:bookmarkEnd w:id="131"/>
    </w:p>
    <w:p>
      <w:pPr>
        <w:pStyle w:val="3"/>
        <w:numPr>
          <w:ilvl w:val="0"/>
          <w:numId w:val="45"/>
        </w:numPr>
        <w:spacing w:before="0" w:after="0"/>
        <w:jc w:val="center"/>
        <w:rPr>
          <w:rFonts w:ascii="宋体" w:hAnsi="宋体" w:eastAsia="宋体"/>
          <w:sz w:val="28"/>
          <w:szCs w:val="28"/>
        </w:rPr>
      </w:pPr>
      <w:bookmarkStart w:id="132" w:name="_Toc204964365"/>
      <w:bookmarkStart w:id="133" w:name="_Toc135989705"/>
      <w:bookmarkStart w:id="134" w:name="_Toc77610813"/>
      <w:bookmarkStart w:id="135" w:name="_Toc76546059"/>
      <w:r>
        <w:rPr>
          <w:rFonts w:hint="eastAsia" w:ascii="宋体" w:hAnsi="宋体" w:eastAsia="宋体"/>
          <w:sz w:val="28"/>
          <w:szCs w:val="28"/>
        </w:rPr>
        <w:t>文物</w:t>
      </w:r>
      <w:r>
        <w:rPr>
          <w:rFonts w:ascii="宋体" w:hAnsi="宋体" w:eastAsia="宋体"/>
          <w:sz w:val="28"/>
          <w:szCs w:val="28"/>
        </w:rPr>
        <w:t>保护单位的保护</w:t>
      </w:r>
      <w:bookmarkEnd w:id="132"/>
      <w:bookmarkEnd w:id="133"/>
    </w:p>
    <w:p>
      <w:pPr>
        <w:pStyle w:val="4"/>
        <w:numPr>
          <w:ilvl w:val="0"/>
          <w:numId w:val="2"/>
        </w:numPr>
        <w:spacing w:before="312" w:beforeLines="100" w:after="0" w:line="415" w:lineRule="auto"/>
        <w:jc w:val="both"/>
        <w:rPr>
          <w:sz w:val="24"/>
          <w:szCs w:val="24"/>
        </w:rPr>
      </w:pPr>
      <w:r>
        <w:rPr>
          <w:rFonts w:hint="eastAsia"/>
          <w:sz w:val="24"/>
          <w:szCs w:val="24"/>
        </w:rPr>
        <w:t>各级</w:t>
      </w:r>
      <w:r>
        <w:rPr>
          <w:sz w:val="24"/>
          <w:szCs w:val="24"/>
        </w:rPr>
        <w:t>文物保护单位名录</w:t>
      </w:r>
    </w:p>
    <w:p>
      <w:pPr>
        <w:ind w:firstLine="480"/>
        <w:rPr>
          <w:sz w:val="24"/>
          <w:szCs w:val="24"/>
          <w:u w:val="single"/>
        </w:rPr>
      </w:pPr>
      <w:r>
        <w:rPr>
          <w:rFonts w:hint="eastAsia"/>
          <w:sz w:val="24"/>
          <w:szCs w:val="24"/>
          <w:u w:val="single"/>
        </w:rPr>
        <w:t>保护南雄市范围内的文物</w:t>
      </w:r>
      <w:r>
        <w:rPr>
          <w:sz w:val="24"/>
          <w:szCs w:val="24"/>
          <w:u w:val="single"/>
        </w:rPr>
        <w:t>保护单位</w:t>
      </w:r>
      <w:r>
        <w:rPr>
          <w:rFonts w:hint="eastAsia"/>
          <w:sz w:val="24"/>
          <w:szCs w:val="24"/>
          <w:u w:val="single"/>
        </w:rPr>
        <w:t>59处</w:t>
      </w:r>
      <w:r>
        <w:rPr>
          <w:sz w:val="24"/>
          <w:szCs w:val="24"/>
          <w:u w:val="single"/>
        </w:rPr>
        <w:t>，其中全国重点文物保护单位2处</w:t>
      </w:r>
      <w:r>
        <w:rPr>
          <w:rFonts w:hint="eastAsia"/>
          <w:sz w:val="24"/>
          <w:szCs w:val="24"/>
          <w:u w:val="single"/>
        </w:rPr>
        <w:t>，</w:t>
      </w:r>
      <w:r>
        <w:rPr>
          <w:sz w:val="24"/>
          <w:szCs w:val="24"/>
          <w:u w:val="single"/>
        </w:rPr>
        <w:t>广东省文物保护单位</w:t>
      </w:r>
      <w:r>
        <w:rPr>
          <w:rFonts w:hint="eastAsia"/>
          <w:sz w:val="24"/>
          <w:szCs w:val="24"/>
          <w:u w:val="single"/>
        </w:rPr>
        <w:t>21处</w:t>
      </w:r>
      <w:r>
        <w:rPr>
          <w:sz w:val="24"/>
          <w:szCs w:val="24"/>
          <w:u w:val="single"/>
        </w:rPr>
        <w:t>，南雄市县级文物保护单位</w:t>
      </w:r>
      <w:r>
        <w:rPr>
          <w:rFonts w:hint="eastAsia"/>
          <w:sz w:val="24"/>
          <w:szCs w:val="24"/>
          <w:u w:val="single"/>
        </w:rPr>
        <w:t>36处，</w:t>
      </w:r>
      <w:r>
        <w:rPr>
          <w:sz w:val="24"/>
          <w:szCs w:val="24"/>
          <w:u w:val="single"/>
        </w:rPr>
        <w:t>主要分布在雄州街道、珠玑镇、</w:t>
      </w:r>
      <w:r>
        <w:rPr>
          <w:rFonts w:hint="eastAsia"/>
          <w:sz w:val="24"/>
          <w:szCs w:val="24"/>
          <w:u w:val="single"/>
        </w:rPr>
        <w:t>油山镇和</w:t>
      </w:r>
      <w:r>
        <w:rPr>
          <w:sz w:val="24"/>
          <w:szCs w:val="24"/>
          <w:u w:val="single"/>
        </w:rPr>
        <w:t>乌迳镇</w:t>
      </w:r>
      <w:r>
        <w:rPr>
          <w:rFonts w:hint="eastAsia"/>
          <w:sz w:val="24"/>
          <w:szCs w:val="24"/>
          <w:u w:val="single"/>
        </w:rPr>
        <w:t>等</w:t>
      </w:r>
      <w:r>
        <w:rPr>
          <w:sz w:val="24"/>
          <w:szCs w:val="24"/>
          <w:u w:val="single"/>
        </w:rPr>
        <w:t>镇街</w:t>
      </w:r>
      <w:r>
        <w:rPr>
          <w:rFonts w:hint="eastAsia"/>
          <w:sz w:val="24"/>
          <w:szCs w:val="24"/>
          <w:u w:val="single"/>
        </w:rPr>
        <w:t>（详见</w:t>
      </w:r>
      <w:r>
        <w:rPr>
          <w:sz w:val="24"/>
          <w:szCs w:val="24"/>
          <w:u w:val="single"/>
        </w:rPr>
        <w:t>附表</w:t>
      </w:r>
      <w:r>
        <w:rPr>
          <w:rFonts w:hint="eastAsia"/>
          <w:sz w:val="24"/>
          <w:szCs w:val="24"/>
          <w:u w:val="single"/>
        </w:rPr>
        <w:t>7）</w:t>
      </w:r>
      <w:r>
        <w:rPr>
          <w:sz w:val="24"/>
          <w:szCs w:val="24"/>
          <w:u w:val="single"/>
        </w:rPr>
        <w:t>。</w:t>
      </w:r>
    </w:p>
    <w:p>
      <w:pPr>
        <w:pStyle w:val="4"/>
        <w:numPr>
          <w:ilvl w:val="0"/>
          <w:numId w:val="2"/>
        </w:numPr>
        <w:spacing w:before="312" w:beforeLines="100" w:after="0" w:line="415" w:lineRule="auto"/>
        <w:jc w:val="both"/>
        <w:rPr>
          <w:sz w:val="24"/>
          <w:szCs w:val="24"/>
        </w:rPr>
      </w:pPr>
      <w:r>
        <w:rPr>
          <w:rFonts w:hint="eastAsia"/>
          <w:sz w:val="24"/>
          <w:szCs w:val="24"/>
        </w:rPr>
        <w:t>保护范围</w:t>
      </w:r>
      <w:r>
        <w:rPr>
          <w:sz w:val="24"/>
          <w:szCs w:val="24"/>
        </w:rPr>
        <w:t>划定</w:t>
      </w:r>
    </w:p>
    <w:p>
      <w:pPr>
        <w:ind w:firstLine="480"/>
        <w:rPr>
          <w:sz w:val="24"/>
          <w:szCs w:val="24"/>
        </w:rPr>
      </w:pPr>
      <w:bookmarkStart w:id="136" w:name="_Hlk171095746"/>
      <w:r>
        <w:rPr>
          <w:rFonts w:hint="eastAsia"/>
          <w:sz w:val="24"/>
          <w:szCs w:val="24"/>
        </w:rPr>
        <w:t>各级文物保护单位保护范围和建设控制地带的划定和公布，按照《中华人民共和国文物保护法》《中华人民共和国文物保护法实施条例》有关规定执行</w:t>
      </w:r>
      <w:r>
        <w:rPr>
          <w:sz w:val="24"/>
          <w:szCs w:val="24"/>
        </w:rPr>
        <w:t>。</w:t>
      </w:r>
      <w:r>
        <w:rPr>
          <w:rFonts w:hint="eastAsia"/>
          <w:sz w:val="24"/>
          <w:szCs w:val="24"/>
        </w:rPr>
        <w:t>各级文物保护单位必须划定保护范围，可以根据保护文物的实际需要划定建设控制地带。广东省文物保护单位保护范围和建设控制地带划定参照《广东省文物保护单位保护范围和建设控制地带划定指引》</w:t>
      </w:r>
      <w:bookmarkEnd w:id="136"/>
      <w:r>
        <w:rPr>
          <w:rFonts w:hint="eastAsia"/>
          <w:sz w:val="24"/>
          <w:szCs w:val="24"/>
        </w:rPr>
        <w:t>。</w:t>
      </w:r>
    </w:p>
    <w:p>
      <w:pPr>
        <w:ind w:firstLine="482"/>
        <w:rPr>
          <w:b/>
          <w:bCs/>
          <w:sz w:val="24"/>
          <w:szCs w:val="24"/>
        </w:rPr>
      </w:pPr>
      <w:r>
        <w:rPr>
          <w:rFonts w:hint="eastAsia"/>
          <w:b/>
          <w:bCs/>
          <w:sz w:val="24"/>
          <w:szCs w:val="24"/>
        </w:rPr>
        <w:t>（一）保护范围</w:t>
      </w:r>
    </w:p>
    <w:p>
      <w:pPr>
        <w:ind w:firstLine="480"/>
        <w:rPr>
          <w:sz w:val="24"/>
          <w:szCs w:val="24"/>
        </w:rPr>
      </w:pPr>
      <w:r>
        <w:rPr>
          <w:rFonts w:hint="eastAsia"/>
          <w:sz w:val="24"/>
          <w:szCs w:val="24"/>
        </w:rPr>
        <w:t>各级文物保护单位保护范围界线宜衔接现有建筑、规划用地、道路、水系等边界，并参照下列标准划定：</w:t>
      </w:r>
    </w:p>
    <w:p>
      <w:pPr>
        <w:pStyle w:val="49"/>
        <w:numPr>
          <w:ilvl w:val="0"/>
          <w:numId w:val="46"/>
        </w:numPr>
        <w:ind w:left="0" w:firstLine="480"/>
        <w:rPr>
          <w:sz w:val="24"/>
          <w:szCs w:val="32"/>
        </w:rPr>
      </w:pPr>
      <w:r>
        <w:rPr>
          <w:rFonts w:hint="eastAsia"/>
          <w:sz w:val="24"/>
          <w:szCs w:val="32"/>
        </w:rPr>
        <w:t>古墓葬、古建筑、近代现代重要史迹和代表性建筑和其他类型文物保护单位保护范围从文物本体边界外扩距离一般不宜小于</w:t>
      </w:r>
      <w:r>
        <w:rPr>
          <w:sz w:val="24"/>
          <w:szCs w:val="32"/>
        </w:rPr>
        <w:t>5米；</w:t>
      </w:r>
    </w:p>
    <w:p>
      <w:pPr>
        <w:pStyle w:val="49"/>
        <w:numPr>
          <w:ilvl w:val="0"/>
          <w:numId w:val="46"/>
        </w:numPr>
        <w:ind w:left="0" w:firstLine="480"/>
        <w:rPr>
          <w:sz w:val="24"/>
          <w:szCs w:val="32"/>
        </w:rPr>
      </w:pPr>
      <w:r>
        <w:rPr>
          <w:rFonts w:hint="eastAsia"/>
          <w:sz w:val="24"/>
          <w:szCs w:val="32"/>
        </w:rPr>
        <w:t>古文化遗址、石窟寺和古石刻等类型文物保护单位保护范围从最外侧遗迹点边界外扩不宜少于</w:t>
      </w:r>
      <w:r>
        <w:rPr>
          <w:sz w:val="24"/>
          <w:szCs w:val="32"/>
        </w:rPr>
        <w:t>30米；</w:t>
      </w:r>
    </w:p>
    <w:p>
      <w:pPr>
        <w:pStyle w:val="49"/>
        <w:numPr>
          <w:ilvl w:val="0"/>
          <w:numId w:val="46"/>
        </w:numPr>
        <w:ind w:left="0" w:firstLine="480"/>
        <w:rPr>
          <w:sz w:val="24"/>
          <w:szCs w:val="32"/>
        </w:rPr>
      </w:pPr>
      <w:r>
        <w:rPr>
          <w:rFonts w:hint="eastAsia"/>
          <w:sz w:val="24"/>
          <w:szCs w:val="32"/>
        </w:rPr>
        <w:t>有特殊情形的，可根据实际情况划定保护范围。</w:t>
      </w:r>
    </w:p>
    <w:p>
      <w:pPr>
        <w:pStyle w:val="49"/>
        <w:ind w:left="480" w:firstLine="0" w:firstLineChars="0"/>
        <w:rPr>
          <w:b/>
          <w:bCs/>
          <w:sz w:val="24"/>
          <w:szCs w:val="32"/>
        </w:rPr>
        <w:sectPr>
          <w:pgSz w:w="11907" w:h="16839"/>
          <w:pgMar w:top="1440" w:right="1080" w:bottom="1440" w:left="1080" w:header="851" w:footer="737" w:gutter="0"/>
          <w:cols w:space="425" w:num="1"/>
          <w:docGrid w:type="lines" w:linePitch="312" w:charSpace="0"/>
        </w:sectPr>
      </w:pPr>
    </w:p>
    <w:p>
      <w:pPr>
        <w:pStyle w:val="49"/>
        <w:ind w:left="480" w:firstLine="0" w:firstLineChars="0"/>
        <w:rPr>
          <w:b/>
          <w:bCs/>
          <w:sz w:val="24"/>
          <w:szCs w:val="32"/>
        </w:rPr>
      </w:pPr>
      <w:r>
        <w:rPr>
          <w:rFonts w:hint="eastAsia"/>
          <w:b/>
          <w:bCs/>
          <w:sz w:val="24"/>
          <w:szCs w:val="32"/>
        </w:rPr>
        <w:t>（二）建设控制地带</w:t>
      </w:r>
    </w:p>
    <w:p>
      <w:pPr>
        <w:ind w:firstLine="480"/>
        <w:rPr>
          <w:sz w:val="24"/>
          <w:szCs w:val="24"/>
        </w:rPr>
      </w:pPr>
      <w:r>
        <w:rPr>
          <w:rFonts w:hint="eastAsia"/>
          <w:sz w:val="24"/>
          <w:szCs w:val="24"/>
        </w:rPr>
        <w:t>各级文物保护单位建设控制地带可根据实际情况合理划定，建设控制地带界线宜衔接现有建筑、规划用地、道路、水系等边界。</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控制措施</w:t>
      </w:r>
    </w:p>
    <w:p>
      <w:pPr>
        <w:ind w:firstLine="482"/>
        <w:rPr>
          <w:b/>
          <w:bCs/>
          <w:sz w:val="24"/>
          <w:szCs w:val="24"/>
        </w:rPr>
      </w:pPr>
      <w:r>
        <w:rPr>
          <w:rFonts w:hint="eastAsia"/>
          <w:b/>
          <w:bCs/>
          <w:sz w:val="24"/>
          <w:szCs w:val="24"/>
        </w:rPr>
        <w:t>（一</w:t>
      </w:r>
      <w:r>
        <w:rPr>
          <w:b/>
          <w:bCs/>
          <w:sz w:val="24"/>
          <w:szCs w:val="24"/>
        </w:rPr>
        <w:t>）保护范围</w:t>
      </w:r>
    </w:p>
    <w:p>
      <w:pPr>
        <w:ind w:firstLine="480"/>
        <w:rPr>
          <w:sz w:val="24"/>
          <w:szCs w:val="24"/>
          <w:u w:val="single"/>
        </w:rPr>
      </w:pPr>
      <w:r>
        <w:rPr>
          <w:rFonts w:hint="eastAsia"/>
          <w:sz w:val="24"/>
          <w:szCs w:val="24"/>
          <w:u w:val="single"/>
        </w:rPr>
        <w:t>在文物保护单位的保护范围内不得进行文物保护工程以外的其他建设工程或者爆破、钻探、挖掘等作业；因特殊情况需要进行的，必须保证文物保护单位的安全。</w:t>
      </w:r>
    </w:p>
    <w:p>
      <w:pPr>
        <w:ind w:firstLine="480"/>
        <w:rPr>
          <w:sz w:val="24"/>
          <w:szCs w:val="24"/>
          <w:u w:val="single"/>
        </w:rPr>
      </w:pPr>
      <w:r>
        <w:rPr>
          <w:rFonts w:hint="eastAsia"/>
          <w:sz w:val="24"/>
          <w:szCs w:val="24"/>
          <w:u w:val="single"/>
        </w:rPr>
        <w:t>因特殊情况需要在省级或者设区的市级、县级文物保护单位的保护范围内进行前款规定的建设工程或者作业的，必须经核定公布该文物保护单位的人民政府批准，在批准前应当征得上一级人民政府文物行政部门同意；在全国重点文物保护单位的保护范围内进行前款规定的建设工程或者作业的，必须经省、自治区、直辖市人民政府批准，在批准前应当征得国务院文物行政部门同意。</w:t>
      </w:r>
    </w:p>
    <w:p>
      <w:pPr>
        <w:ind w:firstLine="480"/>
        <w:rPr>
          <w:sz w:val="24"/>
          <w:szCs w:val="24"/>
          <w:u w:val="single"/>
        </w:rPr>
      </w:pPr>
      <w:r>
        <w:rPr>
          <w:rFonts w:hint="eastAsia"/>
          <w:sz w:val="24"/>
          <w:szCs w:val="24"/>
          <w:u w:val="single"/>
        </w:rPr>
        <w:t>在文物保护单位的保护范围和建设控制地带内，不得建设污染文物保护单位及其环境的设施，不得进行可能影响文物保护单位安全及其环境的活动。对已有的污染文物保护单位及其环境的设施，依照生态环境有关法律法规的规定处理。</w:t>
      </w:r>
    </w:p>
    <w:p>
      <w:pPr>
        <w:ind w:firstLine="480"/>
        <w:rPr>
          <w:sz w:val="24"/>
          <w:szCs w:val="24"/>
          <w:u w:val="single"/>
        </w:rPr>
      </w:pPr>
      <w:bookmarkStart w:id="137" w:name="_Hlk204961386"/>
      <w:r>
        <w:rPr>
          <w:rFonts w:hint="eastAsia"/>
          <w:sz w:val="24"/>
          <w:szCs w:val="24"/>
          <w:u w:val="single"/>
        </w:rPr>
        <w:t>文物保护工程必须按照《中华人民共和国文物保护法》等法律法规的相关法定程序办理，按照文物保护单位级别实行分级管理，并按相应规定履行报批程序</w:t>
      </w:r>
      <w:bookmarkEnd w:id="137"/>
      <w:r>
        <w:rPr>
          <w:rFonts w:hint="eastAsia"/>
          <w:sz w:val="24"/>
          <w:szCs w:val="24"/>
          <w:u w:val="single"/>
        </w:rPr>
        <w:t>。</w:t>
      </w:r>
    </w:p>
    <w:p>
      <w:pPr>
        <w:ind w:firstLine="482"/>
        <w:rPr>
          <w:b/>
          <w:bCs/>
          <w:sz w:val="24"/>
          <w:szCs w:val="24"/>
        </w:rPr>
      </w:pPr>
      <w:r>
        <w:rPr>
          <w:rFonts w:hint="eastAsia"/>
          <w:b/>
          <w:bCs/>
          <w:sz w:val="24"/>
          <w:szCs w:val="24"/>
        </w:rPr>
        <w:t>（二</w:t>
      </w:r>
      <w:r>
        <w:rPr>
          <w:b/>
          <w:bCs/>
          <w:sz w:val="24"/>
          <w:szCs w:val="24"/>
        </w:rPr>
        <w:t>）建设控制地带</w:t>
      </w:r>
    </w:p>
    <w:p>
      <w:pPr>
        <w:ind w:firstLine="480"/>
        <w:rPr>
          <w:sz w:val="24"/>
          <w:szCs w:val="24"/>
          <w:u w:val="single"/>
        </w:rPr>
      </w:pPr>
      <w:bookmarkStart w:id="138" w:name="_Hlk204960533"/>
      <w:r>
        <w:rPr>
          <w:rFonts w:hint="eastAsia"/>
          <w:sz w:val="24"/>
          <w:szCs w:val="24"/>
          <w:u w:val="single"/>
        </w:rPr>
        <w:t>在文物保护单位建设控制地带内修建的建筑物或者构筑物，其形式、高度、体量、色调等必须与文物保护单位的历史风貌相协调，不得破坏文物保护单位的历史风貌；工程设计方案应当根据文物保护单位的级别和建设工程对文物保护单位历史风貌的影响程度，经国家规定的文物行政部门同意后，依法取得建设工程规划许可。</w:t>
      </w:r>
    </w:p>
    <w:p>
      <w:pPr>
        <w:ind w:firstLine="480"/>
        <w:rPr>
          <w:sz w:val="24"/>
          <w:szCs w:val="24"/>
          <w:u w:val="single"/>
        </w:rPr>
      </w:pPr>
      <w:r>
        <w:rPr>
          <w:rFonts w:hint="eastAsia"/>
          <w:sz w:val="24"/>
          <w:szCs w:val="24"/>
          <w:u w:val="single"/>
        </w:rPr>
        <w:t>建设控制地带内不得建设污染文物保护单位及其环境的设施，不得进行可能影响文物保护单位安全及其环境的活动。对已有的污染文物保护单位及其环境的设施，依照生态环境有关法律法规的规定处理。</w:t>
      </w:r>
      <w:bookmarkEnd w:id="138"/>
    </w:p>
    <w:p>
      <w:pPr>
        <w:pStyle w:val="3"/>
        <w:numPr>
          <w:ilvl w:val="0"/>
          <w:numId w:val="45"/>
        </w:numPr>
        <w:spacing w:before="0" w:after="0"/>
        <w:jc w:val="center"/>
        <w:rPr>
          <w:rFonts w:ascii="宋体" w:hAnsi="宋体" w:eastAsia="宋体"/>
          <w:sz w:val="28"/>
          <w:szCs w:val="28"/>
        </w:rPr>
      </w:pPr>
      <w:bookmarkStart w:id="139" w:name="_Toc135989706"/>
      <w:bookmarkStart w:id="140" w:name="_Toc204964366"/>
      <w:r>
        <w:rPr>
          <w:rFonts w:hint="eastAsia" w:ascii="宋体" w:hAnsi="宋体" w:eastAsia="宋体"/>
          <w:sz w:val="28"/>
          <w:szCs w:val="28"/>
        </w:rPr>
        <w:t>未定级不可</w:t>
      </w:r>
      <w:r>
        <w:rPr>
          <w:rFonts w:ascii="宋体" w:hAnsi="宋体" w:eastAsia="宋体"/>
          <w:sz w:val="28"/>
          <w:szCs w:val="28"/>
        </w:rPr>
        <w:t>移动文物的保护</w:t>
      </w:r>
      <w:bookmarkEnd w:id="139"/>
      <w:bookmarkEnd w:id="140"/>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名录</w:t>
      </w:r>
    </w:p>
    <w:p>
      <w:pPr>
        <w:ind w:firstLine="480"/>
        <w:rPr>
          <w:sz w:val="24"/>
          <w:szCs w:val="24"/>
          <w:u w:val="single"/>
        </w:rPr>
      </w:pPr>
      <w:r>
        <w:rPr>
          <w:rFonts w:hint="eastAsia"/>
          <w:sz w:val="24"/>
          <w:szCs w:val="24"/>
          <w:u w:val="single"/>
        </w:rPr>
        <w:t>保护</w:t>
      </w:r>
      <w:r>
        <w:rPr>
          <w:sz w:val="24"/>
          <w:szCs w:val="24"/>
          <w:u w:val="single"/>
        </w:rPr>
        <w:t>南雄市域内</w:t>
      </w:r>
      <w:r>
        <w:rPr>
          <w:rFonts w:hint="eastAsia"/>
          <w:sz w:val="24"/>
          <w:szCs w:val="24"/>
          <w:u w:val="single"/>
        </w:rPr>
        <w:t>4</w:t>
      </w:r>
      <w:r>
        <w:rPr>
          <w:sz w:val="24"/>
          <w:szCs w:val="24"/>
          <w:u w:val="single"/>
        </w:rPr>
        <w:t>32</w:t>
      </w:r>
      <w:r>
        <w:rPr>
          <w:rFonts w:hint="eastAsia"/>
          <w:sz w:val="24"/>
          <w:szCs w:val="24"/>
          <w:u w:val="single"/>
        </w:rPr>
        <w:t>处未核定公布为文物保护单位的不可移动文物保护要求</w:t>
      </w:r>
      <w:r>
        <w:rPr>
          <w:sz w:val="24"/>
          <w:szCs w:val="24"/>
          <w:u w:val="single"/>
        </w:rPr>
        <w:t>。</w:t>
      </w:r>
      <w:r>
        <w:rPr>
          <w:rFonts w:hint="eastAsia"/>
          <w:sz w:val="24"/>
          <w:szCs w:val="24"/>
          <w:u w:val="single"/>
        </w:rPr>
        <w:t>（名录</w:t>
      </w:r>
      <w:r>
        <w:rPr>
          <w:sz w:val="24"/>
          <w:szCs w:val="24"/>
          <w:u w:val="single"/>
        </w:rPr>
        <w:t>详见</w:t>
      </w:r>
      <w:r>
        <w:rPr>
          <w:rFonts w:hint="eastAsia"/>
          <w:sz w:val="24"/>
          <w:szCs w:val="24"/>
          <w:u w:val="single"/>
        </w:rPr>
        <w:t>附表8）</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控制措施</w:t>
      </w:r>
    </w:p>
    <w:p>
      <w:pPr>
        <w:ind w:firstLine="480"/>
        <w:rPr>
          <w:sz w:val="24"/>
          <w:szCs w:val="24"/>
          <w:u w:val="single"/>
        </w:rPr>
      </w:pPr>
      <w:r>
        <w:rPr>
          <w:rFonts w:hint="eastAsia"/>
          <w:sz w:val="24"/>
          <w:szCs w:val="24"/>
          <w:u w:val="single"/>
        </w:rPr>
        <w:t>未定级不可移动文物，由县级人民政府文物行政部门登记，报本级人民政府和上一级人民政府文物行政部门备案，作出标志说明，建立记录档案，明确管理责任人，并向社会公布。</w:t>
      </w:r>
    </w:p>
    <w:p>
      <w:pPr>
        <w:ind w:firstLine="480"/>
        <w:rPr>
          <w:sz w:val="24"/>
          <w:szCs w:val="24"/>
          <w:u w:val="single"/>
        </w:rPr>
      </w:pPr>
      <w:r>
        <w:rPr>
          <w:rFonts w:hint="eastAsia"/>
          <w:sz w:val="24"/>
          <w:szCs w:val="24"/>
          <w:u w:val="single"/>
        </w:rPr>
        <w:t>对未核定公布为文物保护单位的不可移动文物进行修缮，应当报登记的南雄市人民政府文物行政主管部门批准。</w:t>
      </w:r>
    </w:p>
    <w:p>
      <w:pPr>
        <w:ind w:firstLine="480"/>
        <w:rPr>
          <w:sz w:val="24"/>
          <w:szCs w:val="24"/>
          <w:u w:val="single"/>
        </w:rPr>
      </w:pPr>
      <w:bookmarkStart w:id="141" w:name="_Hlk171267790"/>
      <w:r>
        <w:rPr>
          <w:rFonts w:hint="eastAsia"/>
          <w:sz w:val="24"/>
          <w:szCs w:val="24"/>
          <w:u w:val="single"/>
        </w:rPr>
        <w:t>未核定公布为文物保护单位的不可移动文物由县级以上地方人民政府文物行政部门</w:t>
      </w:r>
      <w:r>
        <w:rPr>
          <w:sz w:val="24"/>
          <w:szCs w:val="24"/>
          <w:u w:val="single"/>
        </w:rPr>
        <w:t>依照《中华人民共和国文物保护法》《中华人民共和国文物保护法实施条例》等法律法规</w:t>
      </w:r>
      <w:r>
        <w:rPr>
          <w:rFonts w:hint="eastAsia"/>
          <w:sz w:val="24"/>
          <w:szCs w:val="24"/>
          <w:u w:val="single"/>
        </w:rPr>
        <w:t>，根据不同文物的保护需要制定具体保护措施，并公告施行</w:t>
      </w:r>
      <w:bookmarkEnd w:id="141"/>
      <w:r>
        <w:rPr>
          <w:sz w:val="24"/>
          <w:szCs w:val="24"/>
          <w:u w:val="single"/>
        </w:rPr>
        <w:t>。</w:t>
      </w:r>
    </w:p>
    <w:p>
      <w:pPr>
        <w:ind w:firstLine="480"/>
        <w:rPr>
          <w:sz w:val="24"/>
          <w:szCs w:val="24"/>
          <w:u w:val="single"/>
        </w:rPr>
      </w:pPr>
      <w:bookmarkStart w:id="142" w:name="_Hlk171267803"/>
      <w:r>
        <w:rPr>
          <w:sz w:val="24"/>
          <w:szCs w:val="24"/>
          <w:u w:val="single"/>
        </w:rPr>
        <w:t>根据条件将有突出价值的逐步公布为各级文物保护单位，对不可移动文物建筑集中分布具有整体保护价值的历史村镇，可申报为历史文化村镇或传统村落。</w:t>
      </w:r>
    </w:p>
    <w:p>
      <w:pPr>
        <w:ind w:firstLine="480"/>
        <w:rPr>
          <w:sz w:val="24"/>
          <w:szCs w:val="24"/>
          <w:u w:val="single"/>
        </w:rPr>
      </w:pPr>
      <w:r>
        <w:rPr>
          <w:rFonts w:hint="eastAsia"/>
          <w:sz w:val="24"/>
          <w:szCs w:val="24"/>
          <w:u w:val="single"/>
        </w:rPr>
        <w:t>规划实施时，应对未核定公布为文物保护单位的不可移动文物进一步现场踏勘，核实位置。未核定公布为文物保护单位的不可移动文物的位置可由文物行政主管部门核实和修正。</w:t>
      </w:r>
    </w:p>
    <w:bookmarkEnd w:id="142"/>
    <w:p>
      <w:pPr>
        <w:pStyle w:val="3"/>
        <w:numPr>
          <w:ilvl w:val="0"/>
          <w:numId w:val="45"/>
        </w:numPr>
        <w:spacing w:before="0" w:after="0"/>
        <w:jc w:val="center"/>
        <w:rPr>
          <w:rFonts w:ascii="宋体" w:hAnsi="宋体" w:eastAsia="宋体"/>
          <w:sz w:val="28"/>
          <w:szCs w:val="28"/>
        </w:rPr>
      </w:pPr>
      <w:bookmarkStart w:id="143" w:name="_Toc204964367"/>
      <w:bookmarkStart w:id="144" w:name="_Toc135989707"/>
      <w:r>
        <w:rPr>
          <w:rFonts w:hint="eastAsia" w:ascii="宋体" w:hAnsi="宋体" w:eastAsia="宋体"/>
          <w:sz w:val="28"/>
          <w:szCs w:val="28"/>
        </w:rPr>
        <w:t>历史建筑的保护</w:t>
      </w:r>
      <w:bookmarkEnd w:id="143"/>
      <w:bookmarkEnd w:id="144"/>
    </w:p>
    <w:p>
      <w:pPr>
        <w:pStyle w:val="4"/>
        <w:numPr>
          <w:ilvl w:val="0"/>
          <w:numId w:val="2"/>
        </w:numPr>
        <w:spacing w:before="312" w:beforeLines="100" w:after="0" w:line="415" w:lineRule="auto"/>
        <w:jc w:val="both"/>
        <w:rPr>
          <w:sz w:val="24"/>
          <w:szCs w:val="24"/>
        </w:rPr>
      </w:pPr>
      <w:r>
        <w:rPr>
          <w:rFonts w:hint="eastAsia"/>
          <w:sz w:val="24"/>
          <w:szCs w:val="24"/>
        </w:rPr>
        <w:t>历史</w:t>
      </w:r>
      <w:r>
        <w:rPr>
          <w:sz w:val="24"/>
          <w:szCs w:val="24"/>
        </w:rPr>
        <w:t>建筑的认定条件</w:t>
      </w:r>
    </w:p>
    <w:p>
      <w:pPr>
        <w:ind w:firstLine="480"/>
        <w:rPr>
          <w:rFonts w:cs="宋体"/>
          <w:sz w:val="24"/>
          <w:szCs w:val="20"/>
        </w:rPr>
      </w:pPr>
      <w:bookmarkStart w:id="145" w:name="_Hlk136010142"/>
      <w:r>
        <w:rPr>
          <w:rFonts w:hint="eastAsia" w:cs="宋体"/>
          <w:sz w:val="24"/>
          <w:szCs w:val="20"/>
        </w:rPr>
        <w:t>根据《广东省历史建筑和传统风貌建筑评价标准》《韶关市历史建筑保护利用管理办法（试行）》等法律法规及相关规范文件的认定标准，</w:t>
      </w:r>
      <w:r>
        <w:rPr>
          <w:rFonts w:cs="宋体"/>
          <w:sz w:val="24"/>
          <w:szCs w:val="20"/>
        </w:rPr>
        <w:t>建成30年以上</w:t>
      </w:r>
      <w:r>
        <w:rPr>
          <w:rFonts w:hint="eastAsia" w:cs="宋体"/>
          <w:sz w:val="24"/>
          <w:szCs w:val="20"/>
        </w:rPr>
        <w:t>或建成不满3</w:t>
      </w:r>
      <w:r>
        <w:rPr>
          <w:rFonts w:cs="宋体"/>
          <w:sz w:val="24"/>
          <w:szCs w:val="20"/>
        </w:rPr>
        <w:t>0</w:t>
      </w:r>
      <w:r>
        <w:rPr>
          <w:rFonts w:hint="eastAsia" w:cs="宋体"/>
          <w:sz w:val="24"/>
          <w:szCs w:val="20"/>
        </w:rPr>
        <w:t>年</w:t>
      </w:r>
      <w:r>
        <w:rPr>
          <w:rFonts w:cs="宋体"/>
          <w:sz w:val="24"/>
          <w:szCs w:val="20"/>
        </w:rPr>
        <w:t>，</w:t>
      </w:r>
      <w:r>
        <w:rPr>
          <w:rFonts w:hint="eastAsia" w:cs="宋体"/>
          <w:sz w:val="24"/>
          <w:szCs w:val="20"/>
        </w:rPr>
        <w:t>但具备突出历史、艺术、科学技术、社会文化价值或其他特殊价值</w:t>
      </w:r>
      <w:r>
        <w:rPr>
          <w:rFonts w:cs="宋体"/>
          <w:sz w:val="24"/>
          <w:szCs w:val="20"/>
        </w:rPr>
        <w:t>之一，未公布为文物保护单位，也未登记为不可移动文物的居住、公共、工业、农业等各类建筑物、构筑物，可以确定为历史建筑</w:t>
      </w:r>
      <w:r>
        <w:rPr>
          <w:rFonts w:hint="eastAsia" w:cs="宋体"/>
          <w:sz w:val="24"/>
          <w:szCs w:val="20"/>
        </w:rPr>
        <w:t>。</w:t>
      </w:r>
    </w:p>
    <w:bookmarkEnd w:id="145"/>
    <w:p>
      <w:pPr>
        <w:pStyle w:val="4"/>
        <w:numPr>
          <w:ilvl w:val="0"/>
          <w:numId w:val="2"/>
        </w:numPr>
        <w:spacing w:before="312" w:beforeLines="100" w:after="0" w:line="415" w:lineRule="auto"/>
        <w:jc w:val="both"/>
        <w:rPr>
          <w:sz w:val="24"/>
          <w:szCs w:val="24"/>
        </w:rPr>
      </w:pPr>
      <w:r>
        <w:rPr>
          <w:rFonts w:hint="eastAsia"/>
          <w:sz w:val="24"/>
          <w:szCs w:val="24"/>
        </w:rPr>
        <w:t>历史</w:t>
      </w:r>
      <w:r>
        <w:rPr>
          <w:sz w:val="24"/>
          <w:szCs w:val="24"/>
        </w:rPr>
        <w:t>建筑保护名录</w:t>
      </w:r>
    </w:p>
    <w:p>
      <w:pPr>
        <w:ind w:firstLine="480"/>
        <w:rPr>
          <w:rFonts w:cs="宋体"/>
          <w:sz w:val="24"/>
          <w:szCs w:val="20"/>
          <w:u w:val="single"/>
        </w:rPr>
      </w:pPr>
      <w:r>
        <w:rPr>
          <w:rFonts w:hint="eastAsia" w:cs="宋体"/>
          <w:sz w:val="24"/>
          <w:szCs w:val="20"/>
          <w:u w:val="single"/>
        </w:rPr>
        <w:t>保护南雄</w:t>
      </w:r>
      <w:r>
        <w:rPr>
          <w:rFonts w:cs="宋体"/>
          <w:sz w:val="24"/>
          <w:szCs w:val="20"/>
          <w:u w:val="single"/>
        </w:rPr>
        <w:t>市现有</w:t>
      </w:r>
      <w:r>
        <w:rPr>
          <w:rFonts w:hint="eastAsia" w:cs="宋体"/>
          <w:sz w:val="24"/>
          <w:szCs w:val="20"/>
          <w:u w:val="single"/>
        </w:rPr>
        <w:t>历史建筑28处（</w:t>
      </w:r>
      <w:r>
        <w:rPr>
          <w:rFonts w:cs="宋体"/>
          <w:sz w:val="24"/>
          <w:szCs w:val="20"/>
          <w:u w:val="single"/>
        </w:rPr>
        <w:t>详见附表</w:t>
      </w:r>
      <w:r>
        <w:rPr>
          <w:rFonts w:hint="eastAsia" w:cs="宋体"/>
          <w:sz w:val="24"/>
          <w:szCs w:val="20"/>
          <w:u w:val="single"/>
        </w:rPr>
        <w:t>9）</w:t>
      </w:r>
      <w:r>
        <w:rPr>
          <w:rFonts w:cs="宋体"/>
          <w:sz w:val="24"/>
          <w:szCs w:val="20"/>
          <w:u w:val="single"/>
        </w:rPr>
        <w:t>。</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范围划定</w:t>
      </w:r>
    </w:p>
    <w:p>
      <w:pPr>
        <w:ind w:firstLine="480"/>
        <w:rPr>
          <w:rFonts w:cs="宋体"/>
          <w:sz w:val="24"/>
          <w:szCs w:val="20"/>
          <w:u w:val="single"/>
        </w:rPr>
      </w:pPr>
      <w:bookmarkStart w:id="146" w:name="_Hlk171169157"/>
      <w:r>
        <w:rPr>
          <w:rFonts w:hint="eastAsia" w:cs="宋体"/>
          <w:sz w:val="24"/>
          <w:szCs w:val="20"/>
          <w:u w:val="single"/>
        </w:rPr>
        <w:t>历史建筑的保护范围划定为历史建筑本身和必要的风貌协调区</w:t>
      </w:r>
      <w:bookmarkEnd w:id="146"/>
      <w:r>
        <w:rPr>
          <w:rFonts w:cs="宋体"/>
          <w:sz w:val="24"/>
          <w:szCs w:val="20"/>
          <w:u w:val="single"/>
        </w:rPr>
        <w:t>。</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控制措施</w:t>
      </w:r>
    </w:p>
    <w:p>
      <w:pPr>
        <w:ind w:firstLine="480"/>
        <w:rPr>
          <w:rFonts w:cs="宋体"/>
          <w:sz w:val="24"/>
          <w:szCs w:val="20"/>
        </w:rPr>
      </w:pPr>
      <w:bookmarkStart w:id="147" w:name="_Hlk171169379"/>
      <w:r>
        <w:rPr>
          <w:rFonts w:hint="eastAsia" w:cs="宋体"/>
          <w:sz w:val="24"/>
          <w:szCs w:val="20"/>
        </w:rPr>
        <w:t>加强历史建筑普查认定工作，及时认定公布符合标准的历史建筑，纳入保护名录。</w:t>
      </w:r>
    </w:p>
    <w:p>
      <w:pPr>
        <w:ind w:firstLine="480"/>
        <w:rPr>
          <w:rFonts w:cs="宋体"/>
          <w:sz w:val="24"/>
          <w:szCs w:val="20"/>
        </w:rPr>
      </w:pPr>
      <w:r>
        <w:rPr>
          <w:rFonts w:hint="eastAsia" w:cs="宋体"/>
          <w:sz w:val="24"/>
          <w:szCs w:val="20"/>
        </w:rPr>
        <w:t>历史建筑的保护和修缮，应该严格执行《历史文化名城名镇名村保护条例》《广东省历史建筑和传统风貌建筑保护利用工作指引</w:t>
      </w:r>
      <w:r>
        <w:rPr>
          <w:rFonts w:hint="eastAsia" w:cs="宋体"/>
          <w:sz w:val="24"/>
          <w:szCs w:val="20"/>
          <w:lang w:eastAsia="zh-CN"/>
        </w:rPr>
        <w:t>（</w:t>
      </w:r>
      <w:r>
        <w:rPr>
          <w:rFonts w:cs="宋体"/>
          <w:sz w:val="24"/>
          <w:szCs w:val="20"/>
        </w:rPr>
        <w:t>试行</w:t>
      </w:r>
      <w:r>
        <w:rPr>
          <w:rFonts w:hint="eastAsia" w:cs="宋体"/>
          <w:sz w:val="24"/>
          <w:szCs w:val="20"/>
          <w:lang w:eastAsia="zh-CN"/>
        </w:rPr>
        <w:t>）</w:t>
      </w:r>
      <w:r>
        <w:rPr>
          <w:rFonts w:cs="宋体"/>
          <w:sz w:val="24"/>
          <w:szCs w:val="20"/>
        </w:rPr>
        <w:t>》等法律、法规的相关要求。推荐历史建筑线索与历史建筑的保护和整治措施相一致，修缮、迁移、重建，不应损害集中体现历史价值的建筑构件、材料、装饰等的真实性，同时应保持原有的高度、体量、外观形象及色彩等。</w:t>
      </w:r>
    </w:p>
    <w:p>
      <w:pPr>
        <w:ind w:firstLine="480"/>
        <w:rPr>
          <w:rFonts w:cs="宋体"/>
          <w:sz w:val="24"/>
          <w:szCs w:val="20"/>
        </w:rPr>
      </w:pPr>
      <w:r>
        <w:rPr>
          <w:rFonts w:hint="eastAsia" w:cs="宋体"/>
          <w:sz w:val="24"/>
          <w:szCs w:val="20"/>
        </w:rPr>
        <w:t>严格按照传统工艺和构造，修缮破损的历史建筑，严格保护建筑外立面、主体结构不变。对历史建筑进行外部修缮装饰、添加设施以及改变历史建筑的结构或者使用性质的，应当经南雄市历史建筑主管部门会同同级文物主管部门批准，在历史建筑主管部门审批前应予以公示。</w:t>
      </w:r>
    </w:p>
    <w:p>
      <w:pPr>
        <w:ind w:firstLine="480"/>
        <w:rPr>
          <w:rFonts w:cs="宋体"/>
          <w:sz w:val="24"/>
          <w:szCs w:val="20"/>
        </w:rPr>
      </w:pPr>
      <w:r>
        <w:rPr>
          <w:rFonts w:hint="eastAsia" w:cs="宋体"/>
          <w:sz w:val="24"/>
          <w:szCs w:val="20"/>
        </w:rPr>
        <w:t>加快历史建筑挂牌保护工作，对历史建筑设置保护标志，推进历史建筑测绘建档工作。</w:t>
      </w:r>
    </w:p>
    <w:bookmarkEnd w:id="147"/>
    <w:p>
      <w:pPr>
        <w:pStyle w:val="4"/>
        <w:numPr>
          <w:ilvl w:val="0"/>
          <w:numId w:val="2"/>
        </w:numPr>
        <w:spacing w:before="312" w:beforeLines="100" w:after="0" w:line="415" w:lineRule="auto"/>
        <w:jc w:val="both"/>
        <w:rPr>
          <w:sz w:val="24"/>
          <w:szCs w:val="24"/>
        </w:rPr>
      </w:pPr>
      <w:r>
        <w:rPr>
          <w:rFonts w:hint="eastAsia"/>
          <w:sz w:val="24"/>
          <w:szCs w:val="24"/>
        </w:rPr>
        <w:t>保护利用</w:t>
      </w:r>
      <w:r>
        <w:rPr>
          <w:sz w:val="24"/>
          <w:szCs w:val="24"/>
        </w:rPr>
        <w:t>的内容和要求</w:t>
      </w:r>
    </w:p>
    <w:p>
      <w:pPr>
        <w:ind w:firstLine="480"/>
        <w:rPr>
          <w:rFonts w:cs="宋体"/>
          <w:sz w:val="24"/>
          <w:szCs w:val="20"/>
        </w:rPr>
      </w:pPr>
      <w:r>
        <w:rPr>
          <w:rFonts w:hint="eastAsia" w:cs="宋体"/>
          <w:sz w:val="24"/>
          <w:szCs w:val="20"/>
        </w:rPr>
        <w:t>历史建筑保护修缮与活化利用。提升历史建筑使用性能，开展符合历史建筑保护要求的内部空间改造、配套装修与展陈展示等。对历史建筑的墙体、门窗、结构、装饰等体现建筑历史文化价值的部分采用原材料、原工艺、原形制、原结构进行修缮、维护和加固。对有损价值要素的后期不当遮挡和损害的改动、加建部分，进行拆除并恢复原状。</w:t>
      </w:r>
    </w:p>
    <w:p>
      <w:pPr>
        <w:pStyle w:val="4"/>
        <w:numPr>
          <w:ilvl w:val="0"/>
          <w:numId w:val="2"/>
        </w:numPr>
        <w:spacing w:before="312" w:beforeLines="100" w:after="0" w:line="415" w:lineRule="auto"/>
        <w:jc w:val="both"/>
        <w:rPr>
          <w:sz w:val="24"/>
          <w:szCs w:val="24"/>
        </w:rPr>
      </w:pPr>
      <w:r>
        <w:rPr>
          <w:rFonts w:hint="eastAsia"/>
          <w:sz w:val="24"/>
          <w:szCs w:val="24"/>
        </w:rPr>
        <w:t>推荐</w:t>
      </w:r>
      <w:r>
        <w:rPr>
          <w:sz w:val="24"/>
          <w:szCs w:val="24"/>
        </w:rPr>
        <w:t>历史建筑</w:t>
      </w:r>
      <w:r>
        <w:rPr>
          <w:rFonts w:hint="eastAsia"/>
          <w:sz w:val="24"/>
          <w:szCs w:val="24"/>
        </w:rPr>
        <w:t>名录</w:t>
      </w:r>
    </w:p>
    <w:p>
      <w:pPr>
        <w:ind w:firstLine="480"/>
        <w:rPr>
          <w:rFonts w:cs="宋体"/>
          <w:sz w:val="24"/>
          <w:szCs w:val="20"/>
          <w:u w:val="single"/>
        </w:rPr>
      </w:pPr>
      <w:r>
        <w:rPr>
          <w:rFonts w:hint="eastAsia" w:cs="宋体"/>
          <w:sz w:val="24"/>
          <w:szCs w:val="20"/>
          <w:u w:val="single"/>
        </w:rPr>
        <w:t>推荐</w:t>
      </w:r>
      <w:r>
        <w:rPr>
          <w:rFonts w:cs="宋体"/>
          <w:sz w:val="24"/>
          <w:szCs w:val="20"/>
          <w:u w:val="single"/>
        </w:rPr>
        <w:t>南雄</w:t>
      </w:r>
      <w:r>
        <w:rPr>
          <w:rFonts w:hint="eastAsia" w:cs="宋体"/>
          <w:sz w:val="24"/>
          <w:szCs w:val="20"/>
          <w:u w:val="single"/>
        </w:rPr>
        <w:t>市域</w:t>
      </w:r>
      <w:r>
        <w:rPr>
          <w:rFonts w:cs="宋体"/>
          <w:sz w:val="24"/>
          <w:szCs w:val="20"/>
          <w:u w:val="single"/>
        </w:rPr>
        <w:t>内35</w:t>
      </w:r>
      <w:r>
        <w:rPr>
          <w:rFonts w:hint="eastAsia" w:cs="宋体"/>
          <w:sz w:val="24"/>
          <w:szCs w:val="20"/>
          <w:u w:val="single"/>
        </w:rPr>
        <w:t>处</w:t>
      </w:r>
      <w:r>
        <w:rPr>
          <w:rFonts w:cs="宋体"/>
          <w:sz w:val="24"/>
          <w:szCs w:val="20"/>
          <w:u w:val="single"/>
        </w:rPr>
        <w:t>建筑能够反映历史风貌</w:t>
      </w:r>
      <w:r>
        <w:rPr>
          <w:rFonts w:hint="eastAsia" w:cs="宋体"/>
          <w:sz w:val="24"/>
          <w:szCs w:val="20"/>
          <w:u w:val="single"/>
        </w:rPr>
        <w:t>和</w:t>
      </w:r>
      <w:r>
        <w:rPr>
          <w:rFonts w:cs="宋体"/>
          <w:sz w:val="24"/>
          <w:szCs w:val="20"/>
          <w:u w:val="single"/>
        </w:rPr>
        <w:t>地方特色的建筑物</w:t>
      </w:r>
      <w:r>
        <w:rPr>
          <w:rFonts w:hint="eastAsia" w:cs="宋体"/>
          <w:sz w:val="24"/>
          <w:szCs w:val="20"/>
          <w:u w:val="single"/>
        </w:rPr>
        <w:t>作为历史建筑（</w:t>
      </w:r>
      <w:r>
        <w:rPr>
          <w:rFonts w:cs="宋体"/>
          <w:sz w:val="24"/>
          <w:szCs w:val="20"/>
          <w:u w:val="single"/>
        </w:rPr>
        <w:t>详见附表10</w:t>
      </w:r>
      <w:r>
        <w:rPr>
          <w:rFonts w:hint="eastAsia" w:cs="宋体"/>
          <w:sz w:val="24"/>
          <w:szCs w:val="20"/>
          <w:u w:val="single"/>
        </w:rPr>
        <w:t>）</w:t>
      </w:r>
      <w:r>
        <w:rPr>
          <w:rFonts w:cs="宋体"/>
          <w:sz w:val="24"/>
          <w:szCs w:val="20"/>
          <w:u w:val="single"/>
        </w:rPr>
        <w:t>。</w:t>
      </w:r>
    </w:p>
    <w:bookmarkEnd w:id="134"/>
    <w:bookmarkEnd w:id="135"/>
    <w:p>
      <w:pPr>
        <w:pStyle w:val="3"/>
        <w:numPr>
          <w:ilvl w:val="0"/>
          <w:numId w:val="45"/>
        </w:numPr>
        <w:spacing w:before="0" w:after="0"/>
        <w:jc w:val="center"/>
        <w:rPr>
          <w:rFonts w:ascii="宋体" w:hAnsi="宋体" w:eastAsia="宋体"/>
          <w:sz w:val="28"/>
          <w:szCs w:val="28"/>
        </w:rPr>
      </w:pPr>
      <w:bookmarkStart w:id="148" w:name="_Toc204964368"/>
      <w:bookmarkStart w:id="149" w:name="_Toc135989708"/>
      <w:bookmarkStart w:id="150" w:name="_Toc77610818"/>
      <w:r>
        <w:rPr>
          <w:rFonts w:hint="eastAsia" w:ascii="宋体" w:hAnsi="宋体" w:eastAsia="宋体"/>
          <w:sz w:val="28"/>
          <w:szCs w:val="28"/>
        </w:rPr>
        <w:t>传统</w:t>
      </w:r>
      <w:r>
        <w:rPr>
          <w:rFonts w:ascii="宋体" w:hAnsi="宋体" w:eastAsia="宋体"/>
          <w:sz w:val="28"/>
          <w:szCs w:val="28"/>
        </w:rPr>
        <w:t>风貌建筑的保护</w:t>
      </w:r>
      <w:bookmarkEnd w:id="148"/>
      <w:bookmarkEnd w:id="149"/>
    </w:p>
    <w:p>
      <w:pPr>
        <w:pStyle w:val="4"/>
        <w:numPr>
          <w:ilvl w:val="0"/>
          <w:numId w:val="2"/>
        </w:numPr>
        <w:spacing w:before="312" w:beforeLines="100" w:after="0" w:line="415" w:lineRule="auto"/>
        <w:jc w:val="both"/>
        <w:rPr>
          <w:sz w:val="24"/>
          <w:szCs w:val="24"/>
        </w:rPr>
      </w:pPr>
      <w:r>
        <w:rPr>
          <w:rFonts w:hint="eastAsia"/>
          <w:sz w:val="24"/>
          <w:szCs w:val="24"/>
        </w:rPr>
        <w:t>传统风貌</w:t>
      </w:r>
      <w:r>
        <w:rPr>
          <w:sz w:val="24"/>
          <w:szCs w:val="24"/>
        </w:rPr>
        <w:t>建筑的认定条件</w:t>
      </w:r>
    </w:p>
    <w:p>
      <w:pPr>
        <w:ind w:firstLine="480"/>
        <w:rPr>
          <w:rFonts w:cs="宋体"/>
          <w:sz w:val="24"/>
          <w:szCs w:val="20"/>
        </w:rPr>
      </w:pPr>
      <w:r>
        <w:rPr>
          <w:rFonts w:hint="eastAsia" w:cs="宋体"/>
          <w:sz w:val="24"/>
          <w:szCs w:val="20"/>
        </w:rPr>
        <w:t>不满足历史建筑认定标准，但满足《广东省历史建筑和传统风貌建筑评价标准》中有关传统风貌建筑认定条件的，可以推荐为传统风貌建筑。</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利用措施和要求</w:t>
      </w:r>
    </w:p>
    <w:p>
      <w:pPr>
        <w:ind w:firstLine="480"/>
        <w:rPr>
          <w:rFonts w:cs="宋体"/>
          <w:sz w:val="24"/>
          <w:szCs w:val="20"/>
        </w:rPr>
      </w:pPr>
      <w:r>
        <w:rPr>
          <w:rFonts w:hint="eastAsia" w:cs="宋体"/>
          <w:sz w:val="24"/>
          <w:szCs w:val="20"/>
        </w:rPr>
        <w:t>推荐传统风貌建筑与传统风貌建筑的保护和整治措施相一致。</w:t>
      </w:r>
    </w:p>
    <w:p>
      <w:pPr>
        <w:ind w:firstLine="480"/>
        <w:rPr>
          <w:rFonts w:cs="宋体"/>
          <w:sz w:val="24"/>
          <w:szCs w:val="20"/>
        </w:rPr>
      </w:pPr>
      <w:r>
        <w:rPr>
          <w:rFonts w:hint="eastAsia" w:cs="宋体"/>
          <w:sz w:val="24"/>
          <w:szCs w:val="20"/>
        </w:rPr>
        <w:t>积极推进传统风貌建筑认定工作，按照应保尽保的原则，及时认定公布符合标准的传统风貌建筑，纳入保护名录。传统风貌建筑清单由传统风貌建筑主管部门动态更新。</w:t>
      </w:r>
    </w:p>
    <w:p>
      <w:pPr>
        <w:ind w:firstLine="480"/>
        <w:rPr>
          <w:rFonts w:cs="宋体"/>
          <w:sz w:val="24"/>
          <w:szCs w:val="20"/>
        </w:rPr>
      </w:pPr>
      <w:r>
        <w:rPr>
          <w:rFonts w:hint="eastAsia" w:cs="宋体"/>
          <w:sz w:val="24"/>
          <w:szCs w:val="20"/>
        </w:rPr>
        <w:t>对传统风貌建筑进行保护修缮与活化利用，</w:t>
      </w:r>
      <w:r>
        <w:rPr>
          <w:rFonts w:hint="eastAsia"/>
          <w:sz w:val="24"/>
          <w:szCs w:val="24"/>
        </w:rPr>
        <w:t>允许对传统风貌建筑进行不改变外观特征调整、完善内部布局及设施的建设活动，</w:t>
      </w:r>
      <w:r>
        <w:rPr>
          <w:rFonts w:cs="宋体"/>
          <w:sz w:val="24"/>
          <w:szCs w:val="20"/>
        </w:rPr>
        <w:t>以满足</w:t>
      </w:r>
      <w:r>
        <w:rPr>
          <w:rFonts w:hint="eastAsia" w:cs="宋体"/>
          <w:sz w:val="24"/>
          <w:szCs w:val="20"/>
        </w:rPr>
        <w:t>现代</w:t>
      </w:r>
      <w:r>
        <w:rPr>
          <w:rFonts w:cs="宋体"/>
          <w:sz w:val="24"/>
          <w:szCs w:val="20"/>
        </w:rPr>
        <w:t>居住、商业、文化、旅游等功能的需求。</w:t>
      </w:r>
    </w:p>
    <w:p>
      <w:pPr>
        <w:pStyle w:val="4"/>
        <w:numPr>
          <w:ilvl w:val="0"/>
          <w:numId w:val="2"/>
        </w:numPr>
        <w:spacing w:before="312" w:beforeLines="100" w:after="0" w:line="415" w:lineRule="auto"/>
        <w:jc w:val="both"/>
        <w:rPr>
          <w:sz w:val="24"/>
          <w:szCs w:val="24"/>
        </w:rPr>
      </w:pPr>
      <w:r>
        <w:rPr>
          <w:rFonts w:hint="eastAsia"/>
          <w:sz w:val="24"/>
          <w:szCs w:val="24"/>
        </w:rPr>
        <w:t>推荐</w:t>
      </w:r>
      <w:r>
        <w:rPr>
          <w:sz w:val="24"/>
          <w:szCs w:val="24"/>
        </w:rPr>
        <w:t>传统风貌建筑名录</w:t>
      </w:r>
    </w:p>
    <w:p>
      <w:pPr>
        <w:ind w:firstLine="480"/>
        <w:rPr>
          <w:rFonts w:cs="宋体"/>
          <w:sz w:val="24"/>
          <w:szCs w:val="20"/>
          <w:u w:val="single"/>
        </w:rPr>
      </w:pPr>
      <w:r>
        <w:rPr>
          <w:rFonts w:hint="eastAsia" w:cs="宋体"/>
          <w:sz w:val="24"/>
          <w:szCs w:val="20"/>
          <w:u w:val="single"/>
        </w:rPr>
        <w:t>推荐</w:t>
      </w:r>
      <w:r>
        <w:rPr>
          <w:rFonts w:cs="宋体"/>
          <w:sz w:val="24"/>
          <w:szCs w:val="20"/>
          <w:u w:val="single"/>
        </w:rPr>
        <w:t>7</w:t>
      </w:r>
      <w:r>
        <w:rPr>
          <w:rFonts w:hint="eastAsia" w:cs="宋体"/>
          <w:sz w:val="24"/>
          <w:szCs w:val="20"/>
          <w:u w:val="single"/>
        </w:rPr>
        <w:t>处</w:t>
      </w:r>
      <w:r>
        <w:rPr>
          <w:rFonts w:cs="宋体"/>
          <w:sz w:val="24"/>
          <w:szCs w:val="20"/>
          <w:u w:val="single"/>
        </w:rPr>
        <w:t>建筑能够反映历史风貌</w:t>
      </w:r>
      <w:r>
        <w:rPr>
          <w:rFonts w:hint="eastAsia" w:cs="宋体"/>
          <w:sz w:val="24"/>
          <w:szCs w:val="20"/>
          <w:u w:val="single"/>
        </w:rPr>
        <w:t>和</w:t>
      </w:r>
      <w:r>
        <w:rPr>
          <w:rFonts w:cs="宋体"/>
          <w:sz w:val="24"/>
          <w:szCs w:val="20"/>
          <w:u w:val="single"/>
        </w:rPr>
        <w:t>地方特色</w:t>
      </w:r>
      <w:r>
        <w:rPr>
          <w:rFonts w:hint="eastAsia" w:cs="宋体"/>
          <w:sz w:val="24"/>
          <w:szCs w:val="20"/>
          <w:u w:val="single"/>
        </w:rPr>
        <w:t>，但不满足推荐为历史建筑条件</w:t>
      </w:r>
      <w:r>
        <w:rPr>
          <w:rFonts w:cs="宋体"/>
          <w:sz w:val="24"/>
          <w:szCs w:val="20"/>
          <w:u w:val="single"/>
        </w:rPr>
        <w:t>的建</w:t>
      </w:r>
      <w:r>
        <w:rPr>
          <w:rFonts w:hint="eastAsia" w:cs="宋体"/>
          <w:sz w:val="24"/>
          <w:szCs w:val="20"/>
          <w:u w:val="single"/>
        </w:rPr>
        <w:t>（构）</w:t>
      </w:r>
      <w:r>
        <w:rPr>
          <w:rFonts w:cs="宋体"/>
          <w:sz w:val="24"/>
          <w:szCs w:val="20"/>
          <w:u w:val="single"/>
        </w:rPr>
        <w:t>筑物</w:t>
      </w:r>
      <w:r>
        <w:rPr>
          <w:rFonts w:hint="eastAsia" w:cs="宋体"/>
          <w:sz w:val="24"/>
          <w:szCs w:val="20"/>
          <w:u w:val="single"/>
        </w:rPr>
        <w:t>作为传统风貌建筑（</w:t>
      </w:r>
      <w:r>
        <w:rPr>
          <w:rFonts w:cs="宋体"/>
          <w:sz w:val="24"/>
          <w:szCs w:val="20"/>
          <w:u w:val="single"/>
        </w:rPr>
        <w:t>详见附表11</w:t>
      </w:r>
      <w:r>
        <w:rPr>
          <w:rFonts w:hint="eastAsia" w:cs="宋体"/>
          <w:sz w:val="24"/>
          <w:szCs w:val="20"/>
          <w:u w:val="single"/>
        </w:rPr>
        <w:t>）</w:t>
      </w:r>
      <w:r>
        <w:rPr>
          <w:rFonts w:cs="宋体"/>
          <w:sz w:val="24"/>
          <w:szCs w:val="20"/>
          <w:u w:val="single"/>
        </w:rPr>
        <w:t>。</w:t>
      </w:r>
    </w:p>
    <w:bookmarkEnd w:id="150"/>
    <w:p>
      <w:pPr>
        <w:pStyle w:val="3"/>
        <w:numPr>
          <w:ilvl w:val="0"/>
          <w:numId w:val="45"/>
        </w:numPr>
        <w:spacing w:before="0" w:after="0"/>
        <w:jc w:val="center"/>
        <w:rPr>
          <w:rFonts w:ascii="宋体" w:hAnsi="宋体" w:eastAsia="宋体"/>
          <w:sz w:val="28"/>
          <w:szCs w:val="28"/>
        </w:rPr>
      </w:pPr>
      <w:bookmarkStart w:id="151" w:name="_Toc204964369"/>
      <w:bookmarkStart w:id="152" w:name="_Toc77610838"/>
      <w:bookmarkStart w:id="153" w:name="_Toc135989712"/>
      <w:r>
        <w:rPr>
          <w:rFonts w:hint="eastAsia" w:ascii="宋体" w:hAnsi="宋体" w:eastAsia="宋体"/>
          <w:sz w:val="28"/>
          <w:szCs w:val="28"/>
        </w:rPr>
        <w:t>其他文物古迹</w:t>
      </w:r>
      <w:r>
        <w:rPr>
          <w:rFonts w:ascii="宋体" w:hAnsi="宋体" w:eastAsia="宋体"/>
          <w:sz w:val="28"/>
          <w:szCs w:val="28"/>
        </w:rPr>
        <w:t>的保护</w:t>
      </w:r>
      <w:bookmarkEnd w:id="151"/>
    </w:p>
    <w:p>
      <w:pPr>
        <w:pStyle w:val="4"/>
        <w:numPr>
          <w:ilvl w:val="0"/>
          <w:numId w:val="2"/>
        </w:numPr>
        <w:spacing w:before="312" w:beforeLines="100" w:after="0" w:line="415" w:lineRule="auto"/>
        <w:jc w:val="both"/>
        <w:rPr>
          <w:sz w:val="24"/>
          <w:szCs w:val="24"/>
        </w:rPr>
      </w:pPr>
      <w:r>
        <w:rPr>
          <w:rFonts w:hint="eastAsia"/>
          <w:sz w:val="24"/>
          <w:szCs w:val="24"/>
        </w:rPr>
        <w:t>古驿道的保护</w:t>
      </w:r>
    </w:p>
    <w:p>
      <w:pPr>
        <w:ind w:firstLine="482"/>
        <w:rPr>
          <w:rFonts w:cs="宋体"/>
          <w:b/>
          <w:bCs/>
          <w:sz w:val="24"/>
          <w:szCs w:val="20"/>
        </w:rPr>
      </w:pPr>
      <w:r>
        <w:rPr>
          <w:rFonts w:hint="eastAsia" w:cs="宋体"/>
          <w:b/>
          <w:bCs/>
          <w:sz w:val="24"/>
          <w:szCs w:val="20"/>
        </w:rPr>
        <w:t>（一）保护名录</w:t>
      </w:r>
    </w:p>
    <w:p>
      <w:pPr>
        <w:ind w:firstLine="480"/>
        <w:rPr>
          <w:rFonts w:cs="宋体"/>
          <w:sz w:val="24"/>
          <w:szCs w:val="20"/>
          <w:u w:val="single"/>
        </w:rPr>
      </w:pPr>
      <w:r>
        <w:rPr>
          <w:rFonts w:hint="eastAsia" w:cs="宋体"/>
          <w:sz w:val="24"/>
          <w:szCs w:val="20"/>
          <w:u w:val="single"/>
        </w:rPr>
        <w:t>保护市域</w:t>
      </w:r>
      <w:r>
        <w:rPr>
          <w:rFonts w:cs="宋体"/>
          <w:sz w:val="24"/>
          <w:szCs w:val="20"/>
          <w:u w:val="single"/>
        </w:rPr>
        <w:t>范围内的梅关古道、乌迳古道、</w:t>
      </w:r>
      <w:r>
        <w:rPr>
          <w:rFonts w:hint="eastAsia" w:cs="宋体"/>
          <w:sz w:val="24"/>
          <w:szCs w:val="20"/>
          <w:u w:val="single"/>
        </w:rPr>
        <w:t>百顺</w:t>
      </w:r>
      <w:r>
        <w:rPr>
          <w:rFonts w:cs="宋体"/>
          <w:sz w:val="24"/>
          <w:szCs w:val="20"/>
          <w:u w:val="single"/>
        </w:rPr>
        <w:t>古道、主田-古市古道与水口南亩古道</w:t>
      </w:r>
      <w:r>
        <w:rPr>
          <w:rFonts w:hint="eastAsia" w:cs="宋体"/>
          <w:sz w:val="24"/>
          <w:szCs w:val="20"/>
          <w:u w:val="single"/>
        </w:rPr>
        <w:t>线性文化遗存</w:t>
      </w:r>
      <w:r>
        <w:rPr>
          <w:rFonts w:cs="宋体"/>
          <w:sz w:val="24"/>
          <w:szCs w:val="20"/>
          <w:u w:val="single"/>
        </w:rPr>
        <w:t>。</w:t>
      </w:r>
    </w:p>
    <w:p>
      <w:pPr>
        <w:ind w:firstLine="482"/>
        <w:rPr>
          <w:rFonts w:cs="宋体"/>
          <w:b/>
          <w:bCs/>
          <w:sz w:val="24"/>
          <w:szCs w:val="20"/>
        </w:rPr>
      </w:pPr>
      <w:r>
        <w:rPr>
          <w:rFonts w:hint="eastAsia" w:cs="宋体"/>
          <w:b/>
          <w:bCs/>
          <w:sz w:val="24"/>
          <w:szCs w:val="20"/>
        </w:rPr>
        <w:t>（二）保护范围</w:t>
      </w:r>
    </w:p>
    <w:p>
      <w:pPr>
        <w:ind w:firstLine="480"/>
        <w:rPr>
          <w:rFonts w:cs="宋体"/>
          <w:sz w:val="24"/>
          <w:szCs w:val="20"/>
          <w:u w:val="single"/>
        </w:rPr>
      </w:pPr>
      <w:r>
        <w:rPr>
          <w:rFonts w:hint="eastAsia" w:cs="宋体"/>
          <w:sz w:val="24"/>
          <w:szCs w:val="20"/>
          <w:u w:val="single"/>
        </w:rPr>
        <w:t>为保护古驿道主体的安全、环境、历史风貌对景观加以控制的区域，在古驿道本体范围外划定保护范围。其中，山地型、平原型、滨水型古驿道外扩不少于</w:t>
      </w:r>
      <w:r>
        <w:rPr>
          <w:rFonts w:cs="宋体"/>
          <w:sz w:val="24"/>
          <w:szCs w:val="20"/>
          <w:u w:val="single"/>
        </w:rPr>
        <w:t>3</w:t>
      </w:r>
      <w:r>
        <w:rPr>
          <w:rFonts w:hint="eastAsia" w:cs="宋体"/>
          <w:sz w:val="24"/>
          <w:szCs w:val="20"/>
          <w:u w:val="single"/>
        </w:rPr>
        <w:t>米为本体范围，以本体范围的外边界外扩不小于</w:t>
      </w:r>
      <w:r>
        <w:rPr>
          <w:rFonts w:cs="宋体"/>
          <w:sz w:val="24"/>
          <w:szCs w:val="20"/>
          <w:u w:val="single"/>
        </w:rPr>
        <w:t>20</w:t>
      </w:r>
      <w:r>
        <w:rPr>
          <w:rFonts w:hint="eastAsia" w:cs="宋体"/>
          <w:sz w:val="24"/>
          <w:szCs w:val="20"/>
          <w:u w:val="single"/>
        </w:rPr>
        <w:t>米；村镇型古驿道的本体范围以古驿道两侧现有建筑外墙面为界，保护范围应至少包括两侧前排建筑；古水道的范围：结合中小河流域整治工作，加强水路古驿道的保护，并控制以河道两侧岸线外扩不小于</w:t>
      </w:r>
      <w:r>
        <w:rPr>
          <w:rFonts w:cs="宋体"/>
          <w:sz w:val="24"/>
          <w:szCs w:val="20"/>
          <w:u w:val="single"/>
        </w:rPr>
        <w:t>10</w:t>
      </w:r>
      <w:r>
        <w:rPr>
          <w:rFonts w:hint="eastAsia" w:cs="宋体"/>
          <w:sz w:val="24"/>
          <w:szCs w:val="20"/>
          <w:u w:val="single"/>
        </w:rPr>
        <w:t>米</w:t>
      </w:r>
      <w:r>
        <w:rPr>
          <w:rFonts w:cs="宋体"/>
          <w:sz w:val="24"/>
          <w:szCs w:val="20"/>
          <w:u w:val="single"/>
        </w:rPr>
        <w:t>的保护范围</w:t>
      </w:r>
      <w:r>
        <w:rPr>
          <w:rFonts w:hint="eastAsia" w:cs="宋体"/>
          <w:sz w:val="24"/>
          <w:szCs w:val="20"/>
          <w:u w:val="single"/>
        </w:rPr>
        <w:t>。</w:t>
      </w:r>
    </w:p>
    <w:p>
      <w:pPr>
        <w:ind w:firstLine="482"/>
        <w:rPr>
          <w:rFonts w:cs="宋体"/>
          <w:b/>
          <w:bCs/>
          <w:sz w:val="24"/>
          <w:szCs w:val="20"/>
        </w:rPr>
      </w:pPr>
      <w:r>
        <w:rPr>
          <w:rFonts w:hint="eastAsia" w:cs="宋体"/>
          <w:b/>
          <w:bCs/>
          <w:sz w:val="24"/>
          <w:szCs w:val="20"/>
        </w:rPr>
        <w:t>（三）保护要求</w:t>
      </w:r>
    </w:p>
    <w:p>
      <w:pPr>
        <w:pStyle w:val="49"/>
        <w:numPr>
          <w:ilvl w:val="0"/>
          <w:numId w:val="47"/>
        </w:numPr>
        <w:ind w:left="0" w:firstLine="480"/>
        <w:rPr>
          <w:sz w:val="24"/>
          <w:szCs w:val="32"/>
        </w:rPr>
      </w:pPr>
      <w:r>
        <w:rPr>
          <w:rFonts w:hint="eastAsia"/>
          <w:sz w:val="24"/>
          <w:szCs w:val="32"/>
        </w:rPr>
        <w:t>重点保护梅关古道、乌迳古道及沿线资源</w:t>
      </w:r>
    </w:p>
    <w:p>
      <w:pPr>
        <w:ind w:firstLine="480"/>
        <w:rPr>
          <w:sz w:val="24"/>
          <w:szCs w:val="24"/>
        </w:rPr>
      </w:pPr>
      <w:r>
        <w:rPr>
          <w:rFonts w:hint="eastAsia"/>
          <w:sz w:val="24"/>
          <w:szCs w:val="24"/>
        </w:rPr>
        <w:t>保护梅关古道遗迹——梅岭段、中站段、珠玑段遗存，严格控制古道修缮和周边建筑风貌，加强古驿道地区的考古挖掘和保护，进一步明确古道线路走向，保护并修复古道遗存本体路段。</w:t>
      </w:r>
    </w:p>
    <w:p>
      <w:pPr>
        <w:ind w:firstLine="480"/>
        <w:rPr>
          <w:sz w:val="24"/>
          <w:szCs w:val="24"/>
        </w:rPr>
      </w:pPr>
      <w:r>
        <w:rPr>
          <w:rFonts w:hint="eastAsia"/>
          <w:sz w:val="24"/>
          <w:szCs w:val="24"/>
        </w:rPr>
        <w:t>保护浈江、昌水、乌迳形成的水路联运古驿道。</w:t>
      </w:r>
      <w:r>
        <w:rPr>
          <w:sz w:val="24"/>
          <w:szCs w:val="24"/>
        </w:rPr>
        <w:t>保护修复浈江、昌水流域的生态环境，保持现有水系的形态和走向</w:t>
      </w:r>
      <w:r>
        <w:rPr>
          <w:rFonts w:hint="eastAsia"/>
          <w:sz w:val="24"/>
          <w:szCs w:val="24"/>
        </w:rPr>
        <w:t>，控制浈江昌水的沿岸景观</w:t>
      </w:r>
      <w:r>
        <w:rPr>
          <w:sz w:val="24"/>
          <w:szCs w:val="24"/>
        </w:rPr>
        <w:t>。保护乌迳古道陆上部分遗存，加强考古挖掘和保护，确定具体线路，严格控制古道修缮和周边建筑建设。</w:t>
      </w:r>
    </w:p>
    <w:p>
      <w:pPr>
        <w:pStyle w:val="49"/>
        <w:numPr>
          <w:ilvl w:val="0"/>
          <w:numId w:val="47"/>
        </w:numPr>
        <w:ind w:left="0" w:firstLine="480"/>
        <w:rPr>
          <w:sz w:val="24"/>
          <w:szCs w:val="32"/>
        </w:rPr>
      </w:pPr>
      <w:r>
        <w:rPr>
          <w:rFonts w:hint="eastAsia"/>
          <w:sz w:val="24"/>
          <w:szCs w:val="32"/>
        </w:rPr>
        <w:t>加强对文化线路的保护与修缮</w:t>
      </w:r>
    </w:p>
    <w:p>
      <w:pPr>
        <w:ind w:firstLine="480"/>
        <w:rPr>
          <w:sz w:val="24"/>
          <w:szCs w:val="24"/>
        </w:rPr>
      </w:pPr>
      <w:r>
        <w:rPr>
          <w:sz w:val="24"/>
          <w:szCs w:val="24"/>
        </w:rPr>
        <w:t>通过现存的古驿道遗迹文化遗产摸查，结合考古发掘和历史文献研究，确定文化线路的走向，连通各节点，形成完整的文化线路群。严格保护现存的古驿道本体，结合城镇、聚落建成区范围修复延长古驿道载体，修复应在保障原有遗迹原真性的前提下，采用地方材料和工艺进行修补建设。</w:t>
      </w:r>
    </w:p>
    <w:p>
      <w:pPr>
        <w:pStyle w:val="49"/>
        <w:numPr>
          <w:ilvl w:val="0"/>
          <w:numId w:val="47"/>
        </w:numPr>
        <w:ind w:left="0" w:firstLine="480"/>
        <w:rPr>
          <w:sz w:val="24"/>
          <w:szCs w:val="32"/>
        </w:rPr>
      </w:pPr>
      <w:r>
        <w:rPr>
          <w:sz w:val="24"/>
          <w:szCs w:val="32"/>
        </w:rPr>
        <w:t>文化线路沿线环境整治和控制提升</w:t>
      </w:r>
    </w:p>
    <w:p>
      <w:pPr>
        <w:ind w:firstLine="480"/>
        <w:rPr>
          <w:sz w:val="24"/>
          <w:szCs w:val="24"/>
        </w:rPr>
      </w:pPr>
      <w:r>
        <w:rPr>
          <w:sz w:val="24"/>
          <w:szCs w:val="24"/>
        </w:rPr>
        <w:t>在对线路载体修复与建设的基础上，对文化线路沿线保护范围进行环境整治和提升，包括生态环境保护控制、建筑风貌与公共空间控制、服务设施保护与配套等。</w:t>
      </w:r>
    </w:p>
    <w:p>
      <w:pPr>
        <w:ind w:firstLine="480"/>
        <w:rPr>
          <w:sz w:val="24"/>
          <w:szCs w:val="24"/>
        </w:rPr>
      </w:pPr>
      <w:r>
        <w:rPr>
          <w:sz w:val="24"/>
          <w:szCs w:val="24"/>
        </w:rPr>
        <w:t>生态环境保护控制：对于古驿道本体范围清理杂草、疏浚水道；严格保护古驿道两侧的山体水系和景观风貌，不得破坏或随意改变。</w:t>
      </w:r>
    </w:p>
    <w:p>
      <w:pPr>
        <w:ind w:firstLine="480"/>
        <w:rPr>
          <w:sz w:val="24"/>
          <w:szCs w:val="24"/>
        </w:rPr>
      </w:pPr>
      <w:r>
        <w:rPr>
          <w:sz w:val="24"/>
          <w:szCs w:val="24"/>
        </w:rPr>
        <w:t>建筑风貌与公共空间保护控制：保护和修缮</w:t>
      </w:r>
      <w:r>
        <w:rPr>
          <w:rFonts w:hint="eastAsia"/>
          <w:sz w:val="24"/>
          <w:szCs w:val="24"/>
        </w:rPr>
        <w:t>文化线路沿线的</w:t>
      </w:r>
      <w:r>
        <w:rPr>
          <w:sz w:val="24"/>
          <w:szCs w:val="24"/>
        </w:rPr>
        <w:t>传统建筑与民居，控制新建建筑风貌和历史文化相协调。围绕古树名木、古桥、古井等构筑物和树木，适当开辟空地形成公共空间，在地面铺装、标识等方面应控制与历史风貌相协调。</w:t>
      </w:r>
    </w:p>
    <w:p>
      <w:pPr>
        <w:ind w:firstLine="480"/>
        <w:rPr>
          <w:sz w:val="24"/>
          <w:szCs w:val="24"/>
        </w:rPr>
      </w:pPr>
      <w:r>
        <w:rPr>
          <w:sz w:val="24"/>
          <w:szCs w:val="24"/>
        </w:rPr>
        <w:t>服务设施保护与配套：结合城市绿道和驿站布置服务游憩设施和环卫设施。</w:t>
      </w:r>
    </w:p>
    <w:p>
      <w:pPr>
        <w:pStyle w:val="4"/>
        <w:numPr>
          <w:ilvl w:val="0"/>
          <w:numId w:val="2"/>
        </w:numPr>
        <w:spacing w:before="312" w:beforeLines="100" w:after="0" w:line="415" w:lineRule="auto"/>
        <w:jc w:val="both"/>
        <w:rPr>
          <w:sz w:val="24"/>
          <w:szCs w:val="24"/>
        </w:rPr>
      </w:pPr>
      <w:r>
        <w:rPr>
          <w:rFonts w:hint="eastAsia"/>
          <w:sz w:val="24"/>
          <w:szCs w:val="24"/>
        </w:rPr>
        <w:t>红色革命遗址的保护</w:t>
      </w:r>
    </w:p>
    <w:p>
      <w:pPr>
        <w:ind w:firstLine="482"/>
        <w:rPr>
          <w:b/>
          <w:bCs/>
          <w:sz w:val="24"/>
          <w:szCs w:val="24"/>
        </w:rPr>
      </w:pPr>
      <w:r>
        <w:rPr>
          <w:rFonts w:hint="eastAsia"/>
          <w:b/>
          <w:bCs/>
          <w:sz w:val="24"/>
          <w:szCs w:val="24"/>
        </w:rPr>
        <w:t>（一）保护名录</w:t>
      </w:r>
    </w:p>
    <w:p>
      <w:pPr>
        <w:ind w:firstLine="480"/>
        <w:rPr>
          <w:sz w:val="24"/>
          <w:szCs w:val="24"/>
          <w:u w:val="single"/>
        </w:rPr>
      </w:pPr>
      <w:r>
        <w:rPr>
          <w:rFonts w:hint="eastAsia"/>
          <w:sz w:val="24"/>
          <w:szCs w:val="24"/>
          <w:u w:val="single"/>
        </w:rPr>
        <w:t>保护南雄市94处省定红色革命遗址（详见附表1</w:t>
      </w:r>
      <w:r>
        <w:rPr>
          <w:sz w:val="24"/>
          <w:szCs w:val="24"/>
          <w:u w:val="single"/>
        </w:rPr>
        <w:t>4</w:t>
      </w:r>
      <w:r>
        <w:rPr>
          <w:rFonts w:hint="eastAsia"/>
          <w:sz w:val="24"/>
          <w:szCs w:val="24"/>
          <w:u w:val="single"/>
        </w:rPr>
        <w:t>）。</w:t>
      </w:r>
    </w:p>
    <w:p>
      <w:pPr>
        <w:ind w:firstLine="482"/>
        <w:rPr>
          <w:b/>
          <w:bCs/>
          <w:sz w:val="24"/>
          <w:szCs w:val="24"/>
        </w:rPr>
      </w:pPr>
      <w:r>
        <w:rPr>
          <w:rFonts w:hint="eastAsia"/>
          <w:b/>
          <w:bCs/>
          <w:sz w:val="24"/>
          <w:szCs w:val="24"/>
        </w:rPr>
        <w:t>（二）保护要求</w:t>
      </w:r>
    </w:p>
    <w:p>
      <w:pPr>
        <w:ind w:firstLine="480"/>
        <w:rPr>
          <w:sz w:val="24"/>
          <w:szCs w:val="24"/>
        </w:rPr>
      </w:pPr>
      <w:r>
        <w:rPr>
          <w:rFonts w:hint="eastAsia"/>
          <w:sz w:val="24"/>
          <w:szCs w:val="24"/>
        </w:rPr>
        <w:t>保护南雄市红色革命遗址</w:t>
      </w:r>
      <w:r>
        <w:rPr>
          <w:sz w:val="24"/>
          <w:szCs w:val="24"/>
        </w:rPr>
        <w:t>，挖掘红色文化</w:t>
      </w:r>
      <w:r>
        <w:rPr>
          <w:rFonts w:hint="eastAsia"/>
          <w:sz w:val="24"/>
          <w:szCs w:val="24"/>
        </w:rPr>
        <w:t>史迹</w:t>
      </w:r>
      <w:r>
        <w:rPr>
          <w:sz w:val="24"/>
          <w:szCs w:val="24"/>
        </w:rPr>
        <w:t>，</w:t>
      </w:r>
      <w:r>
        <w:rPr>
          <w:rFonts w:hint="eastAsia"/>
          <w:sz w:val="24"/>
          <w:szCs w:val="24"/>
        </w:rPr>
        <w:t>结合</w:t>
      </w:r>
      <w:r>
        <w:rPr>
          <w:sz w:val="24"/>
          <w:szCs w:val="24"/>
        </w:rPr>
        <w:t>长征国家文化公园</w:t>
      </w:r>
      <w:r>
        <w:rPr>
          <w:rFonts w:hint="eastAsia"/>
          <w:sz w:val="24"/>
          <w:szCs w:val="24"/>
        </w:rPr>
        <w:t>（广东段）</w:t>
      </w:r>
      <w:r>
        <w:rPr>
          <w:sz w:val="24"/>
          <w:szCs w:val="24"/>
        </w:rPr>
        <w:t>建设</w:t>
      </w:r>
      <w:r>
        <w:rPr>
          <w:rFonts w:hint="eastAsia"/>
          <w:sz w:val="24"/>
          <w:szCs w:val="24"/>
        </w:rPr>
        <w:t>保护</w:t>
      </w:r>
      <w:r>
        <w:rPr>
          <w:sz w:val="24"/>
          <w:szCs w:val="24"/>
        </w:rPr>
        <w:t>规划</w:t>
      </w:r>
      <w:r>
        <w:rPr>
          <w:rFonts w:hint="eastAsia"/>
          <w:sz w:val="24"/>
          <w:szCs w:val="24"/>
        </w:rPr>
        <w:t>，</w:t>
      </w:r>
      <w:r>
        <w:rPr>
          <w:sz w:val="24"/>
          <w:szCs w:val="24"/>
        </w:rPr>
        <w:t>整合红色文化资源与周边自然生态、历史文化、特色村镇等资源，建立革命历史展览馆和红色文化教育基地，将遗址的保护利用与乡村建设结合、与文旅融合，打造红色旅游线路。探索文旅融合发展新路径，</w:t>
      </w:r>
      <w:r>
        <w:rPr>
          <w:rFonts w:hint="eastAsia"/>
          <w:sz w:val="24"/>
          <w:szCs w:val="24"/>
        </w:rPr>
        <w:t>更好</w:t>
      </w:r>
      <w:r>
        <w:rPr>
          <w:sz w:val="24"/>
          <w:szCs w:val="24"/>
        </w:rPr>
        <w:t>地发挥红色文化资源资政育人作用，形成综合融合性和统筹协调性的红色文化展示体系</w:t>
      </w:r>
      <w:r>
        <w:rPr>
          <w:rFonts w:hint="eastAsia"/>
          <w:sz w:val="24"/>
          <w:szCs w:val="24"/>
        </w:rPr>
        <w:t>。</w:t>
      </w:r>
    </w:p>
    <w:p>
      <w:pPr>
        <w:pStyle w:val="4"/>
        <w:numPr>
          <w:ilvl w:val="0"/>
          <w:numId w:val="2"/>
        </w:numPr>
        <w:spacing w:before="312" w:beforeLines="100" w:after="0" w:line="415" w:lineRule="auto"/>
        <w:jc w:val="both"/>
        <w:rPr>
          <w:sz w:val="24"/>
          <w:szCs w:val="24"/>
        </w:rPr>
      </w:pPr>
      <w:r>
        <w:rPr>
          <w:rFonts w:hint="eastAsia"/>
          <w:sz w:val="24"/>
          <w:szCs w:val="24"/>
        </w:rPr>
        <w:t>工业遗产的保护</w:t>
      </w:r>
    </w:p>
    <w:p>
      <w:pPr>
        <w:ind w:firstLine="482"/>
        <w:rPr>
          <w:b/>
          <w:bCs/>
          <w:sz w:val="24"/>
          <w:szCs w:val="24"/>
        </w:rPr>
      </w:pPr>
      <w:r>
        <w:rPr>
          <w:rFonts w:hint="eastAsia"/>
          <w:b/>
          <w:bCs/>
          <w:sz w:val="24"/>
          <w:szCs w:val="24"/>
        </w:rPr>
        <w:t>（一）保护名录</w:t>
      </w:r>
    </w:p>
    <w:p>
      <w:pPr>
        <w:ind w:firstLine="480"/>
        <w:rPr>
          <w:sz w:val="24"/>
          <w:szCs w:val="24"/>
          <w:u w:val="single"/>
        </w:rPr>
      </w:pPr>
      <w:r>
        <w:rPr>
          <w:rFonts w:hint="eastAsia"/>
          <w:sz w:val="24"/>
          <w:szCs w:val="24"/>
          <w:u w:val="single"/>
        </w:rPr>
        <w:t>保护南雄市澜河镇国营七四三矿及矿区设施。</w:t>
      </w:r>
    </w:p>
    <w:p>
      <w:pPr>
        <w:ind w:firstLine="482"/>
        <w:rPr>
          <w:b/>
          <w:bCs/>
          <w:sz w:val="24"/>
          <w:szCs w:val="24"/>
        </w:rPr>
        <w:sectPr>
          <w:pgSz w:w="11907" w:h="16839"/>
          <w:pgMar w:top="1440" w:right="1080" w:bottom="1440" w:left="1080" w:header="851" w:footer="737" w:gutter="0"/>
          <w:cols w:space="425" w:num="1"/>
          <w:docGrid w:type="lines" w:linePitch="312" w:charSpace="0"/>
        </w:sectPr>
      </w:pPr>
    </w:p>
    <w:p>
      <w:pPr>
        <w:ind w:firstLine="482"/>
        <w:rPr>
          <w:b/>
          <w:bCs/>
          <w:sz w:val="24"/>
          <w:szCs w:val="24"/>
        </w:rPr>
      </w:pPr>
      <w:r>
        <w:rPr>
          <w:rFonts w:hint="eastAsia"/>
          <w:b/>
          <w:bCs/>
          <w:sz w:val="24"/>
          <w:szCs w:val="24"/>
        </w:rPr>
        <w:t>（二）保护要求</w:t>
      </w:r>
    </w:p>
    <w:p>
      <w:pPr>
        <w:pStyle w:val="49"/>
        <w:numPr>
          <w:ilvl w:val="0"/>
          <w:numId w:val="48"/>
        </w:numPr>
        <w:ind w:left="0" w:firstLine="480"/>
        <w:rPr>
          <w:sz w:val="24"/>
          <w:szCs w:val="32"/>
        </w:rPr>
      </w:pPr>
      <w:bookmarkStart w:id="154" w:name="_Hlk171080723"/>
      <w:r>
        <w:rPr>
          <w:rFonts w:hint="eastAsia"/>
          <w:sz w:val="24"/>
          <w:szCs w:val="32"/>
        </w:rPr>
        <w:t>加强南雄全域工业遗产的普查挖掘，全面摸清工业遗产的数量、保存和使用状况等基本信息。</w:t>
      </w:r>
    </w:p>
    <w:p>
      <w:pPr>
        <w:pStyle w:val="49"/>
        <w:numPr>
          <w:ilvl w:val="0"/>
          <w:numId w:val="48"/>
        </w:numPr>
        <w:ind w:left="0" w:firstLine="480"/>
        <w:rPr>
          <w:sz w:val="24"/>
          <w:szCs w:val="32"/>
        </w:rPr>
      </w:pPr>
      <w:r>
        <w:rPr>
          <w:rFonts w:hint="eastAsia"/>
          <w:sz w:val="24"/>
          <w:szCs w:val="32"/>
        </w:rPr>
        <w:t>保护代表工业遗产主要特征的物质遗存和非物质遗存</w:t>
      </w:r>
      <w:r>
        <w:rPr>
          <w:sz w:val="24"/>
          <w:szCs w:val="32"/>
        </w:rPr>
        <w:t>。</w:t>
      </w:r>
    </w:p>
    <w:p>
      <w:pPr>
        <w:pStyle w:val="49"/>
        <w:numPr>
          <w:ilvl w:val="0"/>
          <w:numId w:val="48"/>
        </w:numPr>
        <w:ind w:left="0" w:firstLine="480"/>
        <w:rPr>
          <w:sz w:val="24"/>
          <w:szCs w:val="32"/>
        </w:rPr>
      </w:pPr>
      <w:r>
        <w:rPr>
          <w:rFonts w:hint="eastAsia"/>
          <w:sz w:val="24"/>
          <w:szCs w:val="32"/>
        </w:rPr>
        <w:t>工业遗址以原址保护为主，同时做好相关档案资料、影音资料的留存。</w:t>
      </w:r>
    </w:p>
    <w:p>
      <w:pPr>
        <w:pStyle w:val="49"/>
        <w:numPr>
          <w:ilvl w:val="0"/>
          <w:numId w:val="48"/>
        </w:numPr>
        <w:ind w:left="0" w:firstLine="480"/>
        <w:rPr>
          <w:sz w:val="24"/>
          <w:szCs w:val="32"/>
        </w:rPr>
      </w:pPr>
      <w:r>
        <w:rPr>
          <w:rFonts w:hint="eastAsia"/>
          <w:sz w:val="24"/>
          <w:szCs w:val="32"/>
        </w:rPr>
        <w:t>工业遗产所有权人应当及时在遗产醒目位置设立标志，内容包括遗产的名称、标识、认定机构名称、认定时间、区域范围和相关说明。</w:t>
      </w:r>
    </w:p>
    <w:p>
      <w:pPr>
        <w:pStyle w:val="49"/>
        <w:numPr>
          <w:ilvl w:val="0"/>
          <w:numId w:val="48"/>
        </w:numPr>
        <w:ind w:left="0" w:firstLine="480"/>
        <w:rPr>
          <w:sz w:val="24"/>
          <w:szCs w:val="32"/>
        </w:rPr>
      </w:pPr>
      <w:r>
        <w:rPr>
          <w:rFonts w:hint="eastAsia"/>
          <w:sz w:val="24"/>
          <w:szCs w:val="32"/>
        </w:rPr>
        <w:t>工业遗产所有权人应当设置专门部门或由专人监测工业遗产的保存状况，划定保护范围，采取有效保护措施，确保核心物项不被破坏。</w:t>
      </w:r>
    </w:p>
    <w:p>
      <w:pPr>
        <w:pStyle w:val="49"/>
        <w:numPr>
          <w:ilvl w:val="0"/>
          <w:numId w:val="48"/>
        </w:numPr>
        <w:ind w:left="0" w:firstLine="480"/>
        <w:rPr>
          <w:sz w:val="24"/>
          <w:szCs w:val="32"/>
        </w:rPr>
      </w:pPr>
      <w:r>
        <w:rPr>
          <w:rFonts w:hint="eastAsia"/>
          <w:sz w:val="24"/>
          <w:szCs w:val="32"/>
        </w:rPr>
        <w:t>鼓励工业遗产所有权人按相关规定申报文物、非物质文化遗产和历史建筑。</w:t>
      </w:r>
    </w:p>
    <w:p>
      <w:pPr>
        <w:pStyle w:val="49"/>
        <w:numPr>
          <w:ilvl w:val="0"/>
          <w:numId w:val="48"/>
        </w:numPr>
        <w:ind w:left="0" w:firstLine="480"/>
        <w:rPr>
          <w:sz w:val="24"/>
          <w:szCs w:val="32"/>
        </w:rPr>
      </w:pPr>
      <w:r>
        <w:rPr>
          <w:rFonts w:hint="eastAsia"/>
          <w:sz w:val="24"/>
          <w:szCs w:val="32"/>
        </w:rPr>
        <w:t>保护特色典型的工艺流程，保护机械、生产线、车间等，加强传统工艺的整理，展示生产场景和生产方式。</w:t>
      </w:r>
    </w:p>
    <w:p>
      <w:pPr>
        <w:pStyle w:val="49"/>
        <w:numPr>
          <w:ilvl w:val="0"/>
          <w:numId w:val="48"/>
        </w:numPr>
        <w:ind w:left="0" w:firstLine="480"/>
        <w:rPr>
          <w:sz w:val="24"/>
          <w:szCs w:val="32"/>
        </w:rPr>
      </w:pPr>
      <w:r>
        <w:rPr>
          <w:sz w:val="24"/>
          <w:szCs w:val="32"/>
        </w:rPr>
        <w:t>保护和修缮有价值的工业建筑。可进行加层或立面装饰并使用</w:t>
      </w:r>
      <w:r>
        <w:rPr>
          <w:rFonts w:hint="eastAsia"/>
          <w:sz w:val="24"/>
          <w:szCs w:val="32"/>
        </w:rPr>
        <w:t>现代材料，但应保留建筑结构和式样的主要特征，色彩、</w:t>
      </w:r>
      <w:r>
        <w:rPr>
          <w:sz w:val="24"/>
          <w:szCs w:val="32"/>
        </w:rPr>
        <w:t>风格要与周</w:t>
      </w:r>
      <w:r>
        <w:rPr>
          <w:rFonts w:hint="eastAsia"/>
          <w:sz w:val="24"/>
          <w:szCs w:val="32"/>
        </w:rPr>
        <w:t>边环境协调。</w:t>
      </w:r>
    </w:p>
    <w:p>
      <w:pPr>
        <w:pStyle w:val="4"/>
        <w:numPr>
          <w:ilvl w:val="0"/>
          <w:numId w:val="2"/>
        </w:numPr>
        <w:spacing w:before="312" w:beforeLines="100" w:after="0" w:line="415" w:lineRule="auto"/>
        <w:jc w:val="both"/>
        <w:rPr>
          <w:sz w:val="24"/>
          <w:szCs w:val="24"/>
        </w:rPr>
      </w:pPr>
      <w:r>
        <w:rPr>
          <w:rFonts w:hint="eastAsia"/>
          <w:sz w:val="24"/>
          <w:szCs w:val="24"/>
        </w:rPr>
        <w:t>重要农业文化遗产的保护</w:t>
      </w:r>
    </w:p>
    <w:p>
      <w:pPr>
        <w:ind w:firstLine="482"/>
        <w:rPr>
          <w:b/>
          <w:bCs/>
          <w:sz w:val="24"/>
          <w:szCs w:val="24"/>
        </w:rPr>
      </w:pPr>
      <w:r>
        <w:rPr>
          <w:rFonts w:hint="eastAsia"/>
          <w:b/>
          <w:bCs/>
          <w:sz w:val="24"/>
          <w:szCs w:val="24"/>
        </w:rPr>
        <w:t>（一）保护名录</w:t>
      </w:r>
    </w:p>
    <w:p>
      <w:pPr>
        <w:ind w:firstLine="480"/>
        <w:rPr>
          <w:sz w:val="24"/>
          <w:szCs w:val="24"/>
          <w:u w:val="single"/>
        </w:rPr>
      </w:pPr>
      <w:r>
        <w:rPr>
          <w:rFonts w:hint="eastAsia"/>
          <w:sz w:val="24"/>
          <w:szCs w:val="24"/>
          <w:u w:val="single"/>
        </w:rPr>
        <w:t>保护</w:t>
      </w:r>
      <w:bookmarkStart w:id="155" w:name="_Hlk199863622"/>
      <w:r>
        <w:rPr>
          <w:rFonts w:hint="eastAsia"/>
          <w:sz w:val="24"/>
          <w:szCs w:val="24"/>
          <w:u w:val="single"/>
        </w:rPr>
        <w:t>广东南雄水旱轮作系统</w:t>
      </w:r>
      <w:bookmarkEnd w:id="155"/>
      <w:r>
        <w:rPr>
          <w:rFonts w:hint="eastAsia"/>
          <w:sz w:val="24"/>
          <w:szCs w:val="24"/>
          <w:u w:val="single"/>
        </w:rPr>
        <w:t>，</w:t>
      </w:r>
      <w:r>
        <w:rPr>
          <w:sz w:val="24"/>
          <w:szCs w:val="24"/>
          <w:u w:val="single"/>
        </w:rPr>
        <w:t>核心区范围为乌迳镇高溯村、黄塘村、新田村，油山镇古城村、延村、黄田村，黄坑镇社前村、小陂村、许村，湖口镇太和村、承平村，水口镇沙头村、水口村，珠玑镇古田村、珠玑村，雄州街道荆岗村，主田镇城门村，古市镇溪口村，共涉及9个镇街、18个行政村。</w:t>
      </w:r>
    </w:p>
    <w:p>
      <w:pPr>
        <w:ind w:firstLine="482"/>
        <w:rPr>
          <w:b/>
          <w:bCs/>
          <w:sz w:val="24"/>
          <w:szCs w:val="24"/>
        </w:rPr>
      </w:pPr>
      <w:r>
        <w:rPr>
          <w:rFonts w:hint="eastAsia"/>
          <w:b/>
          <w:bCs/>
          <w:sz w:val="24"/>
          <w:szCs w:val="24"/>
        </w:rPr>
        <w:t>（二）保护要求</w:t>
      </w:r>
    </w:p>
    <w:p>
      <w:pPr>
        <w:pStyle w:val="49"/>
        <w:numPr>
          <w:ilvl w:val="0"/>
          <w:numId w:val="49"/>
        </w:numPr>
        <w:ind w:left="0" w:firstLine="480"/>
        <w:rPr>
          <w:sz w:val="24"/>
          <w:szCs w:val="32"/>
        </w:rPr>
      </w:pPr>
      <w:r>
        <w:rPr>
          <w:rFonts w:hint="eastAsia"/>
          <w:sz w:val="24"/>
          <w:szCs w:val="32"/>
        </w:rPr>
        <w:t>将保护与发展规划纳入本级国民经济和社会发展规划，将遗产保护所需经费纳入本级财政预算。</w:t>
      </w:r>
    </w:p>
    <w:p>
      <w:pPr>
        <w:pStyle w:val="49"/>
        <w:numPr>
          <w:ilvl w:val="0"/>
          <w:numId w:val="49"/>
        </w:numPr>
        <w:ind w:left="0" w:firstLine="480"/>
        <w:rPr>
          <w:sz w:val="24"/>
          <w:szCs w:val="32"/>
        </w:rPr>
      </w:pPr>
      <w:r>
        <w:rPr>
          <w:rFonts w:hint="eastAsia"/>
          <w:sz w:val="24"/>
          <w:szCs w:val="32"/>
        </w:rPr>
        <w:t>通过补贴、补偿等方式保障障重要农业文化遗所在地农民能够从遗产保护中获得合理的经济收益</w:t>
      </w:r>
      <w:r>
        <w:rPr>
          <w:sz w:val="24"/>
          <w:szCs w:val="32"/>
        </w:rPr>
        <w:t>。</w:t>
      </w:r>
    </w:p>
    <w:p>
      <w:pPr>
        <w:pStyle w:val="49"/>
        <w:numPr>
          <w:ilvl w:val="0"/>
          <w:numId w:val="49"/>
        </w:numPr>
        <w:ind w:left="0" w:firstLine="480"/>
        <w:rPr>
          <w:sz w:val="24"/>
          <w:szCs w:val="32"/>
        </w:rPr>
      </w:pPr>
      <w:r>
        <w:rPr>
          <w:rFonts w:hint="eastAsia"/>
          <w:sz w:val="24"/>
          <w:szCs w:val="32"/>
        </w:rPr>
        <w:t>重要农业文化遗产所在地应当在醒目位置设立遗产标志。</w:t>
      </w:r>
    </w:p>
    <w:p>
      <w:pPr>
        <w:pStyle w:val="49"/>
        <w:numPr>
          <w:ilvl w:val="0"/>
          <w:numId w:val="49"/>
        </w:numPr>
        <w:ind w:left="0" w:firstLine="480"/>
        <w:rPr>
          <w:sz w:val="24"/>
          <w:szCs w:val="32"/>
        </w:rPr>
      </w:pPr>
      <w:r>
        <w:rPr>
          <w:rFonts w:hint="eastAsia"/>
          <w:sz w:val="24"/>
          <w:szCs w:val="32"/>
        </w:rPr>
        <w:t>重要农业文化遗产所在地应当采取措施，确保遗产不被破坏，基本功能、范围和界线不被改变。</w:t>
      </w:r>
      <w:r>
        <w:rPr>
          <w:sz w:val="24"/>
          <w:szCs w:val="32"/>
        </w:rPr>
        <w:t>遗产基本功能、范围和界线确需调整的，由遗产所在地县、市（地）级人民政府按照原申报程序提出</w:t>
      </w:r>
      <w:r>
        <w:rPr>
          <w:rFonts w:hint="eastAsia"/>
          <w:sz w:val="24"/>
          <w:szCs w:val="32"/>
        </w:rPr>
        <w:t>。</w:t>
      </w:r>
    </w:p>
    <w:p>
      <w:pPr>
        <w:pStyle w:val="49"/>
        <w:numPr>
          <w:ilvl w:val="0"/>
          <w:numId w:val="49"/>
        </w:numPr>
        <w:ind w:left="0" w:firstLine="480"/>
        <w:rPr>
          <w:sz w:val="24"/>
          <w:szCs w:val="32"/>
        </w:rPr>
      </w:pPr>
      <w:r>
        <w:rPr>
          <w:rFonts w:hint="eastAsia"/>
          <w:sz w:val="24"/>
          <w:szCs w:val="32"/>
        </w:rPr>
        <w:t>重要农业文化遗产所在地应当在适宜地点设立遗产展示厅，宣传遗产概念内涵、重要价值、保护理念、名特产品、传统技术、景观资源、历史文化和民俗风情等。</w:t>
      </w:r>
    </w:p>
    <w:p>
      <w:pPr>
        <w:pStyle w:val="49"/>
        <w:numPr>
          <w:ilvl w:val="0"/>
          <w:numId w:val="49"/>
        </w:numPr>
        <w:ind w:left="0" w:firstLine="480"/>
        <w:rPr>
          <w:sz w:val="24"/>
          <w:szCs w:val="32"/>
        </w:rPr>
      </w:pPr>
      <w:r>
        <w:rPr>
          <w:rFonts w:hint="eastAsia"/>
          <w:sz w:val="24"/>
          <w:szCs w:val="32"/>
        </w:rPr>
        <w:t>重要农业文化遗产所在地应当建立遗产动态监测信息系统，监测遗产所在地农业资源、文化、知识、技术、环境等现状，并制作、保存档案。</w:t>
      </w:r>
    </w:p>
    <w:p>
      <w:pPr>
        <w:pStyle w:val="49"/>
        <w:numPr>
          <w:ilvl w:val="0"/>
          <w:numId w:val="49"/>
        </w:numPr>
        <w:ind w:left="0" w:firstLine="480"/>
        <w:rPr>
          <w:sz w:val="24"/>
          <w:szCs w:val="32"/>
        </w:rPr>
      </w:pPr>
      <w:r>
        <w:rPr>
          <w:rFonts w:hint="eastAsia"/>
          <w:sz w:val="24"/>
          <w:szCs w:val="32"/>
        </w:rPr>
        <w:t>重要农业文化遗产所在地应当于每年年底前向农业部提交遗产保护工作年度报告。</w:t>
      </w:r>
    </w:p>
    <w:p>
      <w:pPr>
        <w:pStyle w:val="49"/>
        <w:numPr>
          <w:ilvl w:val="0"/>
          <w:numId w:val="49"/>
        </w:numPr>
        <w:ind w:left="0" w:firstLine="480"/>
        <w:rPr>
          <w:sz w:val="24"/>
          <w:szCs w:val="32"/>
        </w:rPr>
      </w:pPr>
      <w:r>
        <w:rPr>
          <w:rFonts w:hint="eastAsia"/>
          <w:sz w:val="24"/>
          <w:szCs w:val="32"/>
        </w:rPr>
        <w:t>发生或者可能发生危及遗产安全的突发事件时，重要农业文化遗产所在地应当立即采取必要措施，并及时向省级人民政府农业行政主管部门和农业部报告。</w:t>
      </w:r>
    </w:p>
    <w:bookmarkEnd w:id="154"/>
    <w:p>
      <w:pPr>
        <w:pStyle w:val="3"/>
        <w:numPr>
          <w:ilvl w:val="0"/>
          <w:numId w:val="45"/>
        </w:numPr>
        <w:spacing w:before="0" w:after="0"/>
        <w:jc w:val="center"/>
        <w:rPr>
          <w:rFonts w:ascii="宋体" w:hAnsi="宋体" w:eastAsia="宋体"/>
          <w:sz w:val="28"/>
          <w:szCs w:val="28"/>
        </w:rPr>
      </w:pPr>
      <w:bookmarkStart w:id="156" w:name="_Toc135989710"/>
      <w:bookmarkStart w:id="157" w:name="_Toc204964370"/>
      <w:r>
        <w:rPr>
          <w:rFonts w:hint="eastAsia" w:ascii="宋体" w:hAnsi="宋体" w:eastAsia="宋体"/>
          <w:sz w:val="28"/>
          <w:szCs w:val="28"/>
        </w:rPr>
        <w:t>地下文物埋藏区的保护</w:t>
      </w:r>
      <w:bookmarkEnd w:id="156"/>
      <w:bookmarkEnd w:id="157"/>
    </w:p>
    <w:p>
      <w:pPr>
        <w:pStyle w:val="4"/>
        <w:numPr>
          <w:ilvl w:val="0"/>
          <w:numId w:val="2"/>
        </w:numPr>
        <w:spacing w:before="312" w:beforeLines="100" w:after="0" w:line="415" w:lineRule="auto"/>
        <w:jc w:val="both"/>
        <w:rPr>
          <w:sz w:val="24"/>
          <w:szCs w:val="24"/>
        </w:rPr>
      </w:pPr>
      <w:bookmarkStart w:id="158" w:name="_Toc76546074"/>
      <w:r>
        <w:rPr>
          <w:rFonts w:hint="eastAsia"/>
          <w:sz w:val="24"/>
          <w:szCs w:val="24"/>
        </w:rPr>
        <w:t>保护名录</w:t>
      </w:r>
    </w:p>
    <w:p>
      <w:pPr>
        <w:spacing w:before="156" w:beforeLines="50" w:after="156" w:afterLines="50"/>
        <w:ind w:firstLine="480"/>
        <w:rPr>
          <w:b/>
          <w:bCs/>
          <w:sz w:val="24"/>
          <w:szCs w:val="28"/>
          <w:u w:val="single"/>
        </w:rPr>
      </w:pPr>
      <w:r>
        <w:rPr>
          <w:rFonts w:hint="eastAsia"/>
          <w:sz w:val="24"/>
          <w:szCs w:val="24"/>
          <w:u w:val="single"/>
        </w:rPr>
        <w:t>南雄市暂无经人民政府核定公布的地下文物埋藏区，保护南雄</w:t>
      </w:r>
      <w:r>
        <w:rPr>
          <w:sz w:val="24"/>
          <w:szCs w:val="24"/>
          <w:u w:val="single"/>
        </w:rPr>
        <w:t>市2处</w:t>
      </w:r>
      <w:r>
        <w:rPr>
          <w:rFonts w:hint="eastAsia"/>
          <w:sz w:val="24"/>
          <w:szCs w:val="24"/>
          <w:u w:val="single"/>
        </w:rPr>
        <w:t>地下文物埋藏区线索，分别是始兴东-南雄西埋藏区和南雄东埋藏区。</w:t>
      </w:r>
    </w:p>
    <w:p>
      <w:pPr>
        <w:pStyle w:val="4"/>
        <w:numPr>
          <w:ilvl w:val="0"/>
          <w:numId w:val="2"/>
        </w:numPr>
        <w:spacing w:before="312" w:beforeLines="100" w:after="0" w:line="415" w:lineRule="auto"/>
        <w:jc w:val="both"/>
        <w:rPr>
          <w:sz w:val="24"/>
          <w:szCs w:val="24"/>
        </w:rPr>
      </w:pPr>
      <w:r>
        <w:rPr>
          <w:rFonts w:hint="eastAsia"/>
          <w:sz w:val="24"/>
          <w:szCs w:val="24"/>
        </w:rPr>
        <w:t>保护</w:t>
      </w:r>
      <w:r>
        <w:rPr>
          <w:sz w:val="24"/>
          <w:szCs w:val="24"/>
        </w:rPr>
        <w:t>范围</w:t>
      </w:r>
    </w:p>
    <w:p>
      <w:pPr>
        <w:ind w:firstLine="480"/>
        <w:rPr>
          <w:sz w:val="24"/>
          <w:szCs w:val="24"/>
        </w:rPr>
      </w:pPr>
      <w:r>
        <w:rPr>
          <w:rFonts w:hint="eastAsia"/>
          <w:sz w:val="24"/>
          <w:szCs w:val="24"/>
        </w:rPr>
        <w:t>地下文物埋藏区线索范围东至古市镇古市村，南至古市镇吴屋村，北至珠玑镇梅岭村，西至界址镇界址中学，总面积为1001.62平方公里。</w:t>
      </w:r>
    </w:p>
    <w:p>
      <w:pPr>
        <w:pStyle w:val="4"/>
        <w:numPr>
          <w:ilvl w:val="0"/>
          <w:numId w:val="2"/>
        </w:numPr>
        <w:spacing w:before="312" w:beforeLines="100" w:after="0" w:line="415" w:lineRule="auto"/>
        <w:jc w:val="both"/>
        <w:rPr>
          <w:sz w:val="24"/>
          <w:szCs w:val="24"/>
        </w:rPr>
      </w:pPr>
      <w:r>
        <w:rPr>
          <w:rFonts w:hint="eastAsia"/>
          <w:sz w:val="24"/>
          <w:szCs w:val="24"/>
        </w:rPr>
        <w:t>保护措施</w:t>
      </w:r>
    </w:p>
    <w:p>
      <w:pPr>
        <w:pStyle w:val="49"/>
        <w:numPr>
          <w:ilvl w:val="0"/>
          <w:numId w:val="50"/>
        </w:numPr>
        <w:ind w:left="0" w:firstLine="480"/>
        <w:rPr>
          <w:sz w:val="24"/>
          <w:szCs w:val="32"/>
        </w:rPr>
      </w:pPr>
      <w:r>
        <w:rPr>
          <w:rFonts w:hint="eastAsia"/>
          <w:sz w:val="24"/>
          <w:szCs w:val="32"/>
        </w:rPr>
        <w:t>市、县级文物行政主管部门根据南雄市地下文物埋藏区线索，经组织勘探核实后，划定地下文物埋藏区，报广东省人民政府核定公布。</w:t>
      </w:r>
    </w:p>
    <w:bookmarkEnd w:id="158"/>
    <w:p>
      <w:pPr>
        <w:pStyle w:val="49"/>
        <w:numPr>
          <w:ilvl w:val="0"/>
          <w:numId w:val="50"/>
        </w:numPr>
        <w:ind w:left="0" w:firstLine="480"/>
        <w:rPr>
          <w:sz w:val="24"/>
          <w:szCs w:val="32"/>
        </w:rPr>
      </w:pPr>
      <w:r>
        <w:rPr>
          <w:rFonts w:hint="eastAsia"/>
          <w:sz w:val="24"/>
          <w:szCs w:val="32"/>
        </w:rPr>
        <w:t>在可能存在地下文物的区域，县级以上地方人民政府进行土地出让或者划拨前，应当由省、自治区、直辖市人民政府文物行政部门组织从事考古发掘的单位进行考古调查、勘探。可能存在地下文物的区域，由省、自治区、直辖市人民政府文物行政部门及时划定并动态调整。</w:t>
      </w:r>
    </w:p>
    <w:p>
      <w:pPr>
        <w:ind w:firstLine="480"/>
        <w:rPr>
          <w:sz w:val="24"/>
          <w:szCs w:val="32"/>
        </w:rPr>
      </w:pPr>
      <w:r>
        <w:rPr>
          <w:rFonts w:hint="eastAsia"/>
          <w:sz w:val="24"/>
          <w:szCs w:val="32"/>
        </w:rPr>
        <w:t>进行大型基本建设工程，或者在文物保护单位的保护范围、建设控制地带内进行建设工程，未依照前款规定进行考古调查、勘探的，建设单位应当事先报请省、自治区、直辖市人民政府文物行政部门组织从事考古发掘的单位在工程范围内有可能埋藏文物的地方进行考古调查、勘探。</w:t>
      </w:r>
    </w:p>
    <w:p>
      <w:pPr>
        <w:ind w:firstLine="480"/>
        <w:rPr>
          <w:sz w:val="24"/>
          <w:szCs w:val="32"/>
        </w:rPr>
      </w:pPr>
      <w:r>
        <w:rPr>
          <w:rFonts w:hint="eastAsia"/>
          <w:sz w:val="24"/>
          <w:szCs w:val="32"/>
        </w:rPr>
        <w:t>考古调查、勘探中发现文物的，由省、自治区、直辖市人民政府文物行政部门根据文物保护的要求与建设单位共同商定保护措施；遇有重要发现的，由省、自治区、直辖市人民政府文物行政部门及时报国务院文物行政部门处理。由此导致停工或者工期延长，造成建设单位损失的，由县级以上地方人民政府文物行政部门会同有关部门听取建设单位意见后，提出处理意见，报本级人民政府批准。</w:t>
      </w:r>
    </w:p>
    <w:p>
      <w:pPr>
        <w:pStyle w:val="3"/>
        <w:numPr>
          <w:ilvl w:val="0"/>
          <w:numId w:val="45"/>
        </w:numPr>
        <w:spacing w:before="0" w:after="0"/>
        <w:jc w:val="center"/>
        <w:rPr>
          <w:rFonts w:ascii="宋体" w:hAnsi="宋体" w:eastAsia="宋体"/>
          <w:sz w:val="28"/>
          <w:szCs w:val="28"/>
        </w:rPr>
      </w:pPr>
      <w:bookmarkStart w:id="159" w:name="_Toc204964371"/>
      <w:r>
        <w:rPr>
          <w:rFonts w:hint="eastAsia" w:ascii="宋体" w:hAnsi="宋体" w:eastAsia="宋体"/>
          <w:sz w:val="28"/>
          <w:szCs w:val="28"/>
        </w:rPr>
        <w:t>历史环境要素</w:t>
      </w:r>
      <w:r>
        <w:rPr>
          <w:rFonts w:ascii="宋体" w:hAnsi="宋体" w:eastAsia="宋体"/>
          <w:sz w:val="28"/>
          <w:szCs w:val="28"/>
        </w:rPr>
        <w:t>的保护</w:t>
      </w:r>
      <w:bookmarkEnd w:id="159"/>
    </w:p>
    <w:p>
      <w:pPr>
        <w:pStyle w:val="4"/>
        <w:numPr>
          <w:ilvl w:val="0"/>
          <w:numId w:val="2"/>
        </w:numPr>
        <w:spacing w:before="312" w:beforeLines="100" w:after="0" w:line="415" w:lineRule="auto"/>
        <w:jc w:val="both"/>
        <w:rPr>
          <w:sz w:val="24"/>
          <w:szCs w:val="24"/>
        </w:rPr>
      </w:pPr>
      <w:bookmarkStart w:id="160" w:name="_Toc77610819"/>
      <w:r>
        <w:rPr>
          <w:rFonts w:hint="eastAsia"/>
          <w:sz w:val="24"/>
          <w:szCs w:val="24"/>
        </w:rPr>
        <w:t>古树</w:t>
      </w:r>
      <w:r>
        <w:rPr>
          <w:sz w:val="24"/>
          <w:szCs w:val="24"/>
        </w:rPr>
        <w:t>名木的保护</w:t>
      </w:r>
    </w:p>
    <w:p>
      <w:pPr>
        <w:ind w:firstLine="482"/>
        <w:rPr>
          <w:rFonts w:cs="宋体"/>
          <w:b/>
          <w:bCs/>
          <w:sz w:val="24"/>
          <w:szCs w:val="20"/>
        </w:rPr>
      </w:pPr>
      <w:r>
        <w:rPr>
          <w:rFonts w:hint="eastAsia" w:cs="宋体"/>
          <w:b/>
          <w:bCs/>
          <w:sz w:val="24"/>
          <w:szCs w:val="20"/>
        </w:rPr>
        <w:t>（一）保护</w:t>
      </w:r>
      <w:r>
        <w:rPr>
          <w:rFonts w:cs="宋体"/>
          <w:b/>
          <w:bCs/>
          <w:sz w:val="24"/>
          <w:szCs w:val="20"/>
        </w:rPr>
        <w:t>名录</w:t>
      </w:r>
    </w:p>
    <w:p>
      <w:pPr>
        <w:ind w:firstLine="480"/>
        <w:rPr>
          <w:rFonts w:cs="宋体"/>
          <w:sz w:val="24"/>
          <w:szCs w:val="20"/>
          <w:u w:val="single"/>
        </w:rPr>
      </w:pPr>
      <w:bookmarkStart w:id="161" w:name="_Hlk135995904"/>
      <w:r>
        <w:rPr>
          <w:rFonts w:hint="eastAsia" w:cs="宋体"/>
          <w:sz w:val="24"/>
          <w:szCs w:val="20"/>
          <w:u w:val="single"/>
        </w:rPr>
        <w:t>保护南雄市域范围内2114株古树名木，其中一级古树8</w:t>
      </w:r>
      <w:r>
        <w:rPr>
          <w:rFonts w:cs="宋体"/>
          <w:sz w:val="24"/>
          <w:szCs w:val="20"/>
          <w:u w:val="single"/>
        </w:rPr>
        <w:t>9</w:t>
      </w:r>
      <w:r>
        <w:rPr>
          <w:rFonts w:hint="eastAsia" w:cs="宋体"/>
          <w:sz w:val="24"/>
          <w:szCs w:val="20"/>
          <w:u w:val="single"/>
        </w:rPr>
        <w:t>株，二级古树3</w:t>
      </w:r>
      <w:r>
        <w:rPr>
          <w:rFonts w:cs="宋体"/>
          <w:sz w:val="24"/>
          <w:szCs w:val="20"/>
          <w:u w:val="single"/>
        </w:rPr>
        <w:t>68</w:t>
      </w:r>
      <w:r>
        <w:rPr>
          <w:rFonts w:hint="eastAsia" w:cs="宋体"/>
          <w:sz w:val="24"/>
          <w:szCs w:val="20"/>
          <w:u w:val="single"/>
        </w:rPr>
        <w:t>株，三级古树1</w:t>
      </w:r>
      <w:r>
        <w:rPr>
          <w:rFonts w:cs="宋体"/>
          <w:sz w:val="24"/>
          <w:szCs w:val="20"/>
          <w:u w:val="single"/>
        </w:rPr>
        <w:t>657</w:t>
      </w:r>
      <w:r>
        <w:rPr>
          <w:rFonts w:hint="eastAsia" w:cs="宋体"/>
          <w:sz w:val="24"/>
          <w:szCs w:val="20"/>
          <w:u w:val="single"/>
        </w:rPr>
        <w:t>株（详见附表12）</w:t>
      </w:r>
      <w:r>
        <w:rPr>
          <w:rFonts w:cs="宋体"/>
          <w:sz w:val="24"/>
          <w:szCs w:val="20"/>
          <w:u w:val="single"/>
        </w:rPr>
        <w:t>。</w:t>
      </w:r>
    </w:p>
    <w:bookmarkEnd w:id="161"/>
    <w:p>
      <w:pPr>
        <w:ind w:firstLine="482"/>
        <w:rPr>
          <w:rFonts w:cs="宋体"/>
          <w:b/>
          <w:bCs/>
          <w:sz w:val="24"/>
          <w:szCs w:val="20"/>
        </w:rPr>
      </w:pPr>
      <w:r>
        <w:rPr>
          <w:rFonts w:hint="eastAsia" w:cs="宋体"/>
          <w:b/>
          <w:bCs/>
          <w:sz w:val="24"/>
          <w:szCs w:val="20"/>
        </w:rPr>
        <w:t>（二）保护</w:t>
      </w:r>
      <w:r>
        <w:rPr>
          <w:rFonts w:cs="宋体"/>
          <w:b/>
          <w:bCs/>
          <w:sz w:val="24"/>
          <w:szCs w:val="20"/>
        </w:rPr>
        <w:t>要求</w:t>
      </w:r>
    </w:p>
    <w:p>
      <w:pPr>
        <w:ind w:firstLine="480"/>
        <w:rPr>
          <w:sz w:val="24"/>
          <w:szCs w:val="28"/>
        </w:rPr>
      </w:pPr>
      <w:bookmarkStart w:id="162" w:name="_Hlk99377514"/>
      <w:r>
        <w:rPr>
          <w:rFonts w:hint="eastAsia"/>
          <w:sz w:val="24"/>
          <w:szCs w:val="28"/>
          <w:u w:val="single"/>
        </w:rPr>
        <w:t>古树名木树冠垂直投影及边缘外5米范围内为古树名木保护范围</w:t>
      </w:r>
      <w:r>
        <w:rPr>
          <w:rFonts w:hint="eastAsia"/>
          <w:sz w:val="24"/>
          <w:szCs w:val="28"/>
        </w:rPr>
        <w:t>，南雄市古树名木主管部门应当对古树设置保护标志，并结合实际情况建设围栏、棚架、防雷等保护设施。</w:t>
      </w:r>
    </w:p>
    <w:p>
      <w:pPr>
        <w:ind w:firstLine="480"/>
        <w:rPr>
          <w:rFonts w:cs="宋体"/>
          <w:sz w:val="24"/>
          <w:szCs w:val="20"/>
        </w:rPr>
      </w:pPr>
      <w:r>
        <w:rPr>
          <w:rFonts w:hint="eastAsia" w:cs="宋体"/>
          <w:sz w:val="24"/>
          <w:szCs w:val="20"/>
        </w:rPr>
        <w:t>严禁以下损害古树名木及其生长环境的行为：砍伐、擅自迁移古树名木；借用树干做支撑物，在树上悬挂或者缠绕捆绑影响古树名木正常生长的其他物品；刻划、敲钉、攀爬、折枝、剥损树皮、掘根；擅自修剪枝干、采摘花果叶；向古树名木灌注有毒有害物质；在古树名木保护范围内修建建筑物或者构筑物、挖坑取土、淹渍或者封死地面、排放烟气、倾倒有害污水或者垃圾等破坏古树名木生长环境的行为；其他法律法规禁止实施的其他行为。</w:t>
      </w:r>
    </w:p>
    <w:p>
      <w:pPr>
        <w:ind w:firstLine="480"/>
        <w:rPr>
          <w:rFonts w:cs="宋体"/>
          <w:sz w:val="24"/>
          <w:szCs w:val="20"/>
        </w:rPr>
      </w:pPr>
      <w:r>
        <w:rPr>
          <w:rFonts w:hint="eastAsia" w:cs="宋体"/>
          <w:sz w:val="24"/>
          <w:szCs w:val="20"/>
        </w:rPr>
        <w:t>因特殊需要，无法避让或者无法有效保护古树名木，或者古树名木的生长状况对公众生命、财产安全可能造成重大危害，且采取防护措施后仍无法消除安全隐患的，由广东省人民政府林业主管部门审核后，报广东省人民政府批准迁移。</w:t>
      </w:r>
    </w:p>
    <w:p>
      <w:pPr>
        <w:ind w:firstLine="480"/>
        <w:rPr>
          <w:rFonts w:cs="宋体"/>
          <w:sz w:val="24"/>
          <w:szCs w:val="20"/>
        </w:rPr>
      </w:pPr>
      <w:r>
        <w:rPr>
          <w:rFonts w:hint="eastAsia" w:cs="宋体"/>
          <w:sz w:val="24"/>
          <w:szCs w:val="20"/>
        </w:rPr>
        <w:t>在古树名木保护范围内进行建设工程施工，或者在古树名木保护范围外进行建设工程施工影响古树名木正常生长的，建设单位应当采取避让措施；符合国家规定的项目确需施工，无法避让的，应当在施工前制定保护方案。相关部门在核发建设项目选址意见书之前，应当征求南雄市古树名木主管部门的意见。</w:t>
      </w:r>
    </w:p>
    <w:bookmarkEnd w:id="162"/>
    <w:p>
      <w:pPr>
        <w:pStyle w:val="4"/>
        <w:numPr>
          <w:ilvl w:val="0"/>
          <w:numId w:val="2"/>
        </w:numPr>
        <w:spacing w:before="312" w:beforeLines="100" w:after="0" w:line="415" w:lineRule="auto"/>
        <w:jc w:val="both"/>
        <w:rPr>
          <w:sz w:val="24"/>
          <w:szCs w:val="24"/>
        </w:rPr>
      </w:pPr>
      <w:r>
        <w:rPr>
          <w:rFonts w:hint="eastAsia"/>
          <w:sz w:val="24"/>
          <w:szCs w:val="24"/>
        </w:rPr>
        <w:t>古井</w:t>
      </w:r>
      <w:r>
        <w:rPr>
          <w:sz w:val="24"/>
          <w:szCs w:val="24"/>
        </w:rPr>
        <w:t>的保护</w:t>
      </w:r>
    </w:p>
    <w:p>
      <w:pPr>
        <w:ind w:firstLine="482"/>
        <w:rPr>
          <w:rFonts w:cs="宋体"/>
          <w:b/>
          <w:bCs/>
          <w:sz w:val="24"/>
          <w:szCs w:val="20"/>
        </w:rPr>
      </w:pPr>
      <w:r>
        <w:rPr>
          <w:rFonts w:hint="eastAsia" w:cs="宋体"/>
          <w:b/>
          <w:bCs/>
          <w:sz w:val="24"/>
          <w:szCs w:val="20"/>
        </w:rPr>
        <w:t>（一）保护</w:t>
      </w:r>
      <w:r>
        <w:rPr>
          <w:rFonts w:cs="宋体"/>
          <w:b/>
          <w:bCs/>
          <w:sz w:val="24"/>
          <w:szCs w:val="20"/>
        </w:rPr>
        <w:t>名录</w:t>
      </w:r>
    </w:p>
    <w:p>
      <w:pPr>
        <w:ind w:firstLine="480"/>
        <w:rPr>
          <w:rFonts w:cs="宋体"/>
          <w:sz w:val="24"/>
          <w:szCs w:val="20"/>
          <w:u w:val="single"/>
        </w:rPr>
      </w:pPr>
      <w:r>
        <w:rPr>
          <w:rFonts w:hint="eastAsia" w:cs="宋体"/>
          <w:sz w:val="24"/>
          <w:szCs w:val="20"/>
          <w:u w:val="single"/>
        </w:rPr>
        <w:t>保护南雄市未核定公布为文物保护单位的不可移动文物</w:t>
      </w:r>
      <w:r>
        <w:rPr>
          <w:rFonts w:cs="宋体"/>
          <w:sz w:val="24"/>
          <w:szCs w:val="20"/>
          <w:u w:val="single"/>
        </w:rPr>
        <w:t>古井52</w:t>
      </w:r>
      <w:r>
        <w:rPr>
          <w:rFonts w:hint="eastAsia" w:cs="宋体"/>
          <w:sz w:val="24"/>
          <w:szCs w:val="20"/>
          <w:u w:val="single"/>
        </w:rPr>
        <w:t>处（详见附表8）</w:t>
      </w:r>
      <w:r>
        <w:rPr>
          <w:rFonts w:cs="宋体"/>
          <w:sz w:val="24"/>
          <w:szCs w:val="20"/>
          <w:u w:val="single"/>
        </w:rPr>
        <w:t>。</w:t>
      </w:r>
    </w:p>
    <w:p>
      <w:pPr>
        <w:ind w:firstLine="482"/>
        <w:rPr>
          <w:rFonts w:cs="宋体"/>
          <w:b/>
          <w:bCs/>
          <w:sz w:val="24"/>
          <w:szCs w:val="20"/>
        </w:rPr>
        <w:sectPr>
          <w:pgSz w:w="11907" w:h="16839"/>
          <w:pgMar w:top="1440" w:right="1080" w:bottom="1440" w:left="1080" w:header="851" w:footer="737" w:gutter="0"/>
          <w:cols w:space="425" w:num="1"/>
          <w:docGrid w:type="lines" w:linePitch="312" w:charSpace="0"/>
        </w:sectPr>
      </w:pPr>
    </w:p>
    <w:p>
      <w:pPr>
        <w:ind w:firstLine="482"/>
        <w:rPr>
          <w:rFonts w:cs="宋体"/>
          <w:b/>
          <w:bCs/>
          <w:sz w:val="24"/>
          <w:szCs w:val="20"/>
        </w:rPr>
      </w:pPr>
      <w:r>
        <w:rPr>
          <w:rFonts w:hint="eastAsia" w:cs="宋体"/>
          <w:b/>
          <w:bCs/>
          <w:sz w:val="24"/>
          <w:szCs w:val="20"/>
        </w:rPr>
        <w:t>（二）保护要求</w:t>
      </w:r>
    </w:p>
    <w:p>
      <w:pPr>
        <w:ind w:firstLine="480"/>
        <w:rPr>
          <w:rFonts w:cs="宋体"/>
          <w:sz w:val="24"/>
          <w:szCs w:val="20"/>
          <w:u w:val="single"/>
        </w:rPr>
      </w:pPr>
      <w:r>
        <w:rPr>
          <w:rFonts w:hint="eastAsia" w:cs="宋体"/>
          <w:sz w:val="24"/>
          <w:szCs w:val="20"/>
          <w:u w:val="single"/>
        </w:rPr>
        <w:t>严格保护古井不被破坏，水质不受污染，并对其周边环境进行整治，保护整体生态环境与地下水资源，定期检测古井井水的水位与水质</w:t>
      </w:r>
      <w:r>
        <w:rPr>
          <w:rFonts w:cs="宋体"/>
          <w:sz w:val="24"/>
          <w:szCs w:val="20"/>
          <w:u w:val="single"/>
        </w:rPr>
        <w:t>。</w:t>
      </w:r>
    </w:p>
    <w:p>
      <w:pPr>
        <w:pStyle w:val="4"/>
        <w:numPr>
          <w:ilvl w:val="0"/>
          <w:numId w:val="2"/>
        </w:numPr>
        <w:spacing w:before="312" w:beforeLines="100" w:after="0" w:line="415" w:lineRule="auto"/>
        <w:jc w:val="both"/>
        <w:rPr>
          <w:sz w:val="24"/>
          <w:szCs w:val="24"/>
        </w:rPr>
      </w:pPr>
      <w:r>
        <w:rPr>
          <w:rFonts w:hint="eastAsia"/>
          <w:sz w:val="24"/>
          <w:szCs w:val="24"/>
        </w:rPr>
        <w:t>其他历史</w:t>
      </w:r>
      <w:r>
        <w:rPr>
          <w:sz w:val="24"/>
          <w:szCs w:val="24"/>
        </w:rPr>
        <w:t>环境要素的保护</w:t>
      </w:r>
    </w:p>
    <w:p>
      <w:pPr>
        <w:ind w:firstLine="480"/>
        <w:rPr>
          <w:rFonts w:cs="宋体"/>
          <w:sz w:val="24"/>
          <w:szCs w:val="20"/>
        </w:rPr>
      </w:pPr>
      <w:r>
        <w:rPr>
          <w:rFonts w:hint="eastAsia" w:cs="宋体"/>
          <w:sz w:val="24"/>
          <w:szCs w:val="20"/>
        </w:rPr>
        <w:t>依照相关法律法规要求，加强对南雄市域范围内其他历史环境要素的保护，如码头、铺地、石阶等。</w:t>
      </w:r>
    </w:p>
    <w:bookmarkEnd w:id="160"/>
    <w:p>
      <w:pPr>
        <w:pStyle w:val="2"/>
        <w:ind w:left="0"/>
      </w:pPr>
      <w:bookmarkStart w:id="163" w:name="_Toc204964372"/>
      <w:r>
        <w:rPr>
          <w:rFonts w:hint="eastAsia"/>
        </w:rPr>
        <w:t>非物质文化遗产的保护</w:t>
      </w:r>
      <w:bookmarkEnd w:id="152"/>
      <w:bookmarkEnd w:id="153"/>
      <w:bookmarkEnd w:id="163"/>
    </w:p>
    <w:p>
      <w:pPr>
        <w:pStyle w:val="4"/>
        <w:numPr>
          <w:ilvl w:val="0"/>
          <w:numId w:val="2"/>
        </w:numPr>
        <w:spacing w:before="312" w:beforeLines="100" w:after="0" w:line="415" w:lineRule="auto"/>
        <w:jc w:val="both"/>
        <w:rPr>
          <w:sz w:val="24"/>
          <w:szCs w:val="24"/>
        </w:rPr>
      </w:pPr>
      <w:bookmarkStart w:id="164" w:name="_Toc135989713"/>
      <w:bookmarkStart w:id="165" w:name="OLE_LINK2"/>
      <w:bookmarkStart w:id="166" w:name="_Toc77610839"/>
      <w:r>
        <w:rPr>
          <w:rFonts w:hint="eastAsia"/>
          <w:sz w:val="24"/>
          <w:szCs w:val="24"/>
        </w:rPr>
        <w:t>保护</w:t>
      </w:r>
      <w:r>
        <w:rPr>
          <w:sz w:val="24"/>
          <w:szCs w:val="24"/>
        </w:rPr>
        <w:t>内容</w:t>
      </w:r>
      <w:bookmarkEnd w:id="164"/>
    </w:p>
    <w:p>
      <w:pPr>
        <w:ind w:firstLine="480"/>
        <w:rPr>
          <w:sz w:val="24"/>
          <w:szCs w:val="24"/>
        </w:rPr>
      </w:pPr>
      <w:bookmarkStart w:id="167" w:name="_Toc135989714"/>
      <w:r>
        <w:rPr>
          <w:rFonts w:hint="eastAsia"/>
          <w:sz w:val="24"/>
          <w:szCs w:val="24"/>
        </w:rPr>
        <w:t>重点保护龙舞（香火龙）和珠玑巷人南迁传说两项国家级非物质文化遗产，以及茶花灯、南雄板鸭制作技艺和龙船歌三项省级非物质文化遗产；继承和延续特色音乐、舞蹈、工艺、礼俗、节庆和体育等传统文化精华；弘扬以毛泽东、陈毅等为代表的突显南雄近代军事原点地位和特色形象塑造的历史名人文化及其事迹；保护和延续见证南雄古、近代商业兴起和繁荣史、多元文化交融的千年古街——珠玑古巷的姓氏文化；保护集中体现南雄优秀商业文化的老字号；保护和延续反映南雄历史变迁沉淀的地名文化；融合发展广府文化、客家文化的交流碰撞；弘扬丰富有特色、具有较高兼容性与亲合性的民俗文化。</w:t>
      </w:r>
    </w:p>
    <w:p>
      <w:pPr>
        <w:pStyle w:val="4"/>
        <w:numPr>
          <w:ilvl w:val="0"/>
          <w:numId w:val="2"/>
        </w:numPr>
        <w:spacing w:before="312" w:beforeLines="100" w:after="0" w:line="415" w:lineRule="auto"/>
        <w:jc w:val="both"/>
        <w:rPr>
          <w:sz w:val="24"/>
          <w:szCs w:val="24"/>
        </w:rPr>
      </w:pPr>
      <w:r>
        <w:rPr>
          <w:rFonts w:hint="eastAsia"/>
          <w:sz w:val="24"/>
          <w:szCs w:val="24"/>
        </w:rPr>
        <w:t>保护</w:t>
      </w:r>
      <w:bookmarkEnd w:id="165"/>
      <w:bookmarkEnd w:id="166"/>
      <w:r>
        <w:rPr>
          <w:rFonts w:hint="eastAsia"/>
          <w:sz w:val="24"/>
          <w:szCs w:val="24"/>
        </w:rPr>
        <w:t>名录</w:t>
      </w:r>
      <w:bookmarkEnd w:id="167"/>
    </w:p>
    <w:p>
      <w:pPr>
        <w:ind w:firstLine="480"/>
        <w:rPr>
          <w:sz w:val="24"/>
          <w:szCs w:val="24"/>
          <w:u w:val="single"/>
        </w:rPr>
      </w:pPr>
      <w:r>
        <w:rPr>
          <w:rFonts w:hint="eastAsia"/>
          <w:sz w:val="24"/>
          <w:szCs w:val="24"/>
          <w:u w:val="single"/>
        </w:rPr>
        <w:t>保护南雄市</w:t>
      </w:r>
      <w:r>
        <w:rPr>
          <w:sz w:val="24"/>
          <w:szCs w:val="24"/>
          <w:u w:val="single"/>
        </w:rPr>
        <w:t>66</w:t>
      </w:r>
      <w:r>
        <w:rPr>
          <w:rFonts w:hint="eastAsia"/>
          <w:sz w:val="24"/>
          <w:szCs w:val="24"/>
          <w:u w:val="single"/>
        </w:rPr>
        <w:t>项非物质文化遗产，其中2项国家级非物质文化遗产、</w:t>
      </w:r>
      <w:r>
        <w:rPr>
          <w:sz w:val="24"/>
          <w:szCs w:val="24"/>
          <w:u w:val="single"/>
        </w:rPr>
        <w:t>3</w:t>
      </w:r>
      <w:r>
        <w:rPr>
          <w:rFonts w:hint="eastAsia"/>
          <w:sz w:val="24"/>
          <w:szCs w:val="24"/>
          <w:u w:val="single"/>
        </w:rPr>
        <w:t>项</w:t>
      </w:r>
      <w:r>
        <w:rPr>
          <w:sz w:val="24"/>
          <w:szCs w:val="24"/>
          <w:u w:val="single"/>
        </w:rPr>
        <w:t>省级非物质文化遗产</w:t>
      </w:r>
      <w:r>
        <w:rPr>
          <w:rFonts w:hint="eastAsia"/>
          <w:sz w:val="24"/>
          <w:szCs w:val="24"/>
          <w:u w:val="single"/>
        </w:rPr>
        <w:t>、</w:t>
      </w:r>
      <w:r>
        <w:rPr>
          <w:sz w:val="24"/>
          <w:szCs w:val="24"/>
          <w:u w:val="single"/>
        </w:rPr>
        <w:t>12</w:t>
      </w:r>
      <w:r>
        <w:rPr>
          <w:rFonts w:hint="eastAsia"/>
          <w:sz w:val="24"/>
          <w:szCs w:val="24"/>
          <w:u w:val="single"/>
        </w:rPr>
        <w:t>项</w:t>
      </w:r>
      <w:r>
        <w:rPr>
          <w:sz w:val="24"/>
          <w:szCs w:val="24"/>
          <w:u w:val="single"/>
        </w:rPr>
        <w:t>市级非物质文化遗产</w:t>
      </w:r>
      <w:r>
        <w:rPr>
          <w:rFonts w:hint="eastAsia"/>
          <w:sz w:val="24"/>
          <w:szCs w:val="24"/>
          <w:u w:val="single"/>
        </w:rPr>
        <w:t>和</w:t>
      </w:r>
      <w:r>
        <w:rPr>
          <w:sz w:val="24"/>
          <w:szCs w:val="24"/>
          <w:u w:val="single"/>
        </w:rPr>
        <w:t>49</w:t>
      </w:r>
      <w:r>
        <w:rPr>
          <w:rFonts w:hint="eastAsia"/>
          <w:sz w:val="24"/>
          <w:szCs w:val="24"/>
          <w:u w:val="single"/>
        </w:rPr>
        <w:t>项县级非物质文化遗产（详见附表13）。</w:t>
      </w:r>
    </w:p>
    <w:p>
      <w:pPr>
        <w:pStyle w:val="4"/>
        <w:numPr>
          <w:ilvl w:val="0"/>
          <w:numId w:val="2"/>
        </w:numPr>
        <w:spacing w:before="312" w:beforeLines="100" w:after="0" w:line="415" w:lineRule="auto"/>
        <w:jc w:val="both"/>
        <w:rPr>
          <w:sz w:val="24"/>
          <w:szCs w:val="24"/>
        </w:rPr>
      </w:pPr>
      <w:bookmarkStart w:id="168" w:name="_Toc135989715"/>
      <w:r>
        <w:rPr>
          <w:rFonts w:hint="eastAsia"/>
          <w:sz w:val="24"/>
          <w:szCs w:val="24"/>
        </w:rPr>
        <w:t>保护</w:t>
      </w:r>
      <w:r>
        <w:rPr>
          <w:sz w:val="24"/>
          <w:szCs w:val="24"/>
        </w:rPr>
        <w:t>措施</w:t>
      </w:r>
      <w:bookmarkEnd w:id="168"/>
    </w:p>
    <w:p>
      <w:pPr>
        <w:pStyle w:val="49"/>
        <w:numPr>
          <w:ilvl w:val="0"/>
          <w:numId w:val="51"/>
        </w:numPr>
        <w:ind w:left="0" w:firstLine="480"/>
        <w:rPr>
          <w:sz w:val="24"/>
          <w:szCs w:val="32"/>
        </w:rPr>
      </w:pPr>
      <w:r>
        <w:rPr>
          <w:sz w:val="24"/>
          <w:szCs w:val="32"/>
        </w:rPr>
        <w:t>依据《中华人民共和国非物质文化遗产法》《广东省非物质文化遗产保护条例》等法规</w:t>
      </w:r>
      <w:r>
        <w:rPr>
          <w:rFonts w:hint="eastAsia"/>
          <w:sz w:val="24"/>
          <w:szCs w:val="32"/>
        </w:rPr>
        <w:t>加强对非物质文化遗产的保护，加强管理和实施力度，切实保护非物质遗产的生存和发展。</w:t>
      </w:r>
    </w:p>
    <w:p>
      <w:pPr>
        <w:pStyle w:val="49"/>
        <w:numPr>
          <w:ilvl w:val="0"/>
          <w:numId w:val="51"/>
        </w:numPr>
        <w:ind w:left="0" w:firstLine="480"/>
        <w:rPr>
          <w:sz w:val="24"/>
          <w:szCs w:val="32"/>
        </w:rPr>
      </w:pPr>
      <w:r>
        <w:rPr>
          <w:sz w:val="24"/>
          <w:szCs w:val="32"/>
        </w:rPr>
        <w:t>深入调查与研究</w:t>
      </w:r>
      <w:r>
        <w:rPr>
          <w:rFonts w:hint="eastAsia"/>
          <w:sz w:val="24"/>
          <w:szCs w:val="32"/>
        </w:rPr>
        <w:t>南雄市</w:t>
      </w:r>
      <w:r>
        <w:rPr>
          <w:sz w:val="24"/>
          <w:szCs w:val="32"/>
        </w:rPr>
        <w:t>非物质文化遗产资源，鼓励组织编制非物质文化遗产资源保护与利用相关专题研究。</w:t>
      </w:r>
    </w:p>
    <w:p>
      <w:pPr>
        <w:pStyle w:val="49"/>
        <w:numPr>
          <w:ilvl w:val="0"/>
          <w:numId w:val="51"/>
        </w:numPr>
        <w:ind w:left="0" w:firstLine="480"/>
        <w:rPr>
          <w:sz w:val="24"/>
          <w:szCs w:val="32"/>
        </w:rPr>
      </w:pPr>
      <w:r>
        <w:rPr>
          <w:sz w:val="24"/>
          <w:szCs w:val="32"/>
        </w:rPr>
        <w:t>建立非物质文化遗产传承机制，创造良好的传承条件，使其传承方式和传授手段得到切实的保护；制定非物质文化遗产传承激励政策，明确非物质文化遗产传承人的权利与义务</w:t>
      </w:r>
      <w:r>
        <w:rPr>
          <w:rFonts w:hint="eastAsia"/>
          <w:sz w:val="24"/>
          <w:szCs w:val="32"/>
        </w:rPr>
        <w:t>。</w:t>
      </w:r>
    </w:p>
    <w:p>
      <w:pPr>
        <w:pStyle w:val="49"/>
        <w:numPr>
          <w:ilvl w:val="0"/>
          <w:numId w:val="51"/>
        </w:numPr>
        <w:ind w:left="0" w:firstLine="480"/>
        <w:rPr>
          <w:sz w:val="24"/>
          <w:szCs w:val="32"/>
        </w:rPr>
      </w:pPr>
      <w:r>
        <w:rPr>
          <w:rFonts w:hint="eastAsia"/>
          <w:sz w:val="24"/>
          <w:szCs w:val="32"/>
        </w:rPr>
        <w:t>重点</w:t>
      </w:r>
      <w:r>
        <w:rPr>
          <w:sz w:val="24"/>
          <w:szCs w:val="32"/>
        </w:rPr>
        <w:t>突出对国家级非遗项目</w:t>
      </w:r>
      <w:r>
        <w:rPr>
          <w:rFonts w:hint="eastAsia"/>
          <w:sz w:val="24"/>
          <w:szCs w:val="32"/>
        </w:rPr>
        <w:t>龙舞（香火龙）、</w:t>
      </w:r>
      <w:r>
        <w:rPr>
          <w:sz w:val="24"/>
          <w:szCs w:val="32"/>
        </w:rPr>
        <w:t>珠玑巷人南迁传说的宣传和传承力度，培养传承人群。鼓励和支持公民、法人和其他组织参与非遗保护工作；建立完善的教育制度，为传承手工艺、民间技艺和表演艺术培养后备人才</w:t>
      </w:r>
      <w:r>
        <w:rPr>
          <w:rFonts w:hint="eastAsia"/>
          <w:sz w:val="24"/>
          <w:szCs w:val="32"/>
        </w:rPr>
        <w:t>。</w:t>
      </w:r>
    </w:p>
    <w:p>
      <w:pPr>
        <w:pStyle w:val="49"/>
        <w:numPr>
          <w:ilvl w:val="0"/>
          <w:numId w:val="51"/>
        </w:numPr>
        <w:ind w:left="0" w:firstLine="480"/>
        <w:rPr>
          <w:sz w:val="24"/>
          <w:szCs w:val="32"/>
        </w:rPr>
      </w:pPr>
      <w:r>
        <w:rPr>
          <w:rFonts w:hint="eastAsia"/>
          <w:sz w:val="24"/>
          <w:szCs w:val="32"/>
        </w:rPr>
        <w:t>鼓励合理利用非物质文化遗产资源进行文艺创作和文创设计，提高品质和文化内涵。</w:t>
      </w:r>
      <w:r>
        <w:rPr>
          <w:sz w:val="24"/>
          <w:szCs w:val="32"/>
        </w:rPr>
        <w:t>将</w:t>
      </w:r>
      <w:r>
        <w:rPr>
          <w:rFonts w:hint="eastAsia"/>
          <w:sz w:val="24"/>
          <w:szCs w:val="32"/>
        </w:rPr>
        <w:t>重点</w:t>
      </w:r>
      <w:r>
        <w:rPr>
          <w:sz w:val="24"/>
          <w:szCs w:val="32"/>
        </w:rPr>
        <w:t>保护的非物质文化遗产保护项目，与文物建筑、历史建筑的功能</w:t>
      </w:r>
      <w:r>
        <w:rPr>
          <w:rFonts w:hint="eastAsia"/>
          <w:sz w:val="24"/>
          <w:szCs w:val="32"/>
        </w:rPr>
        <w:t>相</w:t>
      </w:r>
      <w:r>
        <w:rPr>
          <w:sz w:val="24"/>
          <w:szCs w:val="32"/>
        </w:rPr>
        <w:t>结合利用，提供非遗文化展示空间。</w:t>
      </w:r>
    </w:p>
    <w:p>
      <w:pPr>
        <w:pStyle w:val="49"/>
        <w:numPr>
          <w:ilvl w:val="0"/>
          <w:numId w:val="51"/>
        </w:numPr>
        <w:ind w:left="0" w:firstLine="480"/>
        <w:rPr>
          <w:sz w:val="24"/>
          <w:szCs w:val="32"/>
        </w:rPr>
      </w:pPr>
      <w:r>
        <w:rPr>
          <w:sz w:val="24"/>
          <w:szCs w:val="32"/>
        </w:rPr>
        <w:t>保护与发展传统商业和手工业，大力扶持老字号，利用搬迁建筑空间，设置传统手工艺作坊，传统商业街巷内鼓励经营各类名优地方特产。</w:t>
      </w:r>
    </w:p>
    <w:p>
      <w:pPr>
        <w:pStyle w:val="49"/>
        <w:numPr>
          <w:ilvl w:val="0"/>
          <w:numId w:val="51"/>
        </w:numPr>
        <w:ind w:left="0" w:firstLine="480"/>
        <w:rPr>
          <w:sz w:val="24"/>
          <w:szCs w:val="32"/>
        </w:rPr>
      </w:pPr>
      <w:r>
        <w:rPr>
          <w:rFonts w:hint="eastAsia"/>
          <w:sz w:val="24"/>
          <w:szCs w:val="32"/>
        </w:rPr>
        <w:t>丰富传统节日、民俗活动的内容和形式，</w:t>
      </w:r>
      <w:r>
        <w:rPr>
          <w:sz w:val="24"/>
          <w:szCs w:val="32"/>
        </w:rPr>
        <w:t>建议在重要节庆时段内，组织相应的公共仪式活动，作为旅游参观内容</w:t>
      </w:r>
      <w:r>
        <w:rPr>
          <w:rFonts w:hint="eastAsia"/>
          <w:sz w:val="24"/>
          <w:szCs w:val="32"/>
        </w:rPr>
        <w:t>。</w:t>
      </w:r>
    </w:p>
    <w:p>
      <w:pPr>
        <w:pStyle w:val="49"/>
        <w:numPr>
          <w:ilvl w:val="0"/>
          <w:numId w:val="51"/>
        </w:numPr>
        <w:ind w:left="0" w:firstLine="480"/>
        <w:rPr>
          <w:sz w:val="24"/>
          <w:szCs w:val="32"/>
        </w:rPr>
      </w:pPr>
      <w:r>
        <w:rPr>
          <w:rFonts w:hint="eastAsia"/>
          <w:sz w:val="24"/>
          <w:szCs w:val="32"/>
        </w:rPr>
        <w:t>进一步开展非物质文化遗产的普查和申报建档工作，建立南雄非物质文化遗产资料库，与国家文化大数据体系规划标准参数兼容，借助现代化信息技术手段建立相关项目的文档、图片和实物资料的搜集与收藏，避免传统技艺、工艺、民俗活动失传。</w:t>
      </w:r>
    </w:p>
    <w:p>
      <w:pPr>
        <w:pStyle w:val="49"/>
        <w:numPr>
          <w:ilvl w:val="0"/>
          <w:numId w:val="51"/>
        </w:numPr>
        <w:ind w:left="0" w:firstLine="480"/>
        <w:rPr>
          <w:sz w:val="24"/>
          <w:szCs w:val="32"/>
        </w:rPr>
      </w:pPr>
      <w:r>
        <w:rPr>
          <w:rFonts w:hint="eastAsia"/>
          <w:sz w:val="24"/>
          <w:szCs w:val="32"/>
        </w:rPr>
        <w:t>相关部门组织人力、物力，抢救性发掘与南雄历史文脉的有关资料，包括实物资料、影像资料、文字资料，如村落的地理位置、人口数量、民风民俗、宗族家庭数量、街区、建筑形制与分布情况等。及时开展村志编修，充分重视村民的“恋土情结”和乡愁记忆，可以寻根溯源，传承历史文脉，抢救和保存优秀传统文化。</w:t>
      </w:r>
    </w:p>
    <w:p>
      <w:pPr>
        <w:pStyle w:val="49"/>
        <w:numPr>
          <w:ilvl w:val="0"/>
          <w:numId w:val="51"/>
        </w:numPr>
        <w:ind w:left="0" w:firstLine="480" w:firstLineChars="0"/>
        <w:rPr>
          <w:sz w:val="24"/>
          <w:szCs w:val="32"/>
        </w:rPr>
      </w:pPr>
      <w:r>
        <w:rPr>
          <w:rFonts w:hint="eastAsia"/>
          <w:sz w:val="24"/>
          <w:szCs w:val="32"/>
        </w:rPr>
        <w:t>多途径进行活化利用。构建多元展示格局，多渠道筹资建设非遗展演场馆与设施，扶持民间文艺团体；打造富有地方特色的文化旅游景区，并将非遗与旅游深度融合，系统性策划民俗活动；最终构建非遗产业运作体系，引导传统产业空间布局，增强可持续发展动力</w:t>
      </w:r>
    </w:p>
    <w:p>
      <w:pPr>
        <w:pStyle w:val="2"/>
        <w:ind w:left="0"/>
      </w:pPr>
      <w:bookmarkStart w:id="169" w:name="_Toc204964373"/>
      <w:r>
        <w:rPr>
          <w:rFonts w:hint="eastAsia"/>
        </w:rPr>
        <w:t>历史文化遗产的展示和利用</w:t>
      </w:r>
      <w:bookmarkEnd w:id="169"/>
    </w:p>
    <w:p>
      <w:pPr>
        <w:pStyle w:val="3"/>
        <w:numPr>
          <w:ilvl w:val="0"/>
          <w:numId w:val="52"/>
        </w:numPr>
        <w:spacing w:before="0" w:after="0"/>
        <w:jc w:val="center"/>
        <w:rPr>
          <w:rFonts w:ascii="宋体" w:hAnsi="宋体" w:eastAsia="宋体"/>
          <w:sz w:val="28"/>
          <w:szCs w:val="28"/>
        </w:rPr>
      </w:pPr>
      <w:bookmarkStart w:id="170" w:name="_Toc77610844"/>
      <w:bookmarkStart w:id="171" w:name="_Toc135989717"/>
      <w:bookmarkStart w:id="172" w:name="_Toc204964374"/>
      <w:r>
        <w:rPr>
          <w:rFonts w:hint="eastAsia" w:ascii="宋体" w:hAnsi="宋体" w:eastAsia="宋体"/>
          <w:sz w:val="28"/>
          <w:szCs w:val="28"/>
        </w:rPr>
        <w:t>展示与利用</w:t>
      </w:r>
      <w:bookmarkEnd w:id="170"/>
      <w:r>
        <w:rPr>
          <w:rFonts w:hint="eastAsia" w:ascii="宋体" w:hAnsi="宋体" w:eastAsia="宋体"/>
          <w:sz w:val="28"/>
          <w:szCs w:val="28"/>
        </w:rPr>
        <w:t>体系</w:t>
      </w:r>
      <w:bookmarkEnd w:id="171"/>
      <w:bookmarkEnd w:id="172"/>
    </w:p>
    <w:p>
      <w:pPr>
        <w:pStyle w:val="4"/>
        <w:numPr>
          <w:ilvl w:val="0"/>
          <w:numId w:val="2"/>
        </w:numPr>
        <w:spacing w:before="312" w:beforeLines="100" w:after="0" w:line="415" w:lineRule="auto"/>
        <w:jc w:val="both"/>
        <w:rPr>
          <w:sz w:val="24"/>
          <w:szCs w:val="24"/>
        </w:rPr>
      </w:pPr>
      <w:r>
        <w:rPr>
          <w:rFonts w:hint="eastAsia"/>
          <w:sz w:val="24"/>
          <w:szCs w:val="24"/>
        </w:rPr>
        <w:t>市域</w:t>
      </w:r>
      <w:r>
        <w:rPr>
          <w:sz w:val="24"/>
          <w:szCs w:val="24"/>
        </w:rPr>
        <w:t>历史文化遗产的展示</w:t>
      </w:r>
    </w:p>
    <w:p>
      <w:pPr>
        <w:ind w:firstLine="482"/>
        <w:rPr>
          <w:rFonts w:ascii="Times" w:hAnsi="Times" w:cs="宋体"/>
          <w:b/>
          <w:bCs/>
          <w:sz w:val="24"/>
          <w:szCs w:val="20"/>
        </w:rPr>
      </w:pPr>
      <w:r>
        <w:rPr>
          <w:rFonts w:hint="eastAsia" w:ascii="Times" w:hAnsi="Times" w:cs="宋体"/>
          <w:b/>
          <w:bCs/>
          <w:sz w:val="24"/>
          <w:szCs w:val="20"/>
        </w:rPr>
        <w:t>（一）展示内容</w:t>
      </w:r>
    </w:p>
    <w:p>
      <w:pPr>
        <w:ind w:firstLine="480"/>
        <w:rPr>
          <w:rFonts w:ascii="Times" w:hAnsi="Times" w:cs="宋体"/>
          <w:sz w:val="24"/>
          <w:szCs w:val="20"/>
        </w:rPr>
      </w:pPr>
      <w:r>
        <w:rPr>
          <w:rFonts w:hint="eastAsia" w:ascii="Times" w:hAnsi="Times" w:cs="宋体"/>
          <w:sz w:val="24"/>
          <w:szCs w:val="20"/>
        </w:rPr>
        <w:t>构建梅岭迁徙融合文化、驿道古村历史文化、南雄红层化石文化、千年银杏景观文化、浈江水道历史文化、近代革命红色文化市域六大历史文化展示与利用廊道。按照各类历史文化资源特色，形成以雄州古城、雄关梅岭、雄州星火、古村古道、千年银杏、红层化石、粤人故里、北山生态为主题的八大历史文化展示区。</w:t>
      </w:r>
    </w:p>
    <w:p>
      <w:pPr>
        <w:ind w:firstLine="482"/>
        <w:rPr>
          <w:rFonts w:ascii="Times" w:hAnsi="Times" w:cs="宋体"/>
          <w:b/>
          <w:bCs/>
          <w:sz w:val="24"/>
          <w:szCs w:val="20"/>
        </w:rPr>
      </w:pPr>
      <w:r>
        <w:rPr>
          <w:rFonts w:hint="eastAsia" w:ascii="Times" w:hAnsi="Times" w:cs="宋体"/>
          <w:b/>
          <w:bCs/>
          <w:sz w:val="24"/>
          <w:szCs w:val="20"/>
        </w:rPr>
        <w:t>（二）线路体系</w:t>
      </w:r>
    </w:p>
    <w:p>
      <w:pPr>
        <w:ind w:firstLine="480"/>
        <w:rPr>
          <w:rFonts w:cs="宋体"/>
          <w:sz w:val="24"/>
          <w:szCs w:val="20"/>
        </w:rPr>
      </w:pPr>
      <w:r>
        <w:rPr>
          <w:rFonts w:hint="eastAsia" w:cs="宋体"/>
          <w:sz w:val="24"/>
          <w:szCs w:val="20"/>
        </w:rPr>
        <w:t>利用古驿道文化线路串联城镇村精华历史文化遗产。</w:t>
      </w:r>
      <w:r>
        <w:rPr>
          <w:rFonts w:cs="宋体"/>
          <w:sz w:val="24"/>
          <w:szCs w:val="20"/>
        </w:rPr>
        <w:t>以梅关古道为主线，串联沿线多个古村镇、古墟市、古街以及居民聚落，形成展示古代商业交通、民系融合发展的线路。乌迳古道和主田——古市古道展示轴与浈江展示轴基本共线，形成水</w:t>
      </w:r>
      <w:r>
        <w:rPr>
          <w:rFonts w:hint="eastAsia" w:cs="宋体"/>
          <w:sz w:val="24"/>
          <w:szCs w:val="20"/>
        </w:rPr>
        <w:t>陆</w:t>
      </w:r>
      <w:r>
        <w:rPr>
          <w:rFonts w:cs="宋体"/>
          <w:sz w:val="24"/>
          <w:szCs w:val="20"/>
        </w:rPr>
        <w:t>皆宜的遗产廊道。水口——南亩和百顺这两条位于山区的古道，主要串联了南雄市域的自然保护区和银杏等特色文化景观</w:t>
      </w:r>
      <w:r>
        <w:rPr>
          <w:rFonts w:hint="eastAsia" w:cs="宋体"/>
          <w:sz w:val="24"/>
          <w:szCs w:val="20"/>
        </w:rPr>
        <w:t>。</w:t>
      </w:r>
    </w:p>
    <w:p>
      <w:pPr>
        <w:pStyle w:val="4"/>
        <w:numPr>
          <w:ilvl w:val="0"/>
          <w:numId w:val="2"/>
        </w:numPr>
        <w:spacing w:before="312" w:beforeLines="100" w:after="0" w:line="415" w:lineRule="auto"/>
        <w:jc w:val="both"/>
        <w:rPr>
          <w:sz w:val="24"/>
          <w:szCs w:val="24"/>
        </w:rPr>
      </w:pPr>
      <w:r>
        <w:rPr>
          <w:rFonts w:hint="eastAsia"/>
          <w:sz w:val="24"/>
          <w:szCs w:val="24"/>
        </w:rPr>
        <w:t>历史</w:t>
      </w:r>
      <w:r>
        <w:rPr>
          <w:sz w:val="24"/>
          <w:szCs w:val="24"/>
        </w:rPr>
        <w:t>城区文化遗产的展示</w:t>
      </w:r>
    </w:p>
    <w:p>
      <w:pPr>
        <w:ind w:firstLine="482"/>
        <w:rPr>
          <w:rFonts w:cs="宋体"/>
          <w:b/>
          <w:bCs/>
          <w:sz w:val="24"/>
          <w:szCs w:val="20"/>
        </w:rPr>
      </w:pPr>
      <w:r>
        <w:rPr>
          <w:rFonts w:hint="eastAsia" w:cs="宋体"/>
          <w:b/>
          <w:bCs/>
          <w:sz w:val="24"/>
          <w:szCs w:val="20"/>
        </w:rPr>
        <w:t>（一）展示内容</w:t>
      </w:r>
    </w:p>
    <w:p>
      <w:pPr>
        <w:ind w:firstLine="480"/>
        <w:rPr>
          <w:rFonts w:cs="宋体"/>
          <w:sz w:val="24"/>
          <w:szCs w:val="20"/>
        </w:rPr>
      </w:pPr>
      <w:bookmarkStart w:id="173" w:name="_Hlk171100505"/>
      <w:r>
        <w:rPr>
          <w:rFonts w:hint="eastAsia" w:cs="宋体"/>
          <w:sz w:val="24"/>
          <w:szCs w:val="20"/>
        </w:rPr>
        <w:t>历史城区格局的展示带：以滨水古城墙遗址为系带，展示反映南雄格局演变的城恒形制、城墙和滨江良好的空间关系。</w:t>
      </w:r>
    </w:p>
    <w:p>
      <w:pPr>
        <w:ind w:firstLine="480"/>
        <w:rPr>
          <w:rFonts w:cs="宋体"/>
          <w:sz w:val="24"/>
          <w:szCs w:val="20"/>
        </w:rPr>
      </w:pPr>
      <w:r>
        <w:rPr>
          <w:rFonts w:hint="eastAsia" w:cs="宋体"/>
          <w:sz w:val="24"/>
          <w:szCs w:val="20"/>
        </w:rPr>
        <w:t>城区历史景观的展示区：以古城历史文化遗存为载体，展示南雄历史城区“凌江秋月”“阴晴塔影”的历史景观。</w:t>
      </w:r>
    </w:p>
    <w:p>
      <w:pPr>
        <w:ind w:firstLine="480"/>
        <w:rPr>
          <w:rFonts w:cs="宋体"/>
          <w:sz w:val="24"/>
          <w:szCs w:val="20"/>
        </w:rPr>
      </w:pPr>
      <w:r>
        <w:rPr>
          <w:rFonts w:hint="eastAsia" w:cs="宋体"/>
          <w:sz w:val="24"/>
          <w:szCs w:val="20"/>
        </w:rPr>
        <w:t>近现代商贸文化展示区：将南雄丰富的优秀文化传统及非物质文化遗产，与历史地段的物质空间相结合，展示八一街传统民居的生活场景、商业氛围。</w:t>
      </w:r>
    </w:p>
    <w:bookmarkEnd w:id="173"/>
    <w:p>
      <w:pPr>
        <w:ind w:firstLine="482"/>
        <w:rPr>
          <w:rFonts w:cs="宋体"/>
          <w:b/>
          <w:bCs/>
          <w:sz w:val="24"/>
          <w:szCs w:val="20"/>
        </w:rPr>
      </w:pPr>
      <w:r>
        <w:rPr>
          <w:rFonts w:hint="eastAsia" w:cs="宋体"/>
          <w:b/>
          <w:bCs/>
          <w:sz w:val="24"/>
          <w:szCs w:val="20"/>
        </w:rPr>
        <w:t>（二）展示路线</w:t>
      </w:r>
    </w:p>
    <w:p>
      <w:pPr>
        <w:ind w:firstLine="480"/>
        <w:rPr>
          <w:rFonts w:cs="宋体"/>
          <w:sz w:val="24"/>
          <w:szCs w:val="20"/>
        </w:rPr>
      </w:pPr>
      <w:bookmarkStart w:id="174" w:name="_Hlk171100364"/>
      <w:r>
        <w:rPr>
          <w:rFonts w:hint="eastAsia" w:cs="宋体"/>
          <w:sz w:val="24"/>
          <w:szCs w:val="20"/>
        </w:rPr>
        <w:t>自水西桥起，通过雄州古城墙带状绿地公园串联廻澜门遗址公园、南雄府城正南门、三影塔、广州会馆、八一街等历史文化资源，形成历史城区文化遗产展示线路。衔接梅关古驿道专项规划中的游径线路内容，可以构成历史城区——珠玑古巷——里东——灵潭——中站——雉公嵊——南粤雄关与古道区域游线</w:t>
      </w:r>
      <w:bookmarkEnd w:id="174"/>
      <w:r>
        <w:rPr>
          <w:rFonts w:hint="eastAsia" w:cs="宋体"/>
          <w:sz w:val="24"/>
          <w:szCs w:val="20"/>
        </w:rPr>
        <w:t>。</w:t>
      </w:r>
    </w:p>
    <w:p>
      <w:pPr>
        <w:pStyle w:val="3"/>
        <w:numPr>
          <w:ilvl w:val="0"/>
          <w:numId w:val="52"/>
        </w:numPr>
        <w:spacing w:before="0" w:after="0"/>
        <w:jc w:val="center"/>
        <w:rPr>
          <w:rFonts w:ascii="宋体" w:hAnsi="宋体" w:eastAsia="宋体"/>
          <w:sz w:val="28"/>
          <w:szCs w:val="28"/>
        </w:rPr>
      </w:pPr>
      <w:bookmarkStart w:id="175" w:name="_Toc204964375"/>
      <w:bookmarkStart w:id="176" w:name="_Toc135989718"/>
      <w:r>
        <w:rPr>
          <w:rFonts w:hint="eastAsia" w:ascii="宋体" w:hAnsi="宋体" w:eastAsia="宋体"/>
          <w:sz w:val="28"/>
          <w:szCs w:val="28"/>
        </w:rPr>
        <w:t>展示与</w:t>
      </w:r>
      <w:r>
        <w:rPr>
          <w:rFonts w:ascii="宋体" w:hAnsi="宋体" w:eastAsia="宋体"/>
          <w:sz w:val="28"/>
          <w:szCs w:val="28"/>
        </w:rPr>
        <w:t>利用措施</w:t>
      </w:r>
      <w:bookmarkEnd w:id="175"/>
      <w:bookmarkEnd w:id="176"/>
    </w:p>
    <w:p>
      <w:pPr>
        <w:pStyle w:val="4"/>
        <w:numPr>
          <w:ilvl w:val="0"/>
          <w:numId w:val="2"/>
        </w:numPr>
        <w:spacing w:before="312" w:beforeLines="100" w:after="0" w:line="415" w:lineRule="auto"/>
        <w:jc w:val="both"/>
        <w:rPr>
          <w:sz w:val="24"/>
          <w:szCs w:val="24"/>
        </w:rPr>
      </w:pPr>
      <w:r>
        <w:rPr>
          <w:rFonts w:hint="eastAsia"/>
          <w:sz w:val="24"/>
          <w:szCs w:val="24"/>
        </w:rPr>
        <w:t>标识系统</w:t>
      </w:r>
    </w:p>
    <w:p>
      <w:pPr>
        <w:ind w:firstLine="480"/>
        <w:rPr>
          <w:rFonts w:cs="宋体"/>
          <w:sz w:val="24"/>
          <w:szCs w:val="20"/>
        </w:rPr>
      </w:pPr>
      <w:r>
        <w:rPr>
          <w:rFonts w:hint="eastAsia" w:cs="宋体"/>
          <w:sz w:val="24"/>
          <w:szCs w:val="20"/>
        </w:rPr>
        <w:t>现有各级文物古迹都应在公众易达的显著位置标识出名称、等级、公布单位、公布时间、保护范围等信息；现已不存在的遗址，能够确定地点且具有重要价值的，也应在原址立碑或嵌碑标识。</w:t>
      </w:r>
    </w:p>
    <w:p>
      <w:pPr>
        <w:pStyle w:val="49"/>
        <w:numPr>
          <w:ilvl w:val="0"/>
          <w:numId w:val="53"/>
        </w:numPr>
        <w:ind w:left="0" w:firstLine="480"/>
        <w:rPr>
          <w:sz w:val="24"/>
          <w:szCs w:val="32"/>
        </w:rPr>
      </w:pPr>
      <w:bookmarkStart w:id="177" w:name="_Hlk171101027"/>
      <w:r>
        <w:rPr>
          <w:rFonts w:hint="eastAsia"/>
          <w:sz w:val="24"/>
          <w:szCs w:val="32"/>
        </w:rPr>
        <w:t>加强对各类历史文化遗产的研究阐释工作，建设完善的历史文化展示标识与解说系统，提升城市的文化水平，创造城市特色。</w:t>
      </w:r>
    </w:p>
    <w:bookmarkEnd w:id="177"/>
    <w:p>
      <w:pPr>
        <w:pStyle w:val="49"/>
        <w:numPr>
          <w:ilvl w:val="0"/>
          <w:numId w:val="53"/>
        </w:numPr>
        <w:ind w:left="0" w:firstLine="480"/>
        <w:rPr>
          <w:sz w:val="24"/>
          <w:szCs w:val="32"/>
        </w:rPr>
      </w:pPr>
      <w:bookmarkStart w:id="178" w:name="_Hlk171101038"/>
      <w:r>
        <w:rPr>
          <w:rFonts w:hint="eastAsia"/>
          <w:sz w:val="24"/>
          <w:szCs w:val="32"/>
        </w:rPr>
        <w:t>在城市门户、窗口地段及各类历史文化廊道沿线精心设计能代表南雄历史文化特色的标识物系列；对各类历史文化资源设置说明牌，展示历史信息。</w:t>
      </w:r>
    </w:p>
    <w:bookmarkEnd w:id="178"/>
    <w:p>
      <w:pPr>
        <w:pStyle w:val="49"/>
        <w:numPr>
          <w:ilvl w:val="0"/>
          <w:numId w:val="53"/>
        </w:numPr>
        <w:ind w:left="0" w:firstLine="480"/>
        <w:rPr>
          <w:sz w:val="24"/>
          <w:szCs w:val="32"/>
        </w:rPr>
      </w:pPr>
      <w:bookmarkStart w:id="179" w:name="_Hlk171101049"/>
      <w:r>
        <w:rPr>
          <w:rFonts w:hint="eastAsia"/>
          <w:sz w:val="24"/>
          <w:szCs w:val="32"/>
        </w:rPr>
        <w:t>设立全面的历史文化资源指引和标识系统。对无法恢复的遗址遗迹，通过建设遗址公园和设立标识物的方法进行展示；对重大历史事件发生地和重要历史人物活动场所，可以运用雕塑等多元手法进行展示。</w:t>
      </w:r>
    </w:p>
    <w:bookmarkEnd w:id="179"/>
    <w:p>
      <w:pPr>
        <w:pStyle w:val="4"/>
        <w:numPr>
          <w:ilvl w:val="0"/>
          <w:numId w:val="2"/>
        </w:numPr>
        <w:spacing w:before="312" w:beforeLines="100" w:after="0" w:line="415" w:lineRule="auto"/>
        <w:jc w:val="both"/>
        <w:rPr>
          <w:sz w:val="24"/>
          <w:szCs w:val="24"/>
        </w:rPr>
      </w:pPr>
      <w:bookmarkStart w:id="180" w:name="_Hlk171100637"/>
      <w:r>
        <w:rPr>
          <w:rFonts w:hint="eastAsia"/>
          <w:sz w:val="24"/>
          <w:szCs w:val="24"/>
        </w:rPr>
        <w:t>博物馆系统</w:t>
      </w:r>
    </w:p>
    <w:bookmarkEnd w:id="180"/>
    <w:p>
      <w:pPr>
        <w:ind w:firstLine="480"/>
        <w:rPr>
          <w:rFonts w:cs="宋体"/>
          <w:sz w:val="24"/>
          <w:szCs w:val="20"/>
        </w:rPr>
      </w:pPr>
      <w:bookmarkStart w:id="181" w:name="_Hlk171101143"/>
      <w:r>
        <w:rPr>
          <w:rFonts w:cs="宋体"/>
          <w:sz w:val="24"/>
          <w:szCs w:val="20"/>
        </w:rPr>
        <w:t>鼓励非物质历史文化遗产保护与物质文化遗产保护相结合，重点依托</w:t>
      </w:r>
      <w:r>
        <w:rPr>
          <w:rFonts w:hint="eastAsia" w:cs="宋体"/>
          <w:sz w:val="24"/>
          <w:szCs w:val="20"/>
        </w:rPr>
        <w:t>各级</w:t>
      </w:r>
      <w:r>
        <w:rPr>
          <w:rFonts w:cs="宋体"/>
          <w:sz w:val="24"/>
          <w:szCs w:val="20"/>
        </w:rPr>
        <w:t>文物保护单位与历史建筑资源，以保护修缮后的历史建筑为载体，建设与非物质文化遗产相关的博物馆、展示馆、传承基地。结合</w:t>
      </w:r>
      <w:r>
        <w:rPr>
          <w:rFonts w:hint="eastAsia" w:cs="宋体"/>
          <w:sz w:val="24"/>
          <w:szCs w:val="20"/>
        </w:rPr>
        <w:t>南雄市</w:t>
      </w:r>
      <w:r>
        <w:rPr>
          <w:rFonts w:cs="宋体"/>
          <w:sz w:val="24"/>
          <w:szCs w:val="20"/>
        </w:rPr>
        <w:t>的历史资源环境，建设由综合类博物馆和专门博物馆相结合的博物馆系统。综合类博物馆除充实藏品，建设博物馆之外，应鼓励各镇村利用历史建筑创办小型的村史陈列馆（室）。结合保护性建筑的再利用开辟各专类、各主题的博物馆，分门类系统地展示</w:t>
      </w:r>
      <w:r>
        <w:rPr>
          <w:rFonts w:hint="eastAsia" w:cs="宋体"/>
          <w:sz w:val="24"/>
          <w:szCs w:val="20"/>
        </w:rPr>
        <w:t>南雄</w:t>
      </w:r>
      <w:r>
        <w:rPr>
          <w:rFonts w:cs="宋体"/>
          <w:sz w:val="24"/>
          <w:szCs w:val="20"/>
        </w:rPr>
        <w:t>市的历史文化资源</w:t>
      </w:r>
      <w:bookmarkEnd w:id="181"/>
      <w:r>
        <w:rPr>
          <w:rFonts w:cs="宋体"/>
          <w:sz w:val="24"/>
          <w:szCs w:val="20"/>
        </w:rPr>
        <w:t>。</w:t>
      </w:r>
    </w:p>
    <w:p>
      <w:pPr>
        <w:pStyle w:val="4"/>
        <w:numPr>
          <w:ilvl w:val="0"/>
          <w:numId w:val="2"/>
        </w:numPr>
        <w:spacing w:before="312" w:beforeLines="100" w:after="0" w:line="415" w:lineRule="auto"/>
        <w:jc w:val="both"/>
        <w:rPr>
          <w:sz w:val="24"/>
          <w:szCs w:val="24"/>
        </w:rPr>
      </w:pPr>
      <w:r>
        <w:rPr>
          <w:rFonts w:hint="eastAsia"/>
          <w:sz w:val="24"/>
          <w:szCs w:val="24"/>
        </w:rPr>
        <w:t>活化利用</w:t>
      </w:r>
    </w:p>
    <w:p>
      <w:pPr>
        <w:pStyle w:val="49"/>
        <w:numPr>
          <w:ilvl w:val="0"/>
          <w:numId w:val="54"/>
        </w:numPr>
        <w:ind w:left="0" w:firstLine="480"/>
        <w:rPr>
          <w:sz w:val="24"/>
          <w:szCs w:val="32"/>
        </w:rPr>
      </w:pPr>
      <w:bookmarkStart w:id="182" w:name="_Hlk171101159"/>
      <w:r>
        <w:rPr>
          <w:rFonts w:hint="eastAsia"/>
          <w:sz w:val="24"/>
          <w:szCs w:val="32"/>
        </w:rPr>
        <w:t>古道</w:t>
      </w:r>
      <w:r>
        <w:rPr>
          <w:sz w:val="24"/>
          <w:szCs w:val="32"/>
        </w:rPr>
        <w:t>文化展示利用</w:t>
      </w:r>
    </w:p>
    <w:p>
      <w:pPr>
        <w:ind w:firstLine="480"/>
        <w:rPr>
          <w:rFonts w:cs="宋体"/>
          <w:sz w:val="24"/>
          <w:szCs w:val="20"/>
        </w:rPr>
      </w:pPr>
      <w:r>
        <w:rPr>
          <w:rFonts w:hint="eastAsia" w:cs="宋体"/>
          <w:sz w:val="24"/>
          <w:szCs w:val="20"/>
        </w:rPr>
        <w:t>以</w:t>
      </w:r>
      <w:r>
        <w:rPr>
          <w:rFonts w:cs="宋体"/>
          <w:sz w:val="24"/>
          <w:szCs w:val="20"/>
        </w:rPr>
        <w:t>梅关、乌迳、百顺、水口-南亩、主田-古市五条古驿道</w:t>
      </w:r>
      <w:r>
        <w:rPr>
          <w:rFonts w:hint="eastAsia" w:cs="宋体"/>
          <w:sz w:val="24"/>
          <w:szCs w:val="20"/>
        </w:rPr>
        <w:t>为总体展示路线，结合</w:t>
      </w:r>
      <w:r>
        <w:rPr>
          <w:rFonts w:cs="宋体"/>
          <w:sz w:val="24"/>
          <w:szCs w:val="20"/>
        </w:rPr>
        <w:t>风景名胜区、古驿道遗迹及沿途历史</w:t>
      </w:r>
      <w:r>
        <w:rPr>
          <w:rFonts w:hint="eastAsia" w:cs="宋体"/>
          <w:sz w:val="24"/>
          <w:szCs w:val="20"/>
        </w:rPr>
        <w:t>古村，充分</w:t>
      </w:r>
      <w:r>
        <w:rPr>
          <w:rFonts w:cs="宋体"/>
          <w:sz w:val="24"/>
          <w:szCs w:val="20"/>
        </w:rPr>
        <w:t>展示</w:t>
      </w:r>
      <w:r>
        <w:rPr>
          <w:rFonts w:hint="eastAsia" w:cs="宋体"/>
          <w:sz w:val="24"/>
          <w:szCs w:val="20"/>
        </w:rPr>
        <w:t>古道</w:t>
      </w:r>
      <w:r>
        <w:rPr>
          <w:rFonts w:cs="宋体"/>
          <w:sz w:val="24"/>
          <w:szCs w:val="20"/>
        </w:rPr>
        <w:t>商贸</w:t>
      </w:r>
      <w:r>
        <w:rPr>
          <w:rFonts w:hint="eastAsia" w:cs="宋体"/>
          <w:sz w:val="24"/>
          <w:szCs w:val="20"/>
        </w:rPr>
        <w:t>文化</w:t>
      </w:r>
      <w:r>
        <w:rPr>
          <w:rFonts w:cs="宋体"/>
          <w:sz w:val="24"/>
          <w:szCs w:val="20"/>
        </w:rPr>
        <w:t>、邮驿文化、军事文化、民系文化</w:t>
      </w:r>
      <w:r>
        <w:rPr>
          <w:rFonts w:hint="eastAsia" w:cs="宋体"/>
          <w:sz w:val="24"/>
          <w:szCs w:val="20"/>
        </w:rPr>
        <w:t>。设计徒步旅行及文化廊道等活动方式，充分展示古道线性文化遗产。</w:t>
      </w:r>
    </w:p>
    <w:p>
      <w:pPr>
        <w:pStyle w:val="49"/>
        <w:numPr>
          <w:ilvl w:val="0"/>
          <w:numId w:val="54"/>
        </w:numPr>
        <w:ind w:left="0" w:firstLine="480"/>
        <w:rPr>
          <w:sz w:val="24"/>
          <w:szCs w:val="32"/>
        </w:rPr>
      </w:pPr>
      <w:r>
        <w:rPr>
          <w:rFonts w:hint="eastAsia"/>
          <w:sz w:val="24"/>
          <w:szCs w:val="32"/>
        </w:rPr>
        <w:t>文物</w:t>
      </w:r>
      <w:r>
        <w:rPr>
          <w:sz w:val="24"/>
          <w:szCs w:val="32"/>
        </w:rPr>
        <w:t>和历史建筑的展示与利用</w:t>
      </w:r>
    </w:p>
    <w:p>
      <w:pPr>
        <w:ind w:firstLine="480"/>
        <w:rPr>
          <w:rFonts w:cs="宋体"/>
          <w:sz w:val="24"/>
          <w:szCs w:val="20"/>
        </w:rPr>
      </w:pPr>
      <w:r>
        <w:rPr>
          <w:rFonts w:hint="eastAsia" w:cs="宋体"/>
          <w:sz w:val="24"/>
          <w:szCs w:val="20"/>
        </w:rPr>
        <w:t>在保证文物安全和不改变文物原状的前提下，鼓励文物保护单位的多功能使用，建立各类博物馆、专业展示馆、名人纪念馆、故居陈列室，逐步培育为城市文化活动场所、参观游览场所、地域标志性环境景观节点。在依法保护的前提下，鼓励历史建筑植入现代活动功能业态。</w:t>
      </w:r>
    </w:p>
    <w:p>
      <w:pPr>
        <w:pStyle w:val="49"/>
        <w:numPr>
          <w:ilvl w:val="0"/>
          <w:numId w:val="54"/>
        </w:numPr>
        <w:ind w:left="0" w:firstLine="480"/>
        <w:rPr>
          <w:sz w:val="24"/>
          <w:szCs w:val="32"/>
        </w:rPr>
      </w:pPr>
      <w:r>
        <w:rPr>
          <w:rFonts w:hint="eastAsia"/>
          <w:sz w:val="24"/>
          <w:szCs w:val="32"/>
        </w:rPr>
        <w:t>非遗</w:t>
      </w:r>
      <w:r>
        <w:rPr>
          <w:sz w:val="24"/>
          <w:szCs w:val="32"/>
        </w:rPr>
        <w:t>文化及民俗活动的展示</w:t>
      </w:r>
    </w:p>
    <w:p>
      <w:pPr>
        <w:ind w:firstLine="480"/>
        <w:rPr>
          <w:rFonts w:cs="宋体"/>
          <w:sz w:val="24"/>
          <w:szCs w:val="20"/>
        </w:rPr>
      </w:pPr>
      <w:r>
        <w:rPr>
          <w:rFonts w:hint="eastAsia" w:cs="宋体"/>
          <w:sz w:val="24"/>
          <w:szCs w:val="20"/>
        </w:rPr>
        <w:t>在继承和弘扬优秀传统文化以及严格保护非物质文化遗产的前提下，可利用</w:t>
      </w:r>
      <w:r>
        <w:rPr>
          <w:rFonts w:cs="宋体"/>
          <w:sz w:val="24"/>
          <w:szCs w:val="20"/>
        </w:rPr>
        <w:t>具有传统</w:t>
      </w:r>
      <w:r>
        <w:rPr>
          <w:rFonts w:hint="eastAsia" w:cs="宋体"/>
          <w:sz w:val="24"/>
          <w:szCs w:val="20"/>
        </w:rPr>
        <w:t>风貌</w:t>
      </w:r>
      <w:r>
        <w:rPr>
          <w:rFonts w:cs="宋体"/>
          <w:sz w:val="24"/>
          <w:szCs w:val="20"/>
        </w:rPr>
        <w:t>的建筑作为非遗文化展示</w:t>
      </w:r>
      <w:r>
        <w:rPr>
          <w:rFonts w:hint="eastAsia" w:cs="宋体"/>
          <w:sz w:val="24"/>
          <w:szCs w:val="20"/>
        </w:rPr>
        <w:t>馆</w:t>
      </w:r>
      <w:r>
        <w:rPr>
          <w:rFonts w:cs="宋体"/>
          <w:sz w:val="24"/>
          <w:szCs w:val="20"/>
        </w:rPr>
        <w:t>。</w:t>
      </w:r>
      <w:r>
        <w:rPr>
          <w:rFonts w:hint="eastAsia" w:cs="宋体"/>
          <w:sz w:val="24"/>
          <w:szCs w:val="20"/>
        </w:rPr>
        <w:t>鼓励本地居民利用自家住宅作为民居客栈、家庭旅馆及手工艺作坊等，使外来游客充分体验历史文化名村浓厚的生活氛围，展示传统民俗文化。</w:t>
      </w:r>
    </w:p>
    <w:p>
      <w:pPr>
        <w:ind w:firstLine="480"/>
        <w:rPr>
          <w:rFonts w:cs="宋体"/>
          <w:sz w:val="24"/>
          <w:szCs w:val="20"/>
        </w:rPr>
      </w:pPr>
      <w:r>
        <w:rPr>
          <w:rFonts w:hint="eastAsia" w:cs="宋体"/>
          <w:sz w:val="24"/>
          <w:szCs w:val="20"/>
        </w:rPr>
        <w:t>加强千年银杏文化节、</w:t>
      </w:r>
      <w:r>
        <w:rPr>
          <w:rFonts w:cs="宋体"/>
          <w:sz w:val="24"/>
          <w:szCs w:val="20"/>
        </w:rPr>
        <w:t>梅关古道梅花节、</w:t>
      </w:r>
      <w:r>
        <w:rPr>
          <w:rFonts w:hint="eastAsia" w:cs="宋体"/>
          <w:sz w:val="24"/>
          <w:szCs w:val="20"/>
        </w:rPr>
        <w:t>珠玑巷</w:t>
      </w:r>
      <w:r>
        <w:rPr>
          <w:rFonts w:cs="宋体"/>
          <w:sz w:val="24"/>
          <w:szCs w:val="20"/>
        </w:rPr>
        <w:t>姓氏文化旅游节以及各村落传统民俗节日</w:t>
      </w:r>
      <w:r>
        <w:rPr>
          <w:rFonts w:hint="eastAsia" w:cs="宋体"/>
          <w:sz w:val="24"/>
          <w:szCs w:val="20"/>
        </w:rPr>
        <w:t>及非遗活动的</w:t>
      </w:r>
      <w:r>
        <w:rPr>
          <w:rFonts w:cs="宋体"/>
          <w:sz w:val="24"/>
          <w:szCs w:val="20"/>
        </w:rPr>
        <w:t>宣传与文化互动，定期策划和举办</w:t>
      </w:r>
      <w:r>
        <w:rPr>
          <w:rFonts w:hint="eastAsia" w:cs="宋体"/>
          <w:sz w:val="24"/>
          <w:szCs w:val="20"/>
        </w:rPr>
        <w:t>传统节日</w:t>
      </w:r>
      <w:r>
        <w:rPr>
          <w:rFonts w:cs="宋体"/>
          <w:sz w:val="24"/>
          <w:szCs w:val="20"/>
        </w:rPr>
        <w:t>，</w:t>
      </w:r>
      <w:r>
        <w:rPr>
          <w:rFonts w:hint="eastAsia" w:cs="宋体"/>
          <w:sz w:val="24"/>
          <w:szCs w:val="20"/>
        </w:rPr>
        <w:t>展示南雄多元</w:t>
      </w:r>
      <w:r>
        <w:rPr>
          <w:rFonts w:cs="宋体"/>
          <w:sz w:val="24"/>
          <w:szCs w:val="20"/>
        </w:rPr>
        <w:t>文化并吸引更多游客参与</w:t>
      </w:r>
      <w:r>
        <w:rPr>
          <w:rFonts w:hint="eastAsia" w:cs="宋体"/>
          <w:sz w:val="24"/>
          <w:szCs w:val="20"/>
        </w:rPr>
        <w:t>体验</w:t>
      </w:r>
      <w:r>
        <w:rPr>
          <w:rFonts w:cs="宋体"/>
          <w:sz w:val="24"/>
          <w:szCs w:val="20"/>
        </w:rPr>
        <w:t>其中。</w:t>
      </w:r>
    </w:p>
    <w:bookmarkEnd w:id="182"/>
    <w:p>
      <w:pPr>
        <w:pStyle w:val="4"/>
        <w:numPr>
          <w:ilvl w:val="0"/>
          <w:numId w:val="2"/>
        </w:numPr>
        <w:spacing w:before="312" w:beforeLines="100" w:after="0" w:line="415" w:lineRule="auto"/>
        <w:jc w:val="both"/>
        <w:rPr>
          <w:sz w:val="24"/>
          <w:szCs w:val="24"/>
        </w:rPr>
      </w:pPr>
      <w:r>
        <w:rPr>
          <w:rFonts w:hint="eastAsia"/>
          <w:sz w:val="24"/>
          <w:szCs w:val="24"/>
        </w:rPr>
        <w:t>文旅开发</w:t>
      </w:r>
    </w:p>
    <w:p>
      <w:pPr>
        <w:ind w:firstLine="480"/>
        <w:rPr>
          <w:sz w:val="24"/>
          <w:szCs w:val="24"/>
        </w:rPr>
      </w:pPr>
      <w:bookmarkStart w:id="183" w:name="_Hlk171101210"/>
      <w:r>
        <w:rPr>
          <w:sz w:val="24"/>
          <w:szCs w:val="24"/>
        </w:rPr>
        <w:t>以文化、旅游等绿色产业为基础，构建特色产业体系，提升产业结构，实现“以保护促发展、以发展求保护”的历史文化资源保护与城市产业发展的双向联动效应。</w:t>
      </w:r>
    </w:p>
    <w:p>
      <w:pPr>
        <w:ind w:firstLine="480"/>
        <w:rPr>
          <w:sz w:val="24"/>
          <w:szCs w:val="24"/>
        </w:rPr>
      </w:pPr>
      <w:r>
        <w:rPr>
          <w:sz w:val="24"/>
          <w:szCs w:val="24"/>
        </w:rPr>
        <w:t>促进历史文化遗产与文化旅游、商业、教育等行业结合，将历史文化遗产纳入旅游线路，推动具有地方特色的历史文化遗产产品开发，支持非物质文化遗产进校园、进景区、进博物馆、进商场、进社区。拓宽历史文化遗产宣传渠道，运用文化遗产日、微信公众号、宣传纪录片等各种平台，加强历史文化遗产大众传播</w:t>
      </w:r>
      <w:bookmarkEnd w:id="183"/>
      <w:r>
        <w:rPr>
          <w:rFonts w:hint="eastAsia"/>
          <w:sz w:val="24"/>
          <w:szCs w:val="24"/>
        </w:rPr>
        <w:t>。</w:t>
      </w:r>
    </w:p>
    <w:p>
      <w:pPr>
        <w:pStyle w:val="2"/>
        <w:ind w:left="0"/>
      </w:pPr>
      <w:bookmarkStart w:id="184" w:name="_Toc135989720"/>
      <w:bookmarkStart w:id="185" w:name="_Toc204964376"/>
      <w:r>
        <w:rPr>
          <w:rFonts w:hint="eastAsia"/>
        </w:rPr>
        <w:t>分期</w:t>
      </w:r>
      <w:r>
        <w:t>规划</w:t>
      </w:r>
      <w:r>
        <w:rPr>
          <w:rFonts w:hint="eastAsia"/>
        </w:rPr>
        <w:t>与规划实施措施</w:t>
      </w:r>
      <w:bookmarkEnd w:id="184"/>
      <w:bookmarkEnd w:id="185"/>
    </w:p>
    <w:p>
      <w:pPr>
        <w:pStyle w:val="3"/>
        <w:numPr>
          <w:ilvl w:val="0"/>
          <w:numId w:val="55"/>
        </w:numPr>
        <w:spacing w:before="0" w:after="0"/>
        <w:jc w:val="center"/>
        <w:rPr>
          <w:rFonts w:ascii="宋体" w:hAnsi="宋体" w:eastAsia="宋体"/>
          <w:sz w:val="28"/>
          <w:szCs w:val="28"/>
        </w:rPr>
      </w:pPr>
      <w:bookmarkStart w:id="186" w:name="_Toc204964377"/>
      <w:r>
        <w:rPr>
          <w:rFonts w:hint="eastAsia" w:ascii="宋体" w:hAnsi="宋体" w:eastAsia="宋体"/>
          <w:sz w:val="28"/>
          <w:szCs w:val="28"/>
        </w:rPr>
        <w:t>近期行动计划</w:t>
      </w:r>
      <w:bookmarkEnd w:id="186"/>
    </w:p>
    <w:p>
      <w:pPr>
        <w:pStyle w:val="4"/>
        <w:numPr>
          <w:ilvl w:val="0"/>
          <w:numId w:val="2"/>
        </w:numPr>
        <w:spacing w:before="312" w:beforeLines="100" w:after="0" w:line="415" w:lineRule="auto"/>
        <w:jc w:val="both"/>
        <w:rPr>
          <w:sz w:val="24"/>
          <w:szCs w:val="24"/>
        </w:rPr>
      </w:pPr>
      <w:bookmarkStart w:id="187" w:name="_Toc135989721"/>
      <w:r>
        <w:rPr>
          <w:rFonts w:hint="eastAsia"/>
          <w:sz w:val="24"/>
          <w:szCs w:val="24"/>
        </w:rPr>
        <w:t>近期行动</w:t>
      </w:r>
      <w:r>
        <w:rPr>
          <w:sz w:val="24"/>
          <w:szCs w:val="24"/>
        </w:rPr>
        <w:t>计划</w:t>
      </w:r>
      <w:r>
        <w:rPr>
          <w:rFonts w:hint="eastAsia"/>
          <w:sz w:val="24"/>
          <w:szCs w:val="24"/>
        </w:rPr>
        <w:t>（2</w:t>
      </w:r>
      <w:r>
        <w:rPr>
          <w:sz w:val="24"/>
          <w:szCs w:val="24"/>
        </w:rPr>
        <w:t>021-2025</w:t>
      </w:r>
      <w:r>
        <w:rPr>
          <w:rFonts w:hint="eastAsia"/>
          <w:sz w:val="24"/>
          <w:szCs w:val="24"/>
        </w:rPr>
        <w:t>年）</w:t>
      </w:r>
      <w:bookmarkEnd w:id="187"/>
    </w:p>
    <w:p>
      <w:pPr>
        <w:ind w:firstLine="482"/>
        <w:rPr>
          <w:b/>
          <w:bCs/>
          <w:sz w:val="24"/>
          <w:szCs w:val="24"/>
        </w:rPr>
      </w:pPr>
      <w:r>
        <w:rPr>
          <w:b/>
          <w:bCs/>
          <w:sz w:val="24"/>
          <w:szCs w:val="24"/>
        </w:rPr>
        <w:t>（</w:t>
      </w:r>
      <w:r>
        <w:rPr>
          <w:rFonts w:hint="eastAsia"/>
          <w:b/>
          <w:bCs/>
          <w:sz w:val="24"/>
          <w:szCs w:val="24"/>
        </w:rPr>
        <w:t>一）市域近期实施计划</w:t>
      </w:r>
    </w:p>
    <w:p>
      <w:pPr>
        <w:pStyle w:val="49"/>
        <w:numPr>
          <w:ilvl w:val="0"/>
          <w:numId w:val="56"/>
        </w:numPr>
        <w:ind w:left="0" w:firstLine="480"/>
        <w:rPr>
          <w:sz w:val="24"/>
          <w:szCs w:val="32"/>
        </w:rPr>
      </w:pPr>
      <w:bookmarkStart w:id="188" w:name="_Hlk169705007"/>
      <w:r>
        <w:rPr>
          <w:rFonts w:hint="eastAsia"/>
          <w:sz w:val="24"/>
          <w:szCs w:val="32"/>
        </w:rPr>
        <w:t>充实一批保护对象</w:t>
      </w:r>
      <w:bookmarkEnd w:id="188"/>
      <w:r>
        <w:rPr>
          <w:rFonts w:hint="eastAsia"/>
          <w:sz w:val="24"/>
          <w:szCs w:val="32"/>
        </w:rPr>
        <w:t>。以第四次全国文物普查为契机，着重在南雄市近期行动示范片内增补一批能够代表中国共产党百年建党史、新中国成立以来的发展史和改革开放以来突出成就的保护对象。完善文化遗产保护名录，加快认定新一批历史建筑和传统风貌建筑。积极推进历史文化名村、中国传统村落申报工作。加快推进梅关、乌迳古驿道及其沿线历史文化资源的活化利用。加强龙舞（香火龙）、珠玑巷人南迁传说为代表的南雄非物质遗产抢救性研究和保护。开展文化典籍和口述历史资料分类整理、登记建档，充实非物质遗产体系。</w:t>
      </w:r>
    </w:p>
    <w:p>
      <w:pPr>
        <w:pStyle w:val="49"/>
        <w:numPr>
          <w:ilvl w:val="0"/>
          <w:numId w:val="56"/>
        </w:numPr>
        <w:ind w:left="0" w:firstLine="480"/>
        <w:rPr>
          <w:sz w:val="24"/>
          <w:szCs w:val="32"/>
        </w:rPr>
      </w:pPr>
      <w:bookmarkStart w:id="189" w:name="_Hlk169704985"/>
      <w:r>
        <w:rPr>
          <w:rFonts w:hint="eastAsia"/>
          <w:sz w:val="24"/>
          <w:szCs w:val="32"/>
        </w:rPr>
        <w:t>完成一批保护规划</w:t>
      </w:r>
      <w:bookmarkEnd w:id="189"/>
      <w:r>
        <w:rPr>
          <w:rFonts w:hint="eastAsia"/>
          <w:sz w:val="24"/>
          <w:szCs w:val="32"/>
        </w:rPr>
        <w:t>。</w:t>
      </w:r>
      <w:bookmarkStart w:id="190" w:name="_Hlk169705015"/>
      <w:r>
        <w:rPr>
          <w:rFonts w:hint="eastAsia"/>
          <w:sz w:val="24"/>
          <w:szCs w:val="32"/>
        </w:rPr>
        <w:t>完成历史文化名城、名镇、名村、街区，一批历史建筑保护规划新编、修编。完成一批文物保护单位保护规划编制。完成全市文物保护单位保护范围和建设控制地带划定公布工作。开展南雄既有建筑保留利用研究，南雄文旅融合发展研究，以及南雄历史文化名城保护与发展实践中的重大问题研究。</w:t>
      </w:r>
      <w:bookmarkEnd w:id="190"/>
    </w:p>
    <w:p>
      <w:pPr>
        <w:pStyle w:val="49"/>
        <w:numPr>
          <w:ilvl w:val="0"/>
          <w:numId w:val="56"/>
        </w:numPr>
        <w:ind w:left="0" w:firstLine="480"/>
        <w:rPr>
          <w:sz w:val="24"/>
          <w:szCs w:val="32"/>
        </w:rPr>
      </w:pPr>
      <w:bookmarkStart w:id="191" w:name="_Hlk169704998"/>
      <w:r>
        <w:rPr>
          <w:rFonts w:hint="eastAsia"/>
          <w:sz w:val="24"/>
          <w:szCs w:val="32"/>
        </w:rPr>
        <w:t>打造一批精品项目</w:t>
      </w:r>
      <w:bookmarkEnd w:id="191"/>
      <w:r>
        <w:rPr>
          <w:rFonts w:hint="eastAsia"/>
          <w:sz w:val="24"/>
          <w:szCs w:val="32"/>
        </w:rPr>
        <w:t>。</w:t>
      </w:r>
      <w:bookmarkStart w:id="192" w:name="_Hlk169705021"/>
      <w:r>
        <w:rPr>
          <w:rFonts w:hint="eastAsia"/>
          <w:sz w:val="24"/>
          <w:szCs w:val="32"/>
        </w:rPr>
        <w:t>扎实推进长征国家文化公园（南雄段）、红军过粤北长征历史步道示范段（南雄段）、南雄市入粤第一仗展示园、广东省韶关市水口战役遗址群保护利用、南雄市珠玑古巷保护和环境提升等重点项目工作任务，高质量、高标准打造精品项目。加快实施南雄市万里碧道建设项目、南雄市三年游击展示园建设项目，古村落历史文化研学以及红色革命遗址保护利用、梅关</w:t>
      </w:r>
      <w:r>
        <w:rPr>
          <w:sz w:val="24"/>
          <w:szCs w:val="32"/>
        </w:rPr>
        <w:t>-乌迳古驿道提升整治</w:t>
      </w:r>
      <w:r>
        <w:rPr>
          <w:rFonts w:hint="eastAsia"/>
          <w:sz w:val="24"/>
          <w:szCs w:val="32"/>
        </w:rPr>
        <w:t>等保护展示工程。加大历史文化名镇、历史文化名村（传统村落）、历史文化街区、历史地段以及历史建筑的保护修缮力度。</w:t>
      </w:r>
      <w:bookmarkEnd w:id="192"/>
    </w:p>
    <w:p>
      <w:pPr>
        <w:ind w:firstLine="482"/>
        <w:rPr>
          <w:b/>
          <w:bCs/>
          <w:sz w:val="24"/>
          <w:szCs w:val="24"/>
        </w:rPr>
      </w:pPr>
      <w:r>
        <w:rPr>
          <w:rFonts w:hint="eastAsia"/>
          <w:b/>
          <w:bCs/>
          <w:sz w:val="24"/>
          <w:szCs w:val="24"/>
        </w:rPr>
        <w:t>（二）历史城区近期实施计划</w:t>
      </w:r>
    </w:p>
    <w:p>
      <w:pPr>
        <w:pStyle w:val="49"/>
        <w:numPr>
          <w:ilvl w:val="0"/>
          <w:numId w:val="57"/>
        </w:numPr>
        <w:ind w:left="0" w:firstLine="480"/>
        <w:rPr>
          <w:sz w:val="24"/>
          <w:szCs w:val="32"/>
        </w:rPr>
      </w:pPr>
      <w:bookmarkStart w:id="193" w:name="_Hlk169705242"/>
      <w:r>
        <w:rPr>
          <w:rFonts w:hint="eastAsia"/>
          <w:sz w:val="24"/>
          <w:szCs w:val="32"/>
        </w:rPr>
        <w:t>对南雄城墙遗址开展全面的考古探查，以廻澜门遗址公园项目为抓手，对现存城墙遗址抢救性保护和环境提升。对三影塔、水西桥等重要历史格局节点进行环境整治</w:t>
      </w:r>
      <w:bookmarkEnd w:id="193"/>
      <w:r>
        <w:rPr>
          <w:rFonts w:hint="eastAsia"/>
          <w:sz w:val="24"/>
          <w:szCs w:val="32"/>
        </w:rPr>
        <w:t>。</w:t>
      </w:r>
    </w:p>
    <w:p>
      <w:pPr>
        <w:pStyle w:val="49"/>
        <w:numPr>
          <w:ilvl w:val="0"/>
          <w:numId w:val="57"/>
        </w:numPr>
        <w:ind w:left="0" w:firstLine="480"/>
        <w:rPr>
          <w:sz w:val="24"/>
          <w:szCs w:val="32"/>
        </w:rPr>
      </w:pPr>
      <w:bookmarkStart w:id="194" w:name="_Hlk169705234"/>
      <w:r>
        <w:rPr>
          <w:rFonts w:hint="eastAsia"/>
          <w:sz w:val="24"/>
          <w:szCs w:val="32"/>
        </w:rPr>
        <w:t>推进八一街推荐历史地段整体保护和周边历史环境整体提升，积极推动八一</w:t>
      </w:r>
      <w:r>
        <w:rPr>
          <w:sz w:val="24"/>
          <w:szCs w:val="32"/>
        </w:rPr>
        <w:t>街</w:t>
      </w:r>
      <w:r>
        <w:rPr>
          <w:rFonts w:hint="eastAsia"/>
          <w:sz w:val="24"/>
          <w:szCs w:val="32"/>
        </w:rPr>
        <w:t>不可移动</w:t>
      </w:r>
      <w:r>
        <w:rPr>
          <w:sz w:val="24"/>
          <w:szCs w:val="32"/>
        </w:rPr>
        <w:t>文</w:t>
      </w:r>
      <w:r>
        <w:rPr>
          <w:rFonts w:hint="eastAsia"/>
          <w:sz w:val="24"/>
          <w:szCs w:val="32"/>
        </w:rPr>
        <w:t>物及历史建筑保护利用和周边建筑风貌整治工作，统筹八一街片区保护与城市更新相协调，使保护与发展互促共荣。</w:t>
      </w:r>
    </w:p>
    <w:bookmarkEnd w:id="194"/>
    <w:p>
      <w:pPr>
        <w:pStyle w:val="49"/>
        <w:numPr>
          <w:ilvl w:val="0"/>
          <w:numId w:val="57"/>
        </w:numPr>
        <w:ind w:left="0" w:firstLine="480"/>
        <w:rPr>
          <w:rFonts w:ascii="Times" w:hAnsi="Times" w:cs="宋体"/>
          <w:bCs/>
          <w:sz w:val="24"/>
          <w:szCs w:val="20"/>
        </w:rPr>
      </w:pPr>
      <w:bookmarkStart w:id="195" w:name="_Hlk169705206"/>
      <w:r>
        <w:rPr>
          <w:rFonts w:hint="eastAsia"/>
          <w:sz w:val="24"/>
          <w:szCs w:val="32"/>
        </w:rPr>
        <w:t>历史记忆展示计划</w:t>
      </w:r>
      <w:bookmarkEnd w:id="195"/>
      <w:r>
        <w:rPr>
          <w:rFonts w:hint="eastAsia"/>
          <w:sz w:val="24"/>
          <w:szCs w:val="32"/>
        </w:rPr>
        <w:t>。</w:t>
      </w:r>
      <w:bookmarkStart w:id="196" w:name="_Hlk169705213"/>
      <w:r>
        <w:rPr>
          <w:rFonts w:hint="eastAsia"/>
          <w:sz w:val="24"/>
          <w:szCs w:val="32"/>
        </w:rPr>
        <w:t>在特色地名景观、历史城区传统街巷原址或附近设置展示相关历史信息的标识牌。保护并挖掘老字号的文化与无形价值，延续老字号的经营与管理特色。结合三影塔广场、南雄府城正南门广场等公共空间对南雄非遗进行生活化、群众化展示，从而构建起非物质文化遗产展示网络空间</w:t>
      </w:r>
      <w:bookmarkEnd w:id="196"/>
      <w:r>
        <w:rPr>
          <w:rFonts w:hint="eastAsia"/>
          <w:sz w:val="24"/>
          <w:szCs w:val="32"/>
        </w:rPr>
        <w:t>。</w:t>
      </w:r>
    </w:p>
    <w:p>
      <w:pPr>
        <w:pStyle w:val="49"/>
        <w:numPr>
          <w:ilvl w:val="0"/>
          <w:numId w:val="57"/>
        </w:numPr>
        <w:ind w:left="0" w:firstLine="480"/>
        <w:rPr>
          <w:rFonts w:ascii="Times" w:hAnsi="Times" w:cs="宋体"/>
          <w:bCs/>
          <w:sz w:val="24"/>
          <w:szCs w:val="20"/>
        </w:rPr>
      </w:pPr>
      <w:bookmarkStart w:id="197" w:name="_Hlk169705186"/>
      <w:r>
        <w:rPr>
          <w:rFonts w:hint="eastAsia" w:ascii="Times" w:hAnsi="Times" w:cs="宋体"/>
          <w:bCs/>
          <w:sz w:val="24"/>
          <w:szCs w:val="20"/>
        </w:rPr>
        <w:t>历史文化游径展示计划</w:t>
      </w:r>
      <w:bookmarkEnd w:id="197"/>
      <w:r>
        <w:rPr>
          <w:rFonts w:hint="eastAsia" w:ascii="Times" w:hAnsi="Times" w:cs="宋体"/>
          <w:bCs/>
          <w:sz w:val="24"/>
          <w:szCs w:val="20"/>
        </w:rPr>
        <w:t>。</w:t>
      </w:r>
      <w:bookmarkStart w:id="198" w:name="_Hlk169705195"/>
      <w:r>
        <w:rPr>
          <w:rFonts w:hint="eastAsia" w:ascii="Times" w:hAnsi="Times" w:cs="宋体"/>
          <w:bCs/>
          <w:sz w:val="24"/>
          <w:szCs w:val="20"/>
        </w:rPr>
        <w:t>将南雄历史城区中具有景观特征、文化内涵的旅游特色资源，按不同的主题串珠成链，整体策划历史探访与解读为旅游目的地，打破空间、时间的束缚，向游客展现绵延悠长的南雄历史文化和南雄独具魅力的人文风情。</w:t>
      </w:r>
      <w:bookmarkEnd w:id="198"/>
    </w:p>
    <w:p>
      <w:pPr>
        <w:pStyle w:val="4"/>
        <w:numPr>
          <w:ilvl w:val="0"/>
          <w:numId w:val="2"/>
        </w:numPr>
        <w:spacing w:before="312" w:beforeLines="100" w:after="0" w:line="415" w:lineRule="auto"/>
        <w:jc w:val="both"/>
        <w:rPr>
          <w:sz w:val="24"/>
          <w:szCs w:val="24"/>
        </w:rPr>
      </w:pPr>
      <w:bookmarkStart w:id="199" w:name="_Toc135989722"/>
      <w:bookmarkStart w:id="200" w:name="_Toc77610853"/>
      <w:r>
        <w:rPr>
          <w:rFonts w:hint="eastAsia"/>
          <w:sz w:val="24"/>
          <w:szCs w:val="24"/>
        </w:rPr>
        <w:t>远期</w:t>
      </w:r>
      <w:r>
        <w:rPr>
          <w:sz w:val="24"/>
          <w:szCs w:val="24"/>
        </w:rPr>
        <w:t>行动计划</w:t>
      </w:r>
      <w:r>
        <w:rPr>
          <w:rFonts w:hint="eastAsia"/>
          <w:sz w:val="24"/>
          <w:szCs w:val="24"/>
        </w:rPr>
        <w:t>（2</w:t>
      </w:r>
      <w:r>
        <w:rPr>
          <w:sz w:val="24"/>
          <w:szCs w:val="24"/>
        </w:rPr>
        <w:t>026-2035</w:t>
      </w:r>
      <w:r>
        <w:rPr>
          <w:rFonts w:hint="eastAsia"/>
          <w:sz w:val="24"/>
          <w:szCs w:val="24"/>
        </w:rPr>
        <w:t>年）</w:t>
      </w:r>
      <w:bookmarkEnd w:id="199"/>
    </w:p>
    <w:p>
      <w:pPr>
        <w:ind w:firstLine="480"/>
        <w:rPr>
          <w:rFonts w:ascii="Times" w:hAnsi="Times" w:cs="宋体"/>
          <w:sz w:val="24"/>
          <w:szCs w:val="20"/>
        </w:rPr>
      </w:pPr>
      <w:bookmarkStart w:id="201" w:name="_Hlk169705310"/>
      <w:r>
        <w:rPr>
          <w:rFonts w:hint="eastAsia" w:ascii="Times" w:hAnsi="Times" w:cs="宋体"/>
          <w:bCs/>
          <w:sz w:val="24"/>
          <w:szCs w:val="20"/>
        </w:rPr>
        <w:t>全面实施名城保护规划，以文物古迹为依托发扬和传承南雄非物质文化遗产和优秀传统文化；推进珠玑镇申报国家历史文化名镇工作；有效利用工业遗产等历史文化资源形成多个文化产业集群</w:t>
      </w:r>
      <w:r>
        <w:rPr>
          <w:rFonts w:hint="eastAsia" w:ascii="Times" w:hAnsi="Times" w:cs="宋体"/>
          <w:sz w:val="24"/>
          <w:szCs w:val="20"/>
        </w:rPr>
        <w:t>；对历史城区进行用地功能置换，逐步按完善必要的公共服务设施和市政基础设施，改善居民生活环境。形成系统的展示利用体系，发挥历史文化遗产的社会、经济、文化、教育价值，促进城市文化的健康发展。进一步完善历史城区内的景点建设和民居改造以及空间环境的营造工作；完成特色景观点的形成和视线通廊的控制。</w:t>
      </w:r>
    </w:p>
    <w:p>
      <w:pPr>
        <w:ind w:firstLine="480"/>
        <w:rPr>
          <w:rFonts w:ascii="Times" w:hAnsi="Times" w:cs="宋体"/>
          <w:sz w:val="24"/>
          <w:szCs w:val="20"/>
        </w:rPr>
      </w:pPr>
      <w:r>
        <w:rPr>
          <w:rFonts w:hint="eastAsia" w:ascii="Times" w:hAnsi="Times" w:cs="宋体"/>
          <w:sz w:val="24"/>
          <w:szCs w:val="20"/>
        </w:rPr>
        <w:t>通过南雄市历史文化名城管理委员会协调多个职能部门，制定“古城复兴计划”，其中重点内容是未来疏解历史城区内部高楼的计划。划定天际线科学疏解高楼，让古城显山露水。每一栋高楼的拆与改，都要经过科学的研判分析，执行“一栋一策”。</w:t>
      </w:r>
    </w:p>
    <w:bookmarkEnd w:id="201"/>
    <w:p>
      <w:pPr>
        <w:pStyle w:val="3"/>
        <w:numPr>
          <w:ilvl w:val="0"/>
          <w:numId w:val="55"/>
        </w:numPr>
        <w:spacing w:before="0" w:after="0"/>
        <w:jc w:val="center"/>
        <w:rPr>
          <w:rFonts w:ascii="宋体" w:hAnsi="宋体" w:eastAsia="宋体"/>
          <w:sz w:val="28"/>
          <w:szCs w:val="28"/>
        </w:rPr>
      </w:pPr>
      <w:bookmarkStart w:id="202" w:name="_Toc135989723"/>
      <w:bookmarkStart w:id="203" w:name="_Toc204964378"/>
      <w:r>
        <w:rPr>
          <w:rFonts w:hint="eastAsia" w:ascii="宋体" w:hAnsi="宋体" w:eastAsia="宋体"/>
          <w:sz w:val="28"/>
          <w:szCs w:val="28"/>
        </w:rPr>
        <w:t>规划实施措施</w:t>
      </w:r>
      <w:bookmarkEnd w:id="200"/>
      <w:bookmarkEnd w:id="202"/>
      <w:bookmarkEnd w:id="203"/>
    </w:p>
    <w:p>
      <w:pPr>
        <w:pStyle w:val="4"/>
        <w:numPr>
          <w:ilvl w:val="0"/>
          <w:numId w:val="2"/>
        </w:numPr>
        <w:spacing w:before="312" w:beforeLines="100" w:after="0" w:line="415" w:lineRule="auto"/>
        <w:jc w:val="both"/>
        <w:rPr>
          <w:sz w:val="24"/>
          <w:szCs w:val="24"/>
        </w:rPr>
      </w:pPr>
      <w:r>
        <w:rPr>
          <w:rFonts w:hint="eastAsia"/>
          <w:sz w:val="24"/>
          <w:szCs w:val="24"/>
        </w:rPr>
        <w:t>法规政策</w:t>
      </w:r>
    </w:p>
    <w:p>
      <w:pPr>
        <w:ind w:firstLine="480"/>
        <w:rPr>
          <w:rFonts w:ascii="Times" w:hAnsi="Times" w:cs="宋体"/>
          <w:sz w:val="24"/>
          <w:szCs w:val="20"/>
        </w:rPr>
      </w:pPr>
      <w:bookmarkStart w:id="204" w:name="_Hlk169627866"/>
      <w:r>
        <w:rPr>
          <w:rFonts w:hint="eastAsia" w:ascii="Times" w:hAnsi="Times" w:cs="宋体"/>
          <w:sz w:val="24"/>
          <w:szCs w:val="20"/>
        </w:rPr>
        <w:t>建立历史文化资源长效保护机制，在现有规章基础上，研究制定合理的历史城区、历史文化街区和历史地段相关规章办法，尽快完善《南雄市历史文化名城保护管理暂行规定》，抓紧推进《韶关市珠玑古巷保护条例》地方性立法工作，进一步健全历史文化名城保护的法律体系，有力保障对历史城区、历史文化街区、历史地段和历史建筑等历史文化遗产资源的保护</w:t>
      </w:r>
      <w:bookmarkEnd w:id="204"/>
      <w:r>
        <w:rPr>
          <w:rFonts w:hint="eastAsia" w:ascii="Times" w:hAnsi="Times" w:cs="宋体"/>
          <w:sz w:val="24"/>
          <w:szCs w:val="20"/>
        </w:rPr>
        <w:t>。</w:t>
      </w:r>
    </w:p>
    <w:p>
      <w:pPr>
        <w:pStyle w:val="4"/>
        <w:numPr>
          <w:ilvl w:val="0"/>
          <w:numId w:val="2"/>
        </w:numPr>
        <w:spacing w:before="312" w:beforeLines="100" w:after="0" w:line="415" w:lineRule="auto"/>
        <w:jc w:val="both"/>
        <w:rPr>
          <w:sz w:val="24"/>
          <w:szCs w:val="24"/>
        </w:rPr>
      </w:pPr>
      <w:r>
        <w:rPr>
          <w:rFonts w:hint="eastAsia"/>
          <w:sz w:val="24"/>
          <w:szCs w:val="24"/>
        </w:rPr>
        <w:t>协调运作</w:t>
      </w:r>
    </w:p>
    <w:p>
      <w:pPr>
        <w:ind w:firstLine="480"/>
        <w:rPr>
          <w:rFonts w:ascii="Times" w:hAnsi="Times" w:cs="宋体"/>
          <w:sz w:val="24"/>
          <w:szCs w:val="20"/>
        </w:rPr>
      </w:pPr>
      <w:bookmarkStart w:id="205" w:name="_Hlk169618995"/>
      <w:r>
        <w:rPr>
          <w:rFonts w:hint="eastAsia" w:ascii="Times" w:hAnsi="Times" w:cs="宋体"/>
          <w:sz w:val="24"/>
          <w:szCs w:val="20"/>
        </w:rPr>
        <w:t>历史文化名城的保护涉及到自然资源、住房建设、文物、林业、应急、水务、市政和环保等多个政府职能部门，成立南雄市历史文化名城管理委员会，负责保护工作的统筹、指导、协调、监督，不断完善政府部门协作机制，形成协同推动历史文化名城保护的工作合力</w:t>
      </w:r>
      <w:bookmarkEnd w:id="205"/>
      <w:r>
        <w:rPr>
          <w:rFonts w:hint="eastAsia" w:ascii="Times" w:hAnsi="Times" w:cs="宋体"/>
          <w:sz w:val="24"/>
          <w:szCs w:val="20"/>
        </w:rPr>
        <w:t>。</w:t>
      </w:r>
    </w:p>
    <w:p>
      <w:pPr>
        <w:pStyle w:val="4"/>
        <w:numPr>
          <w:ilvl w:val="0"/>
          <w:numId w:val="2"/>
        </w:numPr>
        <w:spacing w:before="312" w:beforeLines="100" w:after="0" w:line="415" w:lineRule="auto"/>
        <w:jc w:val="both"/>
        <w:rPr>
          <w:sz w:val="24"/>
          <w:szCs w:val="24"/>
        </w:rPr>
      </w:pPr>
      <w:r>
        <w:rPr>
          <w:rFonts w:hint="eastAsia"/>
          <w:sz w:val="24"/>
          <w:szCs w:val="24"/>
        </w:rPr>
        <w:t>资金保障</w:t>
      </w:r>
    </w:p>
    <w:p>
      <w:pPr>
        <w:ind w:firstLine="480"/>
        <w:rPr>
          <w:rFonts w:ascii="Times" w:hAnsi="Times" w:cs="宋体"/>
          <w:bCs/>
          <w:sz w:val="24"/>
          <w:szCs w:val="20"/>
        </w:rPr>
      </w:pPr>
      <w:bookmarkStart w:id="206" w:name="_Hlk136012149"/>
      <w:r>
        <w:rPr>
          <w:rFonts w:hint="eastAsia" w:ascii="Times" w:hAnsi="Times" w:cs="宋体"/>
          <w:bCs/>
          <w:sz w:val="24"/>
          <w:szCs w:val="20"/>
        </w:rPr>
        <w:t>加大各级财政在历史保护传承方面的资金投入。按程序申请历史文化名城保护资金列入财政预算，并随财政预算的增长而同步增加，专项用于保护；</w:t>
      </w:r>
      <w:bookmarkStart w:id="207" w:name="_Hlk169621787"/>
      <w:r>
        <w:rPr>
          <w:rFonts w:hint="eastAsia" w:ascii="Times" w:hAnsi="Times" w:cs="宋体"/>
          <w:bCs/>
          <w:sz w:val="24"/>
          <w:szCs w:val="20"/>
        </w:rPr>
        <w:t>完善保护资金使用办法，并加强相关资金使用的监督管理。健全历史文化名城保护资金的规范化、制度化的分配机制。建立政府、市场、业主共同参与修缮的资金投入机制。鼓励和引导社会资本参与历史文化保护传承工作，拓宽保护资金来源渠道</w:t>
      </w:r>
      <w:bookmarkEnd w:id="207"/>
      <w:r>
        <w:rPr>
          <w:rFonts w:hint="eastAsia" w:ascii="Times" w:hAnsi="Times" w:cs="宋体"/>
          <w:bCs/>
          <w:sz w:val="24"/>
          <w:szCs w:val="20"/>
        </w:rPr>
        <w:t>。</w:t>
      </w:r>
    </w:p>
    <w:bookmarkEnd w:id="206"/>
    <w:p>
      <w:pPr>
        <w:pStyle w:val="4"/>
        <w:numPr>
          <w:ilvl w:val="0"/>
          <w:numId w:val="2"/>
        </w:numPr>
        <w:spacing w:before="312" w:beforeLines="100" w:after="0" w:line="415" w:lineRule="auto"/>
        <w:jc w:val="both"/>
        <w:rPr>
          <w:sz w:val="24"/>
          <w:szCs w:val="24"/>
        </w:rPr>
      </w:pPr>
      <w:r>
        <w:rPr>
          <w:rFonts w:hint="eastAsia"/>
          <w:sz w:val="24"/>
          <w:szCs w:val="24"/>
        </w:rPr>
        <w:t>社会参与</w:t>
      </w:r>
    </w:p>
    <w:p>
      <w:pPr>
        <w:ind w:firstLine="468" w:firstLineChars="195"/>
        <w:rPr>
          <w:rFonts w:ascii="Times" w:hAnsi="Times" w:cs="宋体"/>
          <w:bCs/>
          <w:sz w:val="24"/>
          <w:szCs w:val="20"/>
        </w:rPr>
      </w:pPr>
      <w:r>
        <w:rPr>
          <w:rFonts w:hint="eastAsia" w:ascii="Times" w:hAnsi="Times" w:cs="宋体"/>
          <w:bCs/>
          <w:sz w:val="24"/>
          <w:szCs w:val="20"/>
        </w:rPr>
        <w:t>鼓励市民参与名城保护事业，扶持民间保护组织，鼓励居民在各环节参与。引导社区保护和利用当地历史文化遗存，建立社区保护组织，自筹资金保护利用文化遗产。利用多种媒介宣传南雄历史文化的价值和地位，强化南雄历史文化名城形象，展示南雄历史文化价值。支持高校、研究机构、企业在南雄开展传统建造人才培训，完善工匠专业培训和激励机制，推进技术人才队伍建设。发挥社会组织作用，开展历史文化遗产巡查和保护，成立监督管理协会，实施传统村落巡管员制度，确保历史建筑和传统村落的安全和维护。</w:t>
      </w:r>
    </w:p>
    <w:p>
      <w:pPr>
        <w:pStyle w:val="4"/>
        <w:numPr>
          <w:ilvl w:val="0"/>
          <w:numId w:val="2"/>
        </w:numPr>
        <w:spacing w:before="312" w:beforeLines="100" w:after="0" w:line="415" w:lineRule="auto"/>
        <w:jc w:val="both"/>
        <w:rPr>
          <w:sz w:val="24"/>
          <w:szCs w:val="24"/>
        </w:rPr>
      </w:pPr>
      <w:r>
        <w:rPr>
          <w:rFonts w:hint="eastAsia"/>
          <w:sz w:val="24"/>
          <w:szCs w:val="24"/>
        </w:rPr>
        <w:t>规划编制</w:t>
      </w:r>
    </w:p>
    <w:p>
      <w:pPr>
        <w:ind w:firstLine="468" w:firstLineChars="195"/>
        <w:rPr>
          <w:rFonts w:ascii="Times" w:hAnsi="Times" w:cs="宋体"/>
          <w:bCs/>
          <w:sz w:val="24"/>
          <w:szCs w:val="20"/>
        </w:rPr>
      </w:pPr>
      <w:r>
        <w:rPr>
          <w:rFonts w:hint="eastAsia" w:ascii="Times" w:hAnsi="Times" w:cs="宋体"/>
          <w:bCs/>
          <w:sz w:val="24"/>
          <w:szCs w:val="20"/>
        </w:rPr>
        <w:t>各类保护规划应以本规划为总纲，保护内容和保护要求应在符合本规划要求基础上进行深化和细化；其他专项规划应加强与本规划的衔接。完善历史城区、历史地段、古镇古村、文物保护单位、历史建筑保护规划编制。古镇古村所在的镇国土规划和村庄规划应设置历史文化保护专章，落实保护要求、细化保护措施。</w:t>
      </w:r>
    </w:p>
    <w:p>
      <w:pPr>
        <w:pStyle w:val="4"/>
        <w:numPr>
          <w:ilvl w:val="0"/>
          <w:numId w:val="2"/>
        </w:numPr>
        <w:spacing w:before="312" w:beforeLines="100" w:after="0" w:line="415" w:lineRule="auto"/>
        <w:jc w:val="both"/>
        <w:rPr>
          <w:rFonts w:ascii="Times" w:hAnsi="Times" w:cs="宋体"/>
          <w:bCs w:val="0"/>
          <w:sz w:val="24"/>
          <w:szCs w:val="20"/>
        </w:rPr>
      </w:pPr>
      <w:r>
        <w:rPr>
          <w:rFonts w:hint="eastAsia"/>
          <w:sz w:val="24"/>
          <w:szCs w:val="24"/>
        </w:rPr>
        <w:t>挂牌建档</w:t>
      </w:r>
    </w:p>
    <w:p>
      <w:pPr>
        <w:ind w:firstLine="468" w:firstLineChars="195"/>
        <w:rPr>
          <w:rFonts w:ascii="Times" w:hAnsi="Times" w:cs="宋体"/>
          <w:bCs/>
          <w:sz w:val="24"/>
          <w:szCs w:val="20"/>
        </w:rPr>
      </w:pPr>
      <w:bookmarkStart w:id="208" w:name="_Hlk169624726"/>
      <w:r>
        <w:rPr>
          <w:rFonts w:hint="eastAsia" w:ascii="Times" w:hAnsi="Times" w:cs="宋体"/>
          <w:bCs/>
          <w:sz w:val="24"/>
          <w:szCs w:val="20"/>
        </w:rPr>
        <w:t>全面推进挂牌建档工作，留存保护对象身份信息。全面梳理南雄市历史文化遗存，建立历史文化名城保护传承体系数据库，将文物古迹、传统风貌、地方特色及非物质文化遗产等各类文字、声像、实物等资料整理归档，以文字、录音、录像、测绘、数字化多媒体等方式留存历史记忆。</w:t>
      </w:r>
    </w:p>
    <w:p>
      <w:pPr>
        <w:ind w:firstLine="468" w:firstLineChars="195"/>
        <w:rPr>
          <w:rFonts w:ascii="Times" w:hAnsi="Times" w:cs="宋体"/>
          <w:bCs/>
          <w:sz w:val="24"/>
          <w:szCs w:val="20"/>
        </w:rPr>
      </w:pPr>
      <w:r>
        <w:rPr>
          <w:rFonts w:hint="eastAsia" w:ascii="Times" w:hAnsi="Times" w:cs="宋体"/>
          <w:bCs/>
          <w:sz w:val="24"/>
          <w:szCs w:val="20"/>
        </w:rPr>
        <w:t>建立历史文化资源的普查、增补、升级的动态保护机制。定期开展历史文化资源普查，根据保护改善的实际情况，对保护对象名录进行动态调整，形成常态化增补和动态升级机制；适时更新和优化各类保护范围，细化保护管理规定，逐步形成抢救性保护与常态化保护相结合的长效保护机制</w:t>
      </w:r>
      <w:bookmarkEnd w:id="208"/>
      <w:r>
        <w:rPr>
          <w:rFonts w:hint="eastAsia" w:ascii="Times" w:hAnsi="Times" w:cs="宋体"/>
          <w:bCs/>
          <w:sz w:val="24"/>
          <w:szCs w:val="20"/>
        </w:rPr>
        <w:t>。</w:t>
      </w:r>
    </w:p>
    <w:p>
      <w:pPr>
        <w:pStyle w:val="4"/>
        <w:numPr>
          <w:ilvl w:val="0"/>
          <w:numId w:val="2"/>
        </w:numPr>
        <w:spacing w:before="312" w:beforeLines="100" w:after="0" w:line="415" w:lineRule="auto"/>
        <w:jc w:val="both"/>
        <w:rPr>
          <w:sz w:val="24"/>
          <w:szCs w:val="24"/>
        </w:rPr>
      </w:pPr>
      <w:r>
        <w:rPr>
          <w:rFonts w:hint="eastAsia"/>
          <w:sz w:val="24"/>
          <w:szCs w:val="24"/>
        </w:rPr>
        <w:t>日常监管</w:t>
      </w:r>
    </w:p>
    <w:p>
      <w:pPr>
        <w:ind w:firstLine="468" w:firstLineChars="195"/>
        <w:rPr>
          <w:rFonts w:ascii="Times" w:hAnsi="Times" w:cs="宋体"/>
          <w:bCs/>
          <w:sz w:val="24"/>
          <w:szCs w:val="20"/>
        </w:rPr>
      </w:pPr>
      <w:bookmarkStart w:id="209" w:name="_Hlk169625325"/>
      <w:r>
        <w:rPr>
          <w:rFonts w:hint="eastAsia" w:ascii="Times" w:hAnsi="Times" w:cs="宋体"/>
          <w:bCs/>
          <w:sz w:val="24"/>
          <w:szCs w:val="20"/>
        </w:rPr>
        <w:t>设立“每年自体检、五年一评估”的保护工作常态化体检评估制度。</w:t>
      </w:r>
      <w:bookmarkEnd w:id="209"/>
      <w:r>
        <w:rPr>
          <w:rFonts w:hint="eastAsia" w:ascii="Times" w:hAnsi="Times" w:cs="宋体"/>
          <w:bCs/>
          <w:sz w:val="24"/>
          <w:szCs w:val="20"/>
        </w:rPr>
        <w:t>将日常巡查工作纳入社区网格化管理，加强对保护规划实施情况的跟踪分析和监督检查，及时发现保护工作中的存在问题。</w:t>
      </w:r>
    </w:p>
    <w:p>
      <w:pPr>
        <w:pStyle w:val="2"/>
        <w:ind w:left="0"/>
      </w:pPr>
      <w:bookmarkStart w:id="210" w:name="_Toc204964379"/>
      <w:r>
        <w:rPr>
          <w:rFonts w:hint="eastAsia"/>
        </w:rPr>
        <w:t>附则</w:t>
      </w:r>
      <w:bookmarkEnd w:id="210"/>
    </w:p>
    <w:p>
      <w:pPr>
        <w:pStyle w:val="4"/>
        <w:numPr>
          <w:ilvl w:val="0"/>
          <w:numId w:val="2"/>
        </w:numPr>
        <w:spacing w:before="312" w:beforeLines="100" w:after="0" w:line="415" w:lineRule="auto"/>
        <w:jc w:val="both"/>
        <w:rPr>
          <w:sz w:val="24"/>
          <w:szCs w:val="24"/>
        </w:rPr>
      </w:pPr>
      <w:bookmarkStart w:id="211" w:name="_Toc135989725"/>
      <w:r>
        <w:rPr>
          <w:rFonts w:hint="eastAsia"/>
          <w:sz w:val="24"/>
          <w:szCs w:val="24"/>
        </w:rPr>
        <w:t>成果效力</w:t>
      </w:r>
    </w:p>
    <w:p>
      <w:pPr>
        <w:ind w:firstLine="480"/>
        <w:rPr>
          <w:rFonts w:ascii="Times" w:hAnsi="Times" w:cs="宋体"/>
          <w:bCs/>
          <w:sz w:val="24"/>
          <w:szCs w:val="20"/>
        </w:rPr>
      </w:pPr>
      <w:r>
        <w:rPr>
          <w:rFonts w:hint="eastAsia" w:ascii="Times" w:hAnsi="Times" w:cs="宋体"/>
          <w:bCs/>
          <w:sz w:val="24"/>
          <w:szCs w:val="20"/>
        </w:rPr>
        <w:t>本规划是按《中华人民共和国城乡规划法》《中华人民共和国文物保护法》《历史文化名城名镇名村保护条例》等法律法规制定的专项规划，在本规划范围内进行历史文化遗产的各项保护工作和建设活动，均应执行本规划的相关规定与要求。</w:t>
      </w:r>
    </w:p>
    <w:p>
      <w:pPr>
        <w:pStyle w:val="4"/>
        <w:numPr>
          <w:ilvl w:val="0"/>
          <w:numId w:val="2"/>
        </w:numPr>
        <w:spacing w:before="312" w:beforeLines="100" w:after="0" w:line="415" w:lineRule="auto"/>
        <w:jc w:val="both"/>
        <w:rPr>
          <w:sz w:val="24"/>
          <w:szCs w:val="24"/>
        </w:rPr>
      </w:pPr>
      <w:r>
        <w:rPr>
          <w:rFonts w:hint="eastAsia"/>
          <w:sz w:val="24"/>
          <w:szCs w:val="24"/>
        </w:rPr>
        <w:t>强制性条文说明</w:t>
      </w:r>
      <w:bookmarkEnd w:id="211"/>
    </w:p>
    <w:p>
      <w:pPr>
        <w:ind w:firstLine="480"/>
        <w:jc w:val="left"/>
        <w:rPr>
          <w:rFonts w:ascii="Times" w:hAnsi="Times" w:cs="宋体"/>
          <w:bCs/>
          <w:sz w:val="24"/>
          <w:szCs w:val="20"/>
        </w:rPr>
      </w:pPr>
      <w:r>
        <w:rPr>
          <w:rFonts w:hint="eastAsia" w:ascii="Times" w:hAnsi="Times" w:cs="宋体"/>
          <w:bCs/>
          <w:sz w:val="24"/>
          <w:szCs w:val="20"/>
        </w:rPr>
        <w:t>文本中带下划线部分为强制性内容。</w:t>
      </w:r>
    </w:p>
    <w:p>
      <w:pPr>
        <w:pStyle w:val="4"/>
        <w:numPr>
          <w:ilvl w:val="0"/>
          <w:numId w:val="2"/>
        </w:numPr>
        <w:spacing w:before="312" w:beforeLines="100" w:after="0" w:line="415" w:lineRule="auto"/>
        <w:jc w:val="both"/>
        <w:rPr>
          <w:sz w:val="24"/>
          <w:szCs w:val="24"/>
        </w:rPr>
      </w:pPr>
      <w:bookmarkStart w:id="212" w:name="_Toc135989726"/>
      <w:r>
        <w:rPr>
          <w:rFonts w:hint="eastAsia"/>
          <w:sz w:val="24"/>
          <w:szCs w:val="24"/>
        </w:rPr>
        <w:t>规划调整</w:t>
      </w:r>
      <w:bookmarkEnd w:id="212"/>
      <w:r>
        <w:rPr>
          <w:rFonts w:hint="eastAsia"/>
          <w:sz w:val="24"/>
          <w:szCs w:val="24"/>
        </w:rPr>
        <w:t>规定</w:t>
      </w:r>
    </w:p>
    <w:p>
      <w:pPr>
        <w:ind w:firstLine="480"/>
        <w:jc w:val="left"/>
        <w:rPr>
          <w:rFonts w:ascii="Times" w:hAnsi="Times" w:cs="宋体"/>
          <w:bCs/>
          <w:sz w:val="24"/>
          <w:szCs w:val="20"/>
        </w:rPr>
      </w:pPr>
      <w:r>
        <w:rPr>
          <w:rFonts w:hint="eastAsia" w:ascii="Times" w:hAnsi="Times" w:cs="宋体"/>
          <w:bCs/>
          <w:sz w:val="24"/>
          <w:szCs w:val="20"/>
        </w:rPr>
        <w:t>规划一经批准，原则上不得调整。因经济和社会发展需要，确需调整的，必须经过相关法规规定的规划审批程序批准。</w:t>
      </w:r>
    </w:p>
    <w:p>
      <w:pPr>
        <w:pStyle w:val="4"/>
        <w:numPr>
          <w:ilvl w:val="0"/>
          <w:numId w:val="2"/>
        </w:numPr>
        <w:spacing w:before="312" w:beforeLines="100" w:after="0" w:line="415" w:lineRule="auto"/>
        <w:jc w:val="both"/>
        <w:rPr>
          <w:sz w:val="24"/>
          <w:szCs w:val="24"/>
        </w:rPr>
      </w:pPr>
      <w:bookmarkStart w:id="213" w:name="_Toc135989727"/>
      <w:r>
        <w:rPr>
          <w:rFonts w:hint="eastAsia"/>
          <w:sz w:val="24"/>
          <w:szCs w:val="24"/>
        </w:rPr>
        <w:t>实施主体</w:t>
      </w:r>
      <w:bookmarkEnd w:id="213"/>
    </w:p>
    <w:p>
      <w:pPr>
        <w:ind w:firstLine="480"/>
        <w:jc w:val="left"/>
        <w:rPr>
          <w:rFonts w:ascii="Times" w:hAnsi="Times" w:cs="宋体"/>
          <w:bCs/>
          <w:sz w:val="24"/>
          <w:szCs w:val="20"/>
        </w:rPr>
      </w:pPr>
      <w:r>
        <w:rPr>
          <w:rFonts w:hint="eastAsia" w:ascii="Times" w:hAnsi="Times" w:cs="宋体"/>
          <w:bCs/>
          <w:sz w:val="24"/>
          <w:szCs w:val="20"/>
        </w:rPr>
        <w:t>本规划由南雄市人民政府作为牵头部门组织编制。南雄市保护规划</w:t>
      </w:r>
      <w:r>
        <w:rPr>
          <w:rFonts w:ascii="Times" w:hAnsi="Times" w:cs="宋体"/>
          <w:bCs/>
          <w:sz w:val="24"/>
          <w:szCs w:val="20"/>
        </w:rPr>
        <w:t>主管部门、文物保护行政主管部门提供技术支持。</w:t>
      </w:r>
    </w:p>
    <w:p>
      <w:pPr>
        <w:pStyle w:val="4"/>
        <w:numPr>
          <w:ilvl w:val="0"/>
          <w:numId w:val="2"/>
        </w:numPr>
        <w:spacing w:before="312" w:beforeLines="100" w:after="0" w:line="415" w:lineRule="auto"/>
        <w:jc w:val="both"/>
        <w:rPr>
          <w:sz w:val="24"/>
          <w:szCs w:val="24"/>
        </w:rPr>
      </w:pPr>
      <w:bookmarkStart w:id="214" w:name="_Toc135989728"/>
      <w:r>
        <w:rPr>
          <w:rFonts w:hint="eastAsia"/>
          <w:sz w:val="24"/>
          <w:szCs w:val="24"/>
        </w:rPr>
        <w:t>解释权说明</w:t>
      </w:r>
      <w:bookmarkEnd w:id="214"/>
    </w:p>
    <w:p>
      <w:pPr>
        <w:ind w:firstLine="480"/>
        <w:jc w:val="left"/>
        <w:rPr>
          <w:rFonts w:ascii="Times" w:hAnsi="Times" w:cs="宋体"/>
          <w:bCs/>
          <w:sz w:val="24"/>
          <w:szCs w:val="20"/>
        </w:rPr>
      </w:pPr>
      <w:r>
        <w:rPr>
          <w:rFonts w:hint="eastAsia" w:ascii="Times" w:hAnsi="Times" w:cs="宋体"/>
          <w:bCs/>
          <w:sz w:val="24"/>
          <w:szCs w:val="20"/>
        </w:rPr>
        <w:t>本规划由南雄市保护规划主管部门负责解释。</w:t>
      </w:r>
    </w:p>
    <w:p>
      <w:pPr>
        <w:pStyle w:val="4"/>
        <w:numPr>
          <w:ilvl w:val="0"/>
          <w:numId w:val="2"/>
        </w:numPr>
        <w:spacing w:before="312" w:beforeLines="100" w:after="0" w:line="415" w:lineRule="auto"/>
        <w:jc w:val="both"/>
        <w:rPr>
          <w:sz w:val="24"/>
          <w:szCs w:val="24"/>
        </w:rPr>
      </w:pPr>
      <w:r>
        <w:rPr>
          <w:rFonts w:hint="eastAsia"/>
          <w:sz w:val="24"/>
          <w:szCs w:val="24"/>
        </w:rPr>
        <w:t>补充说明</w:t>
      </w:r>
    </w:p>
    <w:p>
      <w:pPr>
        <w:ind w:firstLine="480"/>
        <w:rPr>
          <w:rFonts w:ascii="Times" w:hAnsi="Times" w:cs="宋体"/>
          <w:bCs/>
          <w:sz w:val="24"/>
          <w:szCs w:val="20"/>
        </w:rPr>
      </w:pPr>
      <w:r>
        <w:rPr>
          <w:rFonts w:hint="eastAsia" w:ascii="Times" w:hAnsi="Times" w:cs="宋体"/>
          <w:bCs/>
          <w:sz w:val="24"/>
          <w:szCs w:val="20"/>
        </w:rPr>
        <w:t>本规划由规划文本、图集和附件三部分组成</w:t>
      </w:r>
      <w:r>
        <w:rPr>
          <w:rFonts w:ascii="Times" w:hAnsi="Times" w:cs="宋体"/>
          <w:bCs/>
          <w:sz w:val="24"/>
          <w:szCs w:val="20"/>
        </w:rPr>
        <w:t>。</w:t>
      </w:r>
      <w:r>
        <w:rPr>
          <w:rFonts w:hint="eastAsia" w:ascii="Times" w:hAnsi="Times" w:cs="宋体"/>
          <w:bCs/>
          <w:sz w:val="24"/>
          <w:szCs w:val="20"/>
        </w:rPr>
        <w:t>成果</w:t>
      </w:r>
      <w:r>
        <w:rPr>
          <w:rFonts w:ascii="Times" w:hAnsi="Times" w:cs="宋体"/>
          <w:bCs/>
          <w:sz w:val="24"/>
          <w:szCs w:val="20"/>
        </w:rPr>
        <w:t>附件包括规划</w:t>
      </w:r>
      <w:r>
        <w:rPr>
          <w:rFonts w:hint="eastAsia" w:ascii="Times" w:hAnsi="Times" w:cs="宋体"/>
          <w:bCs/>
          <w:sz w:val="24"/>
          <w:szCs w:val="20"/>
        </w:rPr>
        <w:t>说明书、基础资料汇编，其中规划说明书是对规划条款的说明、解释和论证。规划文本与图集具有同等法律效力。</w:t>
      </w:r>
    </w:p>
    <w:p>
      <w:pPr>
        <w:ind w:firstLine="480"/>
        <w:rPr>
          <w:rFonts w:ascii="Times" w:hAnsi="Times" w:cs="宋体"/>
          <w:bCs/>
          <w:sz w:val="24"/>
          <w:szCs w:val="20"/>
        </w:rPr>
      </w:pPr>
      <w:r>
        <w:rPr>
          <w:rFonts w:hint="eastAsia" w:ascii="Times" w:hAnsi="Times" w:cs="宋体"/>
          <w:bCs/>
          <w:sz w:val="24"/>
          <w:szCs w:val="20"/>
        </w:rPr>
        <w:t>本规划未涉及的文化遗存保护的其他内容，应按中华人民共和国、广东省及韶关市的相关法规、规定执行</w:t>
      </w:r>
    </w:p>
    <w:p>
      <w:pPr>
        <w:pStyle w:val="4"/>
        <w:numPr>
          <w:ilvl w:val="0"/>
          <w:numId w:val="2"/>
        </w:numPr>
        <w:spacing w:before="312" w:beforeLines="100" w:after="0" w:line="415" w:lineRule="auto"/>
        <w:jc w:val="both"/>
        <w:rPr>
          <w:sz w:val="24"/>
          <w:szCs w:val="24"/>
        </w:rPr>
      </w:pPr>
      <w:r>
        <w:rPr>
          <w:rFonts w:hint="eastAsia"/>
          <w:sz w:val="24"/>
          <w:szCs w:val="24"/>
        </w:rPr>
        <w:t>规划施行时间</w:t>
      </w:r>
    </w:p>
    <w:p>
      <w:pPr>
        <w:ind w:firstLine="480"/>
        <w:jc w:val="left"/>
        <w:rPr>
          <w:rFonts w:ascii="Times" w:hAnsi="Times" w:cs="宋体"/>
          <w:bCs/>
          <w:sz w:val="24"/>
          <w:szCs w:val="20"/>
        </w:rPr>
      </w:pPr>
      <w:r>
        <w:rPr>
          <w:rFonts w:hint="eastAsia" w:ascii="Times" w:hAnsi="Times" w:cs="宋体"/>
          <w:bCs/>
          <w:sz w:val="24"/>
          <w:szCs w:val="20"/>
        </w:rPr>
        <w:t>本规划自批准之日起实施。</w:t>
      </w:r>
    </w:p>
    <w:p>
      <w:pPr>
        <w:ind w:firstLine="480"/>
        <w:rPr>
          <w:sz w:val="24"/>
          <w:szCs w:val="24"/>
          <w:highlight w:val="yellow"/>
        </w:rPr>
        <w:sectPr>
          <w:pgSz w:w="11907" w:h="16839"/>
          <w:pgMar w:top="1440" w:right="1080" w:bottom="1440" w:left="1080" w:header="851" w:footer="737" w:gutter="0"/>
          <w:cols w:space="425" w:num="1"/>
          <w:docGrid w:type="lines" w:linePitch="312" w:charSpace="0"/>
        </w:sectPr>
      </w:pPr>
    </w:p>
    <w:p>
      <w:pPr>
        <w:pStyle w:val="2"/>
        <w:numPr>
          <w:ilvl w:val="0"/>
          <w:numId w:val="0"/>
        </w:numPr>
        <w:spacing w:before="0" w:after="0"/>
        <w:jc w:val="left"/>
      </w:pPr>
      <w:bookmarkStart w:id="215" w:name="_Toc204964380"/>
      <w:bookmarkStart w:id="216" w:name="_Toc135989729"/>
      <w:bookmarkStart w:id="217" w:name="_Hlk96783315"/>
      <w:r>
        <w:rPr>
          <w:rFonts w:hint="eastAsia"/>
        </w:rPr>
        <w:t>附表</w:t>
      </w:r>
      <w:bookmarkEnd w:id="215"/>
      <w:bookmarkEnd w:id="216"/>
    </w:p>
    <w:bookmarkEnd w:id="217"/>
    <w:p>
      <w:pPr>
        <w:pStyle w:val="3"/>
        <w:spacing w:before="0" w:after="0"/>
        <w:ind w:firstLine="482"/>
        <w:rPr>
          <w:rFonts w:ascii="Times" w:hAnsi="Times" w:cs="宋体"/>
          <w:bCs w:val="0"/>
          <w:sz w:val="28"/>
          <w:szCs w:val="28"/>
        </w:rPr>
      </w:pPr>
      <w:bookmarkStart w:id="218" w:name="_Toc204964381"/>
      <w:bookmarkStart w:id="219" w:name="_Toc135989730"/>
      <w:bookmarkStart w:id="220" w:name="_Hlk96783425"/>
      <w:r>
        <w:rPr>
          <w:rFonts w:hint="eastAsia" w:ascii="Times" w:hAnsi="Times" w:cs="宋体"/>
          <w:bCs w:val="0"/>
          <w:sz w:val="28"/>
          <w:szCs w:val="28"/>
        </w:rPr>
        <w:t>附表1：市域保护要素一览表</w:t>
      </w:r>
      <w:bookmarkEnd w:id="218"/>
      <w:bookmarkEnd w:id="219"/>
    </w:p>
    <w:bookmarkEnd w:id="220"/>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1984"/>
        <w:gridCol w:w="2552"/>
        <w:gridCol w:w="14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555" w:type="dxa"/>
            <w:shd w:val="clear" w:color="auto" w:fill="D0CECE" w:themeFill="background2" w:themeFillShade="E6"/>
            <w:vAlign w:val="center"/>
          </w:tcPr>
          <w:p>
            <w:pPr>
              <w:widowControl w:val="0"/>
              <w:ind w:firstLine="0" w:firstLineChars="0"/>
              <w:jc w:val="center"/>
              <w:rPr>
                <w:rFonts w:ascii="Times" w:hAnsi="Times" w:cs="宋体"/>
                <w:b/>
                <w:kern w:val="0"/>
                <w:sz w:val="21"/>
                <w:szCs w:val="21"/>
              </w:rPr>
            </w:pPr>
            <w:bookmarkStart w:id="221" w:name="_Hlk96783458"/>
            <w:r>
              <w:rPr>
                <w:rFonts w:hint="eastAsia" w:ascii="Times" w:hAnsi="Times" w:cs="宋体"/>
                <w:b/>
                <w:kern w:val="0"/>
                <w:sz w:val="21"/>
                <w:szCs w:val="21"/>
              </w:rPr>
              <w:t>要素类别</w:t>
            </w:r>
          </w:p>
        </w:tc>
        <w:tc>
          <w:tcPr>
            <w:tcW w:w="4536" w:type="dxa"/>
            <w:gridSpan w:val="2"/>
            <w:shd w:val="clear" w:color="auto" w:fill="D0CECE" w:themeFill="background2" w:themeFillShade="E6"/>
            <w:vAlign w:val="center"/>
          </w:tcPr>
          <w:p>
            <w:pPr>
              <w:widowControl w:val="0"/>
              <w:ind w:firstLine="0" w:firstLineChars="0"/>
              <w:jc w:val="center"/>
              <w:rPr>
                <w:rFonts w:ascii="Times" w:hAnsi="Times" w:cs="宋体"/>
                <w:b/>
                <w:kern w:val="0"/>
                <w:sz w:val="21"/>
                <w:szCs w:val="21"/>
              </w:rPr>
            </w:pPr>
            <w:r>
              <w:rPr>
                <w:rFonts w:hint="eastAsia" w:ascii="Times" w:hAnsi="Times" w:cs="宋体"/>
                <w:b/>
                <w:kern w:val="0"/>
                <w:sz w:val="21"/>
                <w:szCs w:val="21"/>
              </w:rPr>
              <w:t>要素名称</w:t>
            </w:r>
          </w:p>
        </w:tc>
        <w:tc>
          <w:tcPr>
            <w:tcW w:w="14830" w:type="dxa"/>
            <w:shd w:val="clear" w:color="auto" w:fill="D0CECE" w:themeFill="background2" w:themeFillShade="E6"/>
            <w:vAlign w:val="center"/>
          </w:tcPr>
          <w:p>
            <w:pPr>
              <w:widowControl w:val="0"/>
              <w:ind w:firstLine="0" w:firstLineChars="0"/>
              <w:jc w:val="center"/>
              <w:rPr>
                <w:rFonts w:ascii="Times" w:hAnsi="Times" w:cs="宋体"/>
                <w:b/>
                <w:kern w:val="0"/>
                <w:sz w:val="21"/>
                <w:szCs w:val="21"/>
              </w:rPr>
            </w:pPr>
            <w:r>
              <w:rPr>
                <w:rFonts w:hint="eastAsia" w:ascii="Times" w:hAnsi="Times" w:cs="宋体"/>
                <w:b/>
                <w:kern w:val="0"/>
                <w:sz w:val="21"/>
                <w:szCs w:val="21"/>
              </w:rPr>
              <w:t>具体内容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自然环境</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山体山脉</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南雄南北两面群山连绵，中部盆地丘陵起伏。南部山脉自西南向东北延伸，以青嶂山为主峰，海拔</w:t>
            </w:r>
            <w:r>
              <w:rPr>
                <w:rFonts w:ascii="Times" w:hAnsi="Times" w:cs="宋体"/>
                <w:bCs/>
                <w:kern w:val="0"/>
                <w:sz w:val="21"/>
                <w:szCs w:val="21"/>
              </w:rPr>
              <w:t>917米，西南行有高峰、寨顶埂、山角寨等山岭，东北走有目龙埂、鸦子寨、龙王脑、猪头寨、洪泰山等山岭，南行有王石寨等山岭。北部山脉由西南向东北伸展，以观音山、帽子峰、油山为主峰。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河湖水系</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自然水系：</w:t>
            </w:r>
            <w:r>
              <w:rPr>
                <w:rFonts w:hint="eastAsia" w:ascii="Times" w:hAnsi="Times" w:cs="宋体"/>
                <w:bCs/>
                <w:kern w:val="0"/>
                <w:sz w:val="21"/>
                <w:szCs w:val="21"/>
              </w:rPr>
              <w:t>浈江、凌江、大坪水、下洞水、南山水、邓坊水、黄坑水、大源水、新龙水、南亩水、江头水、瀑布水等</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人工水系：</w:t>
            </w:r>
            <w:r>
              <w:rPr>
                <w:rFonts w:hint="eastAsia" w:ascii="Times" w:hAnsi="Times" w:cs="宋体"/>
                <w:bCs/>
                <w:kern w:val="0"/>
                <w:sz w:val="21"/>
                <w:szCs w:val="21"/>
              </w:rPr>
              <w:t>横江水库、孔江水库、中坪水库、宝江水库、瀑布水库、仓石水库等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历史城区</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南雄历史城区</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南雄历史城区范围为明清时期的雄州古城及沿岸地区，范围北至环城路、东至雄东路、南至浈江、西至凌江，历史城区面积约为</w:t>
            </w:r>
            <w:r>
              <w:rPr>
                <w:rFonts w:ascii="Times" w:hAnsi="Times" w:cs="宋体"/>
                <w:bCs/>
                <w:kern w:val="0"/>
                <w:sz w:val="21"/>
                <w:szCs w:val="21"/>
              </w:rPr>
              <w:t>1.79平方公里。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历史村镇</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历史文化名镇名村（各1个）</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广东省历史文化名镇：</w:t>
            </w:r>
            <w:r>
              <w:rPr>
                <w:rFonts w:hint="eastAsia" w:ascii="Times" w:hAnsi="Times" w:cs="宋体"/>
                <w:bCs/>
                <w:kern w:val="0"/>
                <w:sz w:val="21"/>
                <w:szCs w:val="21"/>
              </w:rPr>
              <w:t>珠玑镇</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广东省历史文化名村：</w:t>
            </w:r>
            <w:r>
              <w:rPr>
                <w:rFonts w:hint="eastAsia" w:ascii="Times" w:hAnsi="Times" w:cs="宋体"/>
                <w:bCs/>
                <w:kern w:val="0"/>
                <w:sz w:val="21"/>
                <w:szCs w:val="21"/>
              </w:rPr>
              <w:t>新田村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传统村落</w:t>
            </w:r>
          </w:p>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（4个，其中1个是历史文化名村）</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中国传统村落（4个，其中新田村是广东省历史文化名村）</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第二批（2</w:t>
            </w:r>
            <w:r>
              <w:rPr>
                <w:rFonts w:ascii="Times" w:hAnsi="Times" w:cs="宋体"/>
                <w:b/>
                <w:kern w:val="0"/>
                <w:sz w:val="21"/>
                <w:szCs w:val="21"/>
              </w:rPr>
              <w:t>013</w:t>
            </w:r>
            <w:r>
              <w:rPr>
                <w:rFonts w:hint="eastAsia" w:ascii="Times" w:hAnsi="Times" w:cs="宋体"/>
                <w:b/>
                <w:kern w:val="0"/>
                <w:sz w:val="21"/>
                <w:szCs w:val="21"/>
              </w:rPr>
              <w:t>年）：</w:t>
            </w:r>
            <w:r>
              <w:rPr>
                <w:rFonts w:hint="eastAsia" w:ascii="Times" w:hAnsi="Times" w:cs="宋体"/>
                <w:bCs/>
                <w:kern w:val="0"/>
                <w:sz w:val="21"/>
                <w:szCs w:val="21"/>
              </w:rPr>
              <w:t>新田村</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第五批（2</w:t>
            </w:r>
            <w:r>
              <w:rPr>
                <w:rFonts w:ascii="Times" w:hAnsi="Times" w:cs="宋体"/>
                <w:b/>
                <w:kern w:val="0"/>
                <w:sz w:val="21"/>
                <w:szCs w:val="21"/>
              </w:rPr>
              <w:t>019</w:t>
            </w:r>
            <w:r>
              <w:rPr>
                <w:rFonts w:hint="eastAsia" w:ascii="Times" w:hAnsi="Times" w:cs="宋体"/>
                <w:b/>
                <w:kern w:val="0"/>
                <w:sz w:val="21"/>
                <w:szCs w:val="21"/>
              </w:rPr>
              <w:t>年）：</w:t>
            </w:r>
            <w:r>
              <w:rPr>
                <w:rFonts w:hint="eastAsia" w:ascii="Times" w:hAnsi="Times" w:cs="宋体"/>
                <w:bCs/>
                <w:kern w:val="0"/>
                <w:sz w:val="21"/>
                <w:szCs w:val="21"/>
              </w:rPr>
              <w:t>上朔村、鱼鲜村、黄屋城村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历史文化街区</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历史文化街区（1处）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珠玑古巷历史文化街区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历史地段</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推荐历史地段（6处）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八一街历史地段、滨江历史地段、中站历史地段、里东历史地段、雉公嵊历史地段、灵潭历史地段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文物古迹</w:t>
            </w:r>
          </w:p>
        </w:tc>
        <w:tc>
          <w:tcPr>
            <w:tcW w:w="1984"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文物保护单位</w:t>
            </w:r>
          </w:p>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（5</w:t>
            </w:r>
            <w:r>
              <w:rPr>
                <w:rFonts w:ascii="Times" w:hAnsi="Times" w:cs="宋体"/>
                <w:bCs/>
                <w:kern w:val="0"/>
                <w:sz w:val="21"/>
                <w:szCs w:val="21"/>
              </w:rPr>
              <w:t>9</w:t>
            </w:r>
            <w:r>
              <w:rPr>
                <w:rFonts w:hint="eastAsia" w:ascii="Times" w:hAnsi="Times" w:cs="宋体"/>
                <w:bCs/>
                <w:kern w:val="0"/>
                <w:sz w:val="21"/>
                <w:szCs w:val="21"/>
              </w:rPr>
              <w:t>处）</w:t>
            </w:r>
          </w:p>
        </w:tc>
        <w:tc>
          <w:tcPr>
            <w:tcW w:w="2552"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全国重点文物保护单位（2处）</w:t>
            </w:r>
          </w:p>
        </w:tc>
        <w:tc>
          <w:tcPr>
            <w:tcW w:w="14830" w:type="dxa"/>
            <w:vAlign w:val="center"/>
          </w:tcPr>
          <w:p>
            <w:pPr>
              <w:widowControl w:val="0"/>
              <w:ind w:firstLine="0" w:firstLineChars="0"/>
              <w:rPr>
                <w:rFonts w:ascii="Times" w:hAnsi="Times" w:cs="宋体"/>
                <w:bCs/>
                <w:kern w:val="0"/>
                <w:sz w:val="21"/>
                <w:szCs w:val="21"/>
              </w:rPr>
            </w:pPr>
            <w:r>
              <w:rPr>
                <w:rFonts w:hint="eastAsia" w:ascii="Times" w:hAnsi="Times" w:cs="宋体"/>
                <w:bCs/>
                <w:kern w:val="0"/>
                <w:sz w:val="21"/>
                <w:szCs w:val="21"/>
              </w:rPr>
              <w:t>三影塔、南粤雄关与古道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1984" w:type="dxa"/>
            <w:vMerge w:val="continue"/>
            <w:vAlign w:val="center"/>
          </w:tcPr>
          <w:p>
            <w:pPr>
              <w:widowControl w:val="0"/>
              <w:ind w:firstLine="0" w:firstLineChars="0"/>
              <w:jc w:val="center"/>
              <w:rPr>
                <w:rFonts w:ascii="Times" w:hAnsi="Times" w:cs="宋体"/>
                <w:bCs/>
                <w:kern w:val="0"/>
                <w:sz w:val="21"/>
                <w:szCs w:val="21"/>
              </w:rPr>
            </w:pPr>
          </w:p>
        </w:tc>
        <w:tc>
          <w:tcPr>
            <w:tcW w:w="2552"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广东省文物保护单位</w:t>
            </w:r>
          </w:p>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1</w:t>
            </w:r>
            <w:r>
              <w:rPr>
                <w:rFonts w:hint="eastAsia" w:ascii="Times" w:hAnsi="Times" w:cs="宋体"/>
                <w:bCs/>
                <w:kern w:val="0"/>
                <w:sz w:val="21"/>
                <w:szCs w:val="21"/>
              </w:rPr>
              <w:t>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珠玑石塔、钟鼓岩摩崖石刻、雄州广州会馆、南雄府城正南门、里东戏台、南雄市瑶坑村中共广东省委旧址、回龙寺塔、溪头塔、南雄府学宫大成殿、平林村惜字塔、新龙塔、小竹塔、水西桥、上朔塔、许村塔、葛坪塔、虎距桥、雪梅祖祠、上朔村《当红军歌》题壁、赣粤边红军独立师第三团团部旧址、大岭下会议旧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1984" w:type="dxa"/>
            <w:vMerge w:val="continue"/>
            <w:vAlign w:val="center"/>
          </w:tcPr>
          <w:p>
            <w:pPr>
              <w:widowControl w:val="0"/>
              <w:ind w:firstLine="0" w:firstLineChars="0"/>
              <w:jc w:val="center"/>
              <w:rPr>
                <w:rFonts w:ascii="Times" w:hAnsi="Times" w:cs="宋体"/>
                <w:bCs/>
                <w:kern w:val="0"/>
                <w:sz w:val="21"/>
                <w:szCs w:val="21"/>
              </w:rPr>
            </w:pPr>
          </w:p>
        </w:tc>
        <w:tc>
          <w:tcPr>
            <w:tcW w:w="2552"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县级文物保护单位</w:t>
            </w:r>
          </w:p>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（3</w:t>
            </w:r>
            <w:r>
              <w:rPr>
                <w:rFonts w:ascii="Times" w:hAnsi="Times" w:cs="宋体"/>
                <w:bCs/>
                <w:kern w:val="0"/>
                <w:sz w:val="21"/>
                <w:szCs w:val="21"/>
              </w:rPr>
              <w:t>6</w:t>
            </w:r>
            <w:r>
              <w:rPr>
                <w:rFonts w:hint="eastAsia" w:ascii="Times" w:hAnsi="Times" w:cs="宋体"/>
                <w:bCs/>
                <w:kern w:val="0"/>
                <w:sz w:val="21"/>
                <w:szCs w:val="21"/>
              </w:rPr>
              <w:t>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珠玑古巷（牌楼）、南雄县苏维埃政府遗址、雄州古城墙、红军标语（恒丰村红军标语、上朔村天爵祠红军标语、新田村红军标语合计为一处）七星世镇（又称水城）、接龙桥（又称多稼桥）、孔塘村进士牌坊、新田村、中站村、溪塘村、鱼鲜村、黄屋城村、乌迳镇白胜村叶氏祠堂、乌迳镇黄塘村叶氏祠堂</w:t>
            </w:r>
          </w:p>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乌迳镇水松董氏祠堂、油山镇爱敬村爱敬堂、油山镇浆田村黄氏一本堂、水口镇篛过村欧阳氏祠堂、黄坑镇茅坑村何氏祠堂、麦铁杖墓、陂头莲塘坳窑址</w:t>
            </w:r>
          </w:p>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铺背窑址、梅岭村司马第、百顺天后宫、上朔村大彭氏宗祠、界址黄坑村严氏宗祠、雄州蓝氏宗祠、杜屋村杜氏宗祠、上嵩花楼、百顺人民会堂、下石村石旌杆、麦必雄墓、中共五岭地委和粤赣湘边人民解放总队机关旧址、廖地村项英、陈毅与李乐天会合旧址、上朔人民会堂、八一街毛泽东居住旧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未核定公布为文物保护单位的不可移动文物（4</w:t>
            </w:r>
            <w:r>
              <w:rPr>
                <w:rFonts w:ascii="Times" w:hAnsi="Times" w:cs="宋体"/>
                <w:bCs/>
                <w:kern w:val="0"/>
                <w:sz w:val="21"/>
                <w:szCs w:val="21"/>
              </w:rPr>
              <w:t>32</w:t>
            </w:r>
            <w:r>
              <w:rPr>
                <w:rFonts w:hint="eastAsia" w:ascii="Times" w:hAnsi="Times" w:cs="宋体"/>
                <w:bCs/>
                <w:kern w:val="0"/>
                <w:sz w:val="21"/>
                <w:szCs w:val="21"/>
              </w:rPr>
              <w:t>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古文化遗址：</w:t>
            </w:r>
            <w:r>
              <w:rPr>
                <w:rFonts w:hint="eastAsia" w:ascii="Times" w:hAnsi="Times" w:cs="宋体"/>
                <w:bCs/>
                <w:kern w:val="0"/>
                <w:sz w:val="21"/>
                <w:szCs w:val="21"/>
              </w:rPr>
              <w:t>延村水城遗址、祇芫城址、黄竹潭遗址、下楼村遗址、甘埠山遗址6处；</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古建筑：</w:t>
            </w:r>
            <w:r>
              <w:rPr>
                <w:rFonts w:hint="eastAsia" w:ascii="Times" w:hAnsi="Times" w:cs="宋体"/>
                <w:bCs/>
                <w:kern w:val="0"/>
                <w:sz w:val="21"/>
                <w:szCs w:val="21"/>
              </w:rPr>
              <w:t>仁和墟门楼、何屋村何公庙、东坑叶氏宗祠、小安乐窝围楼、溪头桥等</w:t>
            </w:r>
            <w:r>
              <w:rPr>
                <w:rFonts w:ascii="Times" w:hAnsi="Times" w:cs="宋体"/>
                <w:bCs/>
                <w:kern w:val="0"/>
                <w:sz w:val="21"/>
                <w:szCs w:val="21"/>
              </w:rPr>
              <w:t>316</w:t>
            </w:r>
            <w:r>
              <w:rPr>
                <w:rFonts w:hint="eastAsia" w:ascii="Times" w:hAnsi="Times" w:cs="宋体"/>
                <w:bCs/>
                <w:kern w:val="0"/>
                <w:sz w:val="21"/>
                <w:szCs w:val="21"/>
              </w:rPr>
              <w:t>处；</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古墓葬：</w:t>
            </w:r>
            <w:r>
              <w:rPr>
                <w:rFonts w:hint="eastAsia" w:ascii="Times" w:hAnsi="Times" w:cs="宋体"/>
                <w:bCs/>
                <w:kern w:val="0"/>
                <w:sz w:val="21"/>
                <w:szCs w:val="21"/>
              </w:rPr>
              <w:t>叶氏祖墓、蕉江赖氏祖墓、平林孔氏祖坟、何昶墓、孔闰墓5处；</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石窟寺和古石刻：</w:t>
            </w:r>
            <w:r>
              <w:rPr>
                <w:rFonts w:hint="eastAsia" w:ascii="Times" w:hAnsi="Times" w:cs="宋体"/>
                <w:bCs/>
                <w:kern w:val="0"/>
                <w:sz w:val="21"/>
                <w:szCs w:val="21"/>
              </w:rPr>
              <w:t>杨沥岩摩崖石刻、真仙岩摩崖石刻2处；</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近代现代重要史迹和代表性建筑：</w:t>
            </w:r>
            <w:r>
              <w:rPr>
                <w:rFonts w:hint="eastAsia" w:ascii="Times" w:hAnsi="Times" w:cs="宋体"/>
                <w:bCs/>
                <w:kern w:val="0"/>
                <w:sz w:val="21"/>
                <w:szCs w:val="21"/>
              </w:rPr>
              <w:t>小金汤围楼、钟屋围楼、叶屋矮围楼、游屋村平安广厦、藏安庐围楼等1</w:t>
            </w:r>
            <w:r>
              <w:rPr>
                <w:rFonts w:ascii="Times" w:hAnsi="Times" w:cs="宋体"/>
                <w:bCs/>
                <w:kern w:val="0"/>
                <w:sz w:val="21"/>
                <w:szCs w:val="21"/>
              </w:rPr>
              <w:t>03</w:t>
            </w:r>
            <w:r>
              <w:rPr>
                <w:rFonts w:hint="eastAsia" w:ascii="Times" w:hAnsi="Times" w:cs="宋体"/>
                <w:bCs/>
                <w:kern w:val="0"/>
                <w:sz w:val="21"/>
                <w:szCs w:val="21"/>
              </w:rPr>
              <w:t>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1984"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历史建筑</w:t>
            </w:r>
          </w:p>
        </w:tc>
        <w:tc>
          <w:tcPr>
            <w:tcW w:w="2552"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历史建筑（</w:t>
            </w:r>
            <w:r>
              <w:rPr>
                <w:rFonts w:ascii="Times" w:hAnsi="Times" w:cs="宋体"/>
                <w:bCs/>
                <w:kern w:val="0"/>
                <w:sz w:val="21"/>
                <w:szCs w:val="21"/>
              </w:rPr>
              <w:t>28</w:t>
            </w:r>
            <w:r>
              <w:rPr>
                <w:rFonts w:hint="eastAsia" w:ascii="Times" w:hAnsi="Times" w:cs="宋体"/>
                <w:bCs/>
                <w:kern w:val="0"/>
                <w:sz w:val="21"/>
                <w:szCs w:val="21"/>
              </w:rPr>
              <w:t>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董氏贵湖公祖厅、南雄古市人民会场、修仁人民会场、村前村头门、密下水供销社、邱萃藻故居、梨树北城门、梨树东城门、上朔树德堂、彭家大院、黄坑村亲仁第、黄竹坪朱氏宗祠、上高陂王氏宗祠（高溯村祠堂</w:t>
            </w:r>
            <w:r>
              <w:rPr>
                <w:rFonts w:ascii="Times" w:hAnsi="Times" w:cs="宋体"/>
                <w:bCs/>
                <w:kern w:val="0"/>
                <w:sz w:val="21"/>
                <w:szCs w:val="21"/>
              </w:rPr>
              <w:t>)</w:t>
            </w:r>
            <w:r>
              <w:rPr>
                <w:rFonts w:hint="eastAsia" w:ascii="Times" w:hAnsi="Times" w:cs="宋体"/>
                <w:bCs/>
                <w:kern w:val="0"/>
                <w:sz w:val="21"/>
                <w:szCs w:val="21"/>
              </w:rPr>
              <w:t>、孔江古桥、人民公园牌坊、梅岭村德兴和商铺、珠玑古巷牌坊、珠玑黄氏宗祠、珠玑黄氏祖居、珠玑谢氏祠堂、珠玑钟氏祠堂、珠玑周氏祠堂、下马碑廊、洋湖老书房、洋湖濂溪周公祠、洋湖卢氏宗祠、上孔围楼、孔地古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1984" w:type="dxa"/>
            <w:vMerge w:val="continue"/>
          </w:tcPr>
          <w:p>
            <w:pPr>
              <w:widowControl w:val="0"/>
              <w:ind w:firstLine="0" w:firstLineChars="0"/>
              <w:jc w:val="center"/>
              <w:rPr>
                <w:rFonts w:ascii="Times" w:hAnsi="Times" w:cs="宋体"/>
                <w:bCs/>
                <w:kern w:val="0"/>
                <w:sz w:val="21"/>
                <w:szCs w:val="21"/>
              </w:rPr>
            </w:pPr>
          </w:p>
        </w:tc>
        <w:tc>
          <w:tcPr>
            <w:tcW w:w="2552"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推荐历史建筑</w:t>
            </w:r>
          </w:p>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w:t>
            </w:r>
            <w:r>
              <w:rPr>
                <w:rFonts w:ascii="Times" w:hAnsi="Times" w:cs="宋体"/>
                <w:bCs/>
                <w:kern w:val="0"/>
                <w:sz w:val="21"/>
                <w:szCs w:val="21"/>
              </w:rPr>
              <w:t>35</w:t>
            </w:r>
            <w:r>
              <w:rPr>
                <w:rFonts w:hint="eastAsia" w:ascii="Times" w:hAnsi="Times" w:cs="宋体"/>
                <w:bCs/>
                <w:kern w:val="0"/>
                <w:sz w:val="21"/>
                <w:szCs w:val="21"/>
              </w:rPr>
              <w:t>处）</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下龙勾巷</w:t>
            </w:r>
            <w:r>
              <w:rPr>
                <w:rFonts w:ascii="Times" w:hAnsi="Times" w:cs="宋体"/>
                <w:bCs/>
                <w:kern w:val="0"/>
                <w:sz w:val="21"/>
                <w:szCs w:val="21"/>
              </w:rPr>
              <w:t>6号、7号建筑</w:t>
            </w:r>
            <w:r>
              <w:rPr>
                <w:rFonts w:hint="eastAsia" w:ascii="Times" w:hAnsi="Times" w:cs="宋体"/>
                <w:bCs/>
                <w:kern w:val="0"/>
                <w:sz w:val="21"/>
                <w:szCs w:val="21"/>
              </w:rPr>
              <w:t>、彭显模故居、上朔彭氏旧屋——朱德居住旧址、欧氏宗祠、彭显伦将军故居、柴岭人民会场、张尚琼故居、叶明魁烈士故居、永泰门、船塘背宗祠、李氏祖厅、王瑞东住屋楼、内水第、思成堂、三槐堂、余庆堂、李氏祠堂、书院、叶修林烈士故居、泰源张氏祠堂——水口战役红一军团驻地旧址、巡检司、大夫第、正宜书院、民宅自编号</w:t>
            </w:r>
            <w:r>
              <w:rPr>
                <w:rFonts w:ascii="Times" w:hAnsi="Times" w:cs="宋体"/>
                <w:bCs/>
                <w:kern w:val="0"/>
                <w:sz w:val="21"/>
                <w:szCs w:val="21"/>
              </w:rPr>
              <w:t>01</w:t>
            </w:r>
            <w:r>
              <w:rPr>
                <w:rFonts w:hint="eastAsia" w:ascii="Times" w:hAnsi="Times" w:cs="宋体"/>
                <w:bCs/>
                <w:kern w:val="0"/>
                <w:sz w:val="21"/>
                <w:szCs w:val="21"/>
              </w:rPr>
              <w:t>、民宅自编号</w:t>
            </w:r>
            <w:r>
              <w:rPr>
                <w:rFonts w:ascii="Times" w:hAnsi="Times" w:cs="宋体"/>
                <w:bCs/>
                <w:kern w:val="0"/>
                <w:sz w:val="21"/>
                <w:szCs w:val="21"/>
              </w:rPr>
              <w:t>02</w:t>
            </w:r>
            <w:r>
              <w:rPr>
                <w:rFonts w:hint="eastAsia" w:ascii="Times" w:hAnsi="Times" w:cs="宋体"/>
                <w:bCs/>
                <w:kern w:val="0"/>
                <w:sz w:val="21"/>
                <w:szCs w:val="21"/>
              </w:rPr>
              <w:t>、民宅自编号</w:t>
            </w:r>
            <w:r>
              <w:rPr>
                <w:rFonts w:ascii="Times" w:hAnsi="Times" w:cs="宋体"/>
                <w:bCs/>
                <w:kern w:val="0"/>
                <w:sz w:val="21"/>
                <w:szCs w:val="21"/>
              </w:rPr>
              <w:t>03</w:t>
            </w:r>
            <w:r>
              <w:rPr>
                <w:rFonts w:hint="eastAsia" w:ascii="Times" w:hAnsi="Times" w:cs="宋体"/>
                <w:bCs/>
                <w:kern w:val="0"/>
                <w:sz w:val="21"/>
                <w:szCs w:val="21"/>
              </w:rPr>
              <w:t>、民宅自编号</w:t>
            </w:r>
            <w:r>
              <w:rPr>
                <w:rFonts w:ascii="Times" w:hAnsi="Times" w:cs="宋体"/>
                <w:bCs/>
                <w:kern w:val="0"/>
                <w:sz w:val="21"/>
                <w:szCs w:val="21"/>
              </w:rPr>
              <w:t>04</w:t>
            </w:r>
            <w:r>
              <w:rPr>
                <w:rFonts w:hint="eastAsia" w:ascii="Times" w:hAnsi="Times" w:cs="宋体"/>
                <w:bCs/>
                <w:kern w:val="0"/>
                <w:sz w:val="21"/>
                <w:szCs w:val="21"/>
              </w:rPr>
              <w:t>、民宅自编号</w:t>
            </w:r>
            <w:r>
              <w:rPr>
                <w:rFonts w:ascii="Times" w:hAnsi="Times" w:cs="宋体"/>
                <w:bCs/>
                <w:kern w:val="0"/>
                <w:sz w:val="21"/>
                <w:szCs w:val="21"/>
              </w:rPr>
              <w:t>05</w:t>
            </w:r>
            <w:r>
              <w:rPr>
                <w:rFonts w:hint="eastAsia" w:ascii="Times" w:hAnsi="Times" w:cs="宋体"/>
                <w:bCs/>
                <w:kern w:val="0"/>
                <w:sz w:val="21"/>
                <w:szCs w:val="21"/>
              </w:rPr>
              <w:t>、民宅自编号</w:t>
            </w:r>
            <w:r>
              <w:rPr>
                <w:rFonts w:ascii="Times" w:hAnsi="Times" w:cs="宋体"/>
                <w:bCs/>
                <w:kern w:val="0"/>
                <w:sz w:val="21"/>
                <w:szCs w:val="21"/>
              </w:rPr>
              <w:t>06</w:t>
            </w:r>
            <w:r>
              <w:rPr>
                <w:rFonts w:hint="eastAsia" w:ascii="Times" w:hAnsi="Times" w:cs="宋体"/>
                <w:bCs/>
                <w:kern w:val="0"/>
                <w:sz w:val="21"/>
                <w:szCs w:val="21"/>
              </w:rPr>
              <w:t>、民宅自编号</w:t>
            </w:r>
            <w:r>
              <w:rPr>
                <w:rFonts w:ascii="Times" w:hAnsi="Times" w:cs="宋体"/>
                <w:bCs/>
                <w:kern w:val="0"/>
                <w:sz w:val="21"/>
                <w:szCs w:val="21"/>
              </w:rPr>
              <w:t>07</w:t>
            </w:r>
            <w:r>
              <w:rPr>
                <w:rFonts w:hint="eastAsia" w:ascii="Times" w:hAnsi="Times" w:cs="宋体"/>
                <w:bCs/>
                <w:kern w:val="0"/>
                <w:sz w:val="21"/>
                <w:szCs w:val="21"/>
              </w:rPr>
              <w:t>、民宅自编号</w:t>
            </w:r>
            <w:r>
              <w:rPr>
                <w:rFonts w:ascii="Times" w:hAnsi="Times" w:cs="宋体"/>
                <w:bCs/>
                <w:kern w:val="0"/>
                <w:sz w:val="21"/>
                <w:szCs w:val="21"/>
              </w:rPr>
              <w:t>08</w:t>
            </w:r>
            <w:r>
              <w:rPr>
                <w:rFonts w:hint="eastAsia" w:ascii="Times" w:hAnsi="Times" w:cs="宋体"/>
                <w:bCs/>
                <w:kern w:val="0"/>
                <w:sz w:val="21"/>
                <w:szCs w:val="21"/>
              </w:rPr>
              <w:t>、紫气高腾民宅、吉庆堂、张昌故居、周群标故居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其他文物古迹</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线性文化遗产：</w:t>
            </w:r>
            <w:r>
              <w:rPr>
                <w:rFonts w:hint="eastAsia" w:ascii="Times" w:hAnsi="Times" w:cs="宋体"/>
                <w:bCs/>
                <w:kern w:val="0"/>
                <w:sz w:val="21"/>
                <w:szCs w:val="21"/>
              </w:rPr>
              <w:t>5条古驿道（乌迳古驿道、百顺古驿道、水口——南亩古驿道、梅关古驿道、主田——古市古驿道）；</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工业遗产：</w:t>
            </w:r>
            <w:r>
              <w:rPr>
                <w:rFonts w:hint="eastAsia" w:ascii="Times" w:hAnsi="Times" w:cs="宋体"/>
                <w:bCs/>
                <w:kern w:val="0"/>
                <w:sz w:val="21"/>
                <w:szCs w:val="21"/>
              </w:rPr>
              <w:t>南雄市澜河镇国营七四三矿及矿区设施1处；</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重要农业文化遗产：</w:t>
            </w:r>
            <w:r>
              <w:rPr>
                <w:rFonts w:hint="eastAsia" w:ascii="Times" w:hAnsi="Times" w:cs="宋体"/>
                <w:bCs/>
                <w:kern w:val="0"/>
                <w:sz w:val="21"/>
                <w:szCs w:val="21"/>
              </w:rPr>
              <w:t>广东南雄水旱轮作系统1项；</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红色革命遗址：</w:t>
            </w:r>
            <w:r>
              <w:rPr>
                <w:rFonts w:hint="eastAsia" w:ascii="Times" w:hAnsi="Times" w:cs="宋体"/>
                <w:bCs/>
                <w:kern w:val="0"/>
                <w:sz w:val="21"/>
                <w:szCs w:val="21"/>
              </w:rPr>
              <w:t>上朔人民会堂——朔溪乡农民协会旧址、南雄府学宫大成殿——大革命时期国民党南雄县党部旧址等9</w:t>
            </w:r>
            <w:r>
              <w:rPr>
                <w:rFonts w:ascii="Times" w:hAnsi="Times" w:cs="宋体"/>
                <w:bCs/>
                <w:kern w:val="0"/>
                <w:sz w:val="21"/>
                <w:szCs w:val="21"/>
              </w:rPr>
              <w:t>4</w:t>
            </w:r>
            <w:r>
              <w:rPr>
                <w:rFonts w:hint="eastAsia" w:ascii="Times" w:hAnsi="Times" w:cs="宋体"/>
                <w:bCs/>
                <w:kern w:val="0"/>
                <w:sz w:val="21"/>
                <w:szCs w:val="21"/>
              </w:rPr>
              <w:t>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地下文物埋藏区</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根据广东省文物考古研究院划定的地下文物埋藏区，推荐</w:t>
            </w:r>
            <w:r>
              <w:rPr>
                <w:rFonts w:ascii="Times" w:hAnsi="Times" w:cs="宋体"/>
                <w:bCs/>
                <w:kern w:val="0"/>
                <w:sz w:val="21"/>
                <w:szCs w:val="21"/>
              </w:rPr>
              <w:t>2处</w:t>
            </w:r>
            <w:r>
              <w:rPr>
                <w:rFonts w:hint="eastAsia" w:ascii="Times" w:hAnsi="Times" w:cs="宋体"/>
                <w:bCs/>
                <w:kern w:val="0"/>
                <w:sz w:val="21"/>
                <w:szCs w:val="21"/>
              </w:rPr>
              <w:t>南雄市的地下文物埋藏区线索</w:t>
            </w:r>
            <w:r>
              <w:rPr>
                <w:rFonts w:ascii="Times" w:hAnsi="Times" w:cs="宋体"/>
                <w:bCs/>
                <w:kern w:val="0"/>
                <w:sz w:val="21"/>
                <w:szCs w:val="21"/>
              </w:rPr>
              <w:t>，分别是始兴东-南雄西埋藏区</w:t>
            </w:r>
            <w:r>
              <w:rPr>
                <w:rFonts w:hint="eastAsia" w:ascii="Times" w:hAnsi="Times" w:cs="宋体"/>
                <w:bCs/>
                <w:kern w:val="0"/>
                <w:sz w:val="21"/>
                <w:szCs w:val="21"/>
              </w:rPr>
              <w:t>线索</w:t>
            </w:r>
            <w:r>
              <w:rPr>
                <w:rFonts w:ascii="Times" w:hAnsi="Times" w:cs="宋体"/>
                <w:bCs/>
                <w:kern w:val="0"/>
                <w:sz w:val="21"/>
                <w:szCs w:val="21"/>
              </w:rPr>
              <w:t>和南雄东埋藏区</w:t>
            </w:r>
            <w:r>
              <w:rPr>
                <w:rFonts w:hint="eastAsia" w:ascii="Times" w:hAnsi="Times" w:cs="宋体"/>
                <w:bCs/>
                <w:kern w:val="0"/>
                <w:sz w:val="21"/>
                <w:szCs w:val="21"/>
              </w:rPr>
              <w:t>线索，总面积为</w:t>
            </w:r>
            <w:r>
              <w:rPr>
                <w:rFonts w:ascii="Times" w:hAnsi="Times" w:cs="宋体"/>
                <w:bCs/>
                <w:kern w:val="0"/>
                <w:sz w:val="21"/>
                <w:szCs w:val="21"/>
              </w:rPr>
              <w:t>1001.62平方</w:t>
            </w:r>
            <w:r>
              <w:rPr>
                <w:rFonts w:hint="eastAsia" w:ascii="Times" w:hAnsi="Times" w:cs="宋体"/>
                <w:bCs/>
                <w:kern w:val="0"/>
                <w:sz w:val="21"/>
                <w:szCs w:val="21"/>
              </w:rPr>
              <w:t>公里</w:t>
            </w:r>
            <w:r>
              <w:rPr>
                <w:rFonts w:ascii="Times" w:hAnsi="Times" w:cs="宋体"/>
                <w:bCs/>
                <w:kern w:val="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历史环境要素</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古树名木：</w:t>
            </w:r>
            <w:r>
              <w:rPr>
                <w:rFonts w:hint="eastAsia" w:ascii="Times" w:hAnsi="Times" w:cs="宋体"/>
                <w:bCs/>
                <w:kern w:val="0"/>
                <w:sz w:val="21"/>
                <w:szCs w:val="21"/>
              </w:rPr>
              <w:t>总计2</w:t>
            </w:r>
            <w:r>
              <w:rPr>
                <w:rFonts w:ascii="Times" w:hAnsi="Times" w:cs="宋体"/>
                <w:bCs/>
                <w:kern w:val="0"/>
                <w:sz w:val="21"/>
                <w:szCs w:val="21"/>
              </w:rPr>
              <w:t>114</w:t>
            </w:r>
            <w:r>
              <w:rPr>
                <w:rFonts w:hint="eastAsia" w:ascii="Times" w:hAnsi="Times" w:cs="宋体"/>
                <w:bCs/>
                <w:kern w:val="0"/>
                <w:sz w:val="21"/>
                <w:szCs w:val="21"/>
              </w:rPr>
              <w:t>株古树，其中一级古树8</w:t>
            </w:r>
            <w:r>
              <w:rPr>
                <w:rFonts w:ascii="Times" w:hAnsi="Times" w:cs="宋体"/>
                <w:bCs/>
                <w:kern w:val="0"/>
                <w:sz w:val="21"/>
                <w:szCs w:val="21"/>
              </w:rPr>
              <w:t>9</w:t>
            </w:r>
            <w:r>
              <w:rPr>
                <w:rFonts w:hint="eastAsia" w:ascii="Times" w:hAnsi="Times" w:cs="宋体"/>
                <w:bCs/>
                <w:kern w:val="0"/>
                <w:sz w:val="21"/>
                <w:szCs w:val="21"/>
              </w:rPr>
              <w:t>株、二级古树3</w:t>
            </w:r>
            <w:r>
              <w:rPr>
                <w:rFonts w:ascii="Times" w:hAnsi="Times" w:cs="宋体"/>
                <w:bCs/>
                <w:kern w:val="0"/>
                <w:sz w:val="21"/>
                <w:szCs w:val="21"/>
              </w:rPr>
              <w:t>68</w:t>
            </w:r>
            <w:r>
              <w:rPr>
                <w:rFonts w:hint="eastAsia" w:ascii="Times" w:hAnsi="Times" w:cs="宋体"/>
                <w:bCs/>
                <w:kern w:val="0"/>
                <w:sz w:val="21"/>
                <w:szCs w:val="21"/>
              </w:rPr>
              <w:t>株，级古树1</w:t>
            </w:r>
            <w:r>
              <w:rPr>
                <w:rFonts w:ascii="Times" w:hAnsi="Times" w:cs="宋体"/>
                <w:bCs/>
                <w:kern w:val="0"/>
                <w:sz w:val="21"/>
                <w:szCs w:val="21"/>
              </w:rPr>
              <w:t>657</w:t>
            </w:r>
            <w:r>
              <w:rPr>
                <w:rFonts w:hint="eastAsia" w:ascii="Times" w:hAnsi="Times" w:cs="宋体"/>
                <w:bCs/>
                <w:kern w:val="0"/>
                <w:sz w:val="21"/>
                <w:szCs w:val="21"/>
              </w:rPr>
              <w:t>株，暂无名木</w:t>
            </w:r>
          </w:p>
          <w:p>
            <w:pPr>
              <w:widowControl w:val="0"/>
              <w:ind w:firstLine="0" w:firstLineChars="0"/>
              <w:jc w:val="left"/>
              <w:rPr>
                <w:rFonts w:ascii="Times" w:hAnsi="Times" w:cs="宋体"/>
                <w:bCs/>
                <w:kern w:val="0"/>
                <w:sz w:val="21"/>
                <w:szCs w:val="21"/>
              </w:rPr>
            </w:pPr>
            <w:r>
              <w:rPr>
                <w:rFonts w:hint="eastAsia" w:ascii="Times" w:hAnsi="Times" w:cs="宋体"/>
                <w:b/>
                <w:kern w:val="0"/>
                <w:sz w:val="21"/>
                <w:szCs w:val="21"/>
              </w:rPr>
              <w:t>水工设施：</w:t>
            </w:r>
            <w:r>
              <w:rPr>
                <w:rFonts w:hint="eastAsia" w:ascii="Times" w:hAnsi="Times" w:cs="宋体"/>
                <w:bCs/>
                <w:kern w:val="0"/>
                <w:sz w:val="21"/>
                <w:szCs w:val="21"/>
              </w:rPr>
              <w:t>总计古井5</w:t>
            </w:r>
            <w:r>
              <w:rPr>
                <w:rFonts w:ascii="Times" w:hAnsi="Times" w:cs="宋体"/>
                <w:bCs/>
                <w:kern w:val="0"/>
                <w:sz w:val="21"/>
                <w:szCs w:val="21"/>
              </w:rPr>
              <w:t>2</w:t>
            </w:r>
            <w:r>
              <w:rPr>
                <w:rFonts w:hint="eastAsia" w:ascii="Times" w:hAnsi="Times" w:cs="宋体"/>
                <w:bCs/>
                <w:kern w:val="0"/>
                <w:sz w:val="21"/>
                <w:szCs w:val="21"/>
              </w:rPr>
              <w:t>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非物质文化遗产</w:t>
            </w: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国家级非物质文化遗产（2项）</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龙舞（香火龙）、珠玑巷人南迁传说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省级非物质文化遗产（3项）</w:t>
            </w:r>
          </w:p>
        </w:tc>
        <w:tc>
          <w:tcPr>
            <w:tcW w:w="14830" w:type="dxa"/>
          </w:tcPr>
          <w:p>
            <w:pPr>
              <w:widowControl w:val="0"/>
              <w:ind w:firstLine="0" w:firstLineChars="0"/>
              <w:rPr>
                <w:rFonts w:ascii="Times" w:hAnsi="Times" w:cs="宋体"/>
                <w:bCs/>
                <w:kern w:val="0"/>
                <w:sz w:val="20"/>
                <w:szCs w:val="21"/>
              </w:rPr>
            </w:pPr>
            <w:r>
              <w:rPr>
                <w:rFonts w:hint="eastAsia" w:ascii="Times" w:hAnsi="Times" w:cs="宋体"/>
                <w:bCs/>
                <w:kern w:val="0"/>
                <w:sz w:val="21"/>
                <w:szCs w:val="21"/>
              </w:rPr>
              <w:t>龙船歌、灯舞（茶花灯）、南雄板鸭制作技艺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市级非物质文化遗产（12项）</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南雄姓氏节、双龙舞双狮、扎稻草龙制作技艺、火龙、火狮、火凤、火虾、南雄板鸭制作技艺、南雄竹、藤工艺编制技艺、南雄旋木工艺、萧统太子的祭祀、南雄酿豆腐制作技艺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Merge w:val="continue"/>
          </w:tcPr>
          <w:p>
            <w:pPr>
              <w:widowControl w:val="0"/>
              <w:ind w:firstLine="0" w:firstLineChars="0"/>
              <w:jc w:val="center"/>
              <w:rPr>
                <w:rFonts w:ascii="Times" w:hAnsi="Times" w:cs="宋体"/>
                <w:bCs/>
                <w:kern w:val="0"/>
                <w:sz w:val="21"/>
                <w:szCs w:val="21"/>
              </w:rPr>
            </w:pPr>
          </w:p>
        </w:tc>
        <w:tc>
          <w:tcPr>
            <w:tcW w:w="4536" w:type="dxa"/>
            <w:gridSpan w:val="2"/>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县级非物质文化遗产（41项）</w:t>
            </w:r>
          </w:p>
        </w:tc>
        <w:tc>
          <w:tcPr>
            <w:tcW w:w="14830" w:type="dxa"/>
          </w:tcPr>
          <w:p>
            <w:pPr>
              <w:widowControl w:val="0"/>
              <w:ind w:firstLine="0" w:firstLineChars="0"/>
              <w:jc w:val="left"/>
              <w:rPr>
                <w:rFonts w:ascii="Times" w:hAnsi="Times" w:cs="宋体"/>
                <w:bCs/>
                <w:kern w:val="0"/>
                <w:sz w:val="21"/>
                <w:szCs w:val="21"/>
              </w:rPr>
            </w:pPr>
            <w:r>
              <w:rPr>
                <w:rFonts w:hint="eastAsia" w:ascii="Times" w:hAnsi="Times" w:cs="宋体"/>
                <w:bCs/>
                <w:kern w:val="0"/>
                <w:sz w:val="21"/>
                <w:szCs w:val="21"/>
              </w:rPr>
              <w:t>青草狮、九十九节龙、东坑丰收节、制“砻”技艺、南雄咏春拳、板灯龙、南雄采茶戏、饺俚糍制作技艺、灵潭腐竹制作手艺、磨地狮、小水岭高脚狮、南雄铜勺饼制作技艺、南雄豆浆糍制作技艺、鸳鸯狮、牛干脯制作技艺</w:t>
            </w:r>
          </w:p>
        </w:tc>
      </w:tr>
      <w:bookmarkEnd w:id="221"/>
    </w:tbl>
    <w:p>
      <w:pPr>
        <w:pStyle w:val="3"/>
        <w:spacing w:before="0" w:after="0"/>
        <w:ind w:firstLine="482"/>
        <w:rPr>
          <w:rFonts w:ascii="Times" w:hAnsi="Times" w:cs="宋体"/>
          <w:bCs w:val="0"/>
          <w:sz w:val="28"/>
          <w:szCs w:val="28"/>
        </w:rPr>
        <w:sectPr>
          <w:pgSz w:w="23811" w:h="16838" w:orient="landscape"/>
          <w:pgMar w:top="1080" w:right="1440" w:bottom="1080" w:left="1440" w:header="851" w:footer="737" w:gutter="0"/>
          <w:cols w:space="425" w:num="1"/>
          <w:docGrid w:type="lines" w:linePitch="312" w:charSpace="0"/>
        </w:sectPr>
      </w:pPr>
      <w:bookmarkStart w:id="222" w:name="_Toc135989731"/>
    </w:p>
    <w:p>
      <w:pPr>
        <w:pStyle w:val="3"/>
        <w:spacing w:before="0" w:after="0"/>
        <w:ind w:firstLine="482"/>
        <w:rPr>
          <w:rFonts w:ascii="Times" w:hAnsi="Times" w:cs="宋体"/>
          <w:bCs w:val="0"/>
          <w:sz w:val="28"/>
          <w:szCs w:val="28"/>
        </w:rPr>
      </w:pPr>
      <w:bookmarkStart w:id="223" w:name="_Toc204964382"/>
      <w:r>
        <w:rPr>
          <w:rFonts w:hint="eastAsia" w:ascii="Times" w:hAnsi="Times" w:cs="宋体"/>
          <w:bCs w:val="0"/>
          <w:sz w:val="28"/>
          <w:szCs w:val="28"/>
        </w:rPr>
        <w:t>附表</w:t>
      </w:r>
      <w:r>
        <w:rPr>
          <w:rFonts w:ascii="Times" w:hAnsi="Times" w:cs="宋体"/>
          <w:bCs w:val="0"/>
          <w:sz w:val="28"/>
          <w:szCs w:val="28"/>
        </w:rPr>
        <w:t>2</w:t>
      </w:r>
      <w:r>
        <w:rPr>
          <w:rFonts w:hint="eastAsia" w:ascii="Times" w:hAnsi="Times" w:cs="宋体"/>
          <w:bCs w:val="0"/>
          <w:sz w:val="28"/>
          <w:szCs w:val="28"/>
        </w:rPr>
        <w:t>：历史文化保护控制线划定要素表</w:t>
      </w:r>
      <w:bookmarkEnd w:id="222"/>
      <w:bookmarkEnd w:id="223"/>
    </w:p>
    <w:p>
      <w:pPr>
        <w:spacing w:line="240" w:lineRule="auto"/>
        <w:ind w:firstLine="0" w:firstLineChars="0"/>
        <w:jc w:val="center"/>
        <w:rPr>
          <w:rFonts w:cs="宋体"/>
          <w:b/>
          <w:bCs/>
          <w:color w:val="000000"/>
          <w:kern w:val="0"/>
          <w:szCs w:val="21"/>
        </w:rPr>
        <w:sectPr>
          <w:pgSz w:w="23811" w:h="16838" w:orient="landscape"/>
          <w:pgMar w:top="1080" w:right="1440" w:bottom="1080" w:left="1440" w:header="851" w:footer="737" w:gutter="0"/>
          <w:cols w:space="425" w:num="1"/>
          <w:docGrid w:type="lines" w:linePitch="312" w:charSpace="0"/>
        </w:sect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557"/>
        <w:gridCol w:w="3065"/>
        <w:gridCol w:w="2226"/>
        <w:gridCol w:w="18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blHeader/>
        </w:trPr>
        <w:tc>
          <w:tcPr>
            <w:tcW w:w="370" w:type="pct"/>
            <w:shd w:val="clear" w:color="auto" w:fill="D0CECE" w:themeFill="background2" w:themeFillShade="E6"/>
            <w:vAlign w:val="center"/>
          </w:tcPr>
          <w:p>
            <w:pPr>
              <w:widowControl w:val="0"/>
              <w:ind w:firstLine="0" w:firstLineChars="0"/>
              <w:jc w:val="center"/>
              <w:rPr>
                <w:rFonts w:ascii="Times" w:hAnsi="Times" w:cs="宋体"/>
                <w:b/>
                <w:kern w:val="0"/>
                <w:szCs w:val="21"/>
              </w:rPr>
            </w:pPr>
            <w:r>
              <w:rPr>
                <w:rFonts w:hint="eastAsia" w:ascii="Times" w:hAnsi="Times" w:cs="宋体"/>
                <w:b/>
                <w:kern w:val="0"/>
                <w:szCs w:val="21"/>
              </w:rPr>
              <w:t>序号</w:t>
            </w:r>
          </w:p>
        </w:tc>
        <w:tc>
          <w:tcPr>
            <w:tcW w:w="1221" w:type="pct"/>
            <w:shd w:val="clear" w:color="auto" w:fill="D0CECE" w:themeFill="background2" w:themeFillShade="E6"/>
            <w:vAlign w:val="center"/>
          </w:tcPr>
          <w:p>
            <w:pPr>
              <w:widowControl w:val="0"/>
              <w:ind w:firstLine="0" w:firstLineChars="0"/>
              <w:jc w:val="center"/>
              <w:rPr>
                <w:rFonts w:ascii="Times" w:hAnsi="Times" w:cs="宋体"/>
                <w:b/>
                <w:kern w:val="0"/>
                <w:szCs w:val="21"/>
              </w:rPr>
            </w:pPr>
            <w:r>
              <w:rPr>
                <w:rFonts w:hint="eastAsia" w:ascii="Times" w:hAnsi="Times" w:cs="宋体"/>
                <w:b/>
                <w:kern w:val="0"/>
                <w:szCs w:val="21"/>
              </w:rPr>
              <w:t>名称</w:t>
            </w:r>
          </w:p>
        </w:tc>
        <w:tc>
          <w:tcPr>
            <w:tcW w:w="1464" w:type="pct"/>
            <w:shd w:val="clear" w:color="auto" w:fill="D0CECE" w:themeFill="background2" w:themeFillShade="E6"/>
            <w:vAlign w:val="center"/>
          </w:tcPr>
          <w:p>
            <w:pPr>
              <w:widowControl w:val="0"/>
              <w:ind w:firstLine="0" w:firstLineChars="0"/>
              <w:jc w:val="center"/>
              <w:rPr>
                <w:rFonts w:ascii="Times" w:hAnsi="Times" w:cs="宋体"/>
                <w:b/>
                <w:kern w:val="0"/>
                <w:szCs w:val="21"/>
              </w:rPr>
            </w:pPr>
            <w:r>
              <w:rPr>
                <w:rFonts w:hint="eastAsia" w:ascii="Times" w:hAnsi="Times" w:cs="宋体"/>
                <w:b/>
                <w:kern w:val="0"/>
                <w:szCs w:val="21"/>
              </w:rPr>
              <w:t>保护范围</w:t>
            </w:r>
          </w:p>
        </w:tc>
        <w:tc>
          <w:tcPr>
            <w:tcW w:w="1063" w:type="pct"/>
            <w:shd w:val="clear" w:color="auto" w:fill="D0CECE" w:themeFill="background2" w:themeFillShade="E6"/>
            <w:vAlign w:val="center"/>
          </w:tcPr>
          <w:p>
            <w:pPr>
              <w:widowControl w:val="0"/>
              <w:ind w:firstLine="0" w:firstLineChars="0"/>
              <w:jc w:val="center"/>
              <w:rPr>
                <w:rFonts w:ascii="Times" w:hAnsi="Times" w:cs="宋体"/>
                <w:b/>
                <w:kern w:val="0"/>
                <w:szCs w:val="21"/>
              </w:rPr>
            </w:pPr>
            <w:r>
              <w:rPr>
                <w:rFonts w:hint="eastAsia" w:ascii="Times" w:hAnsi="Times" w:cs="宋体"/>
                <w:b/>
                <w:kern w:val="0"/>
                <w:szCs w:val="21"/>
              </w:rPr>
              <w:t>建设控制地带</w:t>
            </w:r>
          </w:p>
        </w:tc>
        <w:tc>
          <w:tcPr>
            <w:tcW w:w="882" w:type="pct"/>
            <w:shd w:val="clear" w:color="auto" w:fill="D0CECE" w:themeFill="background2" w:themeFillShade="E6"/>
            <w:vAlign w:val="center"/>
          </w:tcPr>
          <w:p>
            <w:pPr>
              <w:widowControl w:val="0"/>
              <w:ind w:firstLine="0" w:firstLineChars="0"/>
              <w:jc w:val="center"/>
              <w:rPr>
                <w:rFonts w:ascii="Times" w:hAnsi="Times" w:cs="宋体"/>
                <w:b/>
                <w:kern w:val="0"/>
                <w:szCs w:val="21"/>
              </w:rPr>
            </w:pPr>
            <w:r>
              <w:rPr>
                <w:rFonts w:hint="eastAsia" w:ascii="Times" w:hAnsi="Times" w:cs="宋体"/>
                <w:b/>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三影塔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从塔基地边缘起向外延伸40米范围内</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从保护范围起向外延伸20米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粤府函（1994）225号划定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南粤雄关与古道</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从梅岭村北路口起至粤赣边界的古道两侧（含关楼）向外延伸40米</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从保护范围外缘起向外延伸100米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粤府（1994）42号划定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珠玑石塔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从护塔亭外缘起向外延伸20米</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从保护范围外缘起向外延伸10米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粤府（1994）42号划定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钟鼓岩摩崖石刻</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石刻群所在山岭（翠屏山）四周山脚范围内</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从保护范围外缘起向外延伸50米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粤府（1994）42号划定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广州会馆</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广州会馆四周30米以内为文物保护区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雄府（1995）64号划定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南雄府城正南门</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城楼四周30米以内为文物保护区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文物保护区范围线以外30米范围内</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雄府（1993）07号划定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里东戏台</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戏台四周30米以内为文物保护区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雄府（1995）64号划定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中共广东省委、中共粤北省委机关旧址（备注：南雄市瑶坑村中共广东省委旧址）</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旧址四周20米</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保护范围向外延伸30米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粤文物（2011）106号划定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回龙寺塔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塔四周30米以内为文物保护区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10</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溪头塔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塔四周30米以内为文物保护区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南雄府学宫大成殿</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大成殿四周30米以内为文物保护区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平林村惜字塔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从平林村惜字塔外墙起向东、南、西、北各延伸</w:t>
            </w:r>
            <w:r>
              <w:rPr>
                <w:rFonts w:cs="宋体"/>
                <w:color w:val="000000"/>
                <w:kern w:val="0"/>
                <w:szCs w:val="21"/>
              </w:rPr>
              <w:t>30米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从保护范围外缘起向外延伸40米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粤文旅文保[2020]6号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新龙塔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从新龙塔外墙起向东、南、西、北各延伸</w:t>
            </w:r>
            <w:r>
              <w:rPr>
                <w:rFonts w:cs="宋体"/>
                <w:color w:val="000000"/>
                <w:kern w:val="0"/>
                <w:szCs w:val="21"/>
              </w:rPr>
              <w:t>30米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从保护范围外缘起向外延伸40米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粤文旅文保[2020]6号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小竹塔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从小竹塔外墙起向东、南、西、北各延伸</w:t>
            </w:r>
            <w:r>
              <w:rPr>
                <w:rFonts w:cs="宋体"/>
                <w:color w:val="000000"/>
                <w:kern w:val="0"/>
                <w:szCs w:val="21"/>
              </w:rPr>
              <w:t>30米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从保护范围外缘起向外延伸40米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粤文旅文保[2020]6号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水西桥</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从水西桥本体起向东、南、西、北各延伸</w:t>
            </w:r>
            <w:r>
              <w:rPr>
                <w:rFonts w:cs="宋体"/>
                <w:color w:val="000000"/>
                <w:kern w:val="0"/>
                <w:szCs w:val="21"/>
              </w:rPr>
              <w:t>30米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从保护范围外缘起向外延伸40米</w:t>
            </w:r>
          </w:p>
        </w:tc>
        <w:tc>
          <w:tcPr>
            <w:tcW w:w="882" w:type="pct"/>
            <w:vAlign w:val="center"/>
          </w:tcPr>
          <w:p>
            <w:pPr>
              <w:spacing w:line="240" w:lineRule="auto"/>
              <w:ind w:firstLine="0" w:firstLineChars="0"/>
              <w:jc w:val="center"/>
              <w:rPr>
                <w:rFonts w:cs="宋体"/>
                <w:color w:val="FF0000"/>
                <w:kern w:val="0"/>
                <w:szCs w:val="21"/>
              </w:rPr>
            </w:pPr>
            <w:r>
              <w:rPr>
                <w:rFonts w:hint="eastAsia" w:cs="宋体"/>
                <w:color w:val="000000"/>
                <w:kern w:val="0"/>
                <w:szCs w:val="21"/>
              </w:rPr>
              <w:t>粤文旅文保[2020]6号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上朔塔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从上朔塔外墙起向东、南、西、北各延伸5</w:t>
            </w:r>
            <w:r>
              <w:rPr>
                <w:rFonts w:cs="宋体"/>
                <w:color w:val="000000"/>
                <w:kern w:val="0"/>
                <w:szCs w:val="21"/>
              </w:rPr>
              <w:t>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w:t>
            </w:r>
            <w:r>
              <w:rPr>
                <w:rFonts w:hint="eastAsia" w:cs="宋体"/>
                <w:color w:val="000000"/>
                <w:kern w:val="0"/>
                <w:szCs w:val="21"/>
              </w:rPr>
              <w:t>4</w:t>
            </w:r>
            <w:r>
              <w:rPr>
                <w:rFonts w:cs="宋体"/>
                <w:color w:val="000000"/>
                <w:kern w:val="0"/>
                <w:szCs w:val="21"/>
              </w:rPr>
              <w:t>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许村塔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从许村塔外墙起向东、南、西、北各延伸5</w:t>
            </w:r>
            <w:r>
              <w:rPr>
                <w:rFonts w:cs="宋体"/>
                <w:color w:val="000000"/>
                <w:kern w:val="0"/>
                <w:szCs w:val="21"/>
              </w:rPr>
              <w:t>0米。</w:t>
            </w:r>
          </w:p>
        </w:tc>
        <w:tc>
          <w:tcPr>
            <w:tcW w:w="1063" w:type="pct"/>
            <w:vAlign w:val="center"/>
          </w:tcPr>
          <w:p>
            <w:pPr>
              <w:spacing w:line="240" w:lineRule="auto"/>
              <w:ind w:firstLine="0" w:firstLineChars="0"/>
              <w:jc w:val="center"/>
              <w:rPr>
                <w:rFonts w:cs="宋体"/>
                <w:color w:val="000000"/>
                <w:kern w:val="0"/>
                <w:szCs w:val="21"/>
              </w:rPr>
            </w:pPr>
            <w:r>
              <w:rPr>
                <w:rFonts w:cs="宋体"/>
                <w:color w:val="000000"/>
                <w:kern w:val="0"/>
                <w:szCs w:val="21"/>
              </w:rPr>
              <w:t>从保护范围外缘起向外延伸</w:t>
            </w:r>
            <w:r>
              <w:rPr>
                <w:rFonts w:hint="eastAsia" w:cs="宋体"/>
                <w:color w:val="000000"/>
                <w:kern w:val="0"/>
                <w:szCs w:val="21"/>
              </w:rPr>
              <w:t>4</w:t>
            </w:r>
            <w:r>
              <w:rPr>
                <w:rFonts w:cs="宋体"/>
                <w:color w:val="000000"/>
                <w:kern w:val="0"/>
                <w:szCs w:val="21"/>
              </w:rPr>
              <w:t>0米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w:t>
            </w:r>
            <w:r>
              <w:rPr>
                <w:rFonts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虎距桥</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从虎距桥起向四周延伸约</w:t>
            </w:r>
            <w:r>
              <w:rPr>
                <w:rFonts w:cs="宋体"/>
                <w:color w:val="000000"/>
                <w:kern w:val="0"/>
                <w:szCs w:val="21"/>
              </w:rPr>
              <w:t>5米，并</w:t>
            </w:r>
            <w:r>
              <w:rPr>
                <w:rFonts w:hint="eastAsia" w:cs="宋体"/>
                <w:color w:val="000000"/>
                <w:kern w:val="0"/>
                <w:szCs w:val="21"/>
              </w:rPr>
              <w:t>结合周边水域、河流堤岸、景观道路划保护范围。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1107.51平方米。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从保护</w:t>
            </w:r>
            <w:r>
              <w:rPr>
                <w:rFonts w:cs="宋体"/>
                <w:color w:val="000000"/>
                <w:kern w:val="0"/>
                <w:szCs w:val="21"/>
              </w:rPr>
              <w:t>范</w:t>
            </w:r>
            <w:r>
              <w:rPr>
                <w:rFonts w:hint="eastAsia" w:cs="宋体"/>
                <w:color w:val="000000"/>
                <w:kern w:val="0"/>
                <w:szCs w:val="21"/>
              </w:rPr>
              <w:t>围向四周外扩</w:t>
            </w:r>
            <w:r>
              <w:rPr>
                <w:rFonts w:cs="宋体"/>
                <w:color w:val="000000"/>
                <w:kern w:val="0"/>
                <w:szCs w:val="21"/>
              </w:rPr>
              <w:t>25米，结合周</w:t>
            </w:r>
            <w:r>
              <w:rPr>
                <w:rFonts w:hint="eastAsia" w:cs="宋体"/>
                <w:color w:val="000000"/>
                <w:kern w:val="0"/>
                <w:szCs w:val="21"/>
              </w:rPr>
              <w:t>边景观空间、通道以及历史要素划保护范围。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3373.64平方米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w:t>
            </w:r>
            <w:r>
              <w:rPr>
                <w:rFonts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kern w:val="0"/>
                <w:szCs w:val="21"/>
              </w:rPr>
              <w:t>上朔村《当红军歌》题壁</w:t>
            </w:r>
          </w:p>
        </w:tc>
        <w:tc>
          <w:tcPr>
            <w:tcW w:w="1464" w:type="pct"/>
            <w:vAlign w:val="center"/>
          </w:tcPr>
          <w:p>
            <w:pPr>
              <w:spacing w:line="240" w:lineRule="auto"/>
              <w:ind w:firstLine="0" w:firstLineChars="0"/>
              <w:rPr>
                <w:rFonts w:cs="宋体"/>
                <w:kern w:val="0"/>
                <w:szCs w:val="21"/>
              </w:rPr>
            </w:pPr>
            <w:r>
              <w:rPr>
                <w:rFonts w:hint="eastAsia" w:cs="宋体"/>
                <w:kern w:val="0"/>
                <w:szCs w:val="21"/>
              </w:rPr>
              <w:t>从徐氏祠堂外墙起向四周延伸，结合周边现状道路边界、传统风貌建筑边界、空旷场地边界划分保护范围。</w:t>
            </w:r>
          </w:p>
          <w:p>
            <w:pPr>
              <w:spacing w:line="240" w:lineRule="auto"/>
              <w:ind w:firstLine="0" w:firstLineChars="0"/>
              <w:rPr>
                <w:rFonts w:cs="宋体"/>
                <w:color w:val="000000"/>
                <w:kern w:val="0"/>
                <w:szCs w:val="21"/>
              </w:rPr>
            </w:pPr>
            <w:r>
              <w:rPr>
                <w:rFonts w:hint="eastAsia" w:cs="宋体"/>
                <w:kern w:val="0"/>
                <w:szCs w:val="21"/>
              </w:rPr>
              <w:t>面积：</w:t>
            </w:r>
            <w:r>
              <w:rPr>
                <w:rFonts w:cs="宋体"/>
                <w:kern w:val="0"/>
                <w:szCs w:val="21"/>
              </w:rPr>
              <w:t>963.02平方米</w:t>
            </w:r>
          </w:p>
        </w:tc>
        <w:tc>
          <w:tcPr>
            <w:tcW w:w="1063" w:type="pct"/>
            <w:vAlign w:val="center"/>
          </w:tcPr>
          <w:p>
            <w:pPr>
              <w:spacing w:line="240" w:lineRule="auto"/>
              <w:ind w:firstLine="0" w:firstLineChars="0"/>
              <w:rPr>
                <w:rFonts w:cs="宋体"/>
                <w:kern w:val="0"/>
                <w:szCs w:val="21"/>
              </w:rPr>
            </w:pPr>
            <w:r>
              <w:rPr>
                <w:rFonts w:hint="eastAsia" w:cs="宋体"/>
                <w:kern w:val="0"/>
                <w:szCs w:val="21"/>
              </w:rPr>
              <w:t>从保护范围向四周外扩，结合周边现状道路边界、风貌协调建筑边界、河岸水系边界等，划分控制区域。</w:t>
            </w:r>
          </w:p>
          <w:p>
            <w:pPr>
              <w:spacing w:line="240" w:lineRule="auto"/>
              <w:ind w:firstLine="0" w:firstLineChars="0"/>
              <w:rPr>
                <w:rFonts w:cs="宋体"/>
                <w:color w:val="000000"/>
                <w:kern w:val="0"/>
                <w:szCs w:val="21"/>
              </w:rPr>
            </w:pPr>
            <w:r>
              <w:rPr>
                <w:rFonts w:hint="eastAsia" w:cs="宋体"/>
                <w:kern w:val="0"/>
                <w:szCs w:val="21"/>
              </w:rPr>
              <w:t>面积：</w:t>
            </w:r>
            <w:r>
              <w:rPr>
                <w:rFonts w:cs="宋体"/>
                <w:kern w:val="0"/>
                <w:szCs w:val="21"/>
              </w:rPr>
              <w:t>2797.62平方米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0</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雪梅祖祠</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从雪梅祖祠外墙起向四周延伸，结合周边现状道路边界、传统风貌建筑边界、空旷场地边界划分保护范</w:t>
            </w:r>
          </w:p>
          <w:p>
            <w:pPr>
              <w:spacing w:line="240" w:lineRule="auto"/>
              <w:ind w:firstLine="0" w:firstLineChars="0"/>
              <w:rPr>
                <w:rFonts w:cs="宋体"/>
                <w:color w:val="000000"/>
                <w:kern w:val="0"/>
                <w:szCs w:val="21"/>
              </w:rPr>
            </w:pPr>
            <w:r>
              <w:rPr>
                <w:rFonts w:hint="eastAsia" w:cs="宋体"/>
                <w:color w:val="000000"/>
                <w:kern w:val="0"/>
                <w:szCs w:val="21"/>
              </w:rPr>
              <w:t>围。面积：</w:t>
            </w:r>
            <w:r>
              <w:rPr>
                <w:rFonts w:cs="宋体"/>
                <w:color w:val="000000"/>
                <w:kern w:val="0"/>
                <w:szCs w:val="21"/>
              </w:rPr>
              <w:t>558.05平方米。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控制范围：从保护范围向四周外扩，结合周边现状道路边界、风貌协调建筑边界、河岸水系边界等，划分控制区域。</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3078.62平方米</w:t>
            </w:r>
          </w:p>
        </w:tc>
        <w:tc>
          <w:tcPr>
            <w:tcW w:w="882" w:type="pct"/>
            <w:vAlign w:val="center"/>
          </w:tcPr>
          <w:p>
            <w:pPr>
              <w:spacing w:line="240" w:lineRule="auto"/>
              <w:ind w:firstLine="0" w:firstLineChars="0"/>
              <w:jc w:val="center"/>
              <w:rPr>
                <w:rFonts w:cs="宋体"/>
                <w:kern w:val="0"/>
                <w:szCs w:val="21"/>
              </w:rPr>
            </w:pPr>
            <w:r>
              <w:rPr>
                <w:rFonts w:hint="eastAsia" w:cs="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葛坪塔</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范围从葛坪塔塔基起向四周延伸，结合周边现状道路边界、传统风貌建筑边界、空旷场地边界划分保护范围。面积：</w:t>
            </w:r>
            <w:r>
              <w:rPr>
                <w:rFonts w:cs="宋体"/>
                <w:color w:val="000000"/>
                <w:kern w:val="0"/>
                <w:szCs w:val="21"/>
              </w:rPr>
              <w:t>1165.11平方米。</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从保护范围向四周外扩，结合周边现状道路边界、风貌协调建筑边界、河岸水系边界等，划分控制区域。面积：</w:t>
            </w:r>
            <w:r>
              <w:rPr>
                <w:rFonts w:cs="宋体"/>
                <w:color w:val="000000"/>
                <w:kern w:val="0"/>
                <w:szCs w:val="21"/>
              </w:rPr>
              <w:t>3214.59平方米</w:t>
            </w:r>
          </w:p>
        </w:tc>
        <w:tc>
          <w:tcPr>
            <w:tcW w:w="882" w:type="pct"/>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赣粤边红军独立师第三团团部旧址</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该旧址30米以内为文物保护区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珠玑古巷（含牌楼）</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各门楼四周20米以内为文物保护区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各门楼文物保护区保护范围线以外30米范围内</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雄府（1993）07号划定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南雄县苏维埃政府遗址</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遗址四周20米以内为文物保护区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雄府（1993）07号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雄州古城墙</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城墙四周20米为文物保护区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雄府（1997）64号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Merge w:val="restar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灵潭村红军标语</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各处革命文物四周20米以内为文物保护区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Merge w:val="continue"/>
            <w:vAlign w:val="center"/>
          </w:tcPr>
          <w:p>
            <w:pPr>
              <w:spacing w:line="240" w:lineRule="auto"/>
              <w:ind w:firstLine="0" w:firstLineChars="0"/>
              <w:jc w:val="left"/>
              <w:rPr>
                <w:rFonts w:cs="宋体"/>
                <w:color w:val="000000"/>
                <w:kern w:val="0"/>
                <w:szCs w:val="21"/>
              </w:rPr>
            </w:pPr>
          </w:p>
        </w:tc>
        <w:tc>
          <w:tcPr>
            <w:tcW w:w="1221"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陈屋村红军标语</w:t>
            </w:r>
          </w:p>
        </w:tc>
        <w:tc>
          <w:tcPr>
            <w:tcW w:w="1464"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各处革命文物四周20米以内为文物保护区</w:t>
            </w:r>
          </w:p>
        </w:tc>
        <w:tc>
          <w:tcPr>
            <w:tcW w:w="1063"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c>
          <w:tcPr>
            <w:tcW w:w="882"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Merge w:val="continue"/>
            <w:vAlign w:val="center"/>
          </w:tcPr>
          <w:p>
            <w:pPr>
              <w:spacing w:line="240" w:lineRule="auto"/>
              <w:ind w:firstLine="0" w:firstLineChars="0"/>
              <w:jc w:val="left"/>
              <w:rPr>
                <w:rFonts w:cs="宋体"/>
                <w:color w:val="000000"/>
                <w:kern w:val="0"/>
                <w:szCs w:val="21"/>
              </w:rPr>
            </w:pPr>
          </w:p>
        </w:tc>
        <w:tc>
          <w:tcPr>
            <w:tcW w:w="1221"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钟屋村红军标语</w:t>
            </w:r>
          </w:p>
        </w:tc>
        <w:tc>
          <w:tcPr>
            <w:tcW w:w="1464"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各处革命文物四周20米以内为文物保护区</w:t>
            </w:r>
          </w:p>
        </w:tc>
        <w:tc>
          <w:tcPr>
            <w:tcW w:w="1063"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c>
          <w:tcPr>
            <w:tcW w:w="882"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2" w:hRule="atLeast"/>
        </w:trPr>
        <w:tc>
          <w:tcPr>
            <w:tcW w:w="370" w:type="pct"/>
            <w:vMerge w:val="continue"/>
            <w:vAlign w:val="center"/>
          </w:tcPr>
          <w:p>
            <w:pPr>
              <w:spacing w:line="240" w:lineRule="auto"/>
              <w:ind w:firstLine="0" w:firstLineChars="0"/>
              <w:jc w:val="left"/>
              <w:rPr>
                <w:rFonts w:cs="宋体"/>
                <w:color w:val="000000"/>
                <w:kern w:val="0"/>
                <w:szCs w:val="21"/>
              </w:rPr>
            </w:pPr>
          </w:p>
        </w:tc>
        <w:tc>
          <w:tcPr>
            <w:tcW w:w="1221"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豪头村红军标语</w:t>
            </w:r>
          </w:p>
        </w:tc>
        <w:tc>
          <w:tcPr>
            <w:tcW w:w="1464"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各处革命文物四周20米以内为文物保护区</w:t>
            </w:r>
          </w:p>
        </w:tc>
        <w:tc>
          <w:tcPr>
            <w:tcW w:w="1063"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c>
          <w:tcPr>
            <w:tcW w:w="882" w:type="pct"/>
            <w:shd w:val="clear" w:color="000000" w:fill="FFFFFF"/>
            <w:vAlign w:val="center"/>
          </w:tcPr>
          <w:p>
            <w:pPr>
              <w:spacing w:line="240" w:lineRule="auto"/>
              <w:ind w:firstLine="0" w:firstLineChars="0"/>
              <w:jc w:val="center"/>
              <w:rPr>
                <w:rFonts w:cs="宋体"/>
                <w:kern w:val="0"/>
                <w:szCs w:val="21"/>
              </w:rPr>
            </w:pPr>
            <w:r>
              <w:rPr>
                <w:rFonts w:hint="eastAsia" w:cs="宋体"/>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七星世镇（又称水城）</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城墙四周30米以内为文物保护区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接龙桥（又称多稼桥）</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接龙桥四周30米以内为文物保护区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r>
              <w:rPr>
                <w:rFonts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孔塘进士牌坊</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牌坊四周30米以内为文物保护区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文物保护区外缘起向外延伸20米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雄府（1997）45号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0</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新田村</w:t>
            </w:r>
          </w:p>
        </w:tc>
        <w:tc>
          <w:tcPr>
            <w:tcW w:w="1464" w:type="pct"/>
            <w:vAlign w:val="center"/>
          </w:tcPr>
          <w:p>
            <w:pPr>
              <w:spacing w:line="240" w:lineRule="auto"/>
              <w:ind w:firstLine="0" w:firstLineChars="0"/>
              <w:jc w:val="center"/>
              <w:rPr>
                <w:rFonts w:cs="宋体"/>
                <w:kern w:val="0"/>
                <w:szCs w:val="21"/>
              </w:rPr>
            </w:pPr>
            <w:r>
              <w:rPr>
                <w:rFonts w:hint="eastAsia" w:cs="宋体"/>
                <w:kern w:val="0"/>
                <w:szCs w:val="21"/>
              </w:rPr>
              <w:t>文物保护范围以村落旧居住区外缘为界</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中站村</w:t>
            </w:r>
          </w:p>
        </w:tc>
        <w:tc>
          <w:tcPr>
            <w:tcW w:w="1464" w:type="pct"/>
            <w:vAlign w:val="center"/>
          </w:tcPr>
          <w:p>
            <w:pPr>
              <w:spacing w:line="240" w:lineRule="auto"/>
              <w:ind w:firstLine="0" w:firstLineChars="0"/>
              <w:jc w:val="center"/>
              <w:rPr>
                <w:rFonts w:cs="宋体"/>
                <w:kern w:val="0"/>
                <w:szCs w:val="21"/>
              </w:rPr>
            </w:pPr>
            <w:r>
              <w:rPr>
                <w:rFonts w:hint="eastAsia" w:cs="宋体"/>
                <w:kern w:val="0"/>
                <w:szCs w:val="21"/>
              </w:rPr>
              <w:t>文物保护范围以村落旧居住区外缘为界</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溪塘村</w:t>
            </w:r>
          </w:p>
        </w:tc>
        <w:tc>
          <w:tcPr>
            <w:tcW w:w="1464" w:type="pct"/>
            <w:vAlign w:val="center"/>
          </w:tcPr>
          <w:p>
            <w:pPr>
              <w:spacing w:line="240" w:lineRule="auto"/>
              <w:ind w:firstLine="0" w:firstLineChars="0"/>
              <w:jc w:val="center"/>
              <w:rPr>
                <w:rFonts w:cs="宋体"/>
                <w:kern w:val="0"/>
                <w:szCs w:val="21"/>
              </w:rPr>
            </w:pPr>
            <w:r>
              <w:rPr>
                <w:rFonts w:hint="eastAsia" w:cs="宋体"/>
                <w:kern w:val="0"/>
                <w:szCs w:val="21"/>
              </w:rPr>
              <w:t>文物保护范围以村落旧居住区外缘为界</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鱼鲜村</w:t>
            </w:r>
          </w:p>
        </w:tc>
        <w:tc>
          <w:tcPr>
            <w:tcW w:w="1464" w:type="pct"/>
            <w:vAlign w:val="center"/>
          </w:tcPr>
          <w:p>
            <w:pPr>
              <w:spacing w:line="240" w:lineRule="auto"/>
              <w:ind w:firstLine="0" w:firstLineChars="0"/>
              <w:jc w:val="center"/>
              <w:rPr>
                <w:rFonts w:cs="宋体"/>
                <w:kern w:val="0"/>
                <w:szCs w:val="21"/>
              </w:rPr>
            </w:pPr>
            <w:r>
              <w:rPr>
                <w:rFonts w:hint="eastAsia" w:cs="宋体"/>
                <w:kern w:val="0"/>
                <w:szCs w:val="21"/>
              </w:rPr>
              <w:t>文物保护范围以村落旧居住区外缘为界</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黄屋城村</w:t>
            </w:r>
          </w:p>
        </w:tc>
        <w:tc>
          <w:tcPr>
            <w:tcW w:w="1464" w:type="pct"/>
            <w:vAlign w:val="center"/>
          </w:tcPr>
          <w:p>
            <w:pPr>
              <w:spacing w:line="240" w:lineRule="auto"/>
              <w:ind w:firstLine="0" w:firstLineChars="0"/>
              <w:jc w:val="center"/>
              <w:rPr>
                <w:rFonts w:cs="宋体"/>
                <w:kern w:val="0"/>
                <w:szCs w:val="21"/>
              </w:rPr>
            </w:pPr>
            <w:r>
              <w:rPr>
                <w:rFonts w:hint="eastAsia" w:cs="宋体"/>
                <w:kern w:val="0"/>
                <w:szCs w:val="21"/>
              </w:rPr>
              <w:t>文物保护范围以村落旧居住区外缘为界</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乌迳镇白胜村叶氏祠堂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乌迳镇黄塘村叶氏祠堂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乌迳镇水松董氏祠堂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油山</w:t>
            </w:r>
            <w:r>
              <w:rPr>
                <w:rFonts w:hint="eastAsia" w:cs="宋体"/>
                <w:kern w:val="0"/>
                <w:szCs w:val="21"/>
              </w:rPr>
              <w:t>镇爱敬</w:t>
            </w:r>
            <w:r>
              <w:rPr>
                <w:rFonts w:hint="eastAsia" w:cs="宋体"/>
                <w:color w:val="000000"/>
                <w:kern w:val="0"/>
                <w:szCs w:val="21"/>
              </w:rPr>
              <w:t>村爱敬堂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爱敬堂四周20米以内为文物保护区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r>
              <w:rPr>
                <w:rFonts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油山镇浆田村黄氏一本堂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0</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水口镇篛过村欧阳氏祠堂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黄坑镇茅坑村何氏祠堂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 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麦铁杖墓</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墓四周20米以内为文物保护区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陂头莲塘坳窑址</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窑址四周10米以内为文物保护区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铺背窑址</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窑址四周10米以内为文物保护区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梅岭司马第</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第宅四周20米以内为文物保护区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百顺天后宫</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宫殿四周20米以内为文物保护区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上朔村大彭氏宗祠</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祠堂四周20米以内为文物保护区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界址黄坑村严氏宗祠</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宗祠四周20米以内为文物保护区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r>
              <w:rPr>
                <w:rFonts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雄州蓝氏宗祠</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宗祠四周20米以内为文物保护区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0</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杜屋村杜氏宗祠</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宗祠四周20米以内为文物保护区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1</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上嵩村花楼</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花楼四周20米以内为文物保护区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2</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百顺人民会堂</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会堂四周30米以内为文物保护区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3</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下石村石旌杆</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石旌杆四周15米以内为文物保护区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5"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4</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麦必雄墓</w:t>
            </w:r>
          </w:p>
        </w:tc>
        <w:tc>
          <w:tcPr>
            <w:tcW w:w="1464"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墓四周15米以内为文物保护区</w:t>
            </w:r>
          </w:p>
        </w:tc>
        <w:tc>
          <w:tcPr>
            <w:tcW w:w="1063"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雄府（2020）27号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80"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5</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中共五岭地委和粤赣湘边人民解放总队机关旧址</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范围从中共五岭地委和粤赣湘边人民解放军总队机关旧址外墙起向四周延伸，结合周边现状道路边界、传统风貌建筑边界、空旷场地边界划分保护范</w:t>
            </w:r>
          </w:p>
          <w:p>
            <w:pPr>
              <w:spacing w:line="240" w:lineRule="auto"/>
              <w:ind w:firstLine="0" w:firstLineChars="0"/>
              <w:rPr>
                <w:rFonts w:cs="宋体"/>
                <w:color w:val="000000"/>
                <w:kern w:val="0"/>
                <w:szCs w:val="21"/>
              </w:rPr>
            </w:pPr>
            <w:r>
              <w:rPr>
                <w:rFonts w:hint="eastAsia" w:cs="宋体"/>
                <w:color w:val="000000"/>
                <w:kern w:val="0"/>
                <w:szCs w:val="21"/>
              </w:rPr>
              <w:t>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703.00平方米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从保护范围向四周外扩，结合周边现状道路边界、风貌协调建筑边界、河岸水系边界等，划分控制区域。面积：</w:t>
            </w:r>
            <w:r>
              <w:rPr>
                <w:rFonts w:cs="宋体"/>
                <w:color w:val="000000"/>
                <w:kern w:val="0"/>
                <w:szCs w:val="21"/>
              </w:rPr>
              <w:t>3013.30平方米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6</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大岭下会议旧址</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保护范围：范围从大岭下会议旧址外墙起向四周延伸，结合周边现状道路边界、传统风貌建筑边界、空旷场地边界划分保护范围。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1286.86平方米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从保护范围向四周外扩，结合周边现状道路边界、风貌协调建筑边界、河岸水系边界等，划分控制区域。面积：</w:t>
            </w:r>
            <w:r>
              <w:rPr>
                <w:rFonts w:cs="宋体"/>
                <w:color w:val="000000"/>
                <w:kern w:val="0"/>
                <w:szCs w:val="21"/>
              </w:rPr>
              <w:t>2889.33平方米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7</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廖地村项英、陈毅与李乐天会合旧址</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范围从廖地村项英、陈毅与李乐天会合旧址向四周延伸，结合周边现状道路边界、传统风貌建筑边界、空旷场地边界划分保护范围。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1405.45平方米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从保护范围向四周外扩，结合周边现状道路边界、风貌协调建筑边界、河岸水系边界等，划分控制区域。</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3429.74平方米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8</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上朔人民会堂——朔溪乡农会遗址</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范围从上朔人民会堂外墙起向四周延伸，结合周边现状道路边界、传统风貌建筑边界、空旷场地边界划分保护范围。</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1784.52平方米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从保护范围向四周外扩，结合周边现状道路边界、风貌协调建筑边界、河岸水系边界等，划分控制区域。</w:t>
            </w:r>
          </w:p>
          <w:p>
            <w:pPr>
              <w:spacing w:line="240" w:lineRule="auto"/>
              <w:ind w:firstLine="0" w:firstLineChars="0"/>
              <w:rPr>
                <w:rFonts w:cs="宋体"/>
                <w:color w:val="000000"/>
                <w:kern w:val="0"/>
                <w:szCs w:val="21"/>
              </w:rPr>
            </w:pPr>
            <w:r>
              <w:rPr>
                <w:rFonts w:hint="eastAsia" w:cs="宋体"/>
                <w:color w:val="000000"/>
                <w:kern w:val="0"/>
                <w:szCs w:val="21"/>
              </w:rPr>
              <w:t>面积：</w:t>
            </w:r>
            <w:r>
              <w:rPr>
                <w:rFonts w:cs="宋体"/>
                <w:color w:val="000000"/>
                <w:kern w:val="0"/>
                <w:szCs w:val="21"/>
              </w:rPr>
              <w:t>5288.68平方米</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雄府（2020）49号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9" w:hRule="atLeast"/>
        </w:trPr>
        <w:tc>
          <w:tcPr>
            <w:tcW w:w="370"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r>
              <w:rPr>
                <w:rFonts w:cs="宋体"/>
                <w:color w:val="000000"/>
                <w:kern w:val="0"/>
                <w:szCs w:val="21"/>
              </w:rPr>
              <w:t>9</w:t>
            </w:r>
          </w:p>
        </w:tc>
        <w:tc>
          <w:tcPr>
            <w:tcW w:w="122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八一街毛泽东居住旧址</w:t>
            </w:r>
          </w:p>
        </w:tc>
        <w:tc>
          <w:tcPr>
            <w:tcW w:w="1464" w:type="pct"/>
            <w:vAlign w:val="center"/>
          </w:tcPr>
          <w:p>
            <w:pPr>
              <w:spacing w:line="240" w:lineRule="auto"/>
              <w:ind w:firstLine="0" w:firstLineChars="0"/>
              <w:rPr>
                <w:rFonts w:cs="宋体"/>
                <w:color w:val="000000"/>
                <w:kern w:val="0"/>
                <w:szCs w:val="21"/>
              </w:rPr>
            </w:pPr>
            <w:r>
              <w:rPr>
                <w:rFonts w:hint="eastAsia" w:cs="宋体"/>
                <w:color w:val="000000"/>
                <w:kern w:val="0"/>
                <w:szCs w:val="21"/>
              </w:rPr>
              <w:t>旧址房舍四周向外</w:t>
            </w:r>
            <w:r>
              <w:rPr>
                <w:rFonts w:cs="宋体"/>
                <w:color w:val="000000"/>
                <w:kern w:val="0"/>
                <w:szCs w:val="21"/>
              </w:rPr>
              <w:t>10</w:t>
            </w:r>
            <w:r>
              <w:rPr>
                <w:rFonts w:hint="eastAsia" w:cs="宋体"/>
                <w:color w:val="000000"/>
                <w:kern w:val="0"/>
                <w:szCs w:val="21"/>
              </w:rPr>
              <w:t>米</w:t>
            </w:r>
          </w:p>
        </w:tc>
        <w:tc>
          <w:tcPr>
            <w:tcW w:w="1063" w:type="pct"/>
            <w:vAlign w:val="center"/>
          </w:tcPr>
          <w:p>
            <w:pPr>
              <w:spacing w:line="240" w:lineRule="auto"/>
              <w:ind w:firstLine="0" w:firstLineChars="0"/>
              <w:rPr>
                <w:rFonts w:cs="宋体"/>
                <w:color w:val="000000"/>
                <w:kern w:val="0"/>
                <w:szCs w:val="21"/>
              </w:rPr>
            </w:pPr>
            <w:r>
              <w:rPr>
                <w:rFonts w:hint="eastAsia" w:cs="宋体"/>
                <w:color w:val="000000"/>
                <w:kern w:val="0"/>
                <w:szCs w:val="21"/>
              </w:rPr>
              <w:t>未公布</w:t>
            </w:r>
          </w:p>
        </w:tc>
        <w:tc>
          <w:tcPr>
            <w:tcW w:w="88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雄府（2020）49号</w:t>
            </w:r>
          </w:p>
        </w:tc>
      </w:tr>
    </w:tbl>
    <w:p>
      <w:pPr>
        <w:ind w:firstLine="480"/>
        <w:jc w:val="left"/>
        <w:rPr>
          <w:rFonts w:ascii="Times" w:hAnsi="Times" w:cs="宋体"/>
          <w:bCs/>
          <w:sz w:val="24"/>
          <w:szCs w:val="24"/>
        </w:rPr>
      </w:pPr>
    </w:p>
    <w:p>
      <w:pPr>
        <w:ind w:firstLine="480"/>
        <w:jc w:val="left"/>
        <w:rPr>
          <w:rFonts w:ascii="Times" w:hAnsi="Times" w:cs="宋体"/>
          <w:bCs/>
          <w:sz w:val="24"/>
          <w:szCs w:val="24"/>
        </w:rPr>
      </w:pPr>
    </w:p>
    <w:p>
      <w:pPr>
        <w:ind w:firstLine="480"/>
        <w:jc w:val="left"/>
        <w:rPr>
          <w:rFonts w:ascii="Times" w:hAnsi="Times" w:cs="宋体"/>
          <w:bCs/>
          <w:sz w:val="24"/>
          <w:szCs w:val="24"/>
        </w:rPr>
        <w:sectPr>
          <w:type w:val="continuous"/>
          <w:pgSz w:w="23811" w:h="16838" w:orient="landscape"/>
          <w:pgMar w:top="1080" w:right="1440" w:bottom="1080" w:left="1440" w:header="851" w:footer="737" w:gutter="0"/>
          <w:cols w:space="425" w:num="2"/>
          <w:docGrid w:type="lines" w:linePitch="312" w:charSpace="0"/>
        </w:sectPr>
      </w:pPr>
    </w:p>
    <w:p>
      <w:pPr>
        <w:ind w:firstLine="480"/>
        <w:jc w:val="left"/>
        <w:rPr>
          <w:rFonts w:ascii="Times" w:hAnsi="Times" w:cs="宋体"/>
          <w:bCs/>
          <w:sz w:val="24"/>
          <w:szCs w:val="24"/>
        </w:rPr>
      </w:pPr>
    </w:p>
    <w:p>
      <w:pPr>
        <w:pStyle w:val="3"/>
        <w:spacing w:before="0" w:after="0"/>
        <w:ind w:firstLine="482"/>
        <w:rPr>
          <w:rFonts w:ascii="Times" w:hAnsi="Times" w:cs="宋体"/>
          <w:bCs w:val="0"/>
          <w:sz w:val="24"/>
          <w:szCs w:val="24"/>
        </w:rPr>
      </w:pPr>
      <w:r>
        <w:rPr>
          <w:rFonts w:ascii="Times" w:hAnsi="Times" w:cs="宋体"/>
          <w:bCs w:val="0"/>
          <w:sz w:val="24"/>
          <w:szCs w:val="24"/>
        </w:rPr>
        <w:br w:type="column"/>
      </w:r>
      <w:bookmarkStart w:id="224" w:name="_Toc135989732"/>
      <w:bookmarkStart w:id="225" w:name="_Toc204964383"/>
      <w:r>
        <w:rPr>
          <w:rFonts w:hint="eastAsia" w:ascii="Times" w:hAnsi="Times" w:cs="宋体"/>
          <w:bCs w:val="0"/>
          <w:sz w:val="28"/>
          <w:szCs w:val="28"/>
        </w:rPr>
        <w:t>附表</w:t>
      </w:r>
      <w:r>
        <w:rPr>
          <w:rFonts w:ascii="Times" w:hAnsi="Times" w:cs="宋体"/>
          <w:bCs w:val="0"/>
          <w:sz w:val="28"/>
          <w:szCs w:val="28"/>
        </w:rPr>
        <w:t>3</w:t>
      </w:r>
      <w:r>
        <w:rPr>
          <w:rFonts w:hint="eastAsia" w:ascii="Times" w:hAnsi="Times" w:cs="宋体"/>
          <w:bCs w:val="0"/>
          <w:sz w:val="28"/>
          <w:szCs w:val="28"/>
        </w:rPr>
        <w:t>：历史文化名镇名村及传统村落统计表</w:t>
      </w:r>
      <w:bookmarkEnd w:id="224"/>
      <w:bookmarkEnd w:id="225"/>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2"/>
        <w:gridCol w:w="2043"/>
        <w:gridCol w:w="2525"/>
        <w:gridCol w:w="3278"/>
        <w:gridCol w:w="1903"/>
        <w:gridCol w:w="98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0" w:type="pct"/>
            <w:shd w:val="clear" w:color="auto" w:fill="D0CECE" w:themeFill="background2" w:themeFillShade="E6"/>
            <w:vAlign w:val="center"/>
          </w:tcPr>
          <w:p>
            <w:pPr>
              <w:ind w:firstLine="0" w:firstLineChars="0"/>
              <w:jc w:val="center"/>
              <w:rPr>
                <w:rFonts w:cs="宋体"/>
                <w:b/>
              </w:rPr>
            </w:pPr>
            <w:r>
              <w:rPr>
                <w:rFonts w:hint="eastAsia" w:cs="宋体"/>
                <w:b/>
              </w:rPr>
              <w:t>序号</w:t>
            </w:r>
          </w:p>
        </w:tc>
        <w:tc>
          <w:tcPr>
            <w:tcW w:w="483" w:type="pct"/>
            <w:shd w:val="clear" w:color="auto" w:fill="D0CECE" w:themeFill="background2" w:themeFillShade="E6"/>
            <w:vAlign w:val="center"/>
          </w:tcPr>
          <w:p>
            <w:pPr>
              <w:ind w:firstLine="0" w:firstLineChars="0"/>
              <w:jc w:val="center"/>
              <w:rPr>
                <w:rFonts w:cs="宋体"/>
                <w:b/>
              </w:rPr>
            </w:pPr>
            <w:r>
              <w:rPr>
                <w:rFonts w:hint="eastAsia" w:cs="宋体"/>
                <w:b/>
              </w:rPr>
              <w:t>类别</w:t>
            </w:r>
          </w:p>
        </w:tc>
        <w:tc>
          <w:tcPr>
            <w:tcW w:w="597" w:type="pct"/>
            <w:shd w:val="clear" w:color="auto" w:fill="D0CECE" w:themeFill="background2" w:themeFillShade="E6"/>
            <w:vAlign w:val="center"/>
          </w:tcPr>
          <w:p>
            <w:pPr>
              <w:ind w:firstLine="0" w:firstLineChars="0"/>
              <w:jc w:val="center"/>
              <w:rPr>
                <w:rFonts w:cs="宋体"/>
                <w:b/>
              </w:rPr>
            </w:pPr>
            <w:r>
              <w:rPr>
                <w:rFonts w:hint="eastAsia" w:cs="宋体"/>
                <w:b/>
              </w:rPr>
              <w:t>村镇名称</w:t>
            </w:r>
          </w:p>
        </w:tc>
        <w:tc>
          <w:tcPr>
            <w:tcW w:w="775" w:type="pct"/>
            <w:shd w:val="clear" w:color="auto" w:fill="D0CECE" w:themeFill="background2" w:themeFillShade="E6"/>
            <w:vAlign w:val="center"/>
          </w:tcPr>
          <w:p>
            <w:pPr>
              <w:ind w:firstLine="0" w:firstLineChars="0"/>
              <w:jc w:val="center"/>
              <w:rPr>
                <w:rFonts w:cs="宋体"/>
                <w:b/>
              </w:rPr>
            </w:pPr>
            <w:r>
              <w:rPr>
                <w:rFonts w:hint="eastAsia" w:cs="宋体"/>
                <w:b/>
              </w:rPr>
              <w:t>位置</w:t>
            </w:r>
          </w:p>
        </w:tc>
        <w:tc>
          <w:tcPr>
            <w:tcW w:w="450" w:type="pct"/>
            <w:shd w:val="clear" w:color="auto" w:fill="D0CECE" w:themeFill="background2" w:themeFillShade="E6"/>
            <w:vAlign w:val="center"/>
          </w:tcPr>
          <w:p>
            <w:pPr>
              <w:ind w:firstLine="0" w:firstLineChars="0"/>
              <w:jc w:val="center"/>
              <w:rPr>
                <w:rFonts w:cs="宋体"/>
                <w:b/>
              </w:rPr>
            </w:pPr>
            <w:r>
              <w:rPr>
                <w:rFonts w:hint="eastAsia" w:cs="宋体"/>
                <w:b/>
              </w:rPr>
              <w:t>年代</w:t>
            </w:r>
          </w:p>
        </w:tc>
        <w:tc>
          <w:tcPr>
            <w:tcW w:w="2336" w:type="pct"/>
            <w:shd w:val="clear" w:color="auto" w:fill="D0CECE" w:themeFill="background2" w:themeFillShade="E6"/>
            <w:vAlign w:val="center"/>
          </w:tcPr>
          <w:p>
            <w:pPr>
              <w:ind w:firstLine="0" w:firstLineChars="0"/>
              <w:jc w:val="center"/>
              <w:rPr>
                <w:rFonts w:cs="宋体"/>
                <w:b/>
              </w:rPr>
            </w:pPr>
            <w:r>
              <w:rPr>
                <w:rFonts w:hint="eastAsia" w:cs="宋体"/>
                <w:b/>
              </w:rPr>
              <w:t>村镇历史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60" w:type="pct"/>
            <w:vAlign w:val="center"/>
          </w:tcPr>
          <w:p>
            <w:pPr>
              <w:ind w:firstLine="0" w:firstLineChars="0"/>
              <w:jc w:val="center"/>
              <w:rPr>
                <w:rFonts w:cs="宋体"/>
                <w:bCs/>
              </w:rPr>
            </w:pPr>
            <w:r>
              <w:rPr>
                <w:rFonts w:hint="eastAsia" w:cs="宋体"/>
                <w:bCs/>
              </w:rPr>
              <w:t>1</w:t>
            </w:r>
          </w:p>
        </w:tc>
        <w:tc>
          <w:tcPr>
            <w:tcW w:w="483" w:type="pct"/>
            <w:vAlign w:val="center"/>
          </w:tcPr>
          <w:p>
            <w:pPr>
              <w:ind w:firstLine="0" w:firstLineChars="0"/>
              <w:jc w:val="center"/>
              <w:rPr>
                <w:rFonts w:cs="宋体"/>
                <w:bCs/>
              </w:rPr>
            </w:pPr>
            <w:r>
              <w:rPr>
                <w:rFonts w:hint="eastAsia" w:cs="宋体"/>
                <w:bCs/>
              </w:rPr>
              <w:t>广东省历史文化名镇</w:t>
            </w:r>
          </w:p>
        </w:tc>
        <w:tc>
          <w:tcPr>
            <w:tcW w:w="597" w:type="pct"/>
            <w:vAlign w:val="center"/>
          </w:tcPr>
          <w:p>
            <w:pPr>
              <w:ind w:firstLine="0" w:firstLineChars="0"/>
              <w:jc w:val="center"/>
              <w:rPr>
                <w:rFonts w:cs="宋体"/>
                <w:bCs/>
              </w:rPr>
            </w:pPr>
            <w:r>
              <w:rPr>
                <w:rFonts w:hint="eastAsia" w:cs="宋体"/>
                <w:bCs/>
              </w:rPr>
              <w:t>珠玑镇</w:t>
            </w:r>
          </w:p>
        </w:tc>
        <w:tc>
          <w:tcPr>
            <w:tcW w:w="775" w:type="pct"/>
            <w:vAlign w:val="center"/>
          </w:tcPr>
          <w:p>
            <w:pPr>
              <w:ind w:firstLine="0" w:firstLineChars="0"/>
              <w:jc w:val="center"/>
              <w:rPr>
                <w:rFonts w:cs="宋体"/>
                <w:bCs/>
              </w:rPr>
            </w:pPr>
            <w:r>
              <w:rPr>
                <w:rFonts w:hint="eastAsia" w:cs="宋体"/>
                <w:bCs/>
              </w:rPr>
              <w:t>珠玑镇</w:t>
            </w:r>
          </w:p>
        </w:tc>
        <w:tc>
          <w:tcPr>
            <w:tcW w:w="450" w:type="pct"/>
            <w:vAlign w:val="center"/>
          </w:tcPr>
          <w:p>
            <w:pPr>
              <w:ind w:firstLine="0" w:firstLineChars="0"/>
              <w:jc w:val="center"/>
              <w:rPr>
                <w:rFonts w:cs="宋体"/>
                <w:bCs/>
              </w:rPr>
            </w:pPr>
            <w:r>
              <w:rPr>
                <w:rFonts w:hint="eastAsia" w:cs="宋体"/>
                <w:bCs/>
              </w:rPr>
              <w:t>南宋</w:t>
            </w:r>
          </w:p>
        </w:tc>
        <w:tc>
          <w:tcPr>
            <w:tcW w:w="2336" w:type="pct"/>
          </w:tcPr>
          <w:p>
            <w:pPr>
              <w:ind w:firstLine="0" w:firstLineChars="0"/>
              <w:rPr>
                <w:rFonts w:cs="宋体"/>
                <w:bCs/>
              </w:rPr>
            </w:pPr>
            <w:r>
              <w:rPr>
                <w:rFonts w:hint="eastAsia" w:cs="宋体"/>
                <w:bCs/>
              </w:rPr>
              <w:t>珠玑巷，位于广东省韶关市的南雄县城，建造时间是在南宋，距离现在已经有千年的时光。在当时的这样一个朝代里面是中原与江南通向岭南驿道的一处商业重镇。整条巷子宽度有</w:t>
            </w:r>
            <w:r>
              <w:rPr>
                <w:rFonts w:cs="宋体"/>
                <w:bCs/>
              </w:rPr>
              <w:t>4米多，长度达到了1500米。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60" w:type="pct"/>
            <w:vAlign w:val="center"/>
          </w:tcPr>
          <w:p>
            <w:pPr>
              <w:ind w:firstLine="0" w:firstLineChars="0"/>
              <w:jc w:val="center"/>
              <w:rPr>
                <w:rFonts w:cs="宋体"/>
                <w:bCs/>
              </w:rPr>
            </w:pPr>
            <w:r>
              <w:rPr>
                <w:rFonts w:hint="eastAsia" w:cs="宋体"/>
                <w:bCs/>
              </w:rPr>
              <w:t>2</w:t>
            </w:r>
          </w:p>
        </w:tc>
        <w:tc>
          <w:tcPr>
            <w:tcW w:w="483" w:type="pct"/>
            <w:vAlign w:val="center"/>
          </w:tcPr>
          <w:p>
            <w:pPr>
              <w:ind w:firstLine="0" w:firstLineChars="0"/>
              <w:jc w:val="center"/>
              <w:rPr>
                <w:rFonts w:cs="宋体"/>
                <w:bCs/>
              </w:rPr>
            </w:pPr>
            <w:r>
              <w:rPr>
                <w:rFonts w:hint="eastAsia" w:cs="宋体"/>
                <w:bCs/>
              </w:rPr>
              <w:t>广东省历史文化名村/中国传统村落</w:t>
            </w:r>
          </w:p>
        </w:tc>
        <w:tc>
          <w:tcPr>
            <w:tcW w:w="597" w:type="pct"/>
            <w:vAlign w:val="center"/>
          </w:tcPr>
          <w:p>
            <w:pPr>
              <w:ind w:firstLine="0" w:firstLineChars="0"/>
              <w:jc w:val="center"/>
              <w:rPr>
                <w:rFonts w:cs="宋体"/>
                <w:bCs/>
              </w:rPr>
            </w:pPr>
            <w:r>
              <w:rPr>
                <w:rFonts w:hint="eastAsia" w:cs="宋体"/>
                <w:bCs/>
              </w:rPr>
              <w:t>新田村</w:t>
            </w:r>
          </w:p>
        </w:tc>
        <w:tc>
          <w:tcPr>
            <w:tcW w:w="775" w:type="pct"/>
            <w:vAlign w:val="center"/>
          </w:tcPr>
          <w:p>
            <w:pPr>
              <w:ind w:firstLine="0" w:firstLineChars="0"/>
              <w:jc w:val="center"/>
              <w:rPr>
                <w:rFonts w:cs="宋体"/>
                <w:bCs/>
              </w:rPr>
            </w:pPr>
            <w:r>
              <w:rPr>
                <w:rFonts w:hint="eastAsia" w:cs="宋体"/>
                <w:bCs/>
              </w:rPr>
              <w:t>乌迳镇</w:t>
            </w:r>
          </w:p>
        </w:tc>
        <w:tc>
          <w:tcPr>
            <w:tcW w:w="450" w:type="pct"/>
            <w:vAlign w:val="center"/>
          </w:tcPr>
          <w:p>
            <w:pPr>
              <w:ind w:firstLine="0" w:firstLineChars="0"/>
              <w:jc w:val="center"/>
              <w:rPr>
                <w:rFonts w:cs="宋体"/>
                <w:bCs/>
              </w:rPr>
            </w:pPr>
            <w:r>
              <w:rPr>
                <w:rFonts w:hint="eastAsia" w:cs="宋体"/>
                <w:bCs/>
              </w:rPr>
              <w:t>西晋</w:t>
            </w:r>
          </w:p>
        </w:tc>
        <w:tc>
          <w:tcPr>
            <w:tcW w:w="2336" w:type="pct"/>
          </w:tcPr>
          <w:p>
            <w:pPr>
              <w:ind w:firstLine="0" w:firstLineChars="0"/>
              <w:rPr>
                <w:rFonts w:cs="宋体"/>
                <w:bCs/>
              </w:rPr>
            </w:pPr>
            <w:r>
              <w:rPr>
                <w:rFonts w:hint="eastAsia" w:cs="宋体"/>
                <w:bCs/>
              </w:rPr>
              <w:t>乌迳镇是具有悠久历史的粤北重镇，地处南雄市东北部，浈江上游，粤赣两省交界之处。新田建村以来，村址没有变化，村内现存晋、唐、宋、明、清五代的历史遗迹十分丰富，如晋代古井，唐代石鼓，明代祠堂，还有千年古树等。新田村古民居建筑也以明、清建筑为代表，具有代表性的民居古建一般是典型江西民居风格，具有较高的建筑艺术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60" w:type="pct"/>
            <w:vAlign w:val="center"/>
          </w:tcPr>
          <w:p>
            <w:pPr>
              <w:ind w:firstLine="0" w:firstLineChars="0"/>
              <w:jc w:val="center"/>
              <w:rPr>
                <w:rFonts w:cs="宋体"/>
                <w:bCs/>
              </w:rPr>
            </w:pPr>
            <w:r>
              <w:rPr>
                <w:rFonts w:cs="宋体"/>
                <w:bCs/>
              </w:rPr>
              <w:t>3</w:t>
            </w:r>
          </w:p>
        </w:tc>
        <w:tc>
          <w:tcPr>
            <w:tcW w:w="483" w:type="pct"/>
            <w:vAlign w:val="center"/>
          </w:tcPr>
          <w:p>
            <w:pPr>
              <w:ind w:firstLine="0" w:firstLineChars="0"/>
              <w:jc w:val="center"/>
              <w:rPr>
                <w:rFonts w:cs="宋体"/>
                <w:bCs/>
              </w:rPr>
            </w:pPr>
            <w:r>
              <w:rPr>
                <w:rFonts w:hint="eastAsia" w:cs="宋体"/>
                <w:bCs/>
              </w:rPr>
              <w:t>中国传统村落</w:t>
            </w:r>
          </w:p>
        </w:tc>
        <w:tc>
          <w:tcPr>
            <w:tcW w:w="597" w:type="pct"/>
            <w:vAlign w:val="center"/>
          </w:tcPr>
          <w:p>
            <w:pPr>
              <w:ind w:firstLine="0" w:firstLineChars="0"/>
              <w:jc w:val="center"/>
              <w:rPr>
                <w:rFonts w:cs="宋体"/>
                <w:bCs/>
              </w:rPr>
            </w:pPr>
            <w:r>
              <w:rPr>
                <w:rFonts w:hint="eastAsia" w:cs="宋体"/>
                <w:bCs/>
              </w:rPr>
              <w:t>上朔村</w:t>
            </w:r>
          </w:p>
        </w:tc>
        <w:tc>
          <w:tcPr>
            <w:tcW w:w="775" w:type="pct"/>
            <w:vAlign w:val="center"/>
          </w:tcPr>
          <w:p>
            <w:pPr>
              <w:ind w:firstLine="0" w:firstLineChars="0"/>
              <w:jc w:val="center"/>
              <w:rPr>
                <w:rFonts w:cs="宋体"/>
                <w:bCs/>
              </w:rPr>
            </w:pPr>
            <w:r>
              <w:rPr>
                <w:rFonts w:hint="eastAsia" w:cs="宋体"/>
                <w:bCs/>
              </w:rPr>
              <w:t>油山镇</w:t>
            </w:r>
          </w:p>
        </w:tc>
        <w:tc>
          <w:tcPr>
            <w:tcW w:w="450" w:type="pct"/>
            <w:vAlign w:val="center"/>
          </w:tcPr>
          <w:p>
            <w:pPr>
              <w:ind w:firstLine="0" w:firstLineChars="0"/>
              <w:jc w:val="center"/>
              <w:rPr>
                <w:rFonts w:cs="宋体"/>
                <w:bCs/>
              </w:rPr>
            </w:pPr>
            <w:r>
              <w:rPr>
                <w:rFonts w:hint="eastAsia" w:cs="宋体"/>
                <w:bCs/>
              </w:rPr>
              <w:t>唐朝</w:t>
            </w:r>
          </w:p>
        </w:tc>
        <w:tc>
          <w:tcPr>
            <w:tcW w:w="2336" w:type="pct"/>
          </w:tcPr>
          <w:p>
            <w:pPr>
              <w:ind w:firstLine="0" w:firstLineChars="0"/>
              <w:rPr>
                <w:rFonts w:cs="宋体"/>
                <w:bCs/>
              </w:rPr>
            </w:pPr>
            <w:r>
              <w:rPr>
                <w:rFonts w:hint="eastAsia" w:cs="宋体"/>
                <w:bCs/>
              </w:rPr>
              <w:t>上朔村原名朔溪，建村于唐朝，自古就是南雄著名大村庄，以“千家村”享誉南雄，最高峰时人口达到</w:t>
            </w:r>
            <w:r>
              <w:rPr>
                <w:rFonts w:cs="宋体"/>
                <w:bCs/>
              </w:rPr>
              <w:t>1200多户，9000多人。</w:t>
            </w:r>
            <w:r>
              <w:rPr>
                <w:rFonts w:hint="eastAsia" w:cs="宋体"/>
                <w:bCs/>
              </w:rPr>
              <w:t>上朔村自古就有诗礼传家、崇文尚武的传统，先后有</w:t>
            </w:r>
            <w:r>
              <w:rPr>
                <w:rFonts w:cs="宋体"/>
                <w:bCs/>
              </w:rPr>
              <w:t>12人考取进士，贡生、秀才三四百名之多。古今将军2名，同时，又是南雄著名的红色苏区和老革命根据地，是大革命时期南雄土地革命的中心和根据地。从1925年开始，直至新中国成立，这里是南雄红色革命斗争岁月中最为闪耀的红星之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60" w:type="pct"/>
            <w:vAlign w:val="center"/>
          </w:tcPr>
          <w:p>
            <w:pPr>
              <w:ind w:firstLine="0" w:firstLineChars="0"/>
              <w:jc w:val="center"/>
              <w:rPr>
                <w:rFonts w:cs="宋体"/>
                <w:bCs/>
              </w:rPr>
            </w:pPr>
            <w:r>
              <w:rPr>
                <w:rFonts w:hint="eastAsia" w:cs="宋体"/>
                <w:bCs/>
              </w:rPr>
              <w:t>4</w:t>
            </w:r>
          </w:p>
        </w:tc>
        <w:tc>
          <w:tcPr>
            <w:tcW w:w="483" w:type="pct"/>
            <w:vAlign w:val="center"/>
          </w:tcPr>
          <w:p>
            <w:pPr>
              <w:ind w:firstLine="0" w:firstLineChars="0"/>
              <w:jc w:val="center"/>
              <w:rPr>
                <w:rFonts w:cs="宋体"/>
                <w:bCs/>
              </w:rPr>
            </w:pPr>
            <w:r>
              <w:rPr>
                <w:rFonts w:hint="eastAsia" w:cs="宋体"/>
                <w:bCs/>
              </w:rPr>
              <w:t>中国传统村落</w:t>
            </w:r>
          </w:p>
        </w:tc>
        <w:tc>
          <w:tcPr>
            <w:tcW w:w="597" w:type="pct"/>
            <w:vAlign w:val="center"/>
          </w:tcPr>
          <w:p>
            <w:pPr>
              <w:ind w:firstLine="0" w:firstLineChars="0"/>
              <w:jc w:val="center"/>
              <w:rPr>
                <w:rFonts w:cs="宋体"/>
                <w:bCs/>
              </w:rPr>
            </w:pPr>
            <w:r>
              <w:rPr>
                <w:rFonts w:hint="eastAsia" w:cs="宋体"/>
                <w:bCs/>
              </w:rPr>
              <w:t>鱼鲜村</w:t>
            </w:r>
          </w:p>
        </w:tc>
        <w:tc>
          <w:tcPr>
            <w:tcW w:w="775" w:type="pct"/>
            <w:vAlign w:val="center"/>
          </w:tcPr>
          <w:p>
            <w:pPr>
              <w:ind w:firstLine="0" w:firstLineChars="0"/>
              <w:jc w:val="center"/>
              <w:rPr>
                <w:rFonts w:cs="宋体"/>
                <w:bCs/>
              </w:rPr>
            </w:pPr>
            <w:r>
              <w:rPr>
                <w:rFonts w:hint="eastAsia" w:cs="宋体"/>
                <w:bCs/>
              </w:rPr>
              <w:t>南亩镇</w:t>
            </w:r>
          </w:p>
        </w:tc>
        <w:tc>
          <w:tcPr>
            <w:tcW w:w="450" w:type="pct"/>
            <w:vAlign w:val="center"/>
          </w:tcPr>
          <w:p>
            <w:pPr>
              <w:ind w:firstLine="0" w:firstLineChars="0"/>
              <w:jc w:val="center"/>
              <w:rPr>
                <w:rFonts w:cs="宋体"/>
                <w:bCs/>
              </w:rPr>
            </w:pPr>
            <w:r>
              <w:rPr>
                <w:rFonts w:hint="eastAsia" w:cs="宋体"/>
                <w:bCs/>
              </w:rPr>
              <w:t>南宋乾道五年</w:t>
            </w:r>
          </w:p>
        </w:tc>
        <w:tc>
          <w:tcPr>
            <w:tcW w:w="2336" w:type="pct"/>
          </w:tcPr>
          <w:p>
            <w:pPr>
              <w:ind w:firstLine="0" w:firstLineChars="0"/>
              <w:rPr>
                <w:rFonts w:cs="宋体"/>
                <w:bCs/>
              </w:rPr>
            </w:pPr>
            <w:r>
              <w:rPr>
                <w:rFonts w:hint="eastAsia" w:cs="宋体"/>
                <w:bCs/>
              </w:rPr>
              <w:t>据鱼鲜村王氏族谱记载，该村建于南宋孝宗乾道五年（</w:t>
            </w:r>
            <w:r>
              <w:rPr>
                <w:rFonts w:cs="宋体"/>
                <w:bCs/>
              </w:rPr>
              <w:t>1169年），村中可以见到的许多与“槐树”有关的堂匾，源于村民都姓“王”，而“王祜手植三槐”的故事在宋朝时流传一时，故此地民风以尊槐为荣。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360" w:type="pct"/>
            <w:vAlign w:val="center"/>
          </w:tcPr>
          <w:p>
            <w:pPr>
              <w:ind w:firstLine="0" w:firstLineChars="0"/>
              <w:jc w:val="center"/>
              <w:rPr>
                <w:rFonts w:cs="宋体"/>
                <w:bCs/>
              </w:rPr>
            </w:pPr>
            <w:r>
              <w:rPr>
                <w:rFonts w:hint="eastAsia" w:cs="宋体"/>
                <w:bCs/>
              </w:rPr>
              <w:t>5</w:t>
            </w:r>
          </w:p>
        </w:tc>
        <w:tc>
          <w:tcPr>
            <w:tcW w:w="483" w:type="pct"/>
            <w:vAlign w:val="center"/>
          </w:tcPr>
          <w:p>
            <w:pPr>
              <w:ind w:firstLine="0" w:firstLineChars="0"/>
              <w:jc w:val="center"/>
              <w:rPr>
                <w:rFonts w:cs="宋体"/>
                <w:bCs/>
              </w:rPr>
            </w:pPr>
            <w:r>
              <w:rPr>
                <w:rFonts w:hint="eastAsia" w:cs="宋体"/>
                <w:bCs/>
              </w:rPr>
              <w:t>中国传统村落</w:t>
            </w:r>
          </w:p>
        </w:tc>
        <w:tc>
          <w:tcPr>
            <w:tcW w:w="597" w:type="pct"/>
            <w:vAlign w:val="center"/>
          </w:tcPr>
          <w:p>
            <w:pPr>
              <w:ind w:firstLine="0" w:firstLineChars="0"/>
              <w:jc w:val="center"/>
              <w:rPr>
                <w:rFonts w:cs="宋体"/>
                <w:bCs/>
              </w:rPr>
            </w:pPr>
            <w:r>
              <w:rPr>
                <w:rFonts w:hint="eastAsia" w:cs="宋体"/>
                <w:bCs/>
              </w:rPr>
              <w:t>黄屋城村</w:t>
            </w:r>
          </w:p>
        </w:tc>
        <w:tc>
          <w:tcPr>
            <w:tcW w:w="775" w:type="pct"/>
            <w:vAlign w:val="center"/>
          </w:tcPr>
          <w:p>
            <w:pPr>
              <w:ind w:firstLine="0" w:firstLineChars="0"/>
              <w:jc w:val="center"/>
              <w:rPr>
                <w:rFonts w:cs="宋体"/>
                <w:bCs/>
              </w:rPr>
            </w:pPr>
            <w:r>
              <w:rPr>
                <w:rFonts w:hint="eastAsia" w:cs="宋体"/>
                <w:bCs/>
              </w:rPr>
              <w:t>百顺镇</w:t>
            </w:r>
          </w:p>
        </w:tc>
        <w:tc>
          <w:tcPr>
            <w:tcW w:w="450" w:type="pct"/>
            <w:vAlign w:val="center"/>
          </w:tcPr>
          <w:p>
            <w:pPr>
              <w:ind w:firstLine="0" w:firstLineChars="0"/>
              <w:jc w:val="center"/>
              <w:rPr>
                <w:rFonts w:cs="宋体"/>
                <w:bCs/>
              </w:rPr>
            </w:pPr>
            <w:r>
              <w:rPr>
                <w:rFonts w:hint="eastAsia" w:cs="宋体"/>
                <w:bCs/>
              </w:rPr>
              <w:t>明洪武十年</w:t>
            </w:r>
          </w:p>
        </w:tc>
        <w:tc>
          <w:tcPr>
            <w:tcW w:w="2336" w:type="pct"/>
          </w:tcPr>
          <w:p>
            <w:pPr>
              <w:ind w:firstLine="0" w:firstLineChars="0"/>
              <w:rPr>
                <w:rFonts w:cs="宋体"/>
                <w:bCs/>
              </w:rPr>
            </w:pPr>
            <w:r>
              <w:rPr>
                <w:rFonts w:hint="eastAsia" w:cs="宋体"/>
                <w:bCs/>
              </w:rPr>
              <w:t>黄屋城是一座始于唐而盛于明的古城堡。明洪武十年（</w:t>
            </w:r>
            <w:r>
              <w:rPr>
                <w:rFonts w:cs="宋体"/>
                <w:bCs/>
              </w:rPr>
              <w:t>1377</w:t>
            </w:r>
            <w:r>
              <w:rPr>
                <w:rFonts w:hint="eastAsia" w:cs="宋体"/>
                <w:bCs/>
              </w:rPr>
              <w:t>年</w:t>
            </w:r>
            <w:r>
              <w:rPr>
                <w:rFonts w:cs="宋体"/>
                <w:bCs/>
              </w:rPr>
              <w:t>）在此设立南雄府百顺巡检司，是南雄境内唯一剩存下来的明代巡检官署，至今已有600多年的历史。黄屋城为椭圆形，城墙用花岗条石和青砖砌成。墙高9米多，厚0.6至0.7米，门宽1米许。南门上方石刻“义路礼门”四个楷书大字，书法古雅、劲秀。整座城占地面积一万多平方米，房屋围城墙而建，建筑面积约4500平方米。城内有街巷8条（段），用花岗石和鹅卵石砌成。</w:t>
            </w:r>
          </w:p>
        </w:tc>
      </w:tr>
    </w:tbl>
    <w:p>
      <w:pPr>
        <w:ind w:firstLine="480"/>
        <w:jc w:val="left"/>
        <w:rPr>
          <w:rFonts w:ascii="Times" w:hAnsi="Times" w:cs="宋体"/>
          <w:bCs/>
          <w:sz w:val="24"/>
          <w:szCs w:val="24"/>
        </w:rPr>
      </w:pPr>
    </w:p>
    <w:p>
      <w:pPr>
        <w:pStyle w:val="3"/>
        <w:spacing w:before="0" w:after="0"/>
        <w:ind w:firstLine="482"/>
        <w:rPr>
          <w:rFonts w:ascii="Times" w:hAnsi="Times" w:cs="宋体"/>
          <w:bCs w:val="0"/>
          <w:sz w:val="24"/>
          <w:szCs w:val="24"/>
        </w:rPr>
        <w:sectPr>
          <w:type w:val="continuous"/>
          <w:pgSz w:w="23811" w:h="16838" w:orient="landscape"/>
          <w:pgMar w:top="1080" w:right="1440" w:bottom="1080" w:left="1440" w:header="851" w:footer="737" w:gutter="0"/>
          <w:cols w:space="425" w:num="1"/>
          <w:docGrid w:type="lines" w:linePitch="312" w:charSpace="0"/>
        </w:sectPr>
      </w:pPr>
    </w:p>
    <w:p>
      <w:pPr>
        <w:pStyle w:val="3"/>
        <w:spacing w:before="0" w:after="0"/>
        <w:ind w:firstLine="482"/>
        <w:rPr>
          <w:rFonts w:ascii="Times" w:hAnsi="Times" w:cs="宋体"/>
          <w:bCs w:val="0"/>
          <w:sz w:val="28"/>
          <w:szCs w:val="28"/>
        </w:rPr>
      </w:pPr>
      <w:bookmarkStart w:id="226" w:name="_Toc204964384"/>
      <w:bookmarkStart w:id="227" w:name="_Toc135989733"/>
      <w:r>
        <w:rPr>
          <w:rFonts w:hint="eastAsia" w:ascii="Times" w:hAnsi="Times" w:cs="宋体"/>
          <w:bCs w:val="0"/>
          <w:sz w:val="28"/>
          <w:szCs w:val="28"/>
        </w:rPr>
        <w:t>附表</w:t>
      </w:r>
      <w:r>
        <w:rPr>
          <w:rFonts w:ascii="Times" w:hAnsi="Times" w:cs="宋体"/>
          <w:bCs w:val="0"/>
          <w:sz w:val="28"/>
          <w:szCs w:val="28"/>
        </w:rPr>
        <w:t>4</w:t>
      </w:r>
      <w:r>
        <w:rPr>
          <w:rFonts w:hint="eastAsia" w:ascii="Times" w:hAnsi="Times" w:cs="宋体"/>
          <w:bCs w:val="0"/>
          <w:sz w:val="28"/>
          <w:szCs w:val="28"/>
        </w:rPr>
        <w:t>：历史文化街区、历史地段统计表</w:t>
      </w:r>
      <w:bookmarkEnd w:id="226"/>
      <w:bookmarkEnd w:id="227"/>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5"/>
        <w:gridCol w:w="5037"/>
        <w:gridCol w:w="3024"/>
        <w:gridCol w:w="3358"/>
        <w:gridCol w:w="3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27" w:type="pct"/>
            <w:shd w:val="clear" w:color="auto" w:fill="D0CECE" w:themeFill="background2" w:themeFillShade="E6"/>
            <w:vAlign w:val="center"/>
          </w:tcPr>
          <w:p>
            <w:pPr>
              <w:ind w:firstLine="0" w:firstLineChars="0"/>
              <w:jc w:val="center"/>
              <w:rPr>
                <w:b/>
                <w:bCs/>
                <w:szCs w:val="21"/>
              </w:rPr>
            </w:pPr>
            <w:r>
              <w:rPr>
                <w:rFonts w:hint="eastAsia"/>
                <w:b/>
                <w:bCs/>
                <w:szCs w:val="21"/>
              </w:rPr>
              <w:t>名称</w:t>
            </w:r>
          </w:p>
        </w:tc>
        <w:tc>
          <w:tcPr>
            <w:tcW w:w="1191" w:type="pct"/>
            <w:shd w:val="clear" w:color="auto" w:fill="D0CECE" w:themeFill="background2" w:themeFillShade="E6"/>
            <w:vAlign w:val="center"/>
          </w:tcPr>
          <w:p>
            <w:pPr>
              <w:ind w:firstLine="0" w:firstLineChars="0"/>
              <w:jc w:val="center"/>
              <w:rPr>
                <w:b/>
                <w:bCs/>
                <w:szCs w:val="21"/>
              </w:rPr>
            </w:pPr>
            <w:r>
              <w:rPr>
                <w:rFonts w:hint="eastAsia"/>
                <w:b/>
                <w:bCs/>
                <w:szCs w:val="21"/>
              </w:rPr>
              <w:t>类型</w:t>
            </w:r>
          </w:p>
        </w:tc>
        <w:tc>
          <w:tcPr>
            <w:tcW w:w="715" w:type="pct"/>
            <w:shd w:val="clear" w:color="auto" w:fill="D0CECE" w:themeFill="background2" w:themeFillShade="E6"/>
            <w:vAlign w:val="center"/>
          </w:tcPr>
          <w:p>
            <w:pPr>
              <w:ind w:firstLine="0" w:firstLineChars="0"/>
              <w:jc w:val="center"/>
              <w:rPr>
                <w:b/>
                <w:bCs/>
                <w:szCs w:val="21"/>
              </w:rPr>
            </w:pPr>
            <w:r>
              <w:rPr>
                <w:rFonts w:hint="eastAsia"/>
                <w:b/>
                <w:bCs/>
                <w:szCs w:val="21"/>
              </w:rPr>
              <w:t>保护范围（公顷）</w:t>
            </w:r>
          </w:p>
        </w:tc>
        <w:tc>
          <w:tcPr>
            <w:tcW w:w="794" w:type="pct"/>
            <w:shd w:val="clear" w:color="auto" w:fill="D0CECE" w:themeFill="background2" w:themeFillShade="E6"/>
            <w:vAlign w:val="center"/>
          </w:tcPr>
          <w:p>
            <w:pPr>
              <w:ind w:firstLine="0" w:firstLineChars="0"/>
              <w:jc w:val="center"/>
              <w:rPr>
                <w:b/>
                <w:bCs/>
                <w:szCs w:val="21"/>
              </w:rPr>
            </w:pPr>
            <w:r>
              <w:rPr>
                <w:rFonts w:hint="eastAsia"/>
                <w:b/>
                <w:bCs/>
                <w:szCs w:val="21"/>
              </w:rPr>
              <w:t>核心保护范围（公顷）</w:t>
            </w:r>
          </w:p>
        </w:tc>
        <w:tc>
          <w:tcPr>
            <w:tcW w:w="873" w:type="pct"/>
            <w:shd w:val="clear" w:color="auto" w:fill="D0CECE" w:themeFill="background2" w:themeFillShade="E6"/>
            <w:vAlign w:val="center"/>
          </w:tcPr>
          <w:p>
            <w:pPr>
              <w:ind w:firstLine="0" w:firstLineChars="0"/>
              <w:jc w:val="center"/>
              <w:rPr>
                <w:b/>
                <w:bCs/>
                <w:szCs w:val="21"/>
              </w:rPr>
            </w:pPr>
            <w:r>
              <w:rPr>
                <w:rFonts w:hint="eastAsia"/>
                <w:b/>
                <w:bCs/>
                <w:szCs w:val="21"/>
              </w:rPr>
              <w:t>建设控制地带（公顷）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7" w:type="pct"/>
            <w:vAlign w:val="center"/>
          </w:tcPr>
          <w:p>
            <w:pPr>
              <w:ind w:firstLine="0" w:firstLineChars="0"/>
              <w:jc w:val="center"/>
              <w:rPr>
                <w:szCs w:val="21"/>
              </w:rPr>
            </w:pPr>
            <w:r>
              <w:rPr>
                <w:rFonts w:hint="eastAsia"/>
                <w:szCs w:val="21"/>
              </w:rPr>
              <w:t>珠玑古巷历史文化街区</w:t>
            </w:r>
          </w:p>
        </w:tc>
        <w:tc>
          <w:tcPr>
            <w:tcW w:w="1191" w:type="pct"/>
            <w:vAlign w:val="center"/>
          </w:tcPr>
          <w:p>
            <w:pPr>
              <w:ind w:firstLine="0" w:firstLineChars="0"/>
              <w:jc w:val="center"/>
              <w:rPr>
                <w:szCs w:val="21"/>
              </w:rPr>
            </w:pPr>
            <w:r>
              <w:rPr>
                <w:rFonts w:hint="eastAsia"/>
                <w:szCs w:val="21"/>
              </w:rPr>
              <w:t>古</w:t>
            </w:r>
            <w:r>
              <w:rPr>
                <w:szCs w:val="21"/>
              </w:rPr>
              <w:t>驿道沿</w:t>
            </w:r>
            <w:r>
              <w:rPr>
                <w:rFonts w:hint="eastAsia"/>
                <w:szCs w:val="21"/>
              </w:rPr>
              <w:t>线</w:t>
            </w:r>
            <w:r>
              <w:rPr>
                <w:szCs w:val="21"/>
              </w:rPr>
              <w:t>传统聚</w:t>
            </w:r>
            <w:r>
              <w:rPr>
                <w:rFonts w:hint="eastAsia"/>
                <w:szCs w:val="21"/>
              </w:rPr>
              <w:t>落</w:t>
            </w:r>
            <w:r>
              <w:rPr>
                <w:szCs w:val="21"/>
              </w:rPr>
              <w:t>与商业</w:t>
            </w:r>
            <w:r>
              <w:rPr>
                <w:rFonts w:hint="eastAsia"/>
                <w:szCs w:val="21"/>
              </w:rPr>
              <w:t>墟市</w:t>
            </w:r>
          </w:p>
        </w:tc>
        <w:tc>
          <w:tcPr>
            <w:tcW w:w="715" w:type="pct"/>
            <w:vAlign w:val="center"/>
          </w:tcPr>
          <w:p>
            <w:pPr>
              <w:ind w:firstLine="0" w:firstLineChars="0"/>
              <w:jc w:val="center"/>
              <w:rPr>
                <w:szCs w:val="21"/>
              </w:rPr>
            </w:pPr>
            <w:r>
              <w:t>44.81</w:t>
            </w:r>
          </w:p>
        </w:tc>
        <w:tc>
          <w:tcPr>
            <w:tcW w:w="794" w:type="pct"/>
            <w:vAlign w:val="center"/>
          </w:tcPr>
          <w:p>
            <w:pPr>
              <w:ind w:firstLine="0" w:firstLineChars="0"/>
              <w:jc w:val="center"/>
              <w:rPr>
                <w:szCs w:val="21"/>
              </w:rPr>
            </w:pPr>
            <w:r>
              <w:t>14.07</w:t>
            </w:r>
          </w:p>
        </w:tc>
        <w:tc>
          <w:tcPr>
            <w:tcW w:w="873" w:type="pct"/>
            <w:vAlign w:val="center"/>
          </w:tcPr>
          <w:p>
            <w:pPr>
              <w:ind w:firstLine="0" w:firstLineChars="0"/>
              <w:jc w:val="center"/>
              <w:rPr>
                <w:szCs w:val="21"/>
              </w:rPr>
            </w:pPr>
            <w:r>
              <w:t>30.74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7" w:type="pct"/>
            <w:vAlign w:val="center"/>
          </w:tcPr>
          <w:p>
            <w:pPr>
              <w:ind w:firstLine="0" w:firstLineChars="0"/>
              <w:jc w:val="center"/>
              <w:rPr>
                <w:szCs w:val="21"/>
              </w:rPr>
            </w:pPr>
            <w:r>
              <w:rPr>
                <w:rFonts w:hint="eastAsia"/>
                <w:szCs w:val="21"/>
              </w:rPr>
              <w:t>八一街历史地段</w:t>
            </w:r>
          </w:p>
        </w:tc>
        <w:tc>
          <w:tcPr>
            <w:tcW w:w="1191" w:type="pct"/>
            <w:vAlign w:val="center"/>
          </w:tcPr>
          <w:p>
            <w:pPr>
              <w:ind w:firstLine="0" w:firstLineChars="0"/>
              <w:jc w:val="center"/>
              <w:rPr>
                <w:szCs w:val="21"/>
              </w:rPr>
            </w:pPr>
            <w:r>
              <w:rPr>
                <w:rFonts w:hint="eastAsia"/>
                <w:szCs w:val="21"/>
              </w:rPr>
              <w:t>近现</w:t>
            </w:r>
            <w:r>
              <w:rPr>
                <w:szCs w:val="21"/>
              </w:rPr>
              <w:t>代</w:t>
            </w:r>
            <w:r>
              <w:rPr>
                <w:rFonts w:hint="eastAsia"/>
                <w:szCs w:val="21"/>
              </w:rPr>
              <w:t>商</w:t>
            </w:r>
            <w:r>
              <w:rPr>
                <w:szCs w:val="21"/>
              </w:rPr>
              <w:t>住</w:t>
            </w:r>
            <w:r>
              <w:rPr>
                <w:rFonts w:hint="eastAsia"/>
                <w:szCs w:val="21"/>
              </w:rPr>
              <w:t>结合墟市</w:t>
            </w:r>
          </w:p>
        </w:tc>
        <w:tc>
          <w:tcPr>
            <w:tcW w:w="715" w:type="pct"/>
            <w:vAlign w:val="center"/>
          </w:tcPr>
          <w:p>
            <w:pPr>
              <w:ind w:firstLine="0" w:firstLineChars="0"/>
              <w:jc w:val="center"/>
              <w:rPr>
                <w:szCs w:val="21"/>
              </w:rPr>
            </w:pPr>
            <w:r>
              <w:t>4.61</w:t>
            </w:r>
          </w:p>
        </w:tc>
        <w:tc>
          <w:tcPr>
            <w:tcW w:w="794" w:type="pct"/>
            <w:vAlign w:val="center"/>
          </w:tcPr>
          <w:p>
            <w:pPr>
              <w:ind w:firstLine="0" w:firstLineChars="0"/>
              <w:jc w:val="center"/>
              <w:rPr>
                <w:szCs w:val="21"/>
              </w:rPr>
            </w:pPr>
            <w:r>
              <w:t>1.21</w:t>
            </w:r>
          </w:p>
        </w:tc>
        <w:tc>
          <w:tcPr>
            <w:tcW w:w="873" w:type="pct"/>
            <w:vAlign w:val="center"/>
          </w:tcPr>
          <w:p>
            <w:pPr>
              <w:ind w:firstLine="0" w:firstLineChars="0"/>
              <w:jc w:val="center"/>
              <w:rPr>
                <w:szCs w:val="21"/>
              </w:rPr>
            </w:pPr>
            <w: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1427" w:type="pct"/>
            <w:vAlign w:val="center"/>
          </w:tcPr>
          <w:p>
            <w:pPr>
              <w:ind w:firstLine="0" w:firstLineChars="0"/>
              <w:jc w:val="center"/>
              <w:rPr>
                <w:szCs w:val="21"/>
              </w:rPr>
            </w:pPr>
            <w:r>
              <w:rPr>
                <w:rFonts w:hint="eastAsia"/>
                <w:szCs w:val="21"/>
              </w:rPr>
              <w:t>滨江历史地段</w:t>
            </w:r>
          </w:p>
        </w:tc>
        <w:tc>
          <w:tcPr>
            <w:tcW w:w="1191" w:type="pct"/>
            <w:vAlign w:val="center"/>
          </w:tcPr>
          <w:p>
            <w:pPr>
              <w:ind w:firstLine="0" w:firstLineChars="0"/>
              <w:jc w:val="center"/>
              <w:rPr>
                <w:szCs w:val="21"/>
              </w:rPr>
            </w:pPr>
            <w:r>
              <w:rPr>
                <w:rFonts w:hint="eastAsia"/>
                <w:szCs w:val="21"/>
              </w:rPr>
              <w:t>古城墙周边及古水道</w:t>
            </w:r>
          </w:p>
        </w:tc>
        <w:tc>
          <w:tcPr>
            <w:tcW w:w="715" w:type="pct"/>
            <w:vAlign w:val="center"/>
          </w:tcPr>
          <w:p>
            <w:pPr>
              <w:ind w:firstLine="0" w:firstLineChars="0"/>
              <w:jc w:val="center"/>
              <w:rPr>
                <w:szCs w:val="21"/>
              </w:rPr>
            </w:pPr>
            <w:r>
              <w:t>40.18</w:t>
            </w:r>
          </w:p>
        </w:tc>
        <w:tc>
          <w:tcPr>
            <w:tcW w:w="794" w:type="pct"/>
            <w:vAlign w:val="center"/>
          </w:tcPr>
          <w:p>
            <w:pPr>
              <w:ind w:firstLine="0" w:firstLineChars="0"/>
              <w:jc w:val="center"/>
              <w:rPr>
                <w:szCs w:val="21"/>
              </w:rPr>
            </w:pPr>
            <w:r>
              <w:t>8.64</w:t>
            </w:r>
          </w:p>
        </w:tc>
        <w:tc>
          <w:tcPr>
            <w:tcW w:w="873" w:type="pct"/>
            <w:vAlign w:val="center"/>
          </w:tcPr>
          <w:p>
            <w:pPr>
              <w:ind w:firstLine="0" w:firstLineChars="0"/>
              <w:jc w:val="center"/>
              <w:rPr>
                <w:szCs w:val="21"/>
              </w:rPr>
            </w:pPr>
            <w:r>
              <w:t>31.54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7" w:type="pct"/>
            <w:vAlign w:val="center"/>
          </w:tcPr>
          <w:p>
            <w:pPr>
              <w:ind w:firstLine="0" w:firstLineChars="0"/>
              <w:jc w:val="center"/>
              <w:rPr>
                <w:szCs w:val="21"/>
              </w:rPr>
            </w:pPr>
            <w:r>
              <w:rPr>
                <w:rFonts w:hint="eastAsia"/>
                <w:szCs w:val="21"/>
              </w:rPr>
              <w:t>中站历史地段</w:t>
            </w:r>
          </w:p>
        </w:tc>
        <w:tc>
          <w:tcPr>
            <w:tcW w:w="1191" w:type="pct"/>
            <w:vAlign w:val="center"/>
          </w:tcPr>
          <w:p>
            <w:pPr>
              <w:ind w:firstLine="0" w:firstLineChars="0"/>
              <w:jc w:val="center"/>
              <w:rPr>
                <w:szCs w:val="21"/>
              </w:rPr>
            </w:pPr>
            <w:r>
              <w:rPr>
                <w:rFonts w:hint="eastAsia"/>
                <w:szCs w:val="21"/>
              </w:rPr>
              <w:t>古</w:t>
            </w:r>
            <w:r>
              <w:rPr>
                <w:szCs w:val="21"/>
              </w:rPr>
              <w:t>驿道沿</w:t>
            </w:r>
            <w:r>
              <w:rPr>
                <w:rFonts w:hint="eastAsia"/>
                <w:szCs w:val="21"/>
              </w:rPr>
              <w:t>线</w:t>
            </w:r>
            <w:r>
              <w:rPr>
                <w:szCs w:val="21"/>
              </w:rPr>
              <w:t>传统聚</w:t>
            </w:r>
            <w:r>
              <w:rPr>
                <w:rFonts w:hint="eastAsia"/>
                <w:szCs w:val="21"/>
              </w:rPr>
              <w:t>落</w:t>
            </w:r>
            <w:r>
              <w:rPr>
                <w:szCs w:val="21"/>
              </w:rPr>
              <w:t>与商业</w:t>
            </w:r>
            <w:r>
              <w:rPr>
                <w:rFonts w:hint="eastAsia"/>
                <w:szCs w:val="21"/>
              </w:rPr>
              <w:t>墟市</w:t>
            </w:r>
          </w:p>
        </w:tc>
        <w:tc>
          <w:tcPr>
            <w:tcW w:w="715" w:type="pct"/>
            <w:vAlign w:val="center"/>
          </w:tcPr>
          <w:p>
            <w:pPr>
              <w:ind w:firstLine="0" w:firstLineChars="0"/>
              <w:jc w:val="center"/>
              <w:rPr>
                <w:szCs w:val="21"/>
              </w:rPr>
            </w:pPr>
            <w:r>
              <w:t>6.41</w:t>
            </w:r>
          </w:p>
        </w:tc>
        <w:tc>
          <w:tcPr>
            <w:tcW w:w="794" w:type="pct"/>
            <w:vAlign w:val="center"/>
          </w:tcPr>
          <w:p>
            <w:pPr>
              <w:ind w:firstLine="0" w:firstLineChars="0"/>
              <w:jc w:val="center"/>
              <w:rPr>
                <w:szCs w:val="21"/>
              </w:rPr>
            </w:pPr>
            <w:r>
              <w:t>1.55</w:t>
            </w:r>
          </w:p>
        </w:tc>
        <w:tc>
          <w:tcPr>
            <w:tcW w:w="873" w:type="pct"/>
            <w:vAlign w:val="center"/>
          </w:tcPr>
          <w:p>
            <w:pPr>
              <w:ind w:firstLine="0" w:firstLineChars="0"/>
              <w:jc w:val="center"/>
              <w:rPr>
                <w:szCs w:val="21"/>
              </w:rPr>
            </w:pPr>
            <w:r>
              <w:t>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7" w:type="pct"/>
            <w:vAlign w:val="center"/>
          </w:tcPr>
          <w:p>
            <w:pPr>
              <w:ind w:firstLine="0" w:firstLineChars="0"/>
              <w:jc w:val="center"/>
              <w:rPr>
                <w:szCs w:val="21"/>
              </w:rPr>
            </w:pPr>
            <w:r>
              <w:rPr>
                <w:rFonts w:hint="eastAsia"/>
                <w:szCs w:val="21"/>
              </w:rPr>
              <w:t>里东历史地段</w:t>
            </w:r>
          </w:p>
        </w:tc>
        <w:tc>
          <w:tcPr>
            <w:tcW w:w="1191" w:type="pct"/>
            <w:vAlign w:val="center"/>
          </w:tcPr>
          <w:p>
            <w:pPr>
              <w:ind w:firstLine="0" w:firstLineChars="0"/>
              <w:jc w:val="center"/>
              <w:rPr>
                <w:szCs w:val="21"/>
              </w:rPr>
            </w:pPr>
            <w:r>
              <w:rPr>
                <w:rFonts w:hint="eastAsia"/>
                <w:szCs w:val="21"/>
              </w:rPr>
              <w:t>古</w:t>
            </w:r>
            <w:r>
              <w:rPr>
                <w:szCs w:val="21"/>
              </w:rPr>
              <w:t>驿道沿</w:t>
            </w:r>
            <w:r>
              <w:rPr>
                <w:rFonts w:hint="eastAsia"/>
                <w:szCs w:val="21"/>
              </w:rPr>
              <w:t>线</w:t>
            </w:r>
            <w:r>
              <w:rPr>
                <w:szCs w:val="21"/>
              </w:rPr>
              <w:t>传统聚</w:t>
            </w:r>
            <w:r>
              <w:rPr>
                <w:rFonts w:hint="eastAsia"/>
                <w:szCs w:val="21"/>
              </w:rPr>
              <w:t>落</w:t>
            </w:r>
            <w:r>
              <w:rPr>
                <w:szCs w:val="21"/>
              </w:rPr>
              <w:t>与商业</w:t>
            </w:r>
            <w:r>
              <w:rPr>
                <w:rFonts w:hint="eastAsia"/>
                <w:szCs w:val="21"/>
              </w:rPr>
              <w:t>墟市</w:t>
            </w:r>
          </w:p>
        </w:tc>
        <w:tc>
          <w:tcPr>
            <w:tcW w:w="715" w:type="pct"/>
            <w:vAlign w:val="center"/>
          </w:tcPr>
          <w:p>
            <w:pPr>
              <w:ind w:firstLine="0" w:firstLineChars="0"/>
              <w:jc w:val="center"/>
              <w:rPr>
                <w:szCs w:val="21"/>
              </w:rPr>
            </w:pPr>
            <w:r>
              <w:t>3.74</w:t>
            </w:r>
          </w:p>
        </w:tc>
        <w:tc>
          <w:tcPr>
            <w:tcW w:w="794" w:type="pct"/>
            <w:vAlign w:val="center"/>
          </w:tcPr>
          <w:p>
            <w:pPr>
              <w:ind w:firstLine="0" w:firstLineChars="0"/>
              <w:jc w:val="center"/>
              <w:rPr>
                <w:szCs w:val="21"/>
              </w:rPr>
            </w:pPr>
            <w:r>
              <w:t>0.63</w:t>
            </w:r>
          </w:p>
        </w:tc>
        <w:tc>
          <w:tcPr>
            <w:tcW w:w="873" w:type="pct"/>
            <w:vAlign w:val="center"/>
          </w:tcPr>
          <w:p>
            <w:pPr>
              <w:ind w:firstLine="0" w:firstLineChars="0"/>
              <w:jc w:val="center"/>
              <w:rPr>
                <w:szCs w:val="21"/>
              </w:rPr>
            </w:pPr>
            <w:r>
              <w:t>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27" w:type="pct"/>
            <w:vAlign w:val="center"/>
          </w:tcPr>
          <w:p>
            <w:pPr>
              <w:ind w:firstLine="0" w:firstLineChars="0"/>
              <w:jc w:val="center"/>
              <w:rPr>
                <w:szCs w:val="21"/>
              </w:rPr>
            </w:pPr>
            <w:r>
              <w:rPr>
                <w:rFonts w:hint="eastAsia"/>
                <w:szCs w:val="21"/>
              </w:rPr>
              <w:t>雉公嵊历史地段</w:t>
            </w:r>
          </w:p>
        </w:tc>
        <w:tc>
          <w:tcPr>
            <w:tcW w:w="1191" w:type="pct"/>
            <w:vAlign w:val="center"/>
          </w:tcPr>
          <w:p>
            <w:pPr>
              <w:ind w:firstLine="0" w:firstLineChars="0"/>
              <w:jc w:val="center"/>
              <w:rPr>
                <w:szCs w:val="21"/>
              </w:rPr>
            </w:pPr>
            <w:r>
              <w:rPr>
                <w:rFonts w:hint="eastAsia"/>
                <w:szCs w:val="21"/>
              </w:rPr>
              <w:t>古</w:t>
            </w:r>
            <w:r>
              <w:rPr>
                <w:szCs w:val="21"/>
              </w:rPr>
              <w:t>驿道沿</w:t>
            </w:r>
            <w:r>
              <w:rPr>
                <w:rFonts w:hint="eastAsia"/>
                <w:szCs w:val="21"/>
              </w:rPr>
              <w:t>线</w:t>
            </w:r>
            <w:r>
              <w:rPr>
                <w:szCs w:val="21"/>
              </w:rPr>
              <w:t>传统聚</w:t>
            </w:r>
            <w:r>
              <w:rPr>
                <w:rFonts w:hint="eastAsia"/>
                <w:szCs w:val="21"/>
              </w:rPr>
              <w:t>落</w:t>
            </w:r>
            <w:r>
              <w:rPr>
                <w:szCs w:val="21"/>
              </w:rPr>
              <w:t>与商业</w:t>
            </w:r>
            <w:r>
              <w:rPr>
                <w:rFonts w:hint="eastAsia"/>
                <w:szCs w:val="21"/>
              </w:rPr>
              <w:t>墟市</w:t>
            </w:r>
          </w:p>
        </w:tc>
        <w:tc>
          <w:tcPr>
            <w:tcW w:w="715" w:type="pct"/>
            <w:vAlign w:val="center"/>
          </w:tcPr>
          <w:p>
            <w:pPr>
              <w:ind w:firstLine="0" w:firstLineChars="0"/>
              <w:jc w:val="center"/>
              <w:rPr>
                <w:szCs w:val="21"/>
              </w:rPr>
            </w:pPr>
            <w:r>
              <w:t>7.53</w:t>
            </w:r>
          </w:p>
        </w:tc>
        <w:tc>
          <w:tcPr>
            <w:tcW w:w="794" w:type="pct"/>
            <w:vAlign w:val="center"/>
          </w:tcPr>
          <w:p>
            <w:pPr>
              <w:ind w:firstLine="0" w:firstLineChars="0"/>
              <w:jc w:val="center"/>
              <w:rPr>
                <w:szCs w:val="21"/>
              </w:rPr>
            </w:pPr>
            <w:r>
              <w:t>0.87</w:t>
            </w:r>
          </w:p>
        </w:tc>
        <w:tc>
          <w:tcPr>
            <w:tcW w:w="873" w:type="pct"/>
            <w:vAlign w:val="center"/>
          </w:tcPr>
          <w:p>
            <w:pPr>
              <w:ind w:firstLine="0" w:firstLineChars="0"/>
              <w:jc w:val="center"/>
              <w:rPr>
                <w:szCs w:val="21"/>
              </w:rPr>
            </w:pPr>
            <w:r>
              <w:t>6.66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0" w:hRule="atLeast"/>
        </w:trPr>
        <w:tc>
          <w:tcPr>
            <w:tcW w:w="1427" w:type="pct"/>
            <w:vAlign w:val="center"/>
          </w:tcPr>
          <w:p>
            <w:pPr>
              <w:ind w:firstLine="0" w:firstLineChars="0"/>
              <w:jc w:val="center"/>
              <w:rPr>
                <w:szCs w:val="21"/>
              </w:rPr>
            </w:pPr>
            <w:r>
              <w:rPr>
                <w:rFonts w:hint="eastAsia"/>
                <w:szCs w:val="21"/>
              </w:rPr>
              <w:t>灵潭历史地段</w:t>
            </w:r>
          </w:p>
        </w:tc>
        <w:tc>
          <w:tcPr>
            <w:tcW w:w="1191" w:type="pct"/>
            <w:vAlign w:val="center"/>
          </w:tcPr>
          <w:p>
            <w:pPr>
              <w:ind w:firstLine="0" w:firstLineChars="0"/>
              <w:jc w:val="center"/>
              <w:rPr>
                <w:szCs w:val="21"/>
              </w:rPr>
            </w:pPr>
            <w:r>
              <w:rPr>
                <w:rFonts w:hint="eastAsia"/>
                <w:szCs w:val="21"/>
              </w:rPr>
              <w:t>古</w:t>
            </w:r>
            <w:r>
              <w:rPr>
                <w:szCs w:val="21"/>
              </w:rPr>
              <w:t>驿道沿</w:t>
            </w:r>
            <w:r>
              <w:rPr>
                <w:rFonts w:hint="eastAsia"/>
                <w:szCs w:val="21"/>
              </w:rPr>
              <w:t>线</w:t>
            </w:r>
            <w:r>
              <w:rPr>
                <w:szCs w:val="21"/>
              </w:rPr>
              <w:t>传统聚</w:t>
            </w:r>
            <w:r>
              <w:rPr>
                <w:rFonts w:hint="eastAsia"/>
                <w:szCs w:val="21"/>
              </w:rPr>
              <w:t>落</w:t>
            </w:r>
            <w:r>
              <w:rPr>
                <w:szCs w:val="21"/>
              </w:rPr>
              <w:t>与商业</w:t>
            </w:r>
            <w:r>
              <w:rPr>
                <w:rFonts w:hint="eastAsia"/>
                <w:szCs w:val="21"/>
              </w:rPr>
              <w:t>墟市</w:t>
            </w:r>
          </w:p>
        </w:tc>
        <w:tc>
          <w:tcPr>
            <w:tcW w:w="715" w:type="pct"/>
            <w:vAlign w:val="center"/>
          </w:tcPr>
          <w:p>
            <w:pPr>
              <w:ind w:firstLine="0" w:firstLineChars="0"/>
              <w:jc w:val="center"/>
              <w:rPr>
                <w:szCs w:val="21"/>
              </w:rPr>
            </w:pPr>
            <w:r>
              <w:t>2.25</w:t>
            </w:r>
          </w:p>
        </w:tc>
        <w:tc>
          <w:tcPr>
            <w:tcW w:w="794" w:type="pct"/>
            <w:vAlign w:val="center"/>
          </w:tcPr>
          <w:p>
            <w:pPr>
              <w:ind w:firstLine="0" w:firstLineChars="0"/>
              <w:jc w:val="center"/>
              <w:rPr>
                <w:szCs w:val="21"/>
              </w:rPr>
            </w:pPr>
            <w:r>
              <w:t>0.48</w:t>
            </w:r>
          </w:p>
        </w:tc>
        <w:tc>
          <w:tcPr>
            <w:tcW w:w="873" w:type="pct"/>
            <w:vAlign w:val="center"/>
          </w:tcPr>
          <w:p>
            <w:pPr>
              <w:ind w:firstLine="0" w:firstLineChars="0"/>
              <w:jc w:val="center"/>
              <w:rPr>
                <w:szCs w:val="21"/>
              </w:rPr>
            </w:pPr>
            <w:r>
              <w:t>1.77</w:t>
            </w:r>
          </w:p>
        </w:tc>
      </w:tr>
    </w:tbl>
    <w:p>
      <w:pPr>
        <w:ind w:firstLine="480"/>
        <w:jc w:val="left"/>
        <w:rPr>
          <w:rFonts w:ascii="Times" w:hAnsi="Times" w:cs="宋体"/>
          <w:bCs/>
          <w:sz w:val="24"/>
          <w:szCs w:val="24"/>
        </w:rPr>
      </w:pPr>
    </w:p>
    <w:p>
      <w:pPr>
        <w:pStyle w:val="3"/>
        <w:spacing w:before="0" w:after="0"/>
        <w:ind w:firstLine="482"/>
        <w:rPr>
          <w:rFonts w:ascii="Times" w:hAnsi="Times" w:cs="宋体"/>
          <w:bCs w:val="0"/>
          <w:sz w:val="28"/>
          <w:szCs w:val="28"/>
        </w:rPr>
        <w:sectPr>
          <w:pgSz w:w="23811" w:h="16838" w:orient="landscape"/>
          <w:pgMar w:top="1080" w:right="1440" w:bottom="1080" w:left="1440" w:header="851" w:footer="737" w:gutter="0"/>
          <w:cols w:space="425" w:num="1"/>
          <w:docGrid w:type="lines" w:linePitch="312" w:charSpace="0"/>
        </w:sectPr>
      </w:pPr>
      <w:bookmarkStart w:id="228" w:name="_Toc135989734"/>
    </w:p>
    <w:p>
      <w:pPr>
        <w:pStyle w:val="3"/>
        <w:spacing w:before="0" w:after="0"/>
        <w:ind w:firstLine="482"/>
        <w:rPr>
          <w:rFonts w:ascii="Times" w:hAnsi="Times" w:cs="宋体"/>
          <w:bCs w:val="0"/>
          <w:sz w:val="28"/>
          <w:szCs w:val="28"/>
        </w:rPr>
      </w:pPr>
      <w:bookmarkStart w:id="229" w:name="_Toc204964385"/>
      <w:r>
        <w:rPr>
          <w:rFonts w:hint="eastAsia" w:ascii="Times" w:hAnsi="Times" w:cs="宋体"/>
          <w:bCs w:val="0"/>
          <w:sz w:val="28"/>
          <w:szCs w:val="28"/>
        </w:rPr>
        <w:t>附表</w:t>
      </w:r>
      <w:r>
        <w:rPr>
          <w:rFonts w:ascii="Times" w:hAnsi="Times" w:cs="宋体"/>
          <w:bCs w:val="0"/>
          <w:sz w:val="28"/>
          <w:szCs w:val="28"/>
        </w:rPr>
        <w:t>5</w:t>
      </w:r>
      <w:r>
        <w:rPr>
          <w:rFonts w:hint="eastAsia" w:ascii="Times" w:hAnsi="Times" w:cs="宋体"/>
          <w:bCs w:val="0"/>
          <w:sz w:val="28"/>
          <w:szCs w:val="28"/>
        </w:rPr>
        <w:t>：历史城区传统街巷一览表</w:t>
      </w:r>
      <w:bookmarkEnd w:id="228"/>
      <w:bookmarkEnd w:id="229"/>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39"/>
        <w:gridCol w:w="10408"/>
        <w:gridCol w:w="6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shd w:val="clear" w:color="auto" w:fill="D0CECE" w:themeFill="background2" w:themeFillShade="E6"/>
          </w:tcPr>
          <w:p>
            <w:pPr>
              <w:widowControl w:val="0"/>
              <w:ind w:firstLine="0" w:firstLineChars="0"/>
              <w:jc w:val="center"/>
              <w:rPr>
                <w:rFonts w:ascii="Times" w:hAnsi="Times" w:cs="宋体"/>
                <w:b/>
                <w:kern w:val="0"/>
                <w:sz w:val="21"/>
                <w:szCs w:val="21"/>
              </w:rPr>
            </w:pPr>
            <w:r>
              <w:rPr>
                <w:rFonts w:hint="eastAsia" w:ascii="Times" w:hAnsi="Times" w:cs="宋体"/>
                <w:b/>
                <w:kern w:val="0"/>
                <w:sz w:val="21"/>
                <w:szCs w:val="21"/>
              </w:rPr>
              <w:t>类型</w:t>
            </w:r>
          </w:p>
        </w:tc>
        <w:tc>
          <w:tcPr>
            <w:tcW w:w="10408" w:type="dxa"/>
            <w:shd w:val="clear" w:color="auto" w:fill="D0CECE" w:themeFill="background2" w:themeFillShade="E6"/>
          </w:tcPr>
          <w:p>
            <w:pPr>
              <w:widowControl w:val="0"/>
              <w:ind w:firstLine="0" w:firstLineChars="0"/>
              <w:jc w:val="center"/>
              <w:rPr>
                <w:rFonts w:ascii="Times" w:hAnsi="Times" w:cs="宋体"/>
                <w:b/>
                <w:kern w:val="0"/>
                <w:sz w:val="21"/>
                <w:szCs w:val="21"/>
              </w:rPr>
            </w:pPr>
            <w:r>
              <w:rPr>
                <w:rFonts w:hint="eastAsia" w:ascii="Times" w:hAnsi="Times" w:cs="宋体"/>
                <w:b/>
                <w:kern w:val="0"/>
                <w:sz w:val="21"/>
                <w:szCs w:val="21"/>
              </w:rPr>
              <w:t>名称</w:t>
            </w:r>
          </w:p>
        </w:tc>
        <w:tc>
          <w:tcPr>
            <w:tcW w:w="6974" w:type="dxa"/>
            <w:shd w:val="clear" w:color="auto" w:fill="D0CECE" w:themeFill="background2" w:themeFillShade="E6"/>
          </w:tcPr>
          <w:p>
            <w:pPr>
              <w:widowControl w:val="0"/>
              <w:ind w:firstLine="0" w:firstLineChars="0"/>
              <w:jc w:val="center"/>
              <w:rPr>
                <w:rFonts w:ascii="Times" w:hAnsi="Times" w:cs="宋体"/>
                <w:b/>
                <w:kern w:val="0"/>
                <w:sz w:val="21"/>
                <w:szCs w:val="21"/>
              </w:rPr>
            </w:pPr>
            <w:r>
              <w:rPr>
                <w:rFonts w:hint="eastAsia" w:ascii="Times" w:hAnsi="Times" w:cs="宋体"/>
                <w:b/>
                <w:kern w:val="0"/>
                <w:sz w:val="21"/>
                <w:szCs w:val="21"/>
              </w:rPr>
              <w:t>长度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39" w:type="dxa"/>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一类保护街巷</w:t>
            </w: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八一街</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5</w:t>
            </w:r>
            <w:r>
              <w:rPr>
                <w:rFonts w:ascii="Times" w:hAnsi="Times" w:cs="宋体"/>
                <w:bCs/>
                <w:kern w:val="0"/>
                <w:sz w:val="21"/>
                <w:szCs w:val="21"/>
              </w:rPr>
              <w:t>05</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539"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二类保护街巷</w:t>
            </w: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利民路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97</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3539" w:type="dxa"/>
            <w:vMerge w:val="continue"/>
            <w:vAlign w:val="center"/>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龙勾巷</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43</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3539" w:type="dxa"/>
            <w:vMerge w:val="continue"/>
            <w:vAlign w:val="center"/>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三元里步行街</w:t>
            </w:r>
          </w:p>
        </w:tc>
        <w:tc>
          <w:tcPr>
            <w:tcW w:w="6974" w:type="dxa"/>
          </w:tcPr>
          <w:p>
            <w:pPr>
              <w:widowControl w:val="0"/>
              <w:ind w:firstLine="0" w:firstLineChars="0"/>
              <w:jc w:val="center"/>
              <w:rPr>
                <w:rFonts w:ascii="Times" w:hAnsi="Times" w:cs="宋体"/>
                <w:bCs/>
                <w:kern w:val="0"/>
                <w:sz w:val="21"/>
                <w:szCs w:val="21"/>
              </w:rPr>
            </w:pPr>
            <w:r>
              <w:rPr>
                <w:rFonts w:ascii="Times" w:hAnsi="Times" w:cs="宋体"/>
                <w:bCs/>
                <w:kern w:val="0"/>
                <w:sz w:val="21"/>
                <w:szCs w:val="21"/>
              </w:rPr>
              <w:t>282</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3539" w:type="dxa"/>
            <w:vMerge w:val="continue"/>
            <w:vAlign w:val="center"/>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朝阳南路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8</w:t>
            </w:r>
            <w:r>
              <w:rPr>
                <w:rFonts w:ascii="Times" w:hAnsi="Times" w:cs="宋体"/>
                <w:bCs/>
                <w:kern w:val="0"/>
                <w:sz w:val="21"/>
                <w:szCs w:val="21"/>
              </w:rPr>
              <w:t>16</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3539" w:type="dxa"/>
            <w:vMerge w:val="restart"/>
            <w:vAlign w:val="center"/>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三类保护街巷</w:t>
            </w: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凌江路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1</w:t>
            </w:r>
            <w:r>
              <w:rPr>
                <w:rFonts w:ascii="Times" w:hAnsi="Times" w:cs="宋体"/>
                <w:bCs/>
                <w:kern w:val="0"/>
                <w:sz w:val="21"/>
                <w:szCs w:val="21"/>
              </w:rPr>
              <w:t>598</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环城西路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9</w:t>
            </w:r>
            <w:r>
              <w:rPr>
                <w:rFonts w:ascii="Times" w:hAnsi="Times" w:cs="宋体"/>
                <w:bCs/>
                <w:kern w:val="0"/>
                <w:sz w:val="21"/>
                <w:szCs w:val="21"/>
              </w:rPr>
              <w:t>98</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cs="Times New Roman"/>
                <w:kern w:val="0"/>
                <w:sz w:val="21"/>
                <w:szCs w:val="21"/>
              </w:rPr>
            </w:pPr>
            <w:r>
              <w:rPr>
                <w:rFonts w:hint="eastAsia" w:cs="Times New Roman"/>
                <w:kern w:val="0"/>
                <w:sz w:val="21"/>
                <w:szCs w:val="21"/>
              </w:rPr>
              <w:t>环城中路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1</w:t>
            </w:r>
            <w:r>
              <w:rPr>
                <w:rFonts w:ascii="Times" w:hAnsi="Times" w:cs="宋体"/>
                <w:bCs/>
                <w:kern w:val="0"/>
                <w:sz w:val="21"/>
                <w:szCs w:val="21"/>
              </w:rPr>
              <w:t>093</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雄东路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1</w:t>
            </w:r>
            <w:r>
              <w:rPr>
                <w:rFonts w:ascii="Times" w:hAnsi="Times" w:cs="宋体"/>
                <w:bCs/>
                <w:kern w:val="0"/>
                <w:sz w:val="21"/>
                <w:szCs w:val="21"/>
              </w:rPr>
              <w:t>002</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青云东路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8</w:t>
            </w:r>
            <w:r>
              <w:rPr>
                <w:rFonts w:ascii="Times" w:hAnsi="Times" w:cs="宋体"/>
                <w:bCs/>
                <w:kern w:val="0"/>
                <w:sz w:val="21"/>
                <w:szCs w:val="21"/>
              </w:rPr>
              <w:t>12</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青云西路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8</w:t>
            </w:r>
            <w:r>
              <w:rPr>
                <w:rFonts w:ascii="Times" w:hAnsi="Times" w:cs="宋体"/>
                <w:bCs/>
                <w:kern w:val="0"/>
                <w:sz w:val="21"/>
                <w:szCs w:val="21"/>
              </w:rPr>
              <w:t>59</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雄州大道东</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1</w:t>
            </w:r>
            <w:r>
              <w:rPr>
                <w:rFonts w:ascii="Times" w:hAnsi="Times" w:cs="宋体"/>
                <w:bCs/>
                <w:kern w:val="0"/>
                <w:sz w:val="21"/>
                <w:szCs w:val="21"/>
              </w:rPr>
              <w:t>590</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雄州大道中</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7</w:t>
            </w:r>
            <w:r>
              <w:rPr>
                <w:rFonts w:ascii="Times" w:hAnsi="Times" w:cs="宋体"/>
                <w:bCs/>
                <w:kern w:val="0"/>
                <w:sz w:val="21"/>
                <w:szCs w:val="21"/>
              </w:rPr>
              <w:t>83</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金叶大道</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5</w:t>
            </w:r>
            <w:r>
              <w:rPr>
                <w:rFonts w:ascii="Times" w:hAnsi="Times" w:cs="宋体"/>
                <w:bCs/>
                <w:kern w:val="0"/>
                <w:sz w:val="21"/>
                <w:szCs w:val="21"/>
              </w:rPr>
              <w:t>83</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居仁街</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5</w:t>
            </w:r>
            <w:r>
              <w:rPr>
                <w:rFonts w:ascii="Times" w:hAnsi="Times" w:cs="宋体"/>
                <w:bCs/>
                <w:kern w:val="0"/>
                <w:sz w:val="21"/>
                <w:szCs w:val="21"/>
              </w:rPr>
              <w:t>14</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北门街</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29</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维新路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49</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大成街</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3</w:t>
            </w:r>
            <w:r>
              <w:rPr>
                <w:rFonts w:ascii="Times" w:hAnsi="Times" w:cs="宋体"/>
                <w:bCs/>
                <w:kern w:val="0"/>
                <w:sz w:val="21"/>
                <w:szCs w:val="21"/>
              </w:rPr>
              <w:t>10</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永康路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3</w:t>
            </w:r>
            <w:r>
              <w:rPr>
                <w:rFonts w:ascii="Times" w:hAnsi="Times" w:cs="宋体"/>
                <w:bCs/>
                <w:kern w:val="0"/>
                <w:sz w:val="21"/>
                <w:szCs w:val="21"/>
              </w:rPr>
              <w:t>44</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马路口路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13</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罗汉井路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2</w:t>
            </w:r>
            <w:r>
              <w:rPr>
                <w:rFonts w:ascii="Times" w:hAnsi="Times" w:cs="宋体"/>
                <w:bCs/>
                <w:kern w:val="0"/>
                <w:sz w:val="21"/>
                <w:szCs w:val="21"/>
              </w:rPr>
              <w:t>94</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1"/>
                <w:szCs w:val="21"/>
              </w:rPr>
            </w:pPr>
          </w:p>
        </w:tc>
        <w:tc>
          <w:tcPr>
            <w:tcW w:w="10408" w:type="dxa"/>
          </w:tcPr>
          <w:p>
            <w:pPr>
              <w:widowControl w:val="0"/>
              <w:ind w:firstLine="0" w:firstLineChars="0"/>
              <w:jc w:val="center"/>
              <w:rPr>
                <w:rFonts w:ascii="Times" w:hAnsi="Times" w:cs="宋体"/>
                <w:bCs/>
                <w:kern w:val="0"/>
                <w:sz w:val="21"/>
                <w:szCs w:val="21"/>
              </w:rPr>
            </w:pPr>
            <w:r>
              <w:rPr>
                <w:rFonts w:hint="eastAsia" w:cs="Times New Roman"/>
                <w:kern w:val="0"/>
                <w:sz w:val="21"/>
                <w:szCs w:val="21"/>
              </w:rPr>
              <w:t>宾阳路</w:t>
            </w:r>
          </w:p>
        </w:tc>
        <w:tc>
          <w:tcPr>
            <w:tcW w:w="6974" w:type="dxa"/>
          </w:tcPr>
          <w:p>
            <w:pPr>
              <w:widowControl w:val="0"/>
              <w:ind w:firstLine="0" w:firstLineChars="0"/>
              <w:jc w:val="center"/>
              <w:rPr>
                <w:rFonts w:ascii="Times" w:hAnsi="Times" w:cs="宋体"/>
                <w:bCs/>
                <w:kern w:val="0"/>
                <w:sz w:val="21"/>
                <w:szCs w:val="21"/>
              </w:rPr>
            </w:pPr>
            <w:r>
              <w:rPr>
                <w:rFonts w:hint="eastAsia" w:ascii="Times" w:hAnsi="Times" w:cs="宋体"/>
                <w:bCs/>
                <w:kern w:val="0"/>
                <w:sz w:val="21"/>
                <w:szCs w:val="21"/>
              </w:rPr>
              <w:t>4</w:t>
            </w:r>
            <w:r>
              <w:rPr>
                <w:rFonts w:ascii="Times" w:hAnsi="Times" w:cs="宋体"/>
                <w:bCs/>
                <w:kern w:val="0"/>
                <w:sz w:val="21"/>
                <w:szCs w:val="21"/>
              </w:rPr>
              <w:t>16</w:t>
            </w:r>
            <w:r>
              <w:rPr>
                <w:rFonts w:hint="eastAsia" w:ascii="Times" w:hAnsi="Times" w:cs="宋体"/>
                <w:bCs/>
                <w:kern w:val="0"/>
                <w:sz w:val="21"/>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restart"/>
            <w:vAlign w:val="center"/>
          </w:tcPr>
          <w:p>
            <w:pPr>
              <w:widowControl w:val="0"/>
              <w:ind w:firstLine="0" w:firstLineChars="0"/>
              <w:jc w:val="center"/>
              <w:rPr>
                <w:rFonts w:ascii="Times" w:hAnsi="Times" w:cs="宋体"/>
                <w:bCs/>
                <w:kern w:val="0"/>
                <w:sz w:val="20"/>
                <w:szCs w:val="21"/>
              </w:rPr>
            </w:pPr>
            <w:r>
              <w:rPr>
                <w:rFonts w:hint="eastAsia" w:ascii="Times" w:hAnsi="Times" w:cs="宋体"/>
                <w:bCs/>
                <w:kern w:val="0"/>
                <w:sz w:val="20"/>
                <w:szCs w:val="21"/>
              </w:rPr>
              <w:t>四类保护街巷</w:t>
            </w:r>
          </w:p>
        </w:tc>
        <w:tc>
          <w:tcPr>
            <w:tcW w:w="10408" w:type="dxa"/>
          </w:tcPr>
          <w:p>
            <w:pPr>
              <w:widowControl w:val="0"/>
              <w:ind w:firstLine="0" w:firstLineChars="0"/>
              <w:jc w:val="center"/>
              <w:rPr>
                <w:rFonts w:cs="Times New Roman"/>
                <w:kern w:val="0"/>
                <w:sz w:val="20"/>
                <w:szCs w:val="21"/>
              </w:rPr>
            </w:pPr>
            <w:r>
              <w:rPr>
                <w:rFonts w:hint="eastAsia" w:cs="Times New Roman"/>
                <w:kern w:val="0"/>
                <w:sz w:val="20"/>
                <w:szCs w:val="21"/>
              </w:rPr>
              <w:t>雄州大道西</w:t>
            </w:r>
          </w:p>
        </w:tc>
        <w:tc>
          <w:tcPr>
            <w:tcW w:w="6974" w:type="dxa"/>
          </w:tcPr>
          <w:p>
            <w:pPr>
              <w:widowControl w:val="0"/>
              <w:ind w:firstLine="0" w:firstLineChars="0"/>
              <w:jc w:val="center"/>
              <w:rPr>
                <w:rFonts w:ascii="Times" w:hAnsi="Times" w:cs="宋体"/>
                <w:bCs/>
                <w:kern w:val="0"/>
                <w:sz w:val="20"/>
                <w:szCs w:val="21"/>
              </w:rPr>
            </w:pPr>
            <w:r>
              <w:rPr>
                <w:rFonts w:hint="eastAsia" w:ascii="Times" w:hAnsi="Times" w:cs="宋体"/>
                <w:bCs/>
                <w:kern w:val="0"/>
                <w:sz w:val="20"/>
                <w:szCs w:val="21"/>
              </w:rPr>
              <w:t>4</w:t>
            </w:r>
            <w:r>
              <w:rPr>
                <w:rFonts w:ascii="Times" w:hAnsi="Times" w:cs="宋体"/>
                <w:bCs/>
                <w:kern w:val="0"/>
                <w:sz w:val="20"/>
                <w:szCs w:val="21"/>
              </w:rPr>
              <w:t>69</w:t>
            </w:r>
            <w:r>
              <w:rPr>
                <w:rFonts w:hint="eastAsia" w:ascii="Times" w:hAnsi="Times" w:cs="宋体"/>
                <w:bCs/>
                <w:kern w:val="0"/>
                <w:sz w:val="2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0"/>
                <w:szCs w:val="21"/>
              </w:rPr>
            </w:pPr>
          </w:p>
        </w:tc>
        <w:tc>
          <w:tcPr>
            <w:tcW w:w="10408" w:type="dxa"/>
          </w:tcPr>
          <w:p>
            <w:pPr>
              <w:widowControl w:val="0"/>
              <w:ind w:firstLine="0" w:firstLineChars="0"/>
              <w:jc w:val="center"/>
              <w:rPr>
                <w:rFonts w:cs="Times New Roman"/>
                <w:kern w:val="0"/>
                <w:sz w:val="20"/>
                <w:szCs w:val="21"/>
              </w:rPr>
            </w:pPr>
            <w:r>
              <w:rPr>
                <w:rFonts w:hint="eastAsia" w:cs="Times New Roman"/>
                <w:kern w:val="0"/>
                <w:sz w:val="20"/>
                <w:szCs w:val="21"/>
              </w:rPr>
              <w:t>雄东路（宾阳路以东）</w:t>
            </w:r>
          </w:p>
        </w:tc>
        <w:tc>
          <w:tcPr>
            <w:tcW w:w="6974" w:type="dxa"/>
          </w:tcPr>
          <w:p>
            <w:pPr>
              <w:widowControl w:val="0"/>
              <w:ind w:firstLine="0" w:firstLineChars="0"/>
              <w:jc w:val="center"/>
              <w:rPr>
                <w:rFonts w:ascii="Times" w:hAnsi="Times" w:cs="宋体"/>
                <w:bCs/>
                <w:kern w:val="0"/>
                <w:sz w:val="20"/>
                <w:szCs w:val="21"/>
              </w:rPr>
            </w:pPr>
            <w:r>
              <w:rPr>
                <w:rFonts w:hint="eastAsia" w:ascii="Times" w:hAnsi="Times" w:cs="宋体"/>
                <w:bCs/>
                <w:kern w:val="0"/>
                <w:sz w:val="20"/>
                <w:szCs w:val="21"/>
              </w:rPr>
              <w:t>4</w:t>
            </w:r>
            <w:r>
              <w:rPr>
                <w:rFonts w:ascii="Times" w:hAnsi="Times" w:cs="宋体"/>
                <w:bCs/>
                <w:kern w:val="0"/>
                <w:sz w:val="20"/>
                <w:szCs w:val="21"/>
              </w:rPr>
              <w:t>56</w:t>
            </w:r>
            <w:r>
              <w:rPr>
                <w:rFonts w:hint="eastAsia" w:ascii="Times" w:hAnsi="Times" w:cs="宋体"/>
                <w:bCs/>
                <w:kern w:val="0"/>
                <w:sz w:val="2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0"/>
                <w:szCs w:val="21"/>
              </w:rPr>
            </w:pPr>
          </w:p>
        </w:tc>
        <w:tc>
          <w:tcPr>
            <w:tcW w:w="10408" w:type="dxa"/>
          </w:tcPr>
          <w:p>
            <w:pPr>
              <w:widowControl w:val="0"/>
              <w:ind w:firstLine="0" w:firstLineChars="0"/>
              <w:jc w:val="center"/>
              <w:rPr>
                <w:rFonts w:cs="Times New Roman"/>
                <w:kern w:val="0"/>
                <w:sz w:val="20"/>
                <w:szCs w:val="21"/>
              </w:rPr>
            </w:pPr>
            <w:r>
              <w:rPr>
                <w:rFonts w:hint="eastAsia" w:cs="Times New Roman"/>
                <w:kern w:val="0"/>
                <w:sz w:val="20"/>
                <w:szCs w:val="21"/>
              </w:rPr>
              <w:t>环城东路</w:t>
            </w:r>
          </w:p>
        </w:tc>
        <w:tc>
          <w:tcPr>
            <w:tcW w:w="6974" w:type="dxa"/>
          </w:tcPr>
          <w:p>
            <w:pPr>
              <w:widowControl w:val="0"/>
              <w:ind w:firstLine="0" w:firstLineChars="0"/>
              <w:jc w:val="center"/>
              <w:rPr>
                <w:rFonts w:ascii="Times" w:hAnsi="Times" w:cs="宋体"/>
                <w:bCs/>
                <w:kern w:val="0"/>
                <w:sz w:val="20"/>
                <w:szCs w:val="21"/>
              </w:rPr>
            </w:pPr>
            <w:r>
              <w:rPr>
                <w:rFonts w:cs="Times New Roman"/>
                <w:kern w:val="0"/>
                <w:sz w:val="20"/>
                <w:szCs w:val="21"/>
              </w:rPr>
              <w:t>702米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0"/>
                <w:szCs w:val="21"/>
              </w:rPr>
            </w:pPr>
          </w:p>
        </w:tc>
        <w:tc>
          <w:tcPr>
            <w:tcW w:w="10408" w:type="dxa"/>
          </w:tcPr>
          <w:p>
            <w:pPr>
              <w:widowControl w:val="0"/>
              <w:ind w:firstLine="0" w:firstLineChars="0"/>
              <w:jc w:val="center"/>
              <w:rPr>
                <w:rFonts w:cs="Times New Roman"/>
                <w:kern w:val="0"/>
                <w:sz w:val="20"/>
                <w:szCs w:val="21"/>
              </w:rPr>
            </w:pPr>
            <w:r>
              <w:rPr>
                <w:rFonts w:hint="eastAsia" w:cs="Times New Roman"/>
                <w:kern w:val="0"/>
                <w:sz w:val="20"/>
                <w:szCs w:val="21"/>
              </w:rPr>
              <w:t>虎塘路</w:t>
            </w:r>
          </w:p>
        </w:tc>
        <w:tc>
          <w:tcPr>
            <w:tcW w:w="6974" w:type="dxa"/>
          </w:tcPr>
          <w:p>
            <w:pPr>
              <w:widowControl w:val="0"/>
              <w:ind w:firstLine="0" w:firstLineChars="0"/>
              <w:jc w:val="center"/>
              <w:rPr>
                <w:rFonts w:ascii="Times" w:hAnsi="Times" w:cs="宋体"/>
                <w:bCs/>
                <w:kern w:val="0"/>
                <w:sz w:val="20"/>
                <w:szCs w:val="21"/>
              </w:rPr>
            </w:pPr>
            <w:r>
              <w:rPr>
                <w:rFonts w:hint="eastAsia" w:ascii="Times" w:hAnsi="Times" w:cs="宋体"/>
                <w:bCs/>
                <w:kern w:val="0"/>
                <w:sz w:val="20"/>
                <w:szCs w:val="21"/>
              </w:rPr>
              <w:t>2</w:t>
            </w:r>
            <w:r>
              <w:rPr>
                <w:rFonts w:ascii="Times" w:hAnsi="Times" w:cs="宋体"/>
                <w:bCs/>
                <w:kern w:val="0"/>
                <w:sz w:val="20"/>
                <w:szCs w:val="21"/>
              </w:rPr>
              <w:t>59</w:t>
            </w:r>
            <w:r>
              <w:rPr>
                <w:rFonts w:hint="eastAsia" w:ascii="Times" w:hAnsi="Times" w:cs="宋体"/>
                <w:bCs/>
                <w:kern w:val="0"/>
                <w:sz w:val="20"/>
                <w:szCs w:val="21"/>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539" w:type="dxa"/>
            <w:vMerge w:val="continue"/>
          </w:tcPr>
          <w:p>
            <w:pPr>
              <w:widowControl w:val="0"/>
              <w:ind w:firstLine="0" w:firstLineChars="0"/>
              <w:jc w:val="center"/>
              <w:rPr>
                <w:rFonts w:ascii="Times" w:hAnsi="Times" w:cs="宋体"/>
                <w:bCs/>
                <w:kern w:val="0"/>
                <w:sz w:val="20"/>
                <w:szCs w:val="21"/>
              </w:rPr>
            </w:pPr>
          </w:p>
        </w:tc>
        <w:tc>
          <w:tcPr>
            <w:tcW w:w="10408" w:type="dxa"/>
          </w:tcPr>
          <w:p>
            <w:pPr>
              <w:widowControl w:val="0"/>
              <w:ind w:firstLine="0" w:firstLineChars="0"/>
              <w:jc w:val="center"/>
              <w:rPr>
                <w:rFonts w:cs="Times New Roman"/>
                <w:kern w:val="0"/>
                <w:sz w:val="20"/>
                <w:szCs w:val="21"/>
              </w:rPr>
            </w:pPr>
            <w:r>
              <w:rPr>
                <w:rFonts w:hint="eastAsia" w:cs="Times New Roman"/>
                <w:kern w:val="0"/>
                <w:sz w:val="20"/>
                <w:szCs w:val="21"/>
              </w:rPr>
              <w:t>秋千街</w:t>
            </w:r>
          </w:p>
        </w:tc>
        <w:tc>
          <w:tcPr>
            <w:tcW w:w="6974" w:type="dxa"/>
          </w:tcPr>
          <w:p>
            <w:pPr>
              <w:widowControl w:val="0"/>
              <w:ind w:firstLine="0" w:firstLineChars="0"/>
              <w:jc w:val="center"/>
              <w:rPr>
                <w:rFonts w:ascii="Times" w:hAnsi="Times" w:cs="宋体"/>
                <w:bCs/>
                <w:kern w:val="0"/>
                <w:sz w:val="20"/>
                <w:szCs w:val="21"/>
              </w:rPr>
            </w:pPr>
            <w:r>
              <w:rPr>
                <w:rFonts w:hint="eastAsia" w:ascii="Times" w:hAnsi="Times" w:cs="宋体"/>
                <w:bCs/>
                <w:kern w:val="0"/>
                <w:sz w:val="20"/>
                <w:szCs w:val="21"/>
              </w:rPr>
              <w:t>5</w:t>
            </w:r>
            <w:r>
              <w:rPr>
                <w:rFonts w:ascii="Times" w:hAnsi="Times" w:cs="宋体"/>
                <w:bCs/>
                <w:kern w:val="0"/>
                <w:sz w:val="20"/>
                <w:szCs w:val="21"/>
              </w:rPr>
              <w:t>92</w:t>
            </w:r>
            <w:r>
              <w:rPr>
                <w:rFonts w:hint="eastAsia" w:ascii="Times" w:hAnsi="Times" w:cs="宋体"/>
                <w:bCs/>
                <w:kern w:val="0"/>
                <w:sz w:val="20"/>
                <w:szCs w:val="21"/>
              </w:rPr>
              <w:t>米</w:t>
            </w:r>
          </w:p>
        </w:tc>
      </w:tr>
    </w:tbl>
    <w:p>
      <w:pPr>
        <w:pStyle w:val="3"/>
        <w:spacing w:before="0" w:after="0"/>
        <w:ind w:firstLine="482"/>
        <w:rPr>
          <w:rFonts w:ascii="Times" w:hAnsi="Times" w:cs="宋体"/>
          <w:bCs w:val="0"/>
          <w:sz w:val="28"/>
          <w:szCs w:val="28"/>
        </w:rPr>
      </w:pPr>
      <w:bookmarkStart w:id="230" w:name="_Toc204964386"/>
      <w:bookmarkStart w:id="231" w:name="_Toc135989735"/>
      <w:r>
        <w:rPr>
          <w:rFonts w:hint="eastAsia" w:ascii="Times" w:hAnsi="Times" w:cs="宋体"/>
          <w:bCs w:val="0"/>
          <w:sz w:val="28"/>
          <w:szCs w:val="28"/>
        </w:rPr>
        <w:t>附表</w:t>
      </w:r>
      <w:r>
        <w:rPr>
          <w:rFonts w:ascii="Times" w:hAnsi="Times" w:cs="宋体"/>
          <w:bCs w:val="0"/>
          <w:sz w:val="28"/>
          <w:szCs w:val="28"/>
        </w:rPr>
        <w:t>6</w:t>
      </w:r>
      <w:r>
        <w:rPr>
          <w:rFonts w:hint="eastAsia" w:ascii="Times" w:hAnsi="Times" w:cs="宋体"/>
          <w:bCs w:val="0"/>
          <w:sz w:val="28"/>
          <w:szCs w:val="28"/>
        </w:rPr>
        <w:t>：历史城区土地利用规划统计表</w:t>
      </w:r>
      <w:bookmarkEnd w:id="230"/>
      <w:bookmarkEnd w:id="231"/>
    </w:p>
    <w:tbl>
      <w:tblPr>
        <w:tblStyle w:val="34"/>
        <w:tblW w:w="5000" w:type="pct"/>
        <w:tblInd w:w="0" w:type="dxa"/>
        <w:tblLayout w:type="autofit"/>
        <w:tblCellMar>
          <w:top w:w="0" w:type="dxa"/>
          <w:left w:w="108" w:type="dxa"/>
          <w:bottom w:w="0" w:type="dxa"/>
          <w:right w:w="108" w:type="dxa"/>
        </w:tblCellMar>
      </w:tblPr>
      <w:tblGrid>
        <w:gridCol w:w="4542"/>
        <w:gridCol w:w="7524"/>
        <w:gridCol w:w="4542"/>
        <w:gridCol w:w="4539"/>
      </w:tblGrid>
      <w:tr>
        <w:tblPrEx>
          <w:tblCellMar>
            <w:top w:w="0" w:type="dxa"/>
            <w:left w:w="108" w:type="dxa"/>
            <w:bottom w:w="0" w:type="dxa"/>
            <w:right w:w="108" w:type="dxa"/>
          </w:tblCellMar>
        </w:tblPrEx>
        <w:trPr>
          <w:trHeight w:val="850" w:hRule="atLeast"/>
        </w:trPr>
        <w:tc>
          <w:tcPr>
            <w:tcW w:w="1074"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pPr>
              <w:spacing w:line="240" w:lineRule="auto"/>
              <w:ind w:firstLine="0" w:firstLineChars="0"/>
              <w:jc w:val="center"/>
              <w:rPr>
                <w:rFonts w:cs="宋体"/>
                <w:b/>
                <w:bCs/>
                <w:color w:val="000000"/>
                <w:kern w:val="0"/>
                <w:szCs w:val="21"/>
              </w:rPr>
            </w:pPr>
            <w:r>
              <w:rPr>
                <w:rFonts w:hint="eastAsia" w:cs="宋体"/>
                <w:b/>
                <w:bCs/>
                <w:color w:val="000000"/>
                <w:kern w:val="0"/>
                <w:szCs w:val="21"/>
              </w:rPr>
              <w:t>用地代码</w:t>
            </w:r>
          </w:p>
        </w:tc>
        <w:tc>
          <w:tcPr>
            <w:tcW w:w="1779" w:type="pct"/>
            <w:tcBorders>
              <w:top w:val="single" w:color="auto" w:sz="4" w:space="0"/>
              <w:left w:val="single" w:color="auto" w:sz="4" w:space="0"/>
              <w:bottom w:val="single" w:color="auto" w:sz="4" w:space="0"/>
              <w:right w:val="single" w:color="auto" w:sz="4" w:space="0"/>
            </w:tcBorders>
            <w:shd w:val="clear" w:color="auto" w:fill="E7E6E6" w:themeFill="background2"/>
            <w:vAlign w:val="center"/>
          </w:tcPr>
          <w:p>
            <w:pPr>
              <w:spacing w:line="240" w:lineRule="auto"/>
              <w:ind w:firstLine="0" w:firstLineChars="0"/>
              <w:jc w:val="center"/>
              <w:rPr>
                <w:rFonts w:cs="宋体"/>
                <w:b/>
                <w:bCs/>
                <w:color w:val="000000"/>
                <w:kern w:val="0"/>
                <w:szCs w:val="21"/>
              </w:rPr>
            </w:pPr>
            <w:r>
              <w:rPr>
                <w:rFonts w:hint="eastAsia" w:cs="宋体"/>
                <w:b/>
                <w:bCs/>
                <w:color w:val="000000"/>
                <w:kern w:val="0"/>
                <w:szCs w:val="21"/>
              </w:rPr>
              <w:t>用地名称</w:t>
            </w:r>
          </w:p>
        </w:tc>
        <w:tc>
          <w:tcPr>
            <w:tcW w:w="1074" w:type="pct"/>
            <w:tcBorders>
              <w:top w:val="single" w:color="auto" w:sz="4" w:space="0"/>
              <w:left w:val="nil"/>
              <w:bottom w:val="single" w:color="auto" w:sz="4" w:space="0"/>
              <w:right w:val="single" w:color="auto" w:sz="4" w:space="0"/>
            </w:tcBorders>
            <w:shd w:val="clear" w:color="auto" w:fill="E7E6E6" w:themeFill="background2"/>
            <w:vAlign w:val="center"/>
          </w:tcPr>
          <w:p>
            <w:pPr>
              <w:spacing w:line="240" w:lineRule="auto"/>
              <w:ind w:firstLine="0" w:firstLineChars="0"/>
              <w:jc w:val="center"/>
              <w:rPr>
                <w:rFonts w:cs="宋体"/>
                <w:b/>
                <w:bCs/>
                <w:color w:val="000000"/>
                <w:kern w:val="0"/>
                <w:szCs w:val="21"/>
              </w:rPr>
            </w:pPr>
            <w:r>
              <w:rPr>
                <w:rFonts w:hint="eastAsia" w:cs="宋体"/>
                <w:b/>
                <w:bCs/>
                <w:color w:val="000000"/>
                <w:kern w:val="0"/>
                <w:szCs w:val="21"/>
              </w:rPr>
              <w:t>用地面积（hm</w:t>
            </w:r>
            <w:r>
              <w:rPr>
                <w:rFonts w:cs="Calibri"/>
                <w:b/>
                <w:bCs/>
                <w:color w:val="000000"/>
                <w:kern w:val="0"/>
                <w:szCs w:val="21"/>
              </w:rPr>
              <w:t>²</w:t>
            </w:r>
            <w:r>
              <w:rPr>
                <w:rFonts w:hint="eastAsia" w:cs="宋体"/>
                <w:b/>
                <w:bCs/>
                <w:color w:val="000000"/>
                <w:kern w:val="0"/>
                <w:szCs w:val="21"/>
              </w:rPr>
              <w:t>)</w:t>
            </w:r>
          </w:p>
        </w:tc>
        <w:tc>
          <w:tcPr>
            <w:tcW w:w="1073" w:type="pct"/>
            <w:tcBorders>
              <w:top w:val="single" w:color="auto" w:sz="4" w:space="0"/>
              <w:left w:val="nil"/>
              <w:bottom w:val="single" w:color="auto" w:sz="4" w:space="0"/>
              <w:right w:val="single" w:color="auto" w:sz="4" w:space="0"/>
            </w:tcBorders>
            <w:shd w:val="clear" w:color="auto" w:fill="E7E6E6" w:themeFill="background2"/>
            <w:vAlign w:val="center"/>
          </w:tcPr>
          <w:p>
            <w:pPr>
              <w:spacing w:line="240" w:lineRule="auto"/>
              <w:ind w:firstLine="0" w:firstLineChars="0"/>
              <w:jc w:val="center"/>
              <w:rPr>
                <w:rFonts w:cs="宋体"/>
                <w:b/>
                <w:bCs/>
                <w:color w:val="000000"/>
                <w:kern w:val="0"/>
                <w:szCs w:val="21"/>
              </w:rPr>
            </w:pPr>
            <w:r>
              <w:rPr>
                <w:rFonts w:hint="eastAsia" w:cs="宋体"/>
                <w:b/>
                <w:bCs/>
                <w:color w:val="000000"/>
                <w:kern w:val="0"/>
                <w:szCs w:val="21"/>
              </w:rPr>
              <w:t>用地比例（%）</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0701</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城镇住宅用地</w:t>
            </w:r>
          </w:p>
        </w:tc>
        <w:tc>
          <w:tcPr>
            <w:tcW w:w="1074"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86.43</w:t>
            </w:r>
          </w:p>
        </w:tc>
        <w:tc>
          <w:tcPr>
            <w:tcW w:w="1073" w:type="pct"/>
            <w:tcBorders>
              <w:top w:val="single" w:color="auto" w:sz="4" w:space="0"/>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51.13%</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0801</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机关团体用地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4.96</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2.78%</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0803</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1.10</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0.62%</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0804</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教育用地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1.02</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3.50%</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0805</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体育用地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1.62</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0.91%</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0806</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医疗卫生用地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8.18</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4.58%</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0901</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商业用地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9.10</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4.99%</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1207</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城镇道路用地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36.76</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14.87%</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1307</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公用设施用地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0.31</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0.17%</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1401</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公园绿地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3.46</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1.94%</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1402</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防护绿地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0.15</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0.08%</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1403</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广场用地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1.98</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1.11%</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1504</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文物古迹用地</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1.99</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1.11%</w:t>
            </w:r>
          </w:p>
        </w:tc>
      </w:tr>
      <w:tr>
        <w:tblPrEx>
          <w:tblCellMar>
            <w:top w:w="0" w:type="dxa"/>
            <w:left w:w="108" w:type="dxa"/>
            <w:bottom w:w="0" w:type="dxa"/>
            <w:right w:w="108" w:type="dxa"/>
          </w:tblCellMar>
        </w:tblPrEx>
        <w:trPr>
          <w:trHeight w:val="567" w:hRule="atLeast"/>
        </w:trPr>
        <w:tc>
          <w:tcPr>
            <w:tcW w:w="1074" w:type="pct"/>
            <w:tcBorders>
              <w:top w:val="nil"/>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1701</w:t>
            </w:r>
          </w:p>
        </w:tc>
        <w:tc>
          <w:tcPr>
            <w:tcW w:w="1779"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河流水面</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21.66</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t>7.33%</w:t>
            </w:r>
          </w:p>
        </w:tc>
      </w:tr>
      <w:tr>
        <w:tblPrEx>
          <w:tblCellMar>
            <w:top w:w="0" w:type="dxa"/>
            <w:left w:w="108" w:type="dxa"/>
            <w:bottom w:w="0" w:type="dxa"/>
            <w:right w:w="108" w:type="dxa"/>
          </w:tblCellMar>
        </w:tblPrEx>
        <w:trPr>
          <w:trHeight w:val="567" w:hRule="atLeast"/>
        </w:trPr>
        <w:tc>
          <w:tcPr>
            <w:tcW w:w="2853" w:type="pct"/>
            <w:gridSpan w:val="2"/>
            <w:tcBorders>
              <w:top w:val="single" w:color="auto" w:sz="4" w:space="0"/>
              <w:left w:val="single" w:color="auto" w:sz="4" w:space="0"/>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总计</w:t>
            </w:r>
          </w:p>
        </w:tc>
        <w:tc>
          <w:tcPr>
            <w:tcW w:w="1074"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178.72</w:t>
            </w:r>
          </w:p>
        </w:tc>
        <w:tc>
          <w:tcPr>
            <w:tcW w:w="1073" w:type="pct"/>
            <w:tcBorders>
              <w:top w:val="nil"/>
              <w:left w:val="nil"/>
              <w:bottom w:val="single" w:color="auto" w:sz="4" w:space="0"/>
              <w:right w:val="single" w:color="auto" w:sz="4" w:space="0"/>
            </w:tcBorders>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100.00%</w:t>
            </w:r>
          </w:p>
        </w:tc>
      </w:tr>
    </w:tbl>
    <w:p>
      <w:pPr>
        <w:ind w:firstLine="480"/>
        <w:jc w:val="left"/>
        <w:rPr>
          <w:rFonts w:ascii="Times" w:hAnsi="Times" w:cs="宋体"/>
          <w:bCs/>
          <w:sz w:val="24"/>
          <w:szCs w:val="24"/>
        </w:rPr>
      </w:pPr>
    </w:p>
    <w:p>
      <w:pPr>
        <w:pStyle w:val="3"/>
        <w:spacing w:before="0" w:after="0"/>
        <w:ind w:firstLine="482"/>
        <w:rPr>
          <w:rFonts w:ascii="Times" w:hAnsi="Times" w:cs="宋体"/>
          <w:bCs w:val="0"/>
          <w:sz w:val="24"/>
          <w:szCs w:val="24"/>
        </w:rPr>
        <w:sectPr>
          <w:pgSz w:w="23811" w:h="16838" w:orient="landscape"/>
          <w:pgMar w:top="1080" w:right="1440" w:bottom="1080" w:left="1440" w:header="851" w:footer="737" w:gutter="0"/>
          <w:cols w:space="425" w:num="1"/>
          <w:docGrid w:type="lines" w:linePitch="312" w:charSpace="0"/>
        </w:sectPr>
      </w:pPr>
    </w:p>
    <w:p>
      <w:pPr>
        <w:pStyle w:val="3"/>
        <w:spacing w:before="0" w:after="0"/>
        <w:ind w:firstLine="482"/>
        <w:rPr>
          <w:rFonts w:ascii="Times" w:hAnsi="Times" w:cs="宋体"/>
          <w:bCs w:val="0"/>
          <w:sz w:val="28"/>
          <w:szCs w:val="28"/>
        </w:rPr>
      </w:pPr>
      <w:bookmarkStart w:id="232" w:name="_Toc204964387"/>
      <w:r>
        <w:rPr>
          <w:rFonts w:hint="eastAsia" w:ascii="Times" w:hAnsi="Times" w:cs="宋体"/>
          <w:bCs w:val="0"/>
          <w:sz w:val="28"/>
          <w:szCs w:val="28"/>
        </w:rPr>
        <w:t>附表</w:t>
      </w:r>
      <w:r>
        <w:rPr>
          <w:rFonts w:ascii="Times" w:hAnsi="Times" w:cs="宋体"/>
          <w:bCs w:val="0"/>
          <w:sz w:val="28"/>
          <w:szCs w:val="28"/>
        </w:rPr>
        <w:t>7</w:t>
      </w:r>
      <w:r>
        <w:rPr>
          <w:rFonts w:hint="eastAsia" w:ascii="Times" w:hAnsi="Times" w:cs="宋体"/>
          <w:bCs w:val="0"/>
          <w:sz w:val="28"/>
          <w:szCs w:val="28"/>
        </w:rPr>
        <w:t>：文物保护单位一览表</w:t>
      </w:r>
      <w:bookmarkEnd w:id="232"/>
    </w:p>
    <w:p>
      <w:pPr>
        <w:spacing w:line="240" w:lineRule="auto"/>
        <w:ind w:firstLine="0" w:firstLineChars="0"/>
        <w:jc w:val="center"/>
        <w:rPr>
          <w:rFonts w:cs="宋体"/>
          <w:b/>
          <w:bCs/>
          <w:szCs w:val="21"/>
        </w:rPr>
        <w:sectPr>
          <w:pgSz w:w="23814" w:h="16839" w:orient="landscape"/>
          <w:pgMar w:top="1080" w:right="1440" w:bottom="1080" w:left="1440" w:header="851" w:footer="737" w:gutter="0"/>
          <w:cols w:space="425" w:num="1"/>
          <w:docGrid w:type="lines" w:linePitch="312" w:charSpace="0"/>
        </w:sect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308"/>
        <w:gridCol w:w="1372"/>
        <w:gridCol w:w="1831"/>
        <w:gridCol w:w="915"/>
        <w:gridCol w:w="1828"/>
        <w:gridCol w:w="1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350"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序号</w:t>
            </w:r>
          </w:p>
        </w:tc>
        <w:tc>
          <w:tcPr>
            <w:tcW w:w="1102"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名称</w:t>
            </w:r>
          </w:p>
        </w:tc>
        <w:tc>
          <w:tcPr>
            <w:tcW w:w="655"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年代</w:t>
            </w:r>
          </w:p>
        </w:tc>
        <w:tc>
          <w:tcPr>
            <w:tcW w:w="874"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类别</w:t>
            </w:r>
          </w:p>
        </w:tc>
        <w:tc>
          <w:tcPr>
            <w:tcW w:w="437"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级别</w:t>
            </w:r>
          </w:p>
        </w:tc>
        <w:tc>
          <w:tcPr>
            <w:tcW w:w="873"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详细地点</w:t>
            </w:r>
          </w:p>
        </w:tc>
        <w:tc>
          <w:tcPr>
            <w:tcW w:w="708" w:type="pct"/>
            <w:shd w:val="clear" w:color="auto" w:fill="D0CECE" w:themeFill="background2" w:themeFillShade="E6"/>
            <w:vAlign w:val="center"/>
          </w:tcPr>
          <w:p>
            <w:pPr>
              <w:spacing w:line="240" w:lineRule="auto"/>
              <w:ind w:firstLine="0" w:firstLineChars="0"/>
              <w:jc w:val="center"/>
              <w:rPr>
                <w:rFonts w:cs="宋体"/>
                <w:b/>
                <w:bCs/>
                <w:szCs w:val="21"/>
              </w:rPr>
            </w:pPr>
            <w:r>
              <w:rPr>
                <w:rFonts w:hint="eastAsia" w:cs="宋体"/>
                <w:b/>
                <w:bCs/>
                <w:szCs w:val="21"/>
              </w:rPr>
              <w:t>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w:t>
            </w:r>
          </w:p>
        </w:tc>
        <w:tc>
          <w:tcPr>
            <w:tcW w:w="1102" w:type="pct"/>
            <w:vAlign w:val="center"/>
          </w:tcPr>
          <w:p>
            <w:pPr>
              <w:spacing w:line="240" w:lineRule="auto"/>
              <w:ind w:firstLine="0" w:firstLineChars="0"/>
              <w:jc w:val="center"/>
              <w:rPr>
                <w:rFonts w:cs="宋体"/>
                <w:bCs/>
                <w:szCs w:val="21"/>
              </w:rPr>
            </w:pPr>
            <w:r>
              <w:rPr>
                <w:rFonts w:hint="eastAsia" w:cs="宋体"/>
                <w:bCs/>
                <w:szCs w:val="21"/>
              </w:rPr>
              <w:t>三影塔</w:t>
            </w:r>
          </w:p>
        </w:tc>
        <w:tc>
          <w:tcPr>
            <w:tcW w:w="655" w:type="pct"/>
            <w:vAlign w:val="center"/>
          </w:tcPr>
          <w:p>
            <w:pPr>
              <w:spacing w:line="240" w:lineRule="auto"/>
              <w:ind w:firstLine="0" w:firstLineChars="0"/>
              <w:jc w:val="center"/>
              <w:rPr>
                <w:rFonts w:cs="宋体"/>
                <w:bCs/>
                <w:szCs w:val="21"/>
              </w:rPr>
            </w:pPr>
            <w:r>
              <w:rPr>
                <w:rFonts w:hint="eastAsia" w:cs="宋体"/>
                <w:bCs/>
                <w:szCs w:val="21"/>
              </w:rPr>
              <w:t>北宋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国保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南雄市雄州街道民主社区三影塔广场北侧</w:t>
            </w:r>
          </w:p>
        </w:tc>
        <w:tc>
          <w:tcPr>
            <w:tcW w:w="708" w:type="pct"/>
            <w:vAlign w:val="center"/>
          </w:tcPr>
          <w:p>
            <w:pPr>
              <w:spacing w:line="240" w:lineRule="auto"/>
              <w:ind w:firstLine="0" w:firstLineChars="0"/>
              <w:jc w:val="center"/>
              <w:rPr>
                <w:rFonts w:cs="宋体"/>
                <w:bCs/>
                <w:szCs w:val="21"/>
              </w:rPr>
            </w:pPr>
            <w:r>
              <w:rPr>
                <w:rFonts w:cs="宋体"/>
                <w:bCs/>
                <w:szCs w:val="21"/>
              </w:rPr>
              <w:t>1988年1月第三批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w:t>
            </w:r>
          </w:p>
        </w:tc>
        <w:tc>
          <w:tcPr>
            <w:tcW w:w="1102" w:type="pct"/>
            <w:vAlign w:val="center"/>
          </w:tcPr>
          <w:p>
            <w:pPr>
              <w:spacing w:line="240" w:lineRule="auto"/>
              <w:ind w:firstLine="0" w:firstLineChars="0"/>
              <w:jc w:val="center"/>
              <w:rPr>
                <w:rFonts w:cs="宋体"/>
                <w:bCs/>
                <w:szCs w:val="21"/>
              </w:rPr>
            </w:pPr>
            <w:r>
              <w:rPr>
                <w:rFonts w:hint="eastAsia" w:cs="宋体"/>
                <w:bCs/>
                <w:szCs w:val="21"/>
              </w:rPr>
              <w:t>南粤雄关与古道</w:t>
            </w:r>
          </w:p>
        </w:tc>
        <w:tc>
          <w:tcPr>
            <w:tcW w:w="655" w:type="pct"/>
            <w:vAlign w:val="center"/>
          </w:tcPr>
          <w:p>
            <w:pPr>
              <w:spacing w:line="240" w:lineRule="auto"/>
              <w:ind w:firstLine="0" w:firstLineChars="0"/>
              <w:jc w:val="center"/>
              <w:rPr>
                <w:rFonts w:cs="宋体"/>
                <w:bCs/>
                <w:szCs w:val="21"/>
              </w:rPr>
            </w:pPr>
            <w:r>
              <w:rPr>
                <w:rFonts w:hint="eastAsia" w:cs="宋体"/>
                <w:bCs/>
                <w:szCs w:val="21"/>
              </w:rPr>
              <w:t>唐至明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国保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南雄市珠玑镇梅岭村</w:t>
            </w:r>
          </w:p>
        </w:tc>
        <w:tc>
          <w:tcPr>
            <w:tcW w:w="708" w:type="pct"/>
            <w:vAlign w:val="center"/>
          </w:tcPr>
          <w:p>
            <w:pPr>
              <w:spacing w:line="240" w:lineRule="auto"/>
              <w:ind w:firstLine="0" w:firstLineChars="0"/>
              <w:jc w:val="center"/>
              <w:rPr>
                <w:rFonts w:cs="宋体"/>
                <w:bCs/>
                <w:szCs w:val="21"/>
              </w:rPr>
            </w:pPr>
            <w:r>
              <w:rPr>
                <w:rFonts w:cs="宋体"/>
                <w:bCs/>
                <w:szCs w:val="21"/>
              </w:rPr>
              <w:t>2013年3月第七批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w:t>
            </w:r>
          </w:p>
        </w:tc>
        <w:tc>
          <w:tcPr>
            <w:tcW w:w="1102" w:type="pct"/>
            <w:vAlign w:val="center"/>
          </w:tcPr>
          <w:p>
            <w:pPr>
              <w:spacing w:line="240" w:lineRule="auto"/>
              <w:ind w:firstLine="0" w:firstLineChars="0"/>
              <w:jc w:val="center"/>
              <w:rPr>
                <w:rFonts w:cs="宋体"/>
                <w:bCs/>
                <w:szCs w:val="21"/>
              </w:rPr>
            </w:pPr>
            <w:r>
              <w:rPr>
                <w:rFonts w:hint="eastAsia" w:cs="宋体"/>
                <w:bCs/>
                <w:szCs w:val="21"/>
              </w:rPr>
              <w:t>珠玑石塔</w:t>
            </w:r>
          </w:p>
        </w:tc>
        <w:tc>
          <w:tcPr>
            <w:tcW w:w="655" w:type="pct"/>
            <w:vAlign w:val="center"/>
          </w:tcPr>
          <w:p>
            <w:pPr>
              <w:spacing w:line="240" w:lineRule="auto"/>
              <w:ind w:firstLine="0" w:firstLineChars="0"/>
              <w:jc w:val="center"/>
              <w:rPr>
                <w:rFonts w:cs="宋体"/>
                <w:bCs/>
                <w:szCs w:val="21"/>
              </w:rPr>
            </w:pPr>
            <w:r>
              <w:rPr>
                <w:rFonts w:hint="eastAsia" w:cs="宋体"/>
                <w:bCs/>
                <w:szCs w:val="21"/>
              </w:rPr>
              <w:t>元代</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南雄市珠玑镇珠玑村</w:t>
            </w:r>
          </w:p>
        </w:tc>
        <w:tc>
          <w:tcPr>
            <w:tcW w:w="708" w:type="pct"/>
            <w:vAlign w:val="center"/>
          </w:tcPr>
          <w:p>
            <w:pPr>
              <w:spacing w:line="240" w:lineRule="auto"/>
              <w:ind w:firstLine="0" w:firstLineChars="0"/>
              <w:jc w:val="center"/>
              <w:rPr>
                <w:rFonts w:cs="宋体"/>
                <w:bCs/>
                <w:szCs w:val="21"/>
              </w:rPr>
            </w:pPr>
            <w:r>
              <w:rPr>
                <w:rFonts w:cs="宋体"/>
                <w:bCs/>
                <w:szCs w:val="21"/>
              </w:rPr>
              <w:t>1979年12月第二批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w:t>
            </w:r>
          </w:p>
        </w:tc>
        <w:tc>
          <w:tcPr>
            <w:tcW w:w="1102" w:type="pct"/>
            <w:vAlign w:val="center"/>
          </w:tcPr>
          <w:p>
            <w:pPr>
              <w:spacing w:line="240" w:lineRule="auto"/>
              <w:ind w:firstLine="0" w:firstLineChars="0"/>
              <w:jc w:val="center"/>
              <w:rPr>
                <w:rFonts w:cs="宋体"/>
                <w:bCs/>
                <w:szCs w:val="21"/>
              </w:rPr>
            </w:pPr>
            <w:r>
              <w:rPr>
                <w:rFonts w:hint="eastAsia" w:cs="宋体"/>
                <w:bCs/>
                <w:szCs w:val="21"/>
              </w:rPr>
              <w:t>钟鼓岩摩崖石刻</w:t>
            </w:r>
          </w:p>
        </w:tc>
        <w:tc>
          <w:tcPr>
            <w:tcW w:w="655" w:type="pct"/>
            <w:vAlign w:val="center"/>
          </w:tcPr>
          <w:p>
            <w:pPr>
              <w:spacing w:line="240" w:lineRule="auto"/>
              <w:ind w:firstLine="0" w:firstLineChars="0"/>
              <w:jc w:val="center"/>
              <w:rPr>
                <w:rFonts w:cs="宋体"/>
                <w:bCs/>
                <w:szCs w:val="21"/>
              </w:rPr>
            </w:pPr>
            <w:r>
              <w:rPr>
                <w:rFonts w:hint="eastAsia" w:cs="宋体"/>
                <w:bCs/>
                <w:szCs w:val="21"/>
              </w:rPr>
              <w:t>唐至清</w:t>
            </w:r>
          </w:p>
        </w:tc>
        <w:tc>
          <w:tcPr>
            <w:tcW w:w="874" w:type="pct"/>
            <w:vAlign w:val="center"/>
          </w:tcPr>
          <w:p>
            <w:pPr>
              <w:spacing w:line="240" w:lineRule="auto"/>
              <w:ind w:firstLine="0" w:firstLineChars="0"/>
              <w:jc w:val="center"/>
              <w:rPr>
                <w:rFonts w:cs="宋体"/>
                <w:bCs/>
                <w:szCs w:val="21"/>
              </w:rPr>
            </w:pPr>
            <w:r>
              <w:rPr>
                <w:rFonts w:hint="eastAsia" w:cs="宋体"/>
                <w:bCs/>
                <w:szCs w:val="21"/>
              </w:rPr>
              <w:t>石窟寺和古石刻</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南雄市珠玑镇钟鼓岩</w:t>
            </w:r>
          </w:p>
        </w:tc>
        <w:tc>
          <w:tcPr>
            <w:tcW w:w="708" w:type="pct"/>
            <w:vAlign w:val="center"/>
          </w:tcPr>
          <w:p>
            <w:pPr>
              <w:spacing w:line="240" w:lineRule="auto"/>
              <w:ind w:firstLine="0" w:firstLineChars="0"/>
              <w:jc w:val="center"/>
              <w:rPr>
                <w:rFonts w:cs="宋体"/>
                <w:bCs/>
                <w:szCs w:val="21"/>
              </w:rPr>
            </w:pPr>
            <w:r>
              <w:rPr>
                <w:rFonts w:cs="宋体"/>
                <w:bCs/>
                <w:szCs w:val="21"/>
              </w:rPr>
              <w:t>1989年12月第三批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w:t>
            </w:r>
          </w:p>
        </w:tc>
        <w:tc>
          <w:tcPr>
            <w:tcW w:w="1102" w:type="pct"/>
            <w:vAlign w:val="center"/>
          </w:tcPr>
          <w:p>
            <w:pPr>
              <w:spacing w:line="240" w:lineRule="auto"/>
              <w:ind w:firstLine="0" w:firstLineChars="0"/>
              <w:jc w:val="center"/>
              <w:rPr>
                <w:rFonts w:cs="宋体"/>
                <w:bCs/>
                <w:szCs w:val="21"/>
              </w:rPr>
            </w:pPr>
            <w:r>
              <w:rPr>
                <w:rFonts w:hint="eastAsia" w:cs="宋体"/>
                <w:bCs/>
                <w:szCs w:val="21"/>
              </w:rPr>
              <w:t>雄州广州会馆</w:t>
            </w:r>
          </w:p>
        </w:tc>
        <w:tc>
          <w:tcPr>
            <w:tcW w:w="655" w:type="pct"/>
            <w:vAlign w:val="center"/>
          </w:tcPr>
          <w:p>
            <w:pPr>
              <w:spacing w:line="240" w:lineRule="auto"/>
              <w:ind w:firstLine="0" w:firstLineChars="0"/>
              <w:jc w:val="center"/>
              <w:rPr>
                <w:rFonts w:cs="宋体"/>
                <w:bCs/>
                <w:szCs w:val="21"/>
              </w:rPr>
            </w:pPr>
            <w:r>
              <w:rPr>
                <w:rFonts w:hint="eastAsia" w:cs="宋体"/>
                <w:bCs/>
                <w:szCs w:val="21"/>
              </w:rPr>
              <w:t>明至清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w:t>
            </w:r>
            <w:r>
              <w:rPr>
                <w:rFonts w:cs="宋体"/>
                <w:bCs/>
                <w:szCs w:val="21"/>
              </w:rPr>
              <w:t>街道</w:t>
            </w:r>
            <w:r>
              <w:rPr>
                <w:rFonts w:hint="eastAsia" w:cs="宋体"/>
                <w:bCs/>
                <w:szCs w:val="21"/>
              </w:rPr>
              <w:t>青云东路</w:t>
            </w:r>
          </w:p>
        </w:tc>
        <w:tc>
          <w:tcPr>
            <w:tcW w:w="708" w:type="pct"/>
            <w:vAlign w:val="center"/>
          </w:tcPr>
          <w:p>
            <w:pPr>
              <w:spacing w:line="240" w:lineRule="auto"/>
              <w:ind w:firstLine="0" w:firstLineChars="0"/>
              <w:jc w:val="center"/>
              <w:rPr>
                <w:rFonts w:cs="宋体"/>
                <w:bCs/>
                <w:szCs w:val="21"/>
              </w:rPr>
            </w:pPr>
            <w:r>
              <w:rPr>
                <w:rFonts w:cs="宋体"/>
                <w:bCs/>
                <w:szCs w:val="21"/>
              </w:rPr>
              <w:t>2002年第四批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6</w:t>
            </w:r>
          </w:p>
        </w:tc>
        <w:tc>
          <w:tcPr>
            <w:tcW w:w="1102" w:type="pct"/>
            <w:vAlign w:val="center"/>
          </w:tcPr>
          <w:p>
            <w:pPr>
              <w:spacing w:line="240" w:lineRule="auto"/>
              <w:ind w:firstLine="0" w:firstLineChars="0"/>
              <w:jc w:val="center"/>
              <w:rPr>
                <w:rFonts w:cs="宋体"/>
                <w:bCs/>
                <w:szCs w:val="21"/>
              </w:rPr>
            </w:pPr>
            <w:r>
              <w:rPr>
                <w:rFonts w:hint="eastAsia" w:cs="宋体"/>
                <w:bCs/>
                <w:szCs w:val="21"/>
              </w:rPr>
              <w:t>南雄府城正南门</w:t>
            </w:r>
          </w:p>
        </w:tc>
        <w:tc>
          <w:tcPr>
            <w:tcW w:w="655" w:type="pct"/>
            <w:vAlign w:val="center"/>
          </w:tcPr>
          <w:p>
            <w:pPr>
              <w:spacing w:line="240" w:lineRule="auto"/>
              <w:ind w:firstLine="0" w:firstLineChars="0"/>
              <w:jc w:val="center"/>
              <w:rPr>
                <w:rFonts w:cs="宋体"/>
                <w:bCs/>
                <w:szCs w:val="21"/>
              </w:rPr>
            </w:pPr>
            <w:r>
              <w:rPr>
                <w:rFonts w:hint="eastAsia" w:cs="宋体"/>
                <w:bCs/>
                <w:szCs w:val="21"/>
              </w:rPr>
              <w:t>明至清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w:t>
            </w:r>
            <w:r>
              <w:rPr>
                <w:rFonts w:cs="宋体"/>
                <w:bCs/>
                <w:szCs w:val="21"/>
              </w:rPr>
              <w:t>街道</w:t>
            </w:r>
            <w:r>
              <w:rPr>
                <w:rFonts w:hint="eastAsia" w:cs="宋体"/>
                <w:bCs/>
                <w:szCs w:val="21"/>
              </w:rPr>
              <w:t>中山街</w:t>
            </w:r>
          </w:p>
        </w:tc>
        <w:tc>
          <w:tcPr>
            <w:tcW w:w="708" w:type="pct"/>
            <w:vAlign w:val="center"/>
          </w:tcPr>
          <w:p>
            <w:pPr>
              <w:spacing w:line="240" w:lineRule="auto"/>
              <w:ind w:firstLine="0" w:firstLineChars="0"/>
              <w:jc w:val="center"/>
              <w:rPr>
                <w:rFonts w:cs="宋体"/>
                <w:bCs/>
                <w:szCs w:val="21"/>
              </w:rPr>
            </w:pPr>
            <w:r>
              <w:rPr>
                <w:rFonts w:cs="宋体"/>
                <w:bCs/>
                <w:szCs w:val="21"/>
              </w:rPr>
              <w:t>2002年第四批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7</w:t>
            </w:r>
          </w:p>
        </w:tc>
        <w:tc>
          <w:tcPr>
            <w:tcW w:w="1102" w:type="pct"/>
            <w:vAlign w:val="center"/>
          </w:tcPr>
          <w:p>
            <w:pPr>
              <w:spacing w:line="240" w:lineRule="auto"/>
              <w:ind w:firstLine="0" w:firstLineChars="0"/>
              <w:jc w:val="center"/>
              <w:rPr>
                <w:rFonts w:cs="宋体"/>
                <w:bCs/>
                <w:szCs w:val="21"/>
              </w:rPr>
            </w:pPr>
            <w:r>
              <w:rPr>
                <w:rFonts w:hint="eastAsia" w:cs="宋体"/>
                <w:bCs/>
                <w:szCs w:val="21"/>
              </w:rPr>
              <w:t>里东戏台</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南雄市珠玑镇里东村</w:t>
            </w:r>
          </w:p>
        </w:tc>
        <w:tc>
          <w:tcPr>
            <w:tcW w:w="708" w:type="pct"/>
            <w:vAlign w:val="center"/>
          </w:tcPr>
          <w:p>
            <w:pPr>
              <w:spacing w:line="240" w:lineRule="auto"/>
              <w:ind w:firstLine="0" w:firstLineChars="0"/>
              <w:jc w:val="center"/>
              <w:rPr>
                <w:rFonts w:cs="宋体"/>
                <w:bCs/>
                <w:szCs w:val="21"/>
              </w:rPr>
            </w:pPr>
            <w:r>
              <w:rPr>
                <w:rFonts w:cs="宋体"/>
                <w:bCs/>
                <w:szCs w:val="21"/>
              </w:rPr>
              <w:t>2008年12月第五批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8</w:t>
            </w:r>
          </w:p>
        </w:tc>
        <w:tc>
          <w:tcPr>
            <w:tcW w:w="1102" w:type="pct"/>
            <w:vAlign w:val="center"/>
          </w:tcPr>
          <w:p>
            <w:pPr>
              <w:spacing w:line="240" w:lineRule="auto"/>
              <w:ind w:firstLine="0" w:firstLineChars="0"/>
              <w:jc w:val="center"/>
              <w:rPr>
                <w:rFonts w:cs="宋体"/>
                <w:bCs/>
                <w:szCs w:val="21"/>
              </w:rPr>
            </w:pPr>
            <w:r>
              <w:rPr>
                <w:rFonts w:hint="eastAsia" w:cs="宋体"/>
                <w:bCs/>
                <w:szCs w:val="21"/>
              </w:rPr>
              <w:t>南雄市瑶坑村中共广东省委旧址</w:t>
            </w:r>
          </w:p>
        </w:tc>
        <w:tc>
          <w:tcPr>
            <w:tcW w:w="655" w:type="pct"/>
            <w:vAlign w:val="center"/>
          </w:tcPr>
          <w:p>
            <w:pPr>
              <w:spacing w:line="240" w:lineRule="auto"/>
              <w:ind w:firstLine="0" w:firstLineChars="0"/>
              <w:jc w:val="center"/>
              <w:rPr>
                <w:rFonts w:cs="宋体"/>
                <w:bCs/>
                <w:szCs w:val="21"/>
              </w:rPr>
            </w:pPr>
            <w:r>
              <w:rPr>
                <w:rFonts w:cs="宋体"/>
                <w:bCs/>
                <w:szCs w:val="21"/>
              </w:rPr>
              <w:t>1938-1940</w:t>
            </w:r>
            <w:r>
              <w:rPr>
                <w:rFonts w:hint="eastAsia" w:cs="宋体"/>
                <w:bCs/>
                <w:szCs w:val="21"/>
              </w:rPr>
              <w:t>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南雄市雄州街道荆岗村委会瑶坑村</w:t>
            </w:r>
          </w:p>
        </w:tc>
        <w:tc>
          <w:tcPr>
            <w:tcW w:w="708" w:type="pct"/>
            <w:vAlign w:val="center"/>
          </w:tcPr>
          <w:p>
            <w:pPr>
              <w:spacing w:line="240" w:lineRule="auto"/>
              <w:ind w:firstLine="0" w:firstLineChars="0"/>
              <w:jc w:val="center"/>
              <w:rPr>
                <w:rFonts w:cs="宋体"/>
                <w:bCs/>
                <w:szCs w:val="21"/>
              </w:rPr>
            </w:pPr>
            <w:r>
              <w:rPr>
                <w:rFonts w:cs="宋体"/>
                <w:bCs/>
                <w:szCs w:val="21"/>
              </w:rPr>
              <w:t>2010年5月第六批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9</w:t>
            </w:r>
          </w:p>
        </w:tc>
        <w:tc>
          <w:tcPr>
            <w:tcW w:w="1102" w:type="pct"/>
            <w:vAlign w:val="center"/>
          </w:tcPr>
          <w:p>
            <w:pPr>
              <w:spacing w:line="240" w:lineRule="auto"/>
              <w:ind w:firstLine="0" w:firstLineChars="0"/>
              <w:jc w:val="center"/>
              <w:rPr>
                <w:rFonts w:cs="宋体"/>
                <w:bCs/>
                <w:szCs w:val="21"/>
              </w:rPr>
            </w:pPr>
            <w:r>
              <w:rPr>
                <w:rFonts w:hint="eastAsia" w:cs="宋体"/>
                <w:bCs/>
                <w:szCs w:val="21"/>
              </w:rPr>
              <w:t>回龙寺塔</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南雄市湖口镇罗田村</w:t>
            </w:r>
          </w:p>
        </w:tc>
        <w:tc>
          <w:tcPr>
            <w:tcW w:w="708" w:type="pct"/>
            <w:vAlign w:val="center"/>
          </w:tcPr>
          <w:p>
            <w:pPr>
              <w:spacing w:line="240" w:lineRule="auto"/>
              <w:ind w:firstLine="0" w:firstLineChars="0"/>
              <w:jc w:val="center"/>
              <w:rPr>
                <w:rFonts w:cs="宋体"/>
                <w:bCs/>
                <w:szCs w:val="21"/>
              </w:rPr>
            </w:pPr>
            <w:r>
              <w:rPr>
                <w:rFonts w:cs="宋体"/>
                <w:bCs/>
                <w:szCs w:val="21"/>
              </w:rPr>
              <w:t>2012年10月第七批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10</w:t>
            </w:r>
          </w:p>
        </w:tc>
        <w:tc>
          <w:tcPr>
            <w:tcW w:w="1102" w:type="pct"/>
            <w:vAlign w:val="center"/>
          </w:tcPr>
          <w:p>
            <w:pPr>
              <w:spacing w:line="240" w:lineRule="auto"/>
              <w:ind w:firstLine="0" w:firstLineChars="0"/>
              <w:jc w:val="center"/>
              <w:rPr>
                <w:rFonts w:cs="宋体"/>
                <w:bCs/>
                <w:szCs w:val="21"/>
              </w:rPr>
            </w:pPr>
            <w:r>
              <w:rPr>
                <w:rFonts w:hint="eastAsia" w:cs="宋体"/>
                <w:bCs/>
                <w:szCs w:val="21"/>
              </w:rPr>
              <w:t>溪头塔</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南雄市百顺镇溪头老村</w:t>
            </w:r>
          </w:p>
        </w:tc>
        <w:tc>
          <w:tcPr>
            <w:tcW w:w="708" w:type="pct"/>
            <w:vAlign w:val="center"/>
          </w:tcPr>
          <w:p>
            <w:pPr>
              <w:spacing w:line="240" w:lineRule="auto"/>
              <w:ind w:firstLine="0" w:firstLineChars="0"/>
              <w:jc w:val="center"/>
              <w:rPr>
                <w:rFonts w:cs="宋体"/>
                <w:bCs/>
                <w:szCs w:val="21"/>
              </w:rPr>
            </w:pPr>
            <w:r>
              <w:rPr>
                <w:rFonts w:cs="宋体"/>
                <w:bCs/>
                <w:szCs w:val="21"/>
              </w:rPr>
              <w:t>2012年10月第七批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11</w:t>
            </w:r>
          </w:p>
        </w:tc>
        <w:tc>
          <w:tcPr>
            <w:tcW w:w="1102" w:type="pct"/>
            <w:vAlign w:val="center"/>
          </w:tcPr>
          <w:p>
            <w:pPr>
              <w:spacing w:line="240" w:lineRule="auto"/>
              <w:ind w:firstLine="0" w:firstLineChars="0"/>
              <w:jc w:val="center"/>
              <w:rPr>
                <w:rFonts w:cs="宋体"/>
                <w:bCs/>
                <w:szCs w:val="21"/>
              </w:rPr>
            </w:pPr>
            <w:r>
              <w:rPr>
                <w:rFonts w:hint="eastAsia" w:cs="宋体"/>
                <w:bCs/>
                <w:szCs w:val="21"/>
              </w:rPr>
              <w:t>南雄府学宫大成殿</w:t>
            </w:r>
          </w:p>
        </w:tc>
        <w:tc>
          <w:tcPr>
            <w:tcW w:w="655" w:type="pct"/>
            <w:vAlign w:val="center"/>
          </w:tcPr>
          <w:p>
            <w:pPr>
              <w:spacing w:line="240" w:lineRule="auto"/>
              <w:ind w:firstLine="0" w:firstLineChars="0"/>
              <w:jc w:val="center"/>
              <w:rPr>
                <w:rFonts w:cs="宋体"/>
                <w:bCs/>
                <w:szCs w:val="21"/>
              </w:rPr>
            </w:pPr>
            <w:r>
              <w:rPr>
                <w:rFonts w:hint="eastAsia" w:cs="宋体"/>
                <w:bCs/>
                <w:szCs w:val="21"/>
              </w:rPr>
              <w:t>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南雄市雄州街道南雄市政府大院内</w:t>
            </w:r>
          </w:p>
        </w:tc>
        <w:tc>
          <w:tcPr>
            <w:tcW w:w="708" w:type="pct"/>
            <w:vAlign w:val="center"/>
          </w:tcPr>
          <w:p>
            <w:pPr>
              <w:spacing w:line="240" w:lineRule="auto"/>
              <w:ind w:firstLine="0" w:firstLineChars="0"/>
              <w:jc w:val="center"/>
              <w:rPr>
                <w:rFonts w:cs="宋体"/>
                <w:bCs/>
                <w:szCs w:val="21"/>
              </w:rPr>
            </w:pPr>
            <w:r>
              <w:rPr>
                <w:rFonts w:cs="宋体"/>
                <w:bCs/>
                <w:szCs w:val="21"/>
              </w:rPr>
              <w:t>2012年10月第七批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12</w:t>
            </w:r>
          </w:p>
        </w:tc>
        <w:tc>
          <w:tcPr>
            <w:tcW w:w="1102" w:type="pct"/>
            <w:vAlign w:val="center"/>
          </w:tcPr>
          <w:p>
            <w:pPr>
              <w:spacing w:line="240" w:lineRule="auto"/>
              <w:ind w:firstLine="0" w:firstLineChars="0"/>
              <w:jc w:val="center"/>
              <w:rPr>
                <w:rFonts w:cs="宋体"/>
                <w:bCs/>
                <w:szCs w:val="21"/>
              </w:rPr>
            </w:pPr>
            <w:r>
              <w:rPr>
                <w:rFonts w:hint="eastAsia" w:cs="宋体"/>
                <w:bCs/>
                <w:szCs w:val="21"/>
              </w:rPr>
              <w:t>平林村惜字塔</w:t>
            </w:r>
          </w:p>
        </w:tc>
        <w:tc>
          <w:tcPr>
            <w:tcW w:w="655" w:type="pct"/>
            <w:vAlign w:val="center"/>
          </w:tcPr>
          <w:p>
            <w:pPr>
              <w:spacing w:line="240" w:lineRule="auto"/>
              <w:ind w:firstLine="0" w:firstLineChars="0"/>
              <w:jc w:val="center"/>
              <w:rPr>
                <w:rFonts w:cs="宋体"/>
                <w:bCs/>
                <w:szCs w:val="21"/>
              </w:rPr>
            </w:pPr>
            <w:r>
              <w:rPr>
                <w:rFonts w:hint="eastAsia" w:cs="宋体"/>
                <w:bCs/>
                <w:szCs w:val="21"/>
              </w:rPr>
              <w:t>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南雄市油山镇平林村</w:t>
            </w:r>
          </w:p>
        </w:tc>
        <w:tc>
          <w:tcPr>
            <w:tcW w:w="708" w:type="pct"/>
            <w:vAlign w:val="center"/>
          </w:tcPr>
          <w:p>
            <w:pPr>
              <w:spacing w:line="240" w:lineRule="auto"/>
              <w:ind w:firstLine="0" w:firstLineChars="0"/>
              <w:jc w:val="center"/>
              <w:rPr>
                <w:rFonts w:cs="宋体"/>
                <w:bCs/>
                <w:szCs w:val="21"/>
              </w:rPr>
            </w:pPr>
            <w:r>
              <w:rPr>
                <w:rFonts w:cs="宋体"/>
                <w:bCs/>
                <w:szCs w:val="21"/>
              </w:rPr>
              <w:t>2015年12月第八批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13</w:t>
            </w:r>
          </w:p>
        </w:tc>
        <w:tc>
          <w:tcPr>
            <w:tcW w:w="1102" w:type="pct"/>
            <w:vAlign w:val="center"/>
          </w:tcPr>
          <w:p>
            <w:pPr>
              <w:spacing w:line="240" w:lineRule="auto"/>
              <w:ind w:firstLine="0" w:firstLineChars="0"/>
              <w:jc w:val="center"/>
              <w:rPr>
                <w:rFonts w:cs="宋体"/>
                <w:bCs/>
                <w:szCs w:val="21"/>
              </w:rPr>
            </w:pPr>
            <w:r>
              <w:rPr>
                <w:rFonts w:hint="eastAsia" w:cs="宋体"/>
                <w:bCs/>
                <w:szCs w:val="21"/>
              </w:rPr>
              <w:t>新龙塔</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南雄市坪田镇龙口村</w:t>
            </w:r>
          </w:p>
        </w:tc>
        <w:tc>
          <w:tcPr>
            <w:tcW w:w="708" w:type="pct"/>
            <w:vAlign w:val="center"/>
          </w:tcPr>
          <w:p>
            <w:pPr>
              <w:spacing w:line="240" w:lineRule="auto"/>
              <w:ind w:firstLine="0" w:firstLineChars="0"/>
              <w:jc w:val="center"/>
              <w:rPr>
                <w:rFonts w:cs="宋体"/>
                <w:bCs/>
                <w:szCs w:val="21"/>
              </w:rPr>
            </w:pPr>
            <w:r>
              <w:rPr>
                <w:rFonts w:cs="宋体"/>
                <w:bCs/>
                <w:szCs w:val="21"/>
              </w:rPr>
              <w:t>2015年12月第八批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14</w:t>
            </w:r>
          </w:p>
        </w:tc>
        <w:tc>
          <w:tcPr>
            <w:tcW w:w="1102" w:type="pct"/>
            <w:vAlign w:val="center"/>
          </w:tcPr>
          <w:p>
            <w:pPr>
              <w:spacing w:line="240" w:lineRule="auto"/>
              <w:ind w:firstLine="0" w:firstLineChars="0"/>
              <w:jc w:val="center"/>
              <w:rPr>
                <w:rFonts w:cs="宋体"/>
                <w:bCs/>
                <w:szCs w:val="21"/>
              </w:rPr>
            </w:pPr>
            <w:r>
              <w:rPr>
                <w:rFonts w:hint="eastAsia" w:cs="宋体"/>
                <w:bCs/>
                <w:szCs w:val="21"/>
              </w:rPr>
              <w:t>小竹塔</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南雄市江头镇小竹村</w:t>
            </w:r>
          </w:p>
        </w:tc>
        <w:tc>
          <w:tcPr>
            <w:tcW w:w="708" w:type="pct"/>
            <w:vAlign w:val="center"/>
          </w:tcPr>
          <w:p>
            <w:pPr>
              <w:spacing w:line="240" w:lineRule="auto"/>
              <w:ind w:firstLine="0" w:firstLineChars="0"/>
              <w:jc w:val="center"/>
              <w:rPr>
                <w:rFonts w:cs="宋体"/>
                <w:bCs/>
                <w:szCs w:val="21"/>
              </w:rPr>
            </w:pPr>
            <w:r>
              <w:rPr>
                <w:rFonts w:cs="宋体"/>
                <w:bCs/>
                <w:szCs w:val="21"/>
              </w:rPr>
              <w:t>2015年12月第八批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15</w:t>
            </w:r>
          </w:p>
        </w:tc>
        <w:tc>
          <w:tcPr>
            <w:tcW w:w="1102" w:type="pct"/>
            <w:vAlign w:val="center"/>
          </w:tcPr>
          <w:p>
            <w:pPr>
              <w:spacing w:line="240" w:lineRule="auto"/>
              <w:ind w:firstLine="0" w:firstLineChars="0"/>
              <w:jc w:val="center"/>
              <w:rPr>
                <w:rFonts w:cs="宋体"/>
                <w:bCs/>
                <w:szCs w:val="21"/>
              </w:rPr>
            </w:pPr>
            <w:r>
              <w:rPr>
                <w:rFonts w:hint="eastAsia" w:cs="宋体"/>
                <w:bCs/>
                <w:szCs w:val="21"/>
              </w:rPr>
              <w:t>水西桥</w:t>
            </w:r>
          </w:p>
        </w:tc>
        <w:tc>
          <w:tcPr>
            <w:tcW w:w="655" w:type="pct"/>
            <w:vAlign w:val="center"/>
          </w:tcPr>
          <w:p>
            <w:pPr>
              <w:spacing w:line="240" w:lineRule="auto"/>
              <w:ind w:firstLine="0" w:firstLineChars="0"/>
              <w:jc w:val="center"/>
              <w:rPr>
                <w:rFonts w:cs="宋体"/>
                <w:bCs/>
                <w:szCs w:val="21"/>
              </w:rPr>
            </w:pPr>
            <w:r>
              <w:rPr>
                <w:rFonts w:hint="eastAsia" w:cs="宋体"/>
                <w:bCs/>
                <w:szCs w:val="21"/>
              </w:rPr>
              <w:t>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南雄市雄州街道水西村</w:t>
            </w:r>
          </w:p>
        </w:tc>
        <w:tc>
          <w:tcPr>
            <w:tcW w:w="708" w:type="pct"/>
            <w:vAlign w:val="center"/>
          </w:tcPr>
          <w:p>
            <w:pPr>
              <w:spacing w:line="240" w:lineRule="auto"/>
              <w:ind w:firstLine="0" w:firstLineChars="0"/>
              <w:jc w:val="center"/>
              <w:rPr>
                <w:rFonts w:cs="宋体"/>
                <w:bCs/>
                <w:szCs w:val="21"/>
              </w:rPr>
            </w:pPr>
            <w:r>
              <w:rPr>
                <w:rFonts w:cs="宋体"/>
                <w:bCs/>
                <w:szCs w:val="21"/>
              </w:rPr>
              <w:t>2015年12月第八批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16</w:t>
            </w:r>
          </w:p>
        </w:tc>
        <w:tc>
          <w:tcPr>
            <w:tcW w:w="1102" w:type="pct"/>
            <w:vAlign w:val="center"/>
          </w:tcPr>
          <w:p>
            <w:pPr>
              <w:spacing w:line="240" w:lineRule="auto"/>
              <w:ind w:firstLine="0" w:firstLineChars="0"/>
              <w:jc w:val="center"/>
              <w:rPr>
                <w:rFonts w:cs="宋体"/>
                <w:bCs/>
                <w:szCs w:val="21"/>
              </w:rPr>
            </w:pPr>
            <w:r>
              <w:rPr>
                <w:rFonts w:hint="eastAsia" w:cs="宋体"/>
                <w:bCs/>
                <w:szCs w:val="21"/>
              </w:rPr>
              <w:t>上朔塔</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17</w:t>
            </w:r>
          </w:p>
        </w:tc>
        <w:tc>
          <w:tcPr>
            <w:tcW w:w="1102" w:type="pct"/>
            <w:vAlign w:val="center"/>
          </w:tcPr>
          <w:p>
            <w:pPr>
              <w:spacing w:line="240" w:lineRule="auto"/>
              <w:ind w:firstLine="0" w:firstLineChars="0"/>
              <w:jc w:val="center"/>
              <w:rPr>
                <w:rFonts w:cs="宋体"/>
                <w:bCs/>
                <w:szCs w:val="21"/>
              </w:rPr>
            </w:pPr>
            <w:r>
              <w:rPr>
                <w:rFonts w:hint="eastAsia" w:cs="宋体"/>
                <w:bCs/>
                <w:szCs w:val="21"/>
              </w:rPr>
              <w:t>许村塔</w:t>
            </w:r>
          </w:p>
        </w:tc>
        <w:tc>
          <w:tcPr>
            <w:tcW w:w="655" w:type="pct"/>
            <w:vAlign w:val="center"/>
          </w:tcPr>
          <w:p>
            <w:pPr>
              <w:spacing w:line="240" w:lineRule="auto"/>
              <w:ind w:firstLine="0" w:firstLineChars="0"/>
              <w:jc w:val="center"/>
              <w:rPr>
                <w:rFonts w:cs="宋体"/>
                <w:bCs/>
                <w:szCs w:val="21"/>
              </w:rPr>
            </w:pPr>
            <w:r>
              <w:rPr>
                <w:rFonts w:hint="eastAsia" w:cs="宋体"/>
                <w:bCs/>
                <w:szCs w:val="21"/>
              </w:rPr>
              <w:t>北宋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南雄市黄坑镇许村</w:t>
            </w:r>
          </w:p>
        </w:tc>
        <w:tc>
          <w:tcPr>
            <w:tcW w:w="708" w:type="pct"/>
            <w:vAlign w:val="center"/>
          </w:tcPr>
          <w:p>
            <w:pPr>
              <w:spacing w:line="240" w:lineRule="auto"/>
              <w:ind w:firstLine="0" w:firstLineChars="0"/>
              <w:jc w:val="center"/>
              <w:rPr>
                <w:rFonts w:cs="宋体"/>
                <w:bCs/>
                <w:szCs w:val="21"/>
              </w:rPr>
            </w:pPr>
            <w:r>
              <w:rPr>
                <w:rFonts w:cs="宋体"/>
                <w:bCs/>
                <w:szCs w:val="21"/>
              </w:rPr>
              <w:t>2019年4月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18</w:t>
            </w:r>
          </w:p>
        </w:tc>
        <w:tc>
          <w:tcPr>
            <w:tcW w:w="1102" w:type="pct"/>
            <w:vAlign w:val="center"/>
          </w:tcPr>
          <w:p>
            <w:pPr>
              <w:spacing w:line="240" w:lineRule="auto"/>
              <w:ind w:firstLine="0" w:firstLineChars="0"/>
              <w:jc w:val="center"/>
              <w:rPr>
                <w:rFonts w:cs="宋体"/>
                <w:bCs/>
                <w:szCs w:val="21"/>
              </w:rPr>
            </w:pPr>
            <w:r>
              <w:rPr>
                <w:rFonts w:hint="eastAsia" w:cs="宋体"/>
                <w:bCs/>
                <w:szCs w:val="21"/>
              </w:rPr>
              <w:t>葛坪塔</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南雄市澜河镇葛坪塔下村</w:t>
            </w:r>
          </w:p>
        </w:tc>
        <w:tc>
          <w:tcPr>
            <w:tcW w:w="708" w:type="pct"/>
            <w:vAlign w:val="center"/>
          </w:tcPr>
          <w:p>
            <w:pPr>
              <w:spacing w:line="240" w:lineRule="auto"/>
              <w:ind w:firstLine="0" w:firstLineChars="0"/>
              <w:jc w:val="center"/>
              <w:rPr>
                <w:rFonts w:cs="宋体"/>
                <w:bCs/>
                <w:szCs w:val="21"/>
              </w:rPr>
            </w:pPr>
            <w:r>
              <w:rPr>
                <w:rFonts w:cs="宋体"/>
                <w:bCs/>
                <w:szCs w:val="21"/>
              </w:rPr>
              <w:t>2022</w:t>
            </w:r>
            <w:r>
              <w:rPr>
                <w:rFonts w:hint="eastAsia" w:cs="宋体"/>
                <w:bCs/>
                <w:szCs w:val="21"/>
              </w:rPr>
              <w:t>年</w:t>
            </w:r>
            <w:r>
              <w:rPr>
                <w:rFonts w:cs="宋体"/>
                <w:bCs/>
                <w:szCs w:val="21"/>
              </w:rPr>
              <w:t>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19</w:t>
            </w:r>
          </w:p>
        </w:tc>
        <w:tc>
          <w:tcPr>
            <w:tcW w:w="1102" w:type="pct"/>
            <w:vAlign w:val="center"/>
          </w:tcPr>
          <w:p>
            <w:pPr>
              <w:spacing w:line="240" w:lineRule="auto"/>
              <w:ind w:firstLine="0" w:firstLineChars="0"/>
              <w:jc w:val="center"/>
              <w:rPr>
                <w:rFonts w:cs="宋体"/>
                <w:bCs/>
                <w:szCs w:val="21"/>
              </w:rPr>
            </w:pPr>
            <w:r>
              <w:rPr>
                <w:rFonts w:hint="eastAsia"/>
                <w:szCs w:val="21"/>
              </w:rPr>
              <w:t>虎距桥</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w:t>
            </w:r>
            <w:r>
              <w:rPr>
                <w:szCs w:val="21"/>
              </w:rPr>
              <w:t>珠玑镇聪辈村</w:t>
            </w:r>
          </w:p>
        </w:tc>
        <w:tc>
          <w:tcPr>
            <w:tcW w:w="708" w:type="pct"/>
            <w:vAlign w:val="center"/>
          </w:tcPr>
          <w:p>
            <w:pPr>
              <w:spacing w:line="240" w:lineRule="auto"/>
              <w:ind w:firstLine="0" w:firstLineChars="0"/>
              <w:jc w:val="center"/>
              <w:rPr>
                <w:rFonts w:cs="宋体"/>
                <w:bCs/>
                <w:szCs w:val="21"/>
              </w:rPr>
            </w:pPr>
            <w:r>
              <w:rPr>
                <w:rFonts w:cs="宋体"/>
                <w:bCs/>
                <w:szCs w:val="21"/>
              </w:rPr>
              <w:t>2022</w:t>
            </w:r>
            <w:r>
              <w:rPr>
                <w:rFonts w:hint="eastAsia" w:cs="宋体"/>
                <w:bCs/>
                <w:szCs w:val="21"/>
              </w:rPr>
              <w:t>年</w:t>
            </w:r>
            <w:r>
              <w:rPr>
                <w:rFonts w:cs="宋体"/>
                <w:bCs/>
                <w:szCs w:val="21"/>
              </w:rPr>
              <w:t>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20</w:t>
            </w:r>
          </w:p>
        </w:tc>
        <w:tc>
          <w:tcPr>
            <w:tcW w:w="1102" w:type="pct"/>
            <w:vAlign w:val="center"/>
          </w:tcPr>
          <w:p>
            <w:pPr>
              <w:spacing w:line="240" w:lineRule="auto"/>
              <w:ind w:firstLine="0" w:firstLineChars="0"/>
              <w:jc w:val="center"/>
              <w:rPr>
                <w:szCs w:val="21"/>
              </w:rPr>
            </w:pPr>
            <w:r>
              <w:rPr>
                <w:rFonts w:hint="eastAsia"/>
                <w:szCs w:val="21"/>
              </w:rPr>
              <w:t>雪梅祖祠</w:t>
            </w:r>
          </w:p>
        </w:tc>
        <w:tc>
          <w:tcPr>
            <w:tcW w:w="655" w:type="pct"/>
            <w:vAlign w:val="center"/>
          </w:tcPr>
          <w:p>
            <w:pPr>
              <w:spacing w:line="240" w:lineRule="auto"/>
              <w:ind w:firstLine="0" w:firstLineChars="0"/>
              <w:jc w:val="center"/>
              <w:rPr>
                <w:szCs w:val="21"/>
              </w:rPr>
            </w:pPr>
            <w:r>
              <w:rPr>
                <w:szCs w:val="21"/>
              </w:rPr>
              <w:t>清代</w:t>
            </w:r>
          </w:p>
        </w:tc>
        <w:tc>
          <w:tcPr>
            <w:tcW w:w="874" w:type="pct"/>
            <w:vAlign w:val="center"/>
          </w:tcPr>
          <w:p>
            <w:pPr>
              <w:spacing w:line="240" w:lineRule="auto"/>
              <w:ind w:firstLine="0" w:firstLineChars="0"/>
              <w:jc w:val="center"/>
              <w:rPr>
                <w:rFonts w:cs="宋体"/>
                <w:bCs/>
                <w:szCs w:val="21"/>
              </w:rPr>
            </w:pPr>
            <w:r>
              <w:rPr>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szCs w:val="21"/>
              </w:rPr>
            </w:pPr>
            <w:r>
              <w:rPr>
                <w:rFonts w:hint="eastAsia" w:cs="宋体"/>
                <w:bCs/>
                <w:szCs w:val="21"/>
              </w:rPr>
              <w:t>南雄市界址镇赵屋村</w:t>
            </w:r>
          </w:p>
        </w:tc>
        <w:tc>
          <w:tcPr>
            <w:tcW w:w="708" w:type="pct"/>
            <w:vAlign w:val="center"/>
          </w:tcPr>
          <w:p>
            <w:pPr>
              <w:spacing w:line="240" w:lineRule="auto"/>
              <w:ind w:firstLine="0" w:firstLineChars="0"/>
              <w:jc w:val="center"/>
              <w:rPr>
                <w:rFonts w:cs="宋体"/>
                <w:bCs/>
                <w:szCs w:val="21"/>
              </w:rPr>
            </w:pPr>
            <w:r>
              <w:rPr>
                <w:rFonts w:cs="宋体"/>
                <w:bCs/>
                <w:szCs w:val="21"/>
              </w:rPr>
              <w:t>2022</w:t>
            </w:r>
            <w:r>
              <w:rPr>
                <w:rFonts w:hint="eastAsia" w:cs="宋体"/>
                <w:bCs/>
                <w:szCs w:val="21"/>
              </w:rPr>
              <w:t>年</w:t>
            </w:r>
            <w:r>
              <w:rPr>
                <w:rFonts w:cs="宋体"/>
                <w:bCs/>
                <w:szCs w:val="21"/>
              </w:rPr>
              <w:t>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21</w:t>
            </w:r>
          </w:p>
        </w:tc>
        <w:tc>
          <w:tcPr>
            <w:tcW w:w="1102" w:type="pct"/>
            <w:vAlign w:val="center"/>
          </w:tcPr>
          <w:p>
            <w:pPr>
              <w:spacing w:line="240" w:lineRule="auto"/>
              <w:ind w:firstLine="0" w:firstLineChars="0"/>
              <w:jc w:val="center"/>
              <w:rPr>
                <w:rFonts w:cs="宋体"/>
                <w:bCs/>
                <w:szCs w:val="21"/>
              </w:rPr>
            </w:pPr>
            <w:r>
              <w:rPr>
                <w:rFonts w:hint="eastAsia" w:cs="宋体"/>
                <w:bCs/>
                <w:szCs w:val="21"/>
              </w:rPr>
              <w:t>上朔村《当红军歌》题壁</w:t>
            </w:r>
          </w:p>
        </w:tc>
        <w:tc>
          <w:tcPr>
            <w:tcW w:w="655" w:type="pct"/>
            <w:vAlign w:val="center"/>
          </w:tcPr>
          <w:p>
            <w:pPr>
              <w:spacing w:line="240" w:lineRule="auto"/>
              <w:ind w:firstLine="0" w:firstLineChars="0"/>
              <w:jc w:val="center"/>
              <w:rPr>
                <w:rFonts w:cs="宋体"/>
                <w:bCs/>
                <w:szCs w:val="21"/>
              </w:rPr>
            </w:pPr>
            <w:r>
              <w:rPr>
                <w:rFonts w:cs="宋体"/>
                <w:bCs/>
                <w:szCs w:val="21"/>
              </w:rPr>
              <w:t>1929-1934</w:t>
            </w:r>
            <w:r>
              <w:rPr>
                <w:rFonts w:hint="eastAsia" w:cs="宋体"/>
                <w:bCs/>
                <w:szCs w:val="21"/>
              </w:rPr>
              <w:t>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2022</w:t>
            </w:r>
            <w:r>
              <w:rPr>
                <w:rFonts w:hint="eastAsia" w:cs="宋体"/>
                <w:bCs/>
                <w:szCs w:val="21"/>
              </w:rPr>
              <w:t>年</w:t>
            </w:r>
            <w:r>
              <w:rPr>
                <w:rFonts w:cs="宋体"/>
                <w:bCs/>
                <w:szCs w:val="21"/>
              </w:rPr>
              <w:t>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22</w:t>
            </w:r>
          </w:p>
        </w:tc>
        <w:tc>
          <w:tcPr>
            <w:tcW w:w="1102" w:type="pct"/>
            <w:vAlign w:val="center"/>
          </w:tcPr>
          <w:p>
            <w:pPr>
              <w:spacing w:line="240" w:lineRule="auto"/>
              <w:ind w:firstLine="0" w:firstLineChars="0"/>
              <w:jc w:val="center"/>
              <w:rPr>
                <w:rFonts w:cs="宋体"/>
                <w:bCs/>
                <w:szCs w:val="21"/>
              </w:rPr>
            </w:pPr>
            <w:r>
              <w:rPr>
                <w:rFonts w:hint="eastAsia" w:cs="宋体"/>
                <w:bCs/>
                <w:szCs w:val="21"/>
              </w:rPr>
              <w:t>赣粤边红军独立师第三团团部旧址</w:t>
            </w:r>
          </w:p>
        </w:tc>
        <w:tc>
          <w:tcPr>
            <w:tcW w:w="655" w:type="pct"/>
            <w:vAlign w:val="center"/>
          </w:tcPr>
          <w:p>
            <w:pPr>
              <w:spacing w:line="240" w:lineRule="auto"/>
              <w:ind w:firstLine="0" w:firstLineChars="0"/>
              <w:jc w:val="center"/>
              <w:rPr>
                <w:rFonts w:cs="宋体"/>
                <w:bCs/>
                <w:szCs w:val="21"/>
              </w:rPr>
            </w:pPr>
            <w:r>
              <w:rPr>
                <w:rFonts w:cs="宋体"/>
                <w:bCs/>
                <w:szCs w:val="21"/>
              </w:rPr>
              <w:t>1933</w:t>
            </w:r>
            <w:r>
              <w:rPr>
                <w:rFonts w:hint="eastAsia" w:cs="宋体"/>
                <w:bCs/>
                <w:szCs w:val="21"/>
              </w:rPr>
              <w:t>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省保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南雄市乌迳镇孔江村</w:t>
            </w:r>
          </w:p>
        </w:tc>
        <w:tc>
          <w:tcPr>
            <w:tcW w:w="708" w:type="pct"/>
            <w:vAlign w:val="center"/>
          </w:tcPr>
          <w:p>
            <w:pPr>
              <w:spacing w:line="240" w:lineRule="auto"/>
              <w:ind w:firstLine="0" w:firstLineChars="0"/>
              <w:jc w:val="center"/>
              <w:rPr>
                <w:rFonts w:cs="宋体"/>
                <w:bCs/>
                <w:szCs w:val="21"/>
              </w:rPr>
            </w:pPr>
            <w:r>
              <w:rPr>
                <w:rFonts w:cs="宋体"/>
                <w:bCs/>
                <w:szCs w:val="21"/>
              </w:rPr>
              <w:t>2022</w:t>
            </w:r>
            <w:r>
              <w:rPr>
                <w:rFonts w:hint="eastAsia" w:cs="宋体"/>
                <w:bCs/>
                <w:szCs w:val="21"/>
              </w:rPr>
              <w:t>年</w:t>
            </w:r>
            <w:r>
              <w:rPr>
                <w:rFonts w:cs="宋体"/>
                <w:bCs/>
                <w:szCs w:val="21"/>
              </w:rPr>
              <w:t>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hint="eastAsia" w:cs="宋体"/>
                <w:bCs/>
                <w:szCs w:val="21"/>
              </w:rPr>
              <w:t>2</w:t>
            </w:r>
            <w:r>
              <w:rPr>
                <w:rFonts w:cs="宋体"/>
                <w:bCs/>
                <w:szCs w:val="21"/>
              </w:rPr>
              <w:t>3</w:t>
            </w:r>
          </w:p>
        </w:tc>
        <w:tc>
          <w:tcPr>
            <w:tcW w:w="1102" w:type="pct"/>
            <w:vAlign w:val="center"/>
          </w:tcPr>
          <w:p>
            <w:pPr>
              <w:spacing w:line="240" w:lineRule="auto"/>
              <w:ind w:firstLine="0" w:firstLineChars="0"/>
              <w:jc w:val="center"/>
              <w:rPr>
                <w:rFonts w:cs="宋体"/>
                <w:bCs/>
                <w:szCs w:val="21"/>
              </w:rPr>
            </w:pPr>
            <w:r>
              <w:rPr>
                <w:rFonts w:hint="eastAsia" w:cs="宋体"/>
                <w:bCs/>
                <w:szCs w:val="21"/>
              </w:rPr>
              <w:t>大岭下会议旧址</w:t>
            </w:r>
          </w:p>
        </w:tc>
        <w:tc>
          <w:tcPr>
            <w:tcW w:w="655" w:type="pct"/>
            <w:vAlign w:val="center"/>
          </w:tcPr>
          <w:p>
            <w:pPr>
              <w:spacing w:line="240" w:lineRule="auto"/>
              <w:ind w:firstLine="0" w:firstLineChars="0"/>
              <w:jc w:val="center"/>
              <w:rPr>
                <w:rFonts w:cs="宋体"/>
                <w:bCs/>
                <w:szCs w:val="21"/>
              </w:rPr>
            </w:pPr>
            <w:r>
              <w:rPr>
                <w:rFonts w:hint="eastAsia" w:cs="宋体"/>
                <w:bCs/>
                <w:szCs w:val="21"/>
              </w:rPr>
              <w:t>1</w:t>
            </w:r>
            <w:r>
              <w:rPr>
                <w:rFonts w:cs="宋体"/>
                <w:bCs/>
                <w:szCs w:val="21"/>
              </w:rPr>
              <w:t>935</w:t>
            </w:r>
            <w:r>
              <w:rPr>
                <w:rFonts w:hint="eastAsia" w:cs="宋体"/>
                <w:bCs/>
                <w:szCs w:val="21"/>
              </w:rPr>
              <w:t>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南雄市油山镇大兰村</w:t>
            </w:r>
          </w:p>
        </w:tc>
        <w:tc>
          <w:tcPr>
            <w:tcW w:w="708" w:type="pct"/>
            <w:vAlign w:val="center"/>
          </w:tcPr>
          <w:p>
            <w:pPr>
              <w:spacing w:line="240" w:lineRule="auto"/>
              <w:ind w:firstLine="0" w:firstLineChars="0"/>
              <w:jc w:val="center"/>
              <w:rPr>
                <w:rFonts w:cs="宋体"/>
                <w:bCs/>
                <w:szCs w:val="21"/>
              </w:rPr>
            </w:pPr>
            <w:r>
              <w:rPr>
                <w:rFonts w:cs="宋体"/>
                <w:bCs/>
                <w:szCs w:val="21"/>
              </w:rPr>
              <w:t>2022年7月第十批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24</w:t>
            </w:r>
          </w:p>
        </w:tc>
        <w:tc>
          <w:tcPr>
            <w:tcW w:w="1102" w:type="pct"/>
            <w:vAlign w:val="center"/>
          </w:tcPr>
          <w:p>
            <w:pPr>
              <w:spacing w:line="240" w:lineRule="auto"/>
              <w:ind w:firstLine="0" w:firstLineChars="0"/>
              <w:jc w:val="center"/>
              <w:rPr>
                <w:rFonts w:cs="宋体"/>
                <w:bCs/>
                <w:szCs w:val="21"/>
              </w:rPr>
            </w:pPr>
            <w:r>
              <w:rPr>
                <w:rFonts w:hint="eastAsia" w:cs="宋体"/>
                <w:bCs/>
                <w:szCs w:val="21"/>
              </w:rPr>
              <w:t>珠玑古巷（牌楼）</w:t>
            </w:r>
          </w:p>
        </w:tc>
        <w:tc>
          <w:tcPr>
            <w:tcW w:w="655" w:type="pct"/>
            <w:vAlign w:val="center"/>
          </w:tcPr>
          <w:p>
            <w:pPr>
              <w:spacing w:line="240" w:lineRule="auto"/>
              <w:ind w:firstLine="0" w:firstLineChars="0"/>
              <w:jc w:val="center"/>
              <w:rPr>
                <w:rFonts w:cs="宋体"/>
                <w:bCs/>
                <w:szCs w:val="21"/>
              </w:rPr>
            </w:pPr>
            <w:r>
              <w:rPr>
                <w:rFonts w:hint="eastAsia" w:cs="宋体"/>
                <w:bCs/>
                <w:szCs w:val="21"/>
              </w:rPr>
              <w:t>唐至清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南雄市珠玑镇珠玑村</w:t>
            </w:r>
          </w:p>
        </w:tc>
        <w:tc>
          <w:tcPr>
            <w:tcW w:w="708" w:type="pct"/>
            <w:vAlign w:val="center"/>
          </w:tcPr>
          <w:p>
            <w:pPr>
              <w:spacing w:line="240" w:lineRule="auto"/>
              <w:ind w:firstLine="0" w:firstLineChars="0"/>
              <w:jc w:val="center"/>
              <w:rPr>
                <w:rFonts w:cs="宋体"/>
                <w:bCs/>
                <w:szCs w:val="21"/>
              </w:rPr>
            </w:pPr>
            <w:r>
              <w:rPr>
                <w:rFonts w:cs="宋体"/>
                <w:bCs/>
                <w:szCs w:val="21"/>
              </w:rPr>
              <w:t>1982年5月第一批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25</w:t>
            </w:r>
          </w:p>
        </w:tc>
        <w:tc>
          <w:tcPr>
            <w:tcW w:w="1102" w:type="pct"/>
            <w:vAlign w:val="center"/>
          </w:tcPr>
          <w:p>
            <w:pPr>
              <w:spacing w:line="240" w:lineRule="auto"/>
              <w:ind w:firstLine="0" w:firstLineChars="0"/>
              <w:jc w:val="center"/>
              <w:rPr>
                <w:rFonts w:cs="宋体"/>
                <w:bCs/>
                <w:szCs w:val="21"/>
              </w:rPr>
            </w:pPr>
            <w:r>
              <w:rPr>
                <w:rFonts w:hint="eastAsia" w:cs="宋体"/>
                <w:bCs/>
                <w:szCs w:val="21"/>
              </w:rPr>
              <w:t>南雄县苏维埃政府遗址</w:t>
            </w:r>
          </w:p>
        </w:tc>
        <w:tc>
          <w:tcPr>
            <w:tcW w:w="655" w:type="pct"/>
            <w:vAlign w:val="center"/>
          </w:tcPr>
          <w:p>
            <w:pPr>
              <w:spacing w:line="240" w:lineRule="auto"/>
              <w:ind w:firstLine="0" w:firstLineChars="0"/>
              <w:jc w:val="center"/>
              <w:rPr>
                <w:rFonts w:cs="宋体"/>
                <w:bCs/>
                <w:szCs w:val="21"/>
              </w:rPr>
            </w:pPr>
            <w:r>
              <w:rPr>
                <w:rFonts w:cs="宋体"/>
                <w:bCs/>
                <w:szCs w:val="21"/>
              </w:rPr>
              <w:t>1928年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1982年5月第一批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26</w:t>
            </w:r>
          </w:p>
        </w:tc>
        <w:tc>
          <w:tcPr>
            <w:tcW w:w="1102" w:type="pct"/>
            <w:vAlign w:val="center"/>
          </w:tcPr>
          <w:p>
            <w:pPr>
              <w:spacing w:line="240" w:lineRule="auto"/>
              <w:ind w:firstLine="0" w:firstLineChars="0"/>
              <w:jc w:val="center"/>
              <w:rPr>
                <w:rFonts w:cs="宋体"/>
                <w:bCs/>
                <w:szCs w:val="21"/>
              </w:rPr>
            </w:pPr>
            <w:r>
              <w:rPr>
                <w:rFonts w:hint="eastAsia" w:cs="宋体"/>
                <w:bCs/>
                <w:szCs w:val="21"/>
              </w:rPr>
              <w:t>雄州古城墙</w:t>
            </w:r>
          </w:p>
        </w:tc>
        <w:tc>
          <w:tcPr>
            <w:tcW w:w="655" w:type="pct"/>
            <w:vAlign w:val="center"/>
          </w:tcPr>
          <w:p>
            <w:pPr>
              <w:spacing w:line="240" w:lineRule="auto"/>
              <w:ind w:firstLine="0" w:firstLineChars="0"/>
              <w:jc w:val="center"/>
              <w:rPr>
                <w:rFonts w:cs="宋体"/>
                <w:bCs/>
                <w:szCs w:val="21"/>
              </w:rPr>
            </w:pPr>
            <w:r>
              <w:rPr>
                <w:rFonts w:hint="eastAsia" w:cs="宋体"/>
                <w:bCs/>
                <w:szCs w:val="21"/>
              </w:rPr>
              <w:t>明至清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南雄市雄州街道市区</w:t>
            </w:r>
          </w:p>
        </w:tc>
        <w:tc>
          <w:tcPr>
            <w:tcW w:w="708" w:type="pct"/>
            <w:vAlign w:val="center"/>
          </w:tcPr>
          <w:p>
            <w:pPr>
              <w:spacing w:line="240" w:lineRule="auto"/>
              <w:ind w:firstLine="0" w:firstLineChars="0"/>
              <w:jc w:val="center"/>
              <w:rPr>
                <w:rFonts w:cs="宋体"/>
                <w:bCs/>
                <w:szCs w:val="21"/>
              </w:rPr>
            </w:pPr>
            <w:r>
              <w:rPr>
                <w:rFonts w:cs="宋体"/>
                <w:bCs/>
                <w:szCs w:val="21"/>
              </w:rPr>
              <w:t>1995年7月第二批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Merge w:val="restart"/>
            <w:vAlign w:val="center"/>
          </w:tcPr>
          <w:p>
            <w:pPr>
              <w:spacing w:line="240" w:lineRule="auto"/>
              <w:ind w:firstLine="0" w:firstLineChars="0"/>
              <w:jc w:val="center"/>
              <w:rPr>
                <w:rFonts w:cs="宋体"/>
                <w:bCs/>
                <w:szCs w:val="21"/>
              </w:rPr>
            </w:pPr>
            <w:r>
              <w:rPr>
                <w:rFonts w:cs="宋体"/>
                <w:bCs/>
                <w:szCs w:val="21"/>
              </w:rPr>
              <w:t>27</w:t>
            </w:r>
          </w:p>
        </w:tc>
        <w:tc>
          <w:tcPr>
            <w:tcW w:w="1102" w:type="pct"/>
            <w:vAlign w:val="center"/>
          </w:tcPr>
          <w:p>
            <w:pPr>
              <w:spacing w:line="240" w:lineRule="auto"/>
              <w:ind w:firstLine="0" w:firstLineChars="0"/>
              <w:jc w:val="center"/>
              <w:rPr>
                <w:rFonts w:cs="宋体"/>
                <w:bCs/>
                <w:szCs w:val="21"/>
              </w:rPr>
            </w:pPr>
            <w:r>
              <w:rPr>
                <w:rFonts w:hint="eastAsia"/>
              </w:rPr>
              <w:t>恒丰村红军标语</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tcPr>
          <w:p>
            <w:pPr>
              <w:spacing w:line="240" w:lineRule="auto"/>
              <w:ind w:firstLine="0" w:firstLineChars="0"/>
              <w:jc w:val="center"/>
              <w:rPr>
                <w:rFonts w:cs="宋体"/>
                <w:bCs/>
                <w:szCs w:val="21"/>
              </w:rPr>
            </w:pPr>
            <w:r>
              <w:rPr>
                <w:rFonts w:hint="eastAsia"/>
              </w:rPr>
              <w:t>南雄市珠玑镇灵潭村</w:t>
            </w:r>
          </w:p>
        </w:tc>
        <w:tc>
          <w:tcPr>
            <w:tcW w:w="708" w:type="pct"/>
            <w:vAlign w:val="center"/>
          </w:tcPr>
          <w:p>
            <w:pPr>
              <w:spacing w:line="240" w:lineRule="auto"/>
              <w:ind w:firstLine="0" w:firstLineChars="0"/>
              <w:jc w:val="center"/>
              <w:rPr>
                <w:rFonts w:cs="宋体"/>
                <w:bCs/>
                <w:szCs w:val="21"/>
              </w:rPr>
            </w:pPr>
            <w:r>
              <w:rPr>
                <w:rFonts w:cs="宋体"/>
                <w:bCs/>
                <w:szCs w:val="21"/>
              </w:rPr>
              <w:t>1982年5月第一批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Merge w:val="continue"/>
            <w:vAlign w:val="center"/>
          </w:tcPr>
          <w:p>
            <w:pPr>
              <w:spacing w:line="240" w:lineRule="auto"/>
              <w:ind w:firstLine="0" w:firstLineChars="0"/>
              <w:jc w:val="center"/>
              <w:rPr>
                <w:rFonts w:cs="宋体"/>
                <w:bCs/>
                <w:szCs w:val="21"/>
              </w:rPr>
            </w:pPr>
          </w:p>
        </w:tc>
        <w:tc>
          <w:tcPr>
            <w:tcW w:w="1102" w:type="pct"/>
            <w:vAlign w:val="center"/>
          </w:tcPr>
          <w:p>
            <w:pPr>
              <w:spacing w:line="240" w:lineRule="auto"/>
              <w:ind w:firstLine="0" w:firstLineChars="0"/>
              <w:jc w:val="center"/>
              <w:rPr>
                <w:rFonts w:cs="宋体"/>
                <w:bCs/>
                <w:szCs w:val="21"/>
              </w:rPr>
            </w:pPr>
            <w:r>
              <w:rPr>
                <w:rFonts w:hint="eastAsia"/>
              </w:rPr>
              <w:t>上朔村天爵祠红军标语</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tcPr>
          <w:p>
            <w:pPr>
              <w:spacing w:line="240" w:lineRule="auto"/>
              <w:ind w:firstLine="0" w:firstLineChars="0"/>
              <w:jc w:val="center"/>
              <w:rPr>
                <w:rFonts w:cs="宋体"/>
                <w:bCs/>
                <w:szCs w:val="21"/>
              </w:rPr>
            </w:pPr>
            <w:r>
              <w:rPr>
                <w:rFonts w:hint="eastAsia"/>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1982年5月第一批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350" w:type="pct"/>
            <w:vMerge w:val="continue"/>
            <w:vAlign w:val="center"/>
          </w:tcPr>
          <w:p>
            <w:pPr>
              <w:spacing w:line="240" w:lineRule="auto"/>
              <w:ind w:firstLine="0" w:firstLineChars="0"/>
              <w:jc w:val="center"/>
              <w:rPr>
                <w:rFonts w:cs="宋体"/>
                <w:bCs/>
                <w:szCs w:val="21"/>
              </w:rPr>
            </w:pPr>
          </w:p>
        </w:tc>
        <w:tc>
          <w:tcPr>
            <w:tcW w:w="1102" w:type="pct"/>
            <w:vAlign w:val="center"/>
          </w:tcPr>
          <w:p>
            <w:pPr>
              <w:spacing w:line="240" w:lineRule="auto"/>
              <w:ind w:firstLine="0" w:firstLineChars="0"/>
              <w:jc w:val="center"/>
              <w:rPr>
                <w:rFonts w:cs="宋体"/>
                <w:bCs/>
                <w:szCs w:val="21"/>
              </w:rPr>
            </w:pPr>
            <w:r>
              <w:rPr>
                <w:rFonts w:hint="eastAsia"/>
              </w:rPr>
              <w:t>新田村红军标语</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tcPr>
          <w:p>
            <w:pPr>
              <w:spacing w:line="240" w:lineRule="auto"/>
              <w:ind w:firstLine="0" w:firstLineChars="0"/>
              <w:jc w:val="center"/>
              <w:rPr>
                <w:rFonts w:cs="宋体"/>
                <w:bCs/>
                <w:szCs w:val="21"/>
              </w:rPr>
            </w:pPr>
            <w:r>
              <w:rPr>
                <w:rFonts w:hint="eastAsia"/>
              </w:rPr>
              <w:t>南雄市乌迳镇新田村</w:t>
            </w:r>
          </w:p>
        </w:tc>
        <w:tc>
          <w:tcPr>
            <w:tcW w:w="708" w:type="pct"/>
            <w:vAlign w:val="center"/>
          </w:tcPr>
          <w:p>
            <w:pPr>
              <w:spacing w:line="240" w:lineRule="auto"/>
              <w:ind w:firstLine="0" w:firstLineChars="0"/>
              <w:jc w:val="center"/>
              <w:rPr>
                <w:rFonts w:cs="宋体"/>
                <w:bCs/>
                <w:szCs w:val="21"/>
              </w:rPr>
            </w:pPr>
            <w:r>
              <w:rPr>
                <w:rFonts w:cs="宋体"/>
                <w:bCs/>
                <w:szCs w:val="21"/>
              </w:rPr>
              <w:t>1982年5月第一批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28</w:t>
            </w:r>
          </w:p>
        </w:tc>
        <w:tc>
          <w:tcPr>
            <w:tcW w:w="1102" w:type="pct"/>
            <w:vAlign w:val="center"/>
          </w:tcPr>
          <w:p>
            <w:pPr>
              <w:spacing w:line="240" w:lineRule="auto"/>
              <w:ind w:firstLine="0" w:firstLineChars="0"/>
              <w:jc w:val="center"/>
              <w:rPr>
                <w:rFonts w:cs="宋体"/>
                <w:bCs/>
                <w:szCs w:val="21"/>
              </w:rPr>
            </w:pPr>
            <w:r>
              <w:rPr>
                <w:rFonts w:hint="eastAsia" w:cs="宋体"/>
                <w:bCs/>
                <w:szCs w:val="21"/>
              </w:rPr>
              <w:t>七星世镇（又称水城）</w:t>
            </w:r>
          </w:p>
        </w:tc>
        <w:tc>
          <w:tcPr>
            <w:tcW w:w="655" w:type="pct"/>
            <w:vAlign w:val="center"/>
          </w:tcPr>
          <w:p>
            <w:pPr>
              <w:spacing w:line="240" w:lineRule="auto"/>
              <w:ind w:firstLine="0" w:firstLineChars="0"/>
              <w:jc w:val="center"/>
              <w:rPr>
                <w:rFonts w:cs="宋体"/>
                <w:bCs/>
                <w:szCs w:val="21"/>
              </w:rPr>
            </w:pPr>
            <w:r>
              <w:rPr>
                <w:rFonts w:hint="eastAsia" w:cs="宋体"/>
                <w:bCs/>
                <w:szCs w:val="21"/>
              </w:rPr>
              <w:t>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南雄市乌迳镇水城村</w:t>
            </w:r>
          </w:p>
        </w:tc>
        <w:tc>
          <w:tcPr>
            <w:tcW w:w="708" w:type="pct"/>
            <w:vAlign w:val="center"/>
          </w:tcPr>
          <w:p>
            <w:pPr>
              <w:spacing w:line="240" w:lineRule="auto"/>
              <w:ind w:firstLine="0" w:firstLineChars="0"/>
              <w:jc w:val="center"/>
              <w:rPr>
                <w:rFonts w:cs="宋体"/>
                <w:bCs/>
                <w:szCs w:val="21"/>
              </w:rPr>
            </w:pPr>
            <w:r>
              <w:rPr>
                <w:rFonts w:cs="宋体"/>
                <w:bCs/>
                <w:szCs w:val="21"/>
              </w:rPr>
              <w:t>1997年7月第三批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29</w:t>
            </w:r>
          </w:p>
        </w:tc>
        <w:tc>
          <w:tcPr>
            <w:tcW w:w="1102" w:type="pct"/>
            <w:vAlign w:val="center"/>
          </w:tcPr>
          <w:p>
            <w:pPr>
              <w:spacing w:line="240" w:lineRule="auto"/>
              <w:ind w:firstLine="0" w:firstLineChars="0"/>
              <w:jc w:val="center"/>
              <w:rPr>
                <w:rFonts w:cs="宋体"/>
                <w:bCs/>
                <w:szCs w:val="21"/>
              </w:rPr>
            </w:pPr>
            <w:r>
              <w:rPr>
                <w:rFonts w:hint="eastAsia" w:cs="宋体"/>
                <w:bCs/>
                <w:szCs w:val="21"/>
              </w:rPr>
              <w:t>接龙桥（又称多稼桥）</w:t>
            </w:r>
          </w:p>
        </w:tc>
        <w:tc>
          <w:tcPr>
            <w:tcW w:w="655" w:type="pct"/>
            <w:vAlign w:val="center"/>
          </w:tcPr>
          <w:p>
            <w:pPr>
              <w:spacing w:line="240" w:lineRule="auto"/>
              <w:ind w:firstLine="0" w:firstLineChars="0"/>
              <w:jc w:val="center"/>
              <w:rPr>
                <w:rFonts w:cs="宋体"/>
                <w:bCs/>
                <w:szCs w:val="21"/>
              </w:rPr>
            </w:pPr>
            <w:r>
              <w:rPr>
                <w:rFonts w:hint="eastAsia" w:cs="宋体"/>
                <w:bCs/>
                <w:szCs w:val="21"/>
              </w:rPr>
              <w:t>明</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南雄市城郊田边水村</w:t>
            </w:r>
          </w:p>
        </w:tc>
        <w:tc>
          <w:tcPr>
            <w:tcW w:w="708" w:type="pct"/>
            <w:vAlign w:val="center"/>
          </w:tcPr>
          <w:p>
            <w:pPr>
              <w:spacing w:line="240" w:lineRule="auto"/>
              <w:ind w:firstLine="0" w:firstLineChars="0"/>
              <w:jc w:val="center"/>
              <w:rPr>
                <w:rFonts w:cs="宋体"/>
                <w:bCs/>
                <w:szCs w:val="21"/>
              </w:rPr>
            </w:pPr>
            <w:r>
              <w:rPr>
                <w:rFonts w:cs="宋体"/>
                <w:bCs/>
                <w:szCs w:val="21"/>
              </w:rPr>
              <w:t>1997年7月第三批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30</w:t>
            </w:r>
          </w:p>
        </w:tc>
        <w:tc>
          <w:tcPr>
            <w:tcW w:w="1102" w:type="pct"/>
            <w:vAlign w:val="center"/>
          </w:tcPr>
          <w:p>
            <w:pPr>
              <w:spacing w:line="240" w:lineRule="auto"/>
              <w:ind w:firstLine="0" w:firstLineChars="0"/>
              <w:jc w:val="center"/>
              <w:rPr>
                <w:rFonts w:cs="宋体"/>
                <w:bCs/>
                <w:szCs w:val="21"/>
              </w:rPr>
            </w:pPr>
            <w:r>
              <w:rPr>
                <w:rFonts w:hint="eastAsia" w:cs="宋体"/>
                <w:bCs/>
                <w:szCs w:val="21"/>
              </w:rPr>
              <w:t>孔塘进士牌坊</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南雄市乌迳镇孔塘村</w:t>
            </w:r>
          </w:p>
        </w:tc>
        <w:tc>
          <w:tcPr>
            <w:tcW w:w="708" w:type="pct"/>
            <w:vAlign w:val="center"/>
          </w:tcPr>
          <w:p>
            <w:pPr>
              <w:spacing w:line="240" w:lineRule="auto"/>
              <w:ind w:firstLine="0" w:firstLineChars="0"/>
              <w:jc w:val="center"/>
              <w:rPr>
                <w:rFonts w:cs="宋体"/>
                <w:bCs/>
                <w:szCs w:val="21"/>
              </w:rPr>
            </w:pPr>
            <w:r>
              <w:rPr>
                <w:rFonts w:cs="宋体"/>
                <w:bCs/>
                <w:szCs w:val="21"/>
              </w:rPr>
              <w:t>1997年7月第三批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31</w:t>
            </w:r>
          </w:p>
        </w:tc>
        <w:tc>
          <w:tcPr>
            <w:tcW w:w="1102" w:type="pct"/>
            <w:vAlign w:val="center"/>
          </w:tcPr>
          <w:p>
            <w:pPr>
              <w:spacing w:line="240" w:lineRule="auto"/>
              <w:ind w:firstLine="0" w:firstLineChars="0"/>
              <w:jc w:val="center"/>
              <w:rPr>
                <w:rFonts w:cs="宋体"/>
                <w:bCs/>
                <w:szCs w:val="21"/>
              </w:rPr>
            </w:pPr>
            <w:r>
              <w:rPr>
                <w:rFonts w:hint="eastAsia" w:cs="宋体"/>
                <w:bCs/>
                <w:szCs w:val="21"/>
              </w:rPr>
              <w:t>新田村</w:t>
            </w:r>
          </w:p>
        </w:tc>
        <w:tc>
          <w:tcPr>
            <w:tcW w:w="655" w:type="pct"/>
            <w:vAlign w:val="center"/>
          </w:tcPr>
          <w:p>
            <w:pPr>
              <w:spacing w:line="240" w:lineRule="auto"/>
              <w:ind w:firstLine="0" w:firstLineChars="0"/>
              <w:jc w:val="center"/>
              <w:rPr>
                <w:rFonts w:cs="宋体"/>
                <w:bCs/>
                <w:szCs w:val="21"/>
              </w:rPr>
            </w:pPr>
            <w:r>
              <w:rPr>
                <w:rFonts w:hint="eastAsia" w:cs="宋体"/>
                <w:bCs/>
                <w:szCs w:val="21"/>
              </w:rPr>
              <w:t>西晋至清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古村落（公布文件分类为古村落）</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南雄市乌迳镇新田村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32</w:t>
            </w:r>
          </w:p>
        </w:tc>
        <w:tc>
          <w:tcPr>
            <w:tcW w:w="1102" w:type="pct"/>
            <w:vAlign w:val="center"/>
          </w:tcPr>
          <w:p>
            <w:pPr>
              <w:spacing w:line="240" w:lineRule="auto"/>
              <w:ind w:firstLine="0" w:firstLineChars="0"/>
              <w:jc w:val="center"/>
              <w:rPr>
                <w:rFonts w:cs="宋体"/>
                <w:bCs/>
                <w:szCs w:val="21"/>
              </w:rPr>
            </w:pPr>
            <w:r>
              <w:rPr>
                <w:rFonts w:hint="eastAsia" w:cs="宋体"/>
                <w:bCs/>
                <w:szCs w:val="21"/>
              </w:rPr>
              <w:t>中站村</w:t>
            </w:r>
          </w:p>
        </w:tc>
        <w:tc>
          <w:tcPr>
            <w:tcW w:w="655" w:type="pct"/>
            <w:vAlign w:val="center"/>
          </w:tcPr>
          <w:p>
            <w:pPr>
              <w:spacing w:line="240" w:lineRule="auto"/>
              <w:ind w:firstLine="0" w:firstLineChars="0"/>
              <w:jc w:val="center"/>
              <w:rPr>
                <w:rFonts w:cs="宋体"/>
                <w:bCs/>
                <w:szCs w:val="21"/>
              </w:rPr>
            </w:pPr>
            <w:r>
              <w:rPr>
                <w:rFonts w:hint="eastAsia" w:cs="宋体"/>
                <w:bCs/>
                <w:szCs w:val="21"/>
              </w:rPr>
              <w:t>秦至清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古村落（公布文件分类为古村落）</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南雄市珠玑镇中站村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33</w:t>
            </w:r>
          </w:p>
        </w:tc>
        <w:tc>
          <w:tcPr>
            <w:tcW w:w="1102" w:type="pct"/>
            <w:vAlign w:val="center"/>
          </w:tcPr>
          <w:p>
            <w:pPr>
              <w:spacing w:line="240" w:lineRule="auto"/>
              <w:ind w:firstLine="0" w:firstLineChars="0"/>
              <w:jc w:val="center"/>
              <w:rPr>
                <w:rFonts w:cs="宋体"/>
                <w:bCs/>
                <w:szCs w:val="21"/>
              </w:rPr>
            </w:pPr>
            <w:r>
              <w:rPr>
                <w:rFonts w:hint="eastAsia" w:cs="宋体"/>
                <w:bCs/>
                <w:szCs w:val="21"/>
              </w:rPr>
              <w:t>溪塘村</w:t>
            </w:r>
          </w:p>
        </w:tc>
        <w:tc>
          <w:tcPr>
            <w:tcW w:w="655" w:type="pct"/>
            <w:vAlign w:val="center"/>
          </w:tcPr>
          <w:p>
            <w:pPr>
              <w:spacing w:line="240" w:lineRule="auto"/>
              <w:ind w:firstLine="0" w:firstLineChars="0"/>
              <w:jc w:val="center"/>
              <w:rPr>
                <w:rFonts w:cs="宋体"/>
                <w:bCs/>
                <w:szCs w:val="21"/>
              </w:rPr>
            </w:pPr>
            <w:r>
              <w:rPr>
                <w:rFonts w:hint="eastAsia" w:cs="宋体"/>
                <w:bCs/>
                <w:szCs w:val="21"/>
              </w:rPr>
              <w:t>南汉至清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古村落（公布文件分类为古村落）</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南雄市黄坑镇溪塘村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34</w:t>
            </w:r>
          </w:p>
        </w:tc>
        <w:tc>
          <w:tcPr>
            <w:tcW w:w="1102" w:type="pct"/>
            <w:vAlign w:val="center"/>
          </w:tcPr>
          <w:p>
            <w:pPr>
              <w:spacing w:line="240" w:lineRule="auto"/>
              <w:ind w:firstLine="0" w:firstLineChars="0"/>
              <w:jc w:val="center"/>
              <w:rPr>
                <w:rFonts w:cs="宋体"/>
                <w:bCs/>
                <w:szCs w:val="21"/>
              </w:rPr>
            </w:pPr>
            <w:r>
              <w:rPr>
                <w:rFonts w:hint="eastAsia" w:cs="宋体"/>
                <w:bCs/>
                <w:szCs w:val="21"/>
              </w:rPr>
              <w:t>鱼鲜村</w:t>
            </w:r>
          </w:p>
        </w:tc>
        <w:tc>
          <w:tcPr>
            <w:tcW w:w="655" w:type="pct"/>
            <w:vAlign w:val="center"/>
          </w:tcPr>
          <w:p>
            <w:pPr>
              <w:spacing w:line="240" w:lineRule="auto"/>
              <w:ind w:firstLine="0" w:firstLineChars="0"/>
              <w:jc w:val="center"/>
              <w:rPr>
                <w:rFonts w:cs="宋体"/>
                <w:bCs/>
                <w:szCs w:val="21"/>
              </w:rPr>
            </w:pPr>
            <w:r>
              <w:rPr>
                <w:rFonts w:hint="eastAsia" w:cs="宋体"/>
                <w:bCs/>
                <w:szCs w:val="21"/>
              </w:rPr>
              <w:t>宋至清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古村落（公布文件分类为古村落）</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南雄市南亩镇鱼鲜村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35</w:t>
            </w:r>
          </w:p>
        </w:tc>
        <w:tc>
          <w:tcPr>
            <w:tcW w:w="1102" w:type="pct"/>
            <w:vAlign w:val="center"/>
          </w:tcPr>
          <w:p>
            <w:pPr>
              <w:spacing w:line="240" w:lineRule="auto"/>
              <w:ind w:firstLine="0" w:firstLineChars="0"/>
              <w:jc w:val="center"/>
              <w:rPr>
                <w:rFonts w:cs="宋体"/>
                <w:bCs/>
                <w:szCs w:val="21"/>
              </w:rPr>
            </w:pPr>
            <w:r>
              <w:rPr>
                <w:rFonts w:hint="eastAsia" w:cs="宋体"/>
                <w:bCs/>
                <w:szCs w:val="21"/>
              </w:rPr>
              <w:t>黄屋城村</w:t>
            </w:r>
          </w:p>
        </w:tc>
        <w:tc>
          <w:tcPr>
            <w:tcW w:w="655" w:type="pct"/>
            <w:vAlign w:val="center"/>
          </w:tcPr>
          <w:p>
            <w:pPr>
              <w:spacing w:line="240" w:lineRule="auto"/>
              <w:ind w:firstLine="0" w:firstLineChars="0"/>
              <w:jc w:val="center"/>
              <w:rPr>
                <w:rFonts w:cs="宋体"/>
                <w:bCs/>
                <w:szCs w:val="21"/>
              </w:rPr>
            </w:pPr>
            <w:r>
              <w:rPr>
                <w:rFonts w:hint="eastAsia" w:cs="宋体"/>
                <w:bCs/>
                <w:szCs w:val="21"/>
              </w:rPr>
              <w:t>明至清</w:t>
            </w:r>
          </w:p>
        </w:tc>
        <w:tc>
          <w:tcPr>
            <w:tcW w:w="874" w:type="pct"/>
            <w:vAlign w:val="center"/>
          </w:tcPr>
          <w:p>
            <w:pPr>
              <w:spacing w:line="240" w:lineRule="auto"/>
              <w:ind w:firstLine="0" w:firstLineChars="0"/>
              <w:jc w:val="center"/>
              <w:rPr>
                <w:rFonts w:cs="宋体"/>
                <w:bCs/>
                <w:szCs w:val="21"/>
              </w:rPr>
            </w:pPr>
            <w:r>
              <w:rPr>
                <w:rFonts w:hint="eastAsia" w:cs="宋体"/>
                <w:bCs/>
                <w:szCs w:val="21"/>
              </w:rPr>
              <w:t>古村落（公布文件分类为古村落）</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南雄市百顺镇黄屋城村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36</w:t>
            </w:r>
          </w:p>
        </w:tc>
        <w:tc>
          <w:tcPr>
            <w:tcW w:w="1102" w:type="pct"/>
            <w:vAlign w:val="center"/>
          </w:tcPr>
          <w:p>
            <w:pPr>
              <w:spacing w:line="240" w:lineRule="auto"/>
              <w:ind w:firstLine="0" w:firstLineChars="0"/>
              <w:jc w:val="center"/>
              <w:rPr>
                <w:rFonts w:cs="宋体"/>
                <w:bCs/>
                <w:szCs w:val="21"/>
              </w:rPr>
            </w:pPr>
            <w:r>
              <w:rPr>
                <w:rFonts w:hint="eastAsia" w:cs="宋体"/>
                <w:bCs/>
                <w:szCs w:val="21"/>
              </w:rPr>
              <w:t>乌迳镇白胜村叶氏祠堂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南雄市乌迳镇白胜村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37</w:t>
            </w:r>
          </w:p>
        </w:tc>
        <w:tc>
          <w:tcPr>
            <w:tcW w:w="1102" w:type="pct"/>
            <w:vAlign w:val="center"/>
          </w:tcPr>
          <w:p>
            <w:pPr>
              <w:spacing w:line="240" w:lineRule="auto"/>
              <w:ind w:firstLine="0" w:firstLineChars="0"/>
              <w:jc w:val="center"/>
              <w:rPr>
                <w:rFonts w:cs="宋体"/>
                <w:bCs/>
                <w:szCs w:val="21"/>
              </w:rPr>
            </w:pPr>
            <w:r>
              <w:rPr>
                <w:rFonts w:hint="eastAsia" w:cs="宋体"/>
                <w:bCs/>
                <w:szCs w:val="21"/>
              </w:rPr>
              <w:t>乌迳镇黄塘村叶氏祠堂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南雄市乌迳镇黄塘村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38</w:t>
            </w:r>
          </w:p>
        </w:tc>
        <w:tc>
          <w:tcPr>
            <w:tcW w:w="1102" w:type="pct"/>
            <w:vAlign w:val="center"/>
          </w:tcPr>
          <w:p>
            <w:pPr>
              <w:spacing w:line="240" w:lineRule="auto"/>
              <w:ind w:firstLine="0" w:firstLineChars="0"/>
              <w:jc w:val="center"/>
              <w:rPr>
                <w:rFonts w:cs="宋体"/>
                <w:bCs/>
                <w:szCs w:val="21"/>
              </w:rPr>
            </w:pPr>
            <w:r>
              <w:rPr>
                <w:rFonts w:hint="eastAsia" w:cs="宋体"/>
                <w:bCs/>
                <w:szCs w:val="21"/>
              </w:rPr>
              <w:t>乌迳镇水松董氏祠堂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南雄市乌迳镇水松村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39</w:t>
            </w:r>
          </w:p>
        </w:tc>
        <w:tc>
          <w:tcPr>
            <w:tcW w:w="1102" w:type="pct"/>
            <w:vAlign w:val="center"/>
          </w:tcPr>
          <w:p>
            <w:pPr>
              <w:spacing w:line="240" w:lineRule="auto"/>
              <w:ind w:firstLine="0" w:firstLineChars="0"/>
              <w:jc w:val="center"/>
              <w:rPr>
                <w:rFonts w:cs="宋体"/>
                <w:bCs/>
                <w:szCs w:val="21"/>
              </w:rPr>
            </w:pPr>
            <w:r>
              <w:rPr>
                <w:rFonts w:hint="eastAsia" w:cs="宋体"/>
                <w:bCs/>
                <w:szCs w:val="21"/>
              </w:rPr>
              <w:t>油山镇爱敬村爱敬堂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南雄市油山镇浆田村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40</w:t>
            </w:r>
          </w:p>
        </w:tc>
        <w:tc>
          <w:tcPr>
            <w:tcW w:w="1102" w:type="pct"/>
            <w:vAlign w:val="center"/>
          </w:tcPr>
          <w:p>
            <w:pPr>
              <w:spacing w:line="240" w:lineRule="auto"/>
              <w:ind w:firstLine="0" w:firstLineChars="0"/>
              <w:jc w:val="center"/>
              <w:rPr>
                <w:rFonts w:cs="宋体"/>
                <w:bCs/>
                <w:szCs w:val="21"/>
              </w:rPr>
            </w:pPr>
            <w:r>
              <w:rPr>
                <w:rFonts w:hint="eastAsia" w:cs="宋体"/>
                <w:bCs/>
                <w:szCs w:val="21"/>
              </w:rPr>
              <w:t>油山镇浆田村黄氏一本堂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南雄市油山镇浆田村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41</w:t>
            </w:r>
          </w:p>
        </w:tc>
        <w:tc>
          <w:tcPr>
            <w:tcW w:w="1102" w:type="pct"/>
            <w:vAlign w:val="center"/>
          </w:tcPr>
          <w:p>
            <w:pPr>
              <w:spacing w:line="240" w:lineRule="auto"/>
              <w:ind w:firstLine="0" w:firstLineChars="0"/>
              <w:jc w:val="center"/>
              <w:rPr>
                <w:rFonts w:cs="宋体"/>
                <w:bCs/>
                <w:szCs w:val="21"/>
              </w:rPr>
            </w:pPr>
            <w:r>
              <w:rPr>
                <w:rFonts w:hint="eastAsia" w:cs="宋体"/>
                <w:bCs/>
                <w:szCs w:val="21"/>
              </w:rPr>
              <w:t>水口镇篛过村欧阳氏祠堂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南雄市水口镇篛过村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42</w:t>
            </w:r>
          </w:p>
        </w:tc>
        <w:tc>
          <w:tcPr>
            <w:tcW w:w="1102" w:type="pct"/>
            <w:vAlign w:val="center"/>
          </w:tcPr>
          <w:p>
            <w:pPr>
              <w:spacing w:line="240" w:lineRule="auto"/>
              <w:ind w:firstLine="0" w:firstLineChars="0"/>
              <w:jc w:val="center"/>
              <w:rPr>
                <w:rFonts w:cs="宋体"/>
                <w:bCs/>
                <w:szCs w:val="21"/>
              </w:rPr>
            </w:pPr>
            <w:r>
              <w:rPr>
                <w:rFonts w:hint="eastAsia" w:cs="宋体"/>
                <w:bCs/>
                <w:szCs w:val="21"/>
              </w:rPr>
              <w:t>黄坑镇茅坑村何氏祠堂</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南雄市黄坑镇茅坑村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43</w:t>
            </w:r>
          </w:p>
        </w:tc>
        <w:tc>
          <w:tcPr>
            <w:tcW w:w="1102" w:type="pct"/>
            <w:vAlign w:val="center"/>
          </w:tcPr>
          <w:p>
            <w:pPr>
              <w:spacing w:line="240" w:lineRule="auto"/>
              <w:ind w:firstLine="0" w:firstLineChars="0"/>
              <w:jc w:val="center"/>
              <w:rPr>
                <w:rFonts w:cs="宋体"/>
                <w:bCs/>
                <w:szCs w:val="21"/>
              </w:rPr>
            </w:pPr>
            <w:r>
              <w:rPr>
                <w:rFonts w:hint="eastAsia" w:cs="宋体"/>
                <w:bCs/>
                <w:szCs w:val="21"/>
              </w:rPr>
              <w:t>麦铁杖墓</w:t>
            </w:r>
          </w:p>
        </w:tc>
        <w:tc>
          <w:tcPr>
            <w:tcW w:w="655" w:type="pct"/>
            <w:vAlign w:val="center"/>
          </w:tcPr>
          <w:p>
            <w:pPr>
              <w:spacing w:line="240" w:lineRule="auto"/>
              <w:ind w:firstLine="0" w:firstLineChars="0"/>
              <w:jc w:val="center"/>
              <w:rPr>
                <w:rFonts w:cs="宋体"/>
                <w:bCs/>
                <w:szCs w:val="21"/>
              </w:rPr>
            </w:pPr>
            <w:r>
              <w:rPr>
                <w:rFonts w:hint="eastAsia" w:cs="宋体"/>
                <w:bCs/>
                <w:szCs w:val="21"/>
              </w:rPr>
              <w:t>隋至民国</w:t>
            </w:r>
          </w:p>
        </w:tc>
        <w:tc>
          <w:tcPr>
            <w:tcW w:w="874" w:type="pct"/>
            <w:vAlign w:val="center"/>
          </w:tcPr>
          <w:p>
            <w:pPr>
              <w:spacing w:line="240" w:lineRule="auto"/>
              <w:ind w:firstLine="0" w:firstLineChars="0"/>
              <w:jc w:val="center"/>
              <w:rPr>
                <w:rFonts w:cs="宋体"/>
                <w:bCs/>
                <w:szCs w:val="21"/>
              </w:rPr>
            </w:pPr>
            <w:r>
              <w:rPr>
                <w:rFonts w:hint="eastAsia" w:cs="宋体"/>
                <w:bCs/>
                <w:szCs w:val="21"/>
              </w:rPr>
              <w:t>古墓葬</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南雄市百顺镇大水迳</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44</w:t>
            </w:r>
          </w:p>
        </w:tc>
        <w:tc>
          <w:tcPr>
            <w:tcW w:w="1102" w:type="pct"/>
            <w:vAlign w:val="center"/>
          </w:tcPr>
          <w:p>
            <w:pPr>
              <w:spacing w:line="240" w:lineRule="auto"/>
              <w:ind w:firstLine="0" w:firstLineChars="0"/>
              <w:jc w:val="center"/>
              <w:rPr>
                <w:rFonts w:cs="宋体"/>
                <w:bCs/>
                <w:szCs w:val="21"/>
              </w:rPr>
            </w:pPr>
            <w:r>
              <w:rPr>
                <w:rFonts w:hint="eastAsia" w:cs="宋体"/>
                <w:bCs/>
                <w:szCs w:val="21"/>
              </w:rPr>
              <w:t>陂头莲塘坳窑址</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古遗址</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南雄市全安镇莲塘坳村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45</w:t>
            </w:r>
          </w:p>
        </w:tc>
        <w:tc>
          <w:tcPr>
            <w:tcW w:w="1102" w:type="pct"/>
            <w:vAlign w:val="center"/>
          </w:tcPr>
          <w:p>
            <w:pPr>
              <w:spacing w:line="240" w:lineRule="auto"/>
              <w:ind w:firstLine="0" w:firstLineChars="0"/>
              <w:jc w:val="center"/>
              <w:rPr>
                <w:rFonts w:cs="宋体"/>
                <w:bCs/>
                <w:szCs w:val="21"/>
              </w:rPr>
            </w:pPr>
            <w:r>
              <w:rPr>
                <w:rFonts w:hint="eastAsia" w:cs="宋体"/>
                <w:bCs/>
                <w:szCs w:val="21"/>
              </w:rPr>
              <w:t>铺背窑址</w:t>
            </w:r>
          </w:p>
        </w:tc>
        <w:tc>
          <w:tcPr>
            <w:tcW w:w="655" w:type="pct"/>
            <w:vAlign w:val="center"/>
          </w:tcPr>
          <w:p>
            <w:pPr>
              <w:spacing w:line="240" w:lineRule="auto"/>
              <w:ind w:firstLine="0" w:firstLineChars="0"/>
              <w:jc w:val="center"/>
              <w:rPr>
                <w:rFonts w:cs="宋体"/>
                <w:bCs/>
                <w:szCs w:val="21"/>
              </w:rPr>
            </w:pPr>
            <w:r>
              <w:rPr>
                <w:rFonts w:hint="eastAsia" w:cs="宋体"/>
                <w:bCs/>
                <w:szCs w:val="21"/>
              </w:rPr>
              <w:t>宋</w:t>
            </w:r>
          </w:p>
        </w:tc>
        <w:tc>
          <w:tcPr>
            <w:tcW w:w="874" w:type="pct"/>
            <w:vAlign w:val="center"/>
          </w:tcPr>
          <w:p>
            <w:pPr>
              <w:spacing w:line="240" w:lineRule="auto"/>
              <w:ind w:firstLine="0" w:firstLineChars="0"/>
              <w:jc w:val="center"/>
              <w:rPr>
                <w:rFonts w:cs="宋体"/>
                <w:bCs/>
                <w:szCs w:val="21"/>
              </w:rPr>
            </w:pPr>
            <w:r>
              <w:rPr>
                <w:rFonts w:hint="eastAsia" w:cs="宋体"/>
                <w:bCs/>
                <w:szCs w:val="21"/>
              </w:rPr>
              <w:t>古遗址</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南雄市雄州街道铺背村</w:t>
            </w:r>
          </w:p>
        </w:tc>
        <w:tc>
          <w:tcPr>
            <w:tcW w:w="708" w:type="pct"/>
            <w:vAlign w:val="center"/>
          </w:tcPr>
          <w:p>
            <w:pPr>
              <w:spacing w:line="240" w:lineRule="auto"/>
              <w:ind w:firstLine="0" w:firstLineChars="0"/>
              <w:jc w:val="center"/>
              <w:rPr>
                <w:rFonts w:cs="宋体"/>
                <w:bCs/>
                <w:szCs w:val="21"/>
              </w:rPr>
            </w:pPr>
            <w:r>
              <w:rPr>
                <w:rFonts w:cs="宋体"/>
                <w:bCs/>
                <w:szCs w:val="21"/>
              </w:rPr>
              <w:t>2006年6月第四批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46</w:t>
            </w:r>
          </w:p>
        </w:tc>
        <w:tc>
          <w:tcPr>
            <w:tcW w:w="1102" w:type="pct"/>
            <w:vAlign w:val="center"/>
          </w:tcPr>
          <w:p>
            <w:pPr>
              <w:spacing w:line="240" w:lineRule="auto"/>
              <w:ind w:firstLine="0" w:firstLineChars="0"/>
              <w:jc w:val="center"/>
              <w:rPr>
                <w:rFonts w:cs="宋体"/>
                <w:bCs/>
                <w:szCs w:val="21"/>
              </w:rPr>
            </w:pPr>
            <w:r>
              <w:rPr>
                <w:rFonts w:hint="eastAsia" w:cs="宋体"/>
                <w:bCs/>
                <w:szCs w:val="21"/>
              </w:rPr>
              <w:t>梅岭司马第</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南雄市珠玑镇梅岭村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47</w:t>
            </w:r>
          </w:p>
        </w:tc>
        <w:tc>
          <w:tcPr>
            <w:tcW w:w="1102" w:type="pct"/>
            <w:vAlign w:val="center"/>
          </w:tcPr>
          <w:p>
            <w:pPr>
              <w:spacing w:line="240" w:lineRule="auto"/>
              <w:ind w:firstLine="0" w:firstLineChars="0"/>
              <w:jc w:val="center"/>
              <w:rPr>
                <w:rFonts w:cs="宋体"/>
                <w:bCs/>
                <w:szCs w:val="21"/>
              </w:rPr>
            </w:pPr>
            <w:r>
              <w:rPr>
                <w:rFonts w:hint="eastAsia" w:cs="宋体"/>
                <w:bCs/>
                <w:szCs w:val="21"/>
              </w:rPr>
              <w:t>百顺天后宫</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南雄市百顺镇百顺老墟</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48</w:t>
            </w:r>
          </w:p>
        </w:tc>
        <w:tc>
          <w:tcPr>
            <w:tcW w:w="1102" w:type="pct"/>
            <w:vAlign w:val="center"/>
          </w:tcPr>
          <w:p>
            <w:pPr>
              <w:spacing w:line="240" w:lineRule="auto"/>
              <w:ind w:firstLine="0" w:firstLineChars="0"/>
              <w:jc w:val="center"/>
              <w:rPr>
                <w:rFonts w:cs="宋体"/>
                <w:bCs/>
                <w:szCs w:val="21"/>
              </w:rPr>
            </w:pPr>
            <w:r>
              <w:rPr>
                <w:rFonts w:hint="eastAsia" w:cs="宋体"/>
                <w:bCs/>
                <w:szCs w:val="21"/>
              </w:rPr>
              <w:t>上朔村大彭氏宗祠</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49</w:t>
            </w:r>
          </w:p>
        </w:tc>
        <w:tc>
          <w:tcPr>
            <w:tcW w:w="1102" w:type="pct"/>
            <w:vAlign w:val="center"/>
          </w:tcPr>
          <w:p>
            <w:pPr>
              <w:spacing w:line="240" w:lineRule="auto"/>
              <w:ind w:firstLine="0" w:firstLineChars="0"/>
              <w:jc w:val="center"/>
              <w:rPr>
                <w:rFonts w:cs="宋体"/>
                <w:bCs/>
                <w:szCs w:val="21"/>
              </w:rPr>
            </w:pPr>
            <w:r>
              <w:rPr>
                <w:rFonts w:hint="eastAsia" w:cs="宋体"/>
                <w:bCs/>
                <w:szCs w:val="21"/>
              </w:rPr>
              <w:t>界址黄坑村严氏宗祠</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清代</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南雄市界址镇黄坑村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50</w:t>
            </w:r>
          </w:p>
        </w:tc>
        <w:tc>
          <w:tcPr>
            <w:tcW w:w="1102" w:type="pct"/>
            <w:vAlign w:val="center"/>
          </w:tcPr>
          <w:p>
            <w:pPr>
              <w:spacing w:line="240" w:lineRule="auto"/>
              <w:ind w:firstLine="0" w:firstLineChars="0"/>
              <w:jc w:val="center"/>
              <w:rPr>
                <w:rFonts w:cs="宋体"/>
                <w:bCs/>
                <w:szCs w:val="21"/>
              </w:rPr>
            </w:pPr>
            <w:r>
              <w:rPr>
                <w:rFonts w:hint="eastAsia" w:cs="宋体"/>
                <w:bCs/>
                <w:szCs w:val="21"/>
              </w:rPr>
              <w:t>雄州蓝氏宗祠</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南雄市雄州街道胜利社区青云东路</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51</w:t>
            </w:r>
          </w:p>
        </w:tc>
        <w:tc>
          <w:tcPr>
            <w:tcW w:w="1102" w:type="pct"/>
            <w:vAlign w:val="center"/>
          </w:tcPr>
          <w:p>
            <w:pPr>
              <w:spacing w:line="240" w:lineRule="auto"/>
              <w:ind w:firstLine="0" w:firstLineChars="0"/>
              <w:jc w:val="center"/>
              <w:rPr>
                <w:rFonts w:cs="宋体"/>
                <w:bCs/>
                <w:szCs w:val="21"/>
              </w:rPr>
            </w:pPr>
            <w:r>
              <w:rPr>
                <w:rFonts w:hint="eastAsia" w:cs="宋体"/>
                <w:bCs/>
                <w:szCs w:val="21"/>
              </w:rPr>
              <w:t>杜屋村杜氏宗祠</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南雄市乌迳镇杜屋村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52</w:t>
            </w:r>
          </w:p>
        </w:tc>
        <w:tc>
          <w:tcPr>
            <w:tcW w:w="1102" w:type="pct"/>
            <w:vAlign w:val="center"/>
          </w:tcPr>
          <w:p>
            <w:pPr>
              <w:spacing w:line="240" w:lineRule="auto"/>
              <w:ind w:firstLine="0" w:firstLineChars="0"/>
              <w:jc w:val="center"/>
              <w:rPr>
                <w:rFonts w:cs="宋体"/>
                <w:bCs/>
                <w:szCs w:val="21"/>
              </w:rPr>
            </w:pPr>
            <w:r>
              <w:rPr>
                <w:rFonts w:hint="eastAsia" w:cs="宋体"/>
                <w:bCs/>
                <w:szCs w:val="21"/>
              </w:rPr>
              <w:t>上嵩村花楼</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古建筑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南雄市珠玑镇上嵩村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53</w:t>
            </w:r>
          </w:p>
        </w:tc>
        <w:tc>
          <w:tcPr>
            <w:tcW w:w="1102" w:type="pct"/>
            <w:vAlign w:val="center"/>
          </w:tcPr>
          <w:p>
            <w:pPr>
              <w:spacing w:line="240" w:lineRule="auto"/>
              <w:ind w:firstLine="0" w:firstLineChars="0"/>
              <w:jc w:val="center"/>
              <w:rPr>
                <w:rFonts w:cs="宋体"/>
                <w:bCs/>
                <w:szCs w:val="21"/>
              </w:rPr>
            </w:pPr>
            <w:r>
              <w:rPr>
                <w:rFonts w:hint="eastAsia" w:cs="宋体"/>
                <w:bCs/>
                <w:szCs w:val="21"/>
              </w:rPr>
              <w:t>百顺人民会堂</w:t>
            </w:r>
          </w:p>
        </w:tc>
        <w:tc>
          <w:tcPr>
            <w:tcW w:w="655" w:type="pct"/>
            <w:vAlign w:val="center"/>
          </w:tcPr>
          <w:p>
            <w:pPr>
              <w:spacing w:line="240" w:lineRule="auto"/>
              <w:ind w:firstLine="0" w:firstLineChars="0"/>
              <w:jc w:val="center"/>
              <w:rPr>
                <w:rFonts w:cs="宋体"/>
                <w:bCs/>
                <w:szCs w:val="21"/>
              </w:rPr>
            </w:pPr>
            <w:r>
              <w:rPr>
                <w:rFonts w:hint="eastAsia" w:cs="宋体"/>
                <w:bCs/>
                <w:szCs w:val="21"/>
              </w:rPr>
              <w:t>1</w:t>
            </w:r>
            <w:r>
              <w:rPr>
                <w:rFonts w:cs="宋体"/>
                <w:bCs/>
                <w:szCs w:val="21"/>
              </w:rPr>
              <w:t>960</w:t>
            </w:r>
            <w:r>
              <w:rPr>
                <w:rFonts w:hint="eastAsia" w:cs="宋体"/>
                <w:bCs/>
                <w:szCs w:val="21"/>
              </w:rPr>
              <w:t>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南雄市百顺镇镇政府内</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54</w:t>
            </w:r>
          </w:p>
        </w:tc>
        <w:tc>
          <w:tcPr>
            <w:tcW w:w="1102" w:type="pct"/>
            <w:vAlign w:val="center"/>
          </w:tcPr>
          <w:p>
            <w:pPr>
              <w:spacing w:line="240" w:lineRule="auto"/>
              <w:ind w:firstLine="0" w:firstLineChars="0"/>
              <w:jc w:val="center"/>
              <w:rPr>
                <w:rFonts w:cs="宋体"/>
                <w:bCs/>
                <w:szCs w:val="21"/>
              </w:rPr>
            </w:pPr>
            <w:r>
              <w:rPr>
                <w:rFonts w:hint="eastAsia" w:cs="宋体"/>
                <w:bCs/>
                <w:szCs w:val="21"/>
              </w:rPr>
              <w:t>下石村石旌杆</w:t>
            </w:r>
          </w:p>
        </w:tc>
        <w:tc>
          <w:tcPr>
            <w:tcW w:w="655" w:type="pct"/>
            <w:vAlign w:val="center"/>
          </w:tcPr>
          <w:p>
            <w:pPr>
              <w:spacing w:line="240" w:lineRule="auto"/>
              <w:ind w:firstLine="0" w:firstLineChars="0"/>
              <w:jc w:val="center"/>
              <w:rPr>
                <w:rFonts w:cs="宋体"/>
                <w:bCs/>
                <w:szCs w:val="21"/>
              </w:rPr>
            </w:pPr>
            <w:r>
              <w:rPr>
                <w:rFonts w:hint="eastAsia" w:cs="宋体"/>
                <w:bCs/>
                <w:szCs w:val="21"/>
              </w:rPr>
              <w:t>清</w:t>
            </w:r>
          </w:p>
        </w:tc>
        <w:tc>
          <w:tcPr>
            <w:tcW w:w="874" w:type="pct"/>
            <w:vAlign w:val="center"/>
          </w:tcPr>
          <w:p>
            <w:pPr>
              <w:spacing w:line="240" w:lineRule="auto"/>
              <w:ind w:firstLine="0" w:firstLineChars="0"/>
              <w:jc w:val="center"/>
              <w:rPr>
                <w:rFonts w:cs="宋体"/>
                <w:bCs/>
                <w:szCs w:val="21"/>
              </w:rPr>
            </w:pPr>
            <w:r>
              <w:rPr>
                <w:rFonts w:hint="eastAsia" w:cs="宋体"/>
                <w:bCs/>
                <w:szCs w:val="21"/>
              </w:rPr>
              <w:t>石窟寺和古石刻</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南雄市全安镇荔迳村委会下石村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55</w:t>
            </w:r>
          </w:p>
        </w:tc>
        <w:tc>
          <w:tcPr>
            <w:tcW w:w="1102" w:type="pct"/>
            <w:vAlign w:val="center"/>
          </w:tcPr>
          <w:p>
            <w:pPr>
              <w:spacing w:line="240" w:lineRule="auto"/>
              <w:ind w:firstLine="0" w:firstLineChars="0"/>
              <w:jc w:val="center"/>
              <w:rPr>
                <w:rFonts w:cs="宋体"/>
                <w:bCs/>
                <w:szCs w:val="21"/>
              </w:rPr>
            </w:pPr>
            <w:r>
              <w:rPr>
                <w:rFonts w:hint="eastAsia" w:cs="宋体"/>
                <w:bCs/>
                <w:szCs w:val="21"/>
              </w:rPr>
              <w:t>麦必雄墓</w:t>
            </w:r>
          </w:p>
        </w:tc>
        <w:tc>
          <w:tcPr>
            <w:tcW w:w="655" w:type="pct"/>
            <w:vAlign w:val="center"/>
          </w:tcPr>
          <w:p>
            <w:pPr>
              <w:spacing w:line="240" w:lineRule="auto"/>
              <w:ind w:firstLine="0" w:firstLineChars="0"/>
              <w:jc w:val="center"/>
              <w:rPr>
                <w:rFonts w:cs="宋体"/>
                <w:bCs/>
                <w:szCs w:val="21"/>
              </w:rPr>
            </w:pPr>
            <w:r>
              <w:rPr>
                <w:rFonts w:hint="eastAsia" w:cs="宋体"/>
                <w:bCs/>
                <w:szCs w:val="21"/>
              </w:rPr>
              <w:t>南宋</w:t>
            </w:r>
          </w:p>
        </w:tc>
        <w:tc>
          <w:tcPr>
            <w:tcW w:w="874" w:type="pct"/>
            <w:vAlign w:val="center"/>
          </w:tcPr>
          <w:p>
            <w:pPr>
              <w:spacing w:line="240" w:lineRule="auto"/>
              <w:ind w:firstLine="0" w:firstLineChars="0"/>
              <w:jc w:val="center"/>
              <w:rPr>
                <w:rFonts w:cs="宋体"/>
                <w:bCs/>
                <w:szCs w:val="21"/>
              </w:rPr>
            </w:pPr>
            <w:r>
              <w:rPr>
                <w:rFonts w:hint="eastAsia" w:cs="宋体"/>
                <w:bCs/>
                <w:szCs w:val="21"/>
              </w:rPr>
              <w:t>古墓葬</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南雄市珠玑镇三驳桥村</w:t>
            </w:r>
          </w:p>
        </w:tc>
        <w:tc>
          <w:tcPr>
            <w:tcW w:w="708" w:type="pct"/>
            <w:vAlign w:val="center"/>
          </w:tcPr>
          <w:p>
            <w:pPr>
              <w:spacing w:line="240" w:lineRule="auto"/>
              <w:ind w:firstLine="0" w:firstLineChars="0"/>
              <w:jc w:val="center"/>
              <w:rPr>
                <w:rFonts w:cs="宋体"/>
                <w:bCs/>
                <w:szCs w:val="21"/>
              </w:rPr>
            </w:pPr>
            <w:r>
              <w:rPr>
                <w:rFonts w:cs="宋体"/>
                <w:bCs/>
                <w:szCs w:val="21"/>
              </w:rPr>
              <w:t>2015年8月第五批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56</w:t>
            </w:r>
          </w:p>
        </w:tc>
        <w:tc>
          <w:tcPr>
            <w:tcW w:w="1102" w:type="pct"/>
            <w:vAlign w:val="center"/>
          </w:tcPr>
          <w:p>
            <w:pPr>
              <w:spacing w:line="240" w:lineRule="auto"/>
              <w:ind w:firstLine="0" w:firstLineChars="0"/>
              <w:jc w:val="center"/>
              <w:rPr>
                <w:rFonts w:cs="宋体"/>
                <w:bCs/>
                <w:szCs w:val="21"/>
              </w:rPr>
            </w:pPr>
            <w:r>
              <w:rPr>
                <w:rFonts w:hint="eastAsia" w:cs="宋体"/>
                <w:bCs/>
                <w:szCs w:val="21"/>
              </w:rPr>
              <w:t>中共五岭地委和粤赣湘边人民解放总队机关旧址</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南雄市帽子峰镇坪山乾村</w:t>
            </w:r>
          </w:p>
        </w:tc>
        <w:tc>
          <w:tcPr>
            <w:tcW w:w="708" w:type="pct"/>
            <w:vAlign w:val="center"/>
          </w:tcPr>
          <w:p>
            <w:pPr>
              <w:spacing w:line="240" w:lineRule="auto"/>
              <w:ind w:firstLine="0" w:firstLineChars="0"/>
              <w:jc w:val="center"/>
              <w:rPr>
                <w:rFonts w:cs="宋体"/>
                <w:bCs/>
                <w:szCs w:val="21"/>
              </w:rPr>
            </w:pPr>
            <w:r>
              <w:rPr>
                <w:rFonts w:cs="宋体"/>
                <w:bCs/>
                <w:szCs w:val="21"/>
              </w:rPr>
              <w:t>2020年11月第六批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57</w:t>
            </w:r>
          </w:p>
        </w:tc>
        <w:tc>
          <w:tcPr>
            <w:tcW w:w="1102" w:type="pct"/>
            <w:vAlign w:val="center"/>
          </w:tcPr>
          <w:p>
            <w:pPr>
              <w:spacing w:line="240" w:lineRule="auto"/>
              <w:ind w:firstLine="0" w:firstLineChars="0"/>
              <w:jc w:val="center"/>
              <w:rPr>
                <w:rFonts w:cs="宋体"/>
                <w:bCs/>
                <w:szCs w:val="21"/>
              </w:rPr>
            </w:pPr>
            <w:r>
              <w:rPr>
                <w:rFonts w:hint="eastAsia" w:cs="宋体"/>
                <w:bCs/>
                <w:szCs w:val="21"/>
              </w:rPr>
              <w:t>廖地村项英、陈毅与李乐天会合旧址</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南雄市油山镇大兰廖地村</w:t>
            </w:r>
          </w:p>
        </w:tc>
        <w:tc>
          <w:tcPr>
            <w:tcW w:w="708" w:type="pct"/>
            <w:vAlign w:val="center"/>
          </w:tcPr>
          <w:p>
            <w:pPr>
              <w:spacing w:line="240" w:lineRule="auto"/>
              <w:ind w:firstLine="0" w:firstLineChars="0"/>
              <w:jc w:val="center"/>
              <w:rPr>
                <w:rFonts w:cs="宋体"/>
                <w:bCs/>
                <w:szCs w:val="21"/>
              </w:rPr>
            </w:pPr>
            <w:r>
              <w:rPr>
                <w:rFonts w:cs="宋体"/>
                <w:bCs/>
                <w:szCs w:val="21"/>
              </w:rPr>
              <w:t>2020年11月第六批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58</w:t>
            </w:r>
          </w:p>
        </w:tc>
        <w:tc>
          <w:tcPr>
            <w:tcW w:w="1102" w:type="pct"/>
            <w:vAlign w:val="center"/>
          </w:tcPr>
          <w:p>
            <w:pPr>
              <w:spacing w:line="240" w:lineRule="auto"/>
              <w:ind w:firstLine="0" w:firstLineChars="0"/>
              <w:jc w:val="center"/>
              <w:rPr>
                <w:rFonts w:cs="宋体"/>
                <w:bCs/>
                <w:szCs w:val="21"/>
              </w:rPr>
            </w:pPr>
            <w:r>
              <w:rPr>
                <w:rFonts w:hint="eastAsia" w:cs="宋体"/>
                <w:bCs/>
                <w:szCs w:val="21"/>
              </w:rPr>
              <w:t>上朔人民会堂——朔溪乡农会遗址</w:t>
            </w:r>
          </w:p>
        </w:tc>
        <w:tc>
          <w:tcPr>
            <w:tcW w:w="655" w:type="pct"/>
            <w:vAlign w:val="center"/>
          </w:tcPr>
          <w:p>
            <w:pPr>
              <w:spacing w:line="240" w:lineRule="auto"/>
              <w:ind w:firstLine="0" w:firstLineChars="0"/>
              <w:jc w:val="center"/>
              <w:rPr>
                <w:rFonts w:cs="宋体"/>
                <w:bCs/>
                <w:szCs w:val="21"/>
              </w:rPr>
            </w:pPr>
            <w:r>
              <w:rPr>
                <w:rFonts w:cs="宋体"/>
                <w:bCs/>
                <w:szCs w:val="21"/>
              </w:rPr>
              <w:t>1968年</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w:t>
            </w:r>
            <w:r>
              <w:rPr>
                <w:rFonts w:cs="宋体"/>
                <w:bCs/>
                <w:szCs w:val="21"/>
              </w:rPr>
              <w:t>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南雄市油山镇上朔村</w:t>
            </w:r>
          </w:p>
        </w:tc>
        <w:tc>
          <w:tcPr>
            <w:tcW w:w="708" w:type="pct"/>
            <w:vAlign w:val="center"/>
          </w:tcPr>
          <w:p>
            <w:pPr>
              <w:spacing w:line="240" w:lineRule="auto"/>
              <w:ind w:firstLine="0" w:firstLineChars="0"/>
              <w:jc w:val="center"/>
              <w:rPr>
                <w:rFonts w:cs="宋体"/>
                <w:bCs/>
                <w:szCs w:val="21"/>
              </w:rPr>
            </w:pPr>
            <w:r>
              <w:rPr>
                <w:rFonts w:cs="宋体"/>
                <w:bCs/>
                <w:szCs w:val="21"/>
              </w:rPr>
              <w:t>2020年11月第六批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50" w:type="pct"/>
            <w:vAlign w:val="center"/>
          </w:tcPr>
          <w:p>
            <w:pPr>
              <w:spacing w:line="240" w:lineRule="auto"/>
              <w:ind w:firstLine="0" w:firstLineChars="0"/>
              <w:jc w:val="center"/>
              <w:rPr>
                <w:rFonts w:cs="宋体"/>
                <w:bCs/>
                <w:szCs w:val="21"/>
              </w:rPr>
            </w:pPr>
            <w:r>
              <w:rPr>
                <w:rFonts w:cs="宋体"/>
                <w:bCs/>
                <w:szCs w:val="21"/>
              </w:rPr>
              <w:t>59</w:t>
            </w:r>
          </w:p>
        </w:tc>
        <w:tc>
          <w:tcPr>
            <w:tcW w:w="1102" w:type="pct"/>
            <w:vAlign w:val="center"/>
          </w:tcPr>
          <w:p>
            <w:pPr>
              <w:spacing w:line="240" w:lineRule="auto"/>
              <w:ind w:firstLine="0" w:firstLineChars="0"/>
              <w:jc w:val="center"/>
              <w:rPr>
                <w:rFonts w:cs="宋体"/>
                <w:bCs/>
                <w:szCs w:val="21"/>
              </w:rPr>
            </w:pPr>
            <w:r>
              <w:rPr>
                <w:rFonts w:hint="eastAsia" w:cs="宋体"/>
                <w:bCs/>
                <w:szCs w:val="21"/>
              </w:rPr>
              <w:t>八一街毛泽东居住旧址</w:t>
            </w:r>
          </w:p>
        </w:tc>
        <w:tc>
          <w:tcPr>
            <w:tcW w:w="655" w:type="pct"/>
            <w:vAlign w:val="center"/>
          </w:tcPr>
          <w:p>
            <w:pPr>
              <w:spacing w:line="240" w:lineRule="auto"/>
              <w:ind w:firstLine="0" w:firstLineChars="0"/>
              <w:jc w:val="center"/>
              <w:rPr>
                <w:rFonts w:cs="宋体"/>
                <w:bCs/>
                <w:szCs w:val="21"/>
              </w:rPr>
            </w:pPr>
            <w:r>
              <w:rPr>
                <w:rFonts w:hint="eastAsia" w:cs="宋体"/>
                <w:bCs/>
                <w:szCs w:val="21"/>
              </w:rPr>
              <w:t>中华民国</w:t>
            </w:r>
          </w:p>
        </w:tc>
        <w:tc>
          <w:tcPr>
            <w:tcW w:w="874" w:type="pct"/>
            <w:vAlign w:val="center"/>
          </w:tcPr>
          <w:p>
            <w:pPr>
              <w:spacing w:line="240" w:lineRule="auto"/>
              <w:ind w:firstLine="0" w:firstLineChars="0"/>
              <w:jc w:val="center"/>
              <w:rPr>
                <w:rFonts w:cs="宋体"/>
                <w:bCs/>
                <w:szCs w:val="21"/>
              </w:rPr>
            </w:pPr>
            <w:r>
              <w:rPr>
                <w:rFonts w:hint="eastAsia" w:cs="宋体"/>
                <w:bCs/>
                <w:szCs w:val="21"/>
              </w:rPr>
              <w:t>近代现代重要史迹和代表性建筑</w:t>
            </w:r>
          </w:p>
        </w:tc>
        <w:tc>
          <w:tcPr>
            <w:tcW w:w="437" w:type="pct"/>
            <w:vAlign w:val="center"/>
          </w:tcPr>
          <w:p>
            <w:pPr>
              <w:spacing w:line="240" w:lineRule="auto"/>
              <w:ind w:firstLine="0" w:firstLineChars="0"/>
              <w:jc w:val="center"/>
              <w:rPr>
                <w:rFonts w:cs="宋体"/>
                <w:bCs/>
                <w:szCs w:val="21"/>
              </w:rPr>
            </w:pPr>
            <w:r>
              <w:rPr>
                <w:rFonts w:hint="eastAsia" w:cs="宋体"/>
                <w:bCs/>
                <w:szCs w:val="21"/>
              </w:rPr>
              <w:t>县保</w:t>
            </w:r>
          </w:p>
        </w:tc>
        <w:tc>
          <w:tcPr>
            <w:tcW w:w="873" w:type="pct"/>
            <w:vAlign w:val="center"/>
          </w:tcPr>
          <w:p>
            <w:pPr>
              <w:spacing w:line="240" w:lineRule="auto"/>
              <w:ind w:firstLine="0" w:firstLineChars="0"/>
              <w:jc w:val="center"/>
              <w:rPr>
                <w:rFonts w:cs="宋体"/>
                <w:bCs/>
                <w:szCs w:val="21"/>
              </w:rPr>
            </w:pPr>
            <w:r>
              <w:rPr>
                <w:rFonts w:hint="eastAsia" w:cs="宋体"/>
                <w:bCs/>
                <w:szCs w:val="21"/>
              </w:rPr>
              <w:t>南雄市雄州街道八一街</w:t>
            </w:r>
            <w:r>
              <w:rPr>
                <w:rFonts w:cs="宋体"/>
                <w:bCs/>
                <w:szCs w:val="21"/>
              </w:rPr>
              <w:t>204</w:t>
            </w:r>
            <w:r>
              <w:rPr>
                <w:rFonts w:hint="eastAsia" w:cs="宋体"/>
                <w:bCs/>
                <w:szCs w:val="21"/>
              </w:rPr>
              <w:t>号</w:t>
            </w:r>
          </w:p>
        </w:tc>
        <w:tc>
          <w:tcPr>
            <w:tcW w:w="708" w:type="pct"/>
            <w:vAlign w:val="center"/>
          </w:tcPr>
          <w:p>
            <w:pPr>
              <w:spacing w:line="240" w:lineRule="auto"/>
              <w:ind w:firstLine="0" w:firstLineChars="0"/>
              <w:jc w:val="center"/>
              <w:rPr>
                <w:rFonts w:cs="宋体"/>
                <w:bCs/>
                <w:szCs w:val="21"/>
              </w:rPr>
            </w:pPr>
            <w:r>
              <w:rPr>
                <w:rFonts w:cs="宋体"/>
                <w:bCs/>
                <w:szCs w:val="21"/>
              </w:rPr>
              <w:t>2020年11月第六批</w:t>
            </w:r>
          </w:p>
        </w:tc>
      </w:tr>
    </w:tbl>
    <w:p>
      <w:pPr>
        <w:ind w:firstLine="199" w:firstLineChars="83"/>
        <w:jc w:val="left"/>
        <w:rPr>
          <w:rFonts w:ascii="Times" w:hAnsi="Times" w:cs="宋体"/>
          <w:bCs/>
          <w:sz w:val="24"/>
          <w:szCs w:val="24"/>
        </w:rPr>
      </w:pPr>
    </w:p>
    <w:p>
      <w:pPr>
        <w:ind w:firstLine="199" w:firstLineChars="83"/>
        <w:jc w:val="left"/>
        <w:rPr>
          <w:rFonts w:ascii="Times" w:hAnsi="Times" w:cs="宋体"/>
          <w:bCs/>
          <w:sz w:val="24"/>
          <w:szCs w:val="24"/>
        </w:rPr>
      </w:pPr>
    </w:p>
    <w:p>
      <w:pPr>
        <w:ind w:firstLine="199" w:firstLineChars="83"/>
        <w:jc w:val="left"/>
        <w:rPr>
          <w:rFonts w:ascii="Times" w:hAnsi="Times" w:cs="宋体"/>
          <w:bCs/>
          <w:sz w:val="24"/>
          <w:szCs w:val="24"/>
        </w:rPr>
        <w:sectPr>
          <w:type w:val="continuous"/>
          <w:pgSz w:w="23814" w:h="16839" w:orient="landscape"/>
          <w:pgMar w:top="1080" w:right="1440" w:bottom="1080" w:left="1440" w:header="851" w:footer="737" w:gutter="0"/>
          <w:cols w:space="425" w:num="2"/>
          <w:docGrid w:type="lines" w:linePitch="312" w:charSpace="0"/>
        </w:sectPr>
      </w:pPr>
    </w:p>
    <w:p>
      <w:pPr>
        <w:ind w:firstLine="199" w:firstLineChars="83"/>
        <w:jc w:val="left"/>
        <w:rPr>
          <w:rFonts w:ascii="Times" w:hAnsi="Times" w:cs="宋体"/>
          <w:bCs/>
          <w:sz w:val="24"/>
          <w:szCs w:val="24"/>
        </w:rPr>
      </w:pPr>
      <w:r>
        <w:rPr>
          <w:rFonts w:ascii="Times" w:hAnsi="Times" w:cs="宋体"/>
          <w:bCs/>
          <w:sz w:val="24"/>
          <w:szCs w:val="24"/>
        </w:rPr>
        <w:br w:type="page"/>
      </w:r>
    </w:p>
    <w:p>
      <w:pPr>
        <w:pStyle w:val="3"/>
        <w:spacing w:before="0" w:after="0"/>
        <w:ind w:firstLine="482"/>
        <w:rPr>
          <w:rFonts w:ascii="Times" w:hAnsi="Times" w:cs="宋体"/>
          <w:bCs w:val="0"/>
          <w:sz w:val="28"/>
          <w:szCs w:val="28"/>
        </w:rPr>
      </w:pPr>
      <w:bookmarkStart w:id="233" w:name="_Toc204964388"/>
      <w:r>
        <w:rPr>
          <w:rFonts w:hint="eastAsia" w:ascii="Times" w:hAnsi="Times" w:cs="宋体"/>
          <w:bCs w:val="0"/>
          <w:sz w:val="28"/>
          <w:szCs w:val="28"/>
        </w:rPr>
        <w:t>附表</w:t>
      </w:r>
      <w:r>
        <w:rPr>
          <w:rFonts w:ascii="Times" w:hAnsi="Times" w:cs="宋体"/>
          <w:bCs w:val="0"/>
          <w:sz w:val="28"/>
          <w:szCs w:val="28"/>
        </w:rPr>
        <w:t>8</w:t>
      </w:r>
      <w:r>
        <w:rPr>
          <w:rFonts w:hint="eastAsia" w:ascii="Times" w:hAnsi="Times" w:cs="宋体"/>
          <w:bCs w:val="0"/>
          <w:sz w:val="28"/>
          <w:szCs w:val="28"/>
        </w:rPr>
        <w:t>：未核定公布为文物保护单位的不可移动文物一览表</w:t>
      </w:r>
      <w:bookmarkEnd w:id="233"/>
    </w:p>
    <w:p>
      <w:pPr>
        <w:spacing w:line="240" w:lineRule="auto"/>
        <w:ind w:firstLine="0" w:firstLineChars="0"/>
        <w:jc w:val="center"/>
        <w:rPr>
          <w:rFonts w:cs="宋体"/>
          <w:b/>
          <w:bCs/>
          <w:kern w:val="0"/>
          <w:szCs w:val="21"/>
        </w:rPr>
        <w:sectPr>
          <w:type w:val="continuous"/>
          <w:pgSz w:w="23814" w:h="16839" w:orient="landscape"/>
          <w:pgMar w:top="1080" w:right="1440" w:bottom="1080" w:left="1440" w:header="851" w:footer="737" w:gutter="0"/>
          <w:cols w:space="425" w:num="1"/>
          <w:docGrid w:type="lines" w:linePitch="312" w:charSpace="0"/>
        </w:sect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3621"/>
        <w:gridCol w:w="63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trPr>
        <w:tc>
          <w:tcPr>
            <w:tcW w:w="0" w:type="auto"/>
            <w:shd w:val="clear" w:color="auto" w:fill="D0CECE" w:themeFill="background2" w:themeFillShade="E6"/>
            <w:vAlign w:val="center"/>
          </w:tcPr>
          <w:p>
            <w:pPr>
              <w:pStyle w:val="6"/>
              <w:spacing w:line="240" w:lineRule="auto"/>
              <w:ind w:firstLine="0" w:firstLineChars="0"/>
              <w:jc w:val="center"/>
              <w:rPr>
                <w:rFonts w:ascii="宋体" w:hAnsi="宋体"/>
                <w:b/>
                <w:bCs/>
                <w:sz w:val="21"/>
                <w:szCs w:val="18"/>
              </w:rPr>
            </w:pPr>
            <w:r>
              <w:rPr>
                <w:rFonts w:hint="eastAsia" w:ascii="宋体" w:hAnsi="宋体"/>
                <w:b/>
                <w:bCs/>
                <w:sz w:val="21"/>
                <w:szCs w:val="18"/>
              </w:rPr>
              <w:t>镇/街</w:t>
            </w:r>
          </w:p>
        </w:tc>
        <w:tc>
          <w:tcPr>
            <w:tcW w:w="0" w:type="auto"/>
            <w:shd w:val="clear" w:color="auto" w:fill="D0CECE" w:themeFill="background2" w:themeFillShade="E6"/>
            <w:vAlign w:val="center"/>
          </w:tcPr>
          <w:p>
            <w:pPr>
              <w:pStyle w:val="6"/>
              <w:spacing w:line="240" w:lineRule="auto"/>
              <w:ind w:firstLine="0" w:firstLineChars="0"/>
              <w:jc w:val="center"/>
              <w:rPr>
                <w:rFonts w:ascii="宋体" w:hAnsi="宋体"/>
                <w:b/>
                <w:bCs/>
                <w:sz w:val="21"/>
                <w:szCs w:val="18"/>
              </w:rPr>
            </w:pPr>
            <w:r>
              <w:rPr>
                <w:rFonts w:hint="eastAsia" w:ascii="宋体" w:hAnsi="宋体"/>
                <w:b/>
                <w:bCs/>
                <w:sz w:val="21"/>
                <w:szCs w:val="18"/>
              </w:rPr>
              <w:t>简介说明</w:t>
            </w:r>
          </w:p>
        </w:tc>
        <w:tc>
          <w:tcPr>
            <w:tcW w:w="0" w:type="auto"/>
            <w:shd w:val="clear" w:color="auto" w:fill="D0CECE" w:themeFill="background2" w:themeFillShade="E6"/>
            <w:vAlign w:val="center"/>
          </w:tcPr>
          <w:p>
            <w:pPr>
              <w:pStyle w:val="6"/>
              <w:spacing w:line="240" w:lineRule="auto"/>
              <w:ind w:firstLine="0" w:firstLineChars="0"/>
              <w:jc w:val="center"/>
              <w:rPr>
                <w:rFonts w:ascii="宋体" w:hAnsi="宋体"/>
                <w:b/>
                <w:bCs/>
                <w:sz w:val="21"/>
                <w:szCs w:val="18"/>
              </w:rPr>
            </w:pPr>
            <w:r>
              <w:rPr>
                <w:rFonts w:hint="eastAsia" w:ascii="宋体" w:hAnsi="宋体"/>
                <w:b/>
                <w:bCs/>
                <w:sz w:val="21"/>
                <w:szCs w:val="18"/>
              </w:rPr>
              <w:t>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雄州街道</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雄州街道共计有公布未定级不可移动文物2</w:t>
            </w:r>
            <w:r>
              <w:rPr>
                <w:rFonts w:ascii="宋体" w:hAnsi="宋体"/>
                <w:sz w:val="21"/>
                <w:szCs w:val="18"/>
              </w:rPr>
              <w:t>8</w:t>
            </w:r>
            <w:r>
              <w:rPr>
                <w:rFonts w:hint="eastAsia" w:ascii="宋体" w:hAnsi="宋体"/>
                <w:sz w:val="21"/>
                <w:szCs w:val="18"/>
              </w:rPr>
              <w:t>处，其中“堡坞遗规围楼”与“对面村围楼”为同一处。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南雄革命烈士陵园、四条门村尚书里门楼、四条门村文奎楼、洋汾水村四方井、佛子前村围楼、贵村三将军庙、莲塘村将军庙、仙水井、兰桥村磨刀石桥、兰桥村黄竹坡桥、兰桥卢屋村围楼、兰桥卢屋村井、桃源乐境围楼、莲开净寺、天禄遗徽围楼、堡坞遗规围楼、对面村围楼、下坪红杏村围楼、保兴安固围楼、磐石坚固围楼、天洞村围楼、下坪下村围楼、新厅村井、紫阳胜境围楼、雄州迥澜门、红军召开群众大会会址、塔俚巷井、竹树下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百顺镇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百顺镇共计有公布未定级不可移动文物</w:t>
            </w:r>
            <w:r>
              <w:rPr>
                <w:rFonts w:ascii="宋体" w:hAnsi="宋体"/>
                <w:sz w:val="21"/>
                <w:szCs w:val="18"/>
              </w:rPr>
              <w:t>22</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黄屋城村黄氏宗祠、桥头水桥、村前村头门、仁和墟门楼、何屋村何公庙、小金汤围楼、黄屋城村义路礼门、黄屋城村东门、黄屋城村黄氏祖厅、全溪桥、钟屋村围楼、寨地村由义门、寨地村黄氏宗祠、奎壁联辉照壁、东坑村叶氏宗祠、小安乐窝围楼、叶屋矮围楼、共享长安围楼、游屋村平安广厦、甘地桥、游屋村迥源庙、溪头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邓坊镇</w:t>
            </w:r>
          </w:p>
        </w:tc>
        <w:tc>
          <w:tcPr>
            <w:tcW w:w="0" w:type="auto"/>
            <w:vAlign w:val="center"/>
          </w:tcPr>
          <w:p>
            <w:pPr>
              <w:ind w:firstLine="0" w:firstLineChars="0"/>
            </w:pPr>
            <w:r>
              <w:rPr>
                <w:rFonts w:hint="eastAsia"/>
                <w:szCs w:val="18"/>
              </w:rPr>
              <w:t>邓坊镇共计有公布未定级不可移动文物</w:t>
            </w:r>
            <w:r>
              <w:rPr>
                <w:szCs w:val="18"/>
              </w:rPr>
              <w:t>8</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赤石村王氏宗祠、赤石村井、邓坊老墟桥、山田村陈氏祠堂、上书房村张氏祖厅、上书房村井、下书房村张氏祠堂、竹山下村曾氏祠堂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古市镇</w:t>
            </w:r>
          </w:p>
        </w:tc>
        <w:tc>
          <w:tcPr>
            <w:tcW w:w="0" w:type="auto"/>
            <w:vAlign w:val="center"/>
          </w:tcPr>
          <w:p>
            <w:pPr>
              <w:ind w:firstLine="0" w:firstLineChars="0"/>
            </w:pPr>
            <w:r>
              <w:rPr>
                <w:rFonts w:hint="eastAsia"/>
                <w:szCs w:val="18"/>
              </w:rPr>
              <w:t>古市镇共计有公布未定级不可移动文物1</w:t>
            </w:r>
            <w:r>
              <w:rPr>
                <w:szCs w:val="18"/>
              </w:rPr>
              <w:t>3</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藏安庐围楼、中厅村井、永乐太平围楼、南雄古市人民会场、古市村老村下井、永锡无疆围楼、倚逢老屋村井、围项村围楼、溪口村君明公祠、竹苞松茂围楼、苍边村井、什柴村井、修仁龙窑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湖口镇</w:t>
            </w:r>
          </w:p>
        </w:tc>
        <w:tc>
          <w:tcPr>
            <w:tcW w:w="0" w:type="auto"/>
            <w:vAlign w:val="center"/>
          </w:tcPr>
          <w:p>
            <w:pPr>
              <w:ind w:firstLine="0" w:firstLineChars="0"/>
            </w:pPr>
            <w:r>
              <w:rPr>
                <w:rFonts w:hint="eastAsia"/>
                <w:szCs w:val="18"/>
              </w:rPr>
              <w:t>湖口镇共计有公布未定级不可移动文物</w:t>
            </w:r>
            <w:r>
              <w:rPr>
                <w:szCs w:val="18"/>
              </w:rPr>
              <w:t>10</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午田村谢氏祠堂、午田村大门、瓜芸西村张氏祠堂、上门村张氏祠堂、上门村井、下地山村忠武第围门、蠡斯衍庆门楼、瓦子塘村井、三角吴氏祠堂、苦练树下村围楼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黄坑镇</w:t>
            </w:r>
          </w:p>
        </w:tc>
        <w:tc>
          <w:tcPr>
            <w:tcW w:w="0" w:type="auto"/>
            <w:vAlign w:val="center"/>
          </w:tcPr>
          <w:p>
            <w:pPr>
              <w:ind w:firstLine="0" w:firstLineChars="0"/>
            </w:pPr>
            <w:r>
              <w:rPr>
                <w:rFonts w:hint="eastAsia"/>
                <w:szCs w:val="18"/>
              </w:rPr>
              <w:t>黄坑镇共计有公布未定级不可移动文物</w:t>
            </w:r>
            <w:r>
              <w:rPr>
                <w:szCs w:val="18"/>
              </w:rPr>
              <w:t>33</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黄坑墟桥、溪江华第门楼、溪塘村常德祖祠、溪塘村陈氏德星遗庆祖厅、溪塘村溪澜毓秀门楼、溪塘村德星垣门楼、溪塘村辉秀第门楼、溪塘村满公祖祠、溪塘村紫微江秀门楼、溪塘村上门中房陈氏祖厅、溪塘村下门陈氏祖厅、社官前村何氏祖厅、社官前村四方井</w:t>
            </w:r>
          </w:p>
          <w:p>
            <w:pPr>
              <w:pStyle w:val="6"/>
              <w:spacing w:line="240" w:lineRule="auto"/>
              <w:ind w:firstLine="0" w:firstLineChars="0"/>
              <w:rPr>
                <w:rFonts w:ascii="宋体" w:hAnsi="宋体"/>
                <w:sz w:val="21"/>
                <w:szCs w:val="18"/>
              </w:rPr>
            </w:pPr>
            <w:r>
              <w:rPr>
                <w:rFonts w:hint="eastAsia" w:ascii="宋体" w:hAnsi="宋体"/>
                <w:sz w:val="21"/>
                <w:szCs w:val="18"/>
              </w:rPr>
              <w:t>云霞村杨氏私厅、云霞村杨氏宗祠、云霞村映云公祠、紫气东来廊门、大塘面村柱史流芳牌坊、水西村大塘面李氏祠堂、水西村李氏宗祠、塘源村廖屋四方井、塘源村吴屋大门、水西村温氏宗祠、水西村吴氏私厅、水西村吴氏宗祠、塘源坑村长方井、塘源坑村四方井、蔡屋场李氏祠堂、围背村刘氏宗祠、围背村刘氏祖厅、象湖村陈氏宗祠、象湖村西头陈屋大门、象湖村西头陈氏祖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江头镇</w:t>
            </w:r>
          </w:p>
        </w:tc>
        <w:tc>
          <w:tcPr>
            <w:tcW w:w="0" w:type="auto"/>
            <w:vAlign w:val="center"/>
          </w:tcPr>
          <w:p>
            <w:pPr>
              <w:ind w:firstLine="0" w:firstLineChars="0"/>
            </w:pPr>
            <w:r>
              <w:rPr>
                <w:rFonts w:hint="eastAsia"/>
                <w:szCs w:val="18"/>
              </w:rPr>
              <w:t>江头镇共计有公布未定级不可移动文物1</w:t>
            </w:r>
            <w:r>
              <w:rPr>
                <w:szCs w:val="18"/>
              </w:rPr>
              <w:t>4</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小竹桥、江头墟桥、长尾村高桥、长尾村桥、长尾村温屋围楼、南甫村关公庙、南甫村圩桥、上塘村钟氏祠堂、上塘村大门、下岭洞村围楼、涌溪村邓氏宗祠、老吴屋村龙母宫、吴屋书房、涌溪村井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界址镇</w:t>
            </w:r>
          </w:p>
        </w:tc>
        <w:tc>
          <w:tcPr>
            <w:tcW w:w="0" w:type="auto"/>
            <w:vAlign w:val="center"/>
          </w:tcPr>
          <w:p>
            <w:pPr>
              <w:ind w:firstLine="0" w:firstLineChars="0"/>
            </w:pPr>
            <w:r>
              <w:rPr>
                <w:rFonts w:hint="eastAsia"/>
                <w:szCs w:val="18"/>
              </w:rPr>
              <w:t>界址镇共计有公布未定级不可移动文物2</w:t>
            </w:r>
            <w:r>
              <w:rPr>
                <w:szCs w:val="18"/>
              </w:rPr>
              <w:t>0</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崇化村城门楼、埂头村瑞口堂、埂头村严氏宗祠、埂头村</w:t>
            </w:r>
            <w:r>
              <w:rPr>
                <w:rFonts w:ascii="宋体" w:hAnsi="宋体"/>
                <w:sz w:val="21"/>
                <w:szCs w:val="18"/>
              </w:rPr>
              <w:t>9号民居</w:t>
            </w:r>
            <w:r>
              <w:rPr>
                <w:rFonts w:hint="eastAsia" w:ascii="宋体" w:hAnsi="宋体"/>
                <w:sz w:val="21"/>
                <w:szCs w:val="18"/>
              </w:rPr>
              <w:t>、廷谳祖祠、严氏宗祠牌坊、黄坑村门楼、塘面老厅、大坑村龚氏宗祠、下坝村叶氏祠堂、洋街村董氏祖厅、叶坑村南阳世第、叶氏祖墓、叶坑村叶氏祠堂、叶坑村教书厅、叶坑村三宾堂、赵坑村董氏宗祠、赵屋村孟权祖祠、赵屋村赵氏宗祠、桂轩照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澜河镇</w:t>
            </w:r>
          </w:p>
        </w:tc>
        <w:tc>
          <w:tcPr>
            <w:tcW w:w="0" w:type="auto"/>
            <w:vAlign w:val="center"/>
          </w:tcPr>
          <w:p>
            <w:pPr>
              <w:ind w:firstLine="0" w:firstLineChars="0"/>
            </w:pPr>
            <w:r>
              <w:rPr>
                <w:rFonts w:hint="eastAsia"/>
                <w:szCs w:val="18"/>
              </w:rPr>
              <w:t>澜河镇共计有公布未定级不可移动文物1</w:t>
            </w:r>
            <w:r>
              <w:rPr>
                <w:szCs w:val="18"/>
              </w:rPr>
              <w:t>8</w:t>
            </w:r>
            <w:r>
              <w:rPr>
                <w:rFonts w:hint="eastAsia"/>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通济桥、官田桥、怡居阁围楼、洞底村桥、中洞村李氏宗祠、中洞村大拱桥、中洞村大庙、中洞村石桥、塔下村新围楼、上澜村桥、谭屋村下拱桥、谭屋村桥、谭屋村上拱桥、坦地村桥、下澜村土围楼、下澜村围楼、九盏江村桥、父子监元围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帽子峰镇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帽子峰镇共计有公布未定级不可移动文物1</w:t>
            </w:r>
            <w:r>
              <w:rPr>
                <w:rFonts w:ascii="宋体" w:hAnsi="宋体"/>
                <w:sz w:val="21"/>
                <w:szCs w:val="18"/>
              </w:rPr>
              <w:t>1</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平泉精舍围楼、佛岭下桥、黄沙坑村老屋井、黄沙坑村桥、黄沙坑村新屋井、谋贻奕世围楼、新屋谭氏祖厅、梨树北城门、梨树东城门、上田坑桥、田心坝社坛庙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南亩镇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南亩镇共计有公布未定级不可移动文物</w:t>
            </w:r>
            <w:r>
              <w:rPr>
                <w:rFonts w:ascii="宋体" w:hAnsi="宋体"/>
                <w:sz w:val="21"/>
                <w:szCs w:val="18"/>
              </w:rPr>
              <w:t>9</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实竹村石拱桥、文坑吊井边村井、文坑塘窝里村蔡氏宗祠、鱼鲜村花林寺</w:t>
            </w:r>
          </w:p>
          <w:p>
            <w:pPr>
              <w:pStyle w:val="6"/>
              <w:spacing w:line="240" w:lineRule="auto"/>
              <w:ind w:firstLine="0" w:firstLineChars="0"/>
              <w:rPr>
                <w:rFonts w:ascii="宋体" w:hAnsi="宋体"/>
                <w:sz w:val="21"/>
                <w:szCs w:val="18"/>
              </w:rPr>
            </w:pPr>
            <w:r>
              <w:rPr>
                <w:rFonts w:hint="eastAsia" w:ascii="宋体" w:hAnsi="宋体"/>
                <w:sz w:val="21"/>
                <w:szCs w:val="18"/>
              </w:rPr>
              <w:t>鱼鲜村王氏世盛堂、鱼鲜村王氏先祖堂、官溪井、官溪李氏宗祠牌坊、官溪李氏祖厅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坪田镇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坪田镇共计有公布未定级不可移动文物</w:t>
            </w:r>
            <w:r>
              <w:rPr>
                <w:rFonts w:ascii="宋体" w:hAnsi="宋体"/>
                <w:sz w:val="21"/>
                <w:szCs w:val="18"/>
              </w:rPr>
              <w:t>28</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背迳村桥、石塘村叶氏私厅、石塘村叶氏宗祠、石塘村永锡鸿禧门楼、野猪石村石拱桥、龙口桥、新龙墟桥（新圩村桥）、新圩村老店铺、冯上屋村桥、冯屋村枫树下桥、冯屋村冯氏祠堂、冯屋村祠前石桥、迳洞村桥、蕉江村赖氏祖墓、蕉江村赖氏祠堂、老龙墟井、董氏贵湖公祖厅、刘屋老坑村刘氏宗祠、石陂村盛德堂、姜塘村叶氏宗祠、龙口二村仙人桥、龙口村叶氏祠堂、坳背村邓氏宗祠、坳背村太傅名第门楼、五指坑村井、五指坑村李氏祠堂、杨梅坑村龚氏祠堂、河背水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全安镇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全安镇共计有公布未定级不可移动文物</w:t>
            </w:r>
            <w:r>
              <w:rPr>
                <w:rFonts w:ascii="宋体" w:hAnsi="宋体"/>
                <w:sz w:val="21"/>
                <w:szCs w:val="18"/>
              </w:rPr>
              <w:t>20</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同凌陂、大陂村围楼、莲塘坳围楼、珠坑村居安庐、半迳水村望夫桥、大坪围楼、古塘村雷公井、古塘村五侯庙、安如磐石围楼、荷树坑村井、长园村聂氏祖堂、密下水渡槽、密下水供销社、暖水塘井、暖水塘桥、暖水塘围楼、暖水塘林屋井、羊角村甘露禅院、巢石永固围楼、杨沥岩摩崖石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水口镇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水口镇共计有公布未定级不可移动文物1</w:t>
            </w:r>
            <w:r>
              <w:rPr>
                <w:rFonts w:ascii="宋体" w:hAnsi="宋体"/>
                <w:sz w:val="21"/>
                <w:szCs w:val="18"/>
              </w:rPr>
              <w:t>8</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河村老井、头渡渡槽、下门村何氏祖厅、河村何氏祠堂、合梁桥、泷头叶氏祠堂、叶屋围楼、篛过村水井、篛过村西门民居、大张村祖堂、卢屋村卢氏祖厅、水口战役纪念地、大部桥、黄竹潭遗址、下楼村大门、下楼村张氏宗祠、下楼村遗址、下楼围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乌迳镇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乌迳镇共计有公布未定级不可移动文物</w:t>
            </w:r>
            <w:r>
              <w:rPr>
                <w:rFonts w:ascii="宋体" w:hAnsi="宋体"/>
                <w:sz w:val="21"/>
                <w:szCs w:val="18"/>
              </w:rPr>
              <w:t>54</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白胜村叶氏祖厅、新田村爱敬堂、新田村继述堂、新田村文明楼、新田村西川公祠、新田村新屋（九井十八厅）、新田村叙伦堂、新田村玉珊祠、新田文明书院、新田村奎壁门楼、新田井、白胜桥、清白世家门楼、迳口村黄屋门楼、迳口村黄氏宗祠、大竹村祠前牌坊、大竹村叶氏祠堂、甘埠山遗址、溯水村叶氏宗祠、槐棘贻嶶民居、上高陂村恒盛宗祠、溯水村叶氏南受公祠、溯水村书房、溯水村叶氏南英公祖厅、官门楼村黄氏宗祠、官门楼村老井、凉爽树下凉亭、黄塘村观枢门楼、黄塘村乌石亭、船塘背村门楼、丛山湾桥、金钩湾村王氏祠堂、孔塘村赖氏宗祠、孔塘村赖氏祖厅、岗背村富茂祖祠、水城村上井、水城村下井、水城村叶氏宗祠、水松村永兴祠、水松下厅村董氏祖厅、水松村井、水松村老屋下四方井、水松村山坑井、寺前村崇隆堂、寺前村井、黄泥井村叶氏宗祠、宰府名家大门、松木塘村日川祖祠、田心村李氏祠堂、田心村井、杜屋围门、烂城村烂城门、乌迳古道桥、新坪湖张氏祖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油山镇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油山镇共计有公布未定级不可移动文物5</w:t>
            </w:r>
            <w:r>
              <w:rPr>
                <w:rFonts w:ascii="宋体" w:hAnsi="宋体"/>
                <w:sz w:val="21"/>
                <w:szCs w:val="18"/>
              </w:rPr>
              <w:t>5</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爱敬村笃本名家、爱敬村进士牌坊、猎树下黄氏祖厅、猎树下井、大兰村土地前石桥、孔闰墓、金星岩革命旧址、石人咀村桥、古城村李氏宗祠、古城村李氏祖厅、古城村桥、完初公祠前大门、真仙岩摩崖石刻、古城村李屋桥门、李屋明先公祠祠门、下门村道善公祠、毛湾村北桥、毛湾村庙下桥、黄地围门、郭氏都庆堂、永兴城门楼、井头村大夫第门坊、井头村上口井、井头村黄氏宗祠、井头村下口井、井头村兴祖祠、井头村正公祠、井头村</w:t>
            </w:r>
            <w:r>
              <w:rPr>
                <w:rFonts w:ascii="宋体" w:hAnsi="宋体"/>
                <w:sz w:val="21"/>
                <w:szCs w:val="18"/>
              </w:rPr>
              <w:t>24号民居</w:t>
            </w:r>
            <w:r>
              <w:rPr>
                <w:rFonts w:hint="eastAsia" w:ascii="宋体" w:hAnsi="宋体"/>
                <w:sz w:val="21"/>
                <w:szCs w:val="18"/>
              </w:rPr>
              <w:t>、上屋石桥、油店边石桥、莲山吊马岭石桥、平林村孔氏祠堂、平林村孔氏祖坟、平林桥、平林村诗礼堂、平林村上门井、平林村田心四方井、平林村田心石桥、岭南世家门坊、油山革命纪念碑、上茶田桥、社前桥、上浆田洋屋王氏宗祠、前宅村黄氏永思堂、上朔村北城门、上朔村渡槽、上朔村老城老井、上朔村老城门、上朔村徐氏宗祠、上朔村树德堂、上朔村洋屋彭氏祖厅、上朔徐氏祖厅、上门村尚书第、延村水城遗址、延村冯氏大宗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珠玑镇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珠玑镇共计有公布未定级不可移动文物6</w:t>
            </w:r>
            <w:r>
              <w:rPr>
                <w:rFonts w:ascii="宋体" w:hAnsi="宋体"/>
                <w:sz w:val="21"/>
                <w:szCs w:val="18"/>
              </w:rPr>
              <w:t>3</w:t>
            </w:r>
            <w:r>
              <w:rPr>
                <w:rFonts w:hint="eastAsia" w:ascii="宋体" w:hAnsi="宋体"/>
                <w:sz w:val="21"/>
                <w:szCs w:val="18"/>
              </w:rPr>
              <w:t>处，其中“珠玑叟里元上头元桥”与“</w:t>
            </w:r>
            <w:r>
              <w:rPr>
                <w:rFonts w:ascii="宋体" w:hAnsi="宋体"/>
                <w:sz w:val="21"/>
                <w:szCs w:val="18"/>
              </w:rPr>
              <w:t>叟里元上头元村石拱桥</w:t>
            </w:r>
            <w:r>
              <w:rPr>
                <w:rFonts w:hint="eastAsia" w:ascii="宋体" w:hAnsi="宋体"/>
                <w:sz w:val="21"/>
                <w:szCs w:val="18"/>
              </w:rPr>
              <w:t>”为同一处，“珠玑叟里元徐屋围楼”与“叟里元村黄泥巷徐屋围楼”为同一处。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珠玑古巷门楼、珠玑街门楼、珠玑楼、中站村城遗址、中站村四方井、中站村徐氏祖厅、中站徐氏宗祠、中站村围楼、福安围围楼、牛田刘屋祠堂、角湾村新老屋郭氏祖厅、角湾村新老屋井、茶园村围楼、里东禾坑围楼、里东迳口村围楼、老新围村围门、里东墟老店铺、里东上街围楼、里仁李氏郁文公祠、恒丰村红军标语、恒丰村围楼、恒丰村武义第、灵潭街围楼、灵潭街关帝庙、灵潭鸳鸯围、罗田井边村井、罗田村曾氏家祠、罗田渡槽、围俚村颖川世第门楼、梅岭村德兴和商铺、新路口村李屋围楼、钟鼓岩洞真古观、祗芫里井村井、祇芫马古星村围楼、马古星村西围楼、祇芫城址、祇芫村北门围楼、上嵩村何氏祠堂、大口江村码头渠桥、叟里元上头元村石拱桥、珠玑叟里元上头元桥、叟里元村黄泥巷徐屋围楼、珠玑叟里元徐屋围楼、下卢屋村围楼、何昶墓、马屋村围楼、马屋村马氏祠堂照壁、泰源钟屋祖厅</w:t>
            </w:r>
          </w:p>
          <w:p>
            <w:pPr>
              <w:pStyle w:val="6"/>
              <w:spacing w:line="240" w:lineRule="auto"/>
              <w:ind w:firstLine="0" w:firstLineChars="0"/>
              <w:rPr>
                <w:rFonts w:ascii="宋体" w:hAnsi="宋体"/>
                <w:sz w:val="21"/>
                <w:szCs w:val="18"/>
              </w:rPr>
            </w:pPr>
            <w:r>
              <w:rPr>
                <w:rFonts w:hint="eastAsia" w:ascii="宋体" w:hAnsi="宋体"/>
                <w:sz w:val="21"/>
                <w:szCs w:val="18"/>
              </w:rPr>
              <w:t>元昌店钟屋祖厅、塘东村叶氏宗祠、细塘东村檀德庐门楼、细塘东村禘茂公祠、细塘东村叶氏小祖厅、塘东徐屋围楼、徐屋村魁我公祠、三驳桥老屋刘氏祠堂、三驳桥老张屋四方井、三佳村围楼、修上古庙、珠玑古巷九眼井、珠玑巷雷氏祖居、珠玑巷刘氏宗祠、珠玑谢氏围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0" w:type="auto"/>
            <w:vAlign w:val="center"/>
          </w:tcPr>
          <w:p>
            <w:pPr>
              <w:pStyle w:val="6"/>
              <w:spacing w:line="240" w:lineRule="auto"/>
              <w:ind w:firstLine="0" w:firstLineChars="0"/>
              <w:jc w:val="center"/>
              <w:rPr>
                <w:rFonts w:ascii="宋体" w:hAnsi="宋体"/>
                <w:sz w:val="21"/>
                <w:szCs w:val="18"/>
              </w:rPr>
            </w:pPr>
            <w:r>
              <w:rPr>
                <w:rFonts w:hint="eastAsia" w:ascii="宋体" w:hAnsi="宋体"/>
                <w:sz w:val="21"/>
                <w:szCs w:val="18"/>
              </w:rPr>
              <w:t>主田镇</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主田镇共计有公布未定级不可移动文物</w:t>
            </w:r>
            <w:r>
              <w:rPr>
                <w:rFonts w:ascii="宋体" w:hAnsi="宋体"/>
                <w:sz w:val="21"/>
                <w:szCs w:val="18"/>
              </w:rPr>
              <w:t>8</w:t>
            </w:r>
            <w:r>
              <w:rPr>
                <w:rFonts w:hint="eastAsia" w:ascii="宋体" w:hAnsi="宋体"/>
                <w:sz w:val="21"/>
                <w:szCs w:val="18"/>
              </w:rPr>
              <w:t>处。</w:t>
            </w:r>
          </w:p>
        </w:tc>
        <w:tc>
          <w:tcPr>
            <w:tcW w:w="0" w:type="auto"/>
            <w:vAlign w:val="center"/>
          </w:tcPr>
          <w:p>
            <w:pPr>
              <w:pStyle w:val="6"/>
              <w:spacing w:line="240" w:lineRule="auto"/>
              <w:ind w:firstLine="0" w:firstLineChars="0"/>
              <w:rPr>
                <w:rFonts w:ascii="宋体" w:hAnsi="宋体"/>
                <w:sz w:val="21"/>
                <w:szCs w:val="18"/>
              </w:rPr>
            </w:pPr>
            <w:r>
              <w:rPr>
                <w:rFonts w:hint="eastAsia" w:ascii="宋体" w:hAnsi="宋体"/>
                <w:sz w:val="21"/>
                <w:szCs w:val="18"/>
              </w:rPr>
              <w:t>黄土伦围楼、守望咸宜围楼、大坝南坑村围楼、大坋岭村奕世安居、张天坵村围楼、风雨攸除围楼、上洞村石室、上洞村攸宁别墅</w:t>
            </w:r>
          </w:p>
        </w:tc>
      </w:tr>
    </w:tbl>
    <w:p>
      <w:pPr>
        <w:ind w:firstLine="420"/>
      </w:pPr>
    </w:p>
    <w:p>
      <w:pPr>
        <w:ind w:firstLine="420"/>
      </w:pPr>
    </w:p>
    <w:p>
      <w:pPr>
        <w:ind w:firstLine="420"/>
      </w:pPr>
      <w:r>
        <w:br w:type="page"/>
      </w:r>
    </w:p>
    <w:p>
      <w:pPr>
        <w:pStyle w:val="4"/>
        <w:sectPr>
          <w:type w:val="continuous"/>
          <w:pgSz w:w="23814" w:h="16839" w:orient="landscape"/>
          <w:pgMar w:top="1080" w:right="1440" w:bottom="1080" w:left="1440" w:header="851" w:footer="737" w:gutter="0"/>
          <w:cols w:space="425" w:num="2"/>
          <w:docGrid w:type="lines" w:linePitch="312" w:charSpace="0"/>
        </w:sectPr>
      </w:pPr>
    </w:p>
    <w:p>
      <w:pPr>
        <w:pStyle w:val="3"/>
        <w:spacing w:before="0" w:after="0"/>
        <w:ind w:firstLine="482"/>
        <w:rPr>
          <w:rFonts w:ascii="Times" w:hAnsi="Times" w:cs="宋体"/>
          <w:bCs w:val="0"/>
          <w:sz w:val="28"/>
          <w:szCs w:val="28"/>
        </w:rPr>
      </w:pPr>
      <w:bookmarkStart w:id="234" w:name="_Toc204964389"/>
      <w:r>
        <w:rPr>
          <w:rFonts w:hint="eastAsia" w:ascii="Times" w:hAnsi="Times" w:cs="宋体"/>
          <w:bCs w:val="0"/>
          <w:sz w:val="28"/>
          <w:szCs w:val="28"/>
        </w:rPr>
        <w:t>附表</w:t>
      </w:r>
      <w:r>
        <w:rPr>
          <w:rFonts w:ascii="Times" w:hAnsi="Times" w:cs="宋体"/>
          <w:bCs w:val="0"/>
          <w:sz w:val="28"/>
          <w:szCs w:val="28"/>
        </w:rPr>
        <w:t>9</w:t>
      </w:r>
      <w:r>
        <w:rPr>
          <w:rFonts w:hint="eastAsia" w:ascii="Times" w:hAnsi="Times" w:cs="宋体"/>
          <w:bCs w:val="0"/>
          <w:sz w:val="28"/>
          <w:szCs w:val="28"/>
        </w:rPr>
        <w:t>：历史建筑一览表</w:t>
      </w:r>
      <w:bookmarkEnd w:id="234"/>
    </w:p>
    <w:p>
      <w:pPr>
        <w:spacing w:line="240" w:lineRule="auto"/>
        <w:ind w:firstLine="0" w:firstLineChars="0"/>
        <w:jc w:val="center"/>
        <w:rPr>
          <w:b/>
          <w:bCs/>
          <w:szCs w:val="21"/>
        </w:rPr>
        <w:sectPr>
          <w:type w:val="continuous"/>
          <w:pgSz w:w="23814" w:h="16839" w:orient="landscape"/>
          <w:pgMar w:top="1080" w:right="1440" w:bottom="1080" w:left="1440" w:header="851" w:footer="737" w:gutter="0"/>
          <w:cols w:space="425" w:num="1"/>
          <w:docGrid w:type="lines" w:linePitch="312" w:charSpace="0"/>
        </w:sectPr>
      </w:pPr>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2180"/>
        <w:gridCol w:w="1679"/>
        <w:gridCol w:w="1981"/>
        <w:gridCol w:w="2287"/>
        <w:gridCol w:w="14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412"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序号</w:t>
            </w:r>
          </w:p>
        </w:tc>
        <w:tc>
          <w:tcPr>
            <w:tcW w:w="1041"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名称</w:t>
            </w:r>
          </w:p>
        </w:tc>
        <w:tc>
          <w:tcPr>
            <w:tcW w:w="802"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年代</w:t>
            </w:r>
          </w:p>
        </w:tc>
        <w:tc>
          <w:tcPr>
            <w:tcW w:w="946"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类型</w:t>
            </w:r>
          </w:p>
        </w:tc>
        <w:tc>
          <w:tcPr>
            <w:tcW w:w="1092"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地址</w:t>
            </w:r>
          </w:p>
        </w:tc>
        <w:tc>
          <w:tcPr>
            <w:tcW w:w="707" w:type="pct"/>
            <w:shd w:val="clear" w:color="auto" w:fill="D0CECE" w:themeFill="background2" w:themeFillShade="E6"/>
            <w:vAlign w:val="center"/>
          </w:tcPr>
          <w:p>
            <w:pPr>
              <w:spacing w:line="240" w:lineRule="auto"/>
              <w:ind w:firstLine="0" w:firstLineChars="0"/>
              <w:jc w:val="center"/>
              <w:rPr>
                <w:rFonts w:cs="宋体"/>
                <w:b/>
                <w:bCs/>
                <w:color w:val="FFFFFF"/>
                <w:kern w:val="0"/>
                <w:szCs w:val="21"/>
              </w:rPr>
            </w:pPr>
            <w:r>
              <w:rPr>
                <w:rFonts w:hint="eastAsia"/>
                <w:b/>
                <w:bCs/>
                <w:szCs w:val="21"/>
              </w:rPr>
              <w:t>历史功能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bookmarkStart w:id="235" w:name="_Hlk169628937"/>
            <w:r>
              <w:rPr>
                <w:rFonts w:hint="eastAsia" w:cs="宋体"/>
                <w:color w:val="000000"/>
                <w:kern w:val="0"/>
                <w:szCs w:val="21"/>
              </w:rPr>
              <w:t>1</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董氏贵湖公祖厅</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坪田镇老龙村委会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南雄古市人民会场</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1972年</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古市镇古市村委会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3</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修仁人民会场</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建于七十年代初期</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古市镇修仁村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4</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村前村头门</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清光绪年间</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百顺镇百顺村委会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交通设施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5</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密下水供销社</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20世纪60年代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全安镇密下水村委会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6</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邱萃藻故居</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1940年</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全安镇全安村郭公岭村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7</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梨树北城门</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帽子峰镇梨树村委会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防御设施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8</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梨树东城门</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帽子峰镇梨树村委会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防御设施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9</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上朔树德堂</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油山镇上朔村委会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10</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彭家大院</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油山镇上朔村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11</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黄坑村亲仁第</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清朝</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界址镇崇化村委黄坑村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12</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黄竹坪朱氏宗祠</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水口镇下楼村黄竹坪村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13</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上高陂王氏宗祠（高溯村祠堂)</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明朝末期</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乌迳镇高溯村委会上高陂村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14</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孔江古桥</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乌迳镇孔江村委会</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交通设施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15</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人民公园牌坊</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二十世纪七十年代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雄州街道八一街</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16</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梅岭村德兴和商铺</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珠玑镇梅岭村梅关古驿道旁</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商贸建筑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17</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珠玑古巷牌坊</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上世纪九十年代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珠玑镇珠玑古巷南端广场</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18</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珠玑黄氏宗祠</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19</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珠玑黄氏祖居</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20</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珠玑谢氏祠堂</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21</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珠玑钟氏祠堂</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22</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珠玑周氏祠堂</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珠玑镇珠玑古巷</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23</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下马碑廊</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宋代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珠玑镇梅岭村雉公嵊</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交通设施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24</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洋湖老书房</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珠玑镇洋湖村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25</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洋湖濂溪周公祠</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珠玑镇洋湖村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26</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洋湖卢氏宗祠</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清代</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珠玑镇洋湖村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bookmarkStart w:id="236" w:name="_Hlk209532787"/>
            <w:r>
              <w:rPr>
                <w:rFonts w:hint="eastAsia" w:cs="宋体"/>
                <w:color w:val="000000"/>
                <w:kern w:val="0"/>
                <w:szCs w:val="21"/>
              </w:rPr>
              <w:t>27</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上孔围楼</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清朝末期</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近代现代重要史迹和代表性建筑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主田镇塘山村上孔村</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防御设施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28</w:t>
            </w:r>
          </w:p>
        </w:tc>
        <w:tc>
          <w:tcPr>
            <w:tcW w:w="1041"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孔地古桥</w:t>
            </w:r>
          </w:p>
        </w:tc>
        <w:tc>
          <w:tcPr>
            <w:tcW w:w="80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清朝顺治年间</w:t>
            </w:r>
          </w:p>
        </w:tc>
        <w:tc>
          <w:tcPr>
            <w:tcW w:w="946"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古建筑</w:t>
            </w:r>
          </w:p>
        </w:tc>
        <w:tc>
          <w:tcPr>
            <w:tcW w:w="1092"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主田镇窑合村孔地村小组</w:t>
            </w:r>
          </w:p>
        </w:tc>
        <w:tc>
          <w:tcPr>
            <w:tcW w:w="707" w:type="pct"/>
            <w:vAlign w:val="center"/>
          </w:tcPr>
          <w:p>
            <w:pPr>
              <w:spacing w:line="240" w:lineRule="auto"/>
              <w:ind w:firstLine="0" w:firstLineChars="0"/>
              <w:jc w:val="center"/>
              <w:rPr>
                <w:rFonts w:cs="宋体"/>
                <w:color w:val="000000"/>
                <w:kern w:val="0"/>
                <w:szCs w:val="21"/>
              </w:rPr>
            </w:pPr>
            <w:r>
              <w:rPr>
                <w:rFonts w:hint="eastAsia" w:cs="宋体"/>
                <w:color w:val="000000"/>
                <w:kern w:val="0"/>
                <w:szCs w:val="21"/>
              </w:rPr>
              <w:t>交通设施</w:t>
            </w:r>
          </w:p>
        </w:tc>
      </w:tr>
      <w:bookmarkEnd w:id="235"/>
      <w:bookmarkEnd w:id="236"/>
    </w:tbl>
    <w:p>
      <w:pPr>
        <w:ind w:firstLine="420"/>
      </w:pPr>
    </w:p>
    <w:p>
      <w:pPr>
        <w:ind w:firstLine="420"/>
      </w:pPr>
    </w:p>
    <w:p>
      <w:pPr>
        <w:ind w:firstLine="420"/>
        <w:sectPr>
          <w:type w:val="continuous"/>
          <w:pgSz w:w="23814" w:h="16839" w:orient="landscape"/>
          <w:pgMar w:top="1080" w:right="1440" w:bottom="1080" w:left="1440" w:header="851" w:footer="737" w:gutter="0"/>
          <w:cols w:space="425" w:num="2"/>
          <w:docGrid w:type="lines" w:linePitch="312" w:charSpace="0"/>
        </w:sectPr>
      </w:pPr>
    </w:p>
    <w:p>
      <w:pPr>
        <w:pStyle w:val="3"/>
        <w:spacing w:before="0" w:after="0"/>
        <w:ind w:firstLine="482"/>
        <w:rPr>
          <w:rFonts w:ascii="Times" w:hAnsi="Times" w:cs="宋体"/>
          <w:bCs w:val="0"/>
          <w:sz w:val="28"/>
          <w:szCs w:val="28"/>
        </w:rPr>
      </w:pPr>
      <w:bookmarkStart w:id="237" w:name="_Toc204964390"/>
      <w:r>
        <w:rPr>
          <w:rFonts w:hint="eastAsia" w:ascii="Times" w:hAnsi="Times" w:cs="宋体"/>
          <w:bCs w:val="0"/>
          <w:sz w:val="28"/>
          <w:szCs w:val="28"/>
        </w:rPr>
        <w:t>附表</w:t>
      </w:r>
      <w:r>
        <w:rPr>
          <w:rFonts w:ascii="Times" w:hAnsi="Times" w:cs="宋体"/>
          <w:bCs w:val="0"/>
          <w:sz w:val="28"/>
          <w:szCs w:val="28"/>
        </w:rPr>
        <w:t>10</w:t>
      </w:r>
      <w:r>
        <w:rPr>
          <w:rFonts w:hint="eastAsia" w:ascii="Times" w:hAnsi="Times" w:cs="宋体"/>
          <w:bCs w:val="0"/>
          <w:sz w:val="28"/>
          <w:szCs w:val="28"/>
        </w:rPr>
        <w:t>：推荐历史建筑一览表</w:t>
      </w:r>
      <w:bookmarkEnd w:id="237"/>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2661"/>
        <w:gridCol w:w="1371"/>
        <w:gridCol w:w="2134"/>
        <w:gridCol w:w="2452"/>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328" w:type="pct"/>
            <w:shd w:val="clear" w:color="auto" w:fill="D0CECE" w:themeFill="background2" w:themeFillShade="E6"/>
            <w:noWrap/>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序号</w:t>
            </w:r>
          </w:p>
        </w:tc>
        <w:tc>
          <w:tcPr>
            <w:tcW w:w="1271"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名称</w:t>
            </w:r>
          </w:p>
        </w:tc>
        <w:tc>
          <w:tcPr>
            <w:tcW w:w="655"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始建年代</w:t>
            </w:r>
          </w:p>
        </w:tc>
        <w:tc>
          <w:tcPr>
            <w:tcW w:w="1019"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类型</w:t>
            </w:r>
          </w:p>
        </w:tc>
        <w:tc>
          <w:tcPr>
            <w:tcW w:w="1171"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地址</w:t>
            </w:r>
          </w:p>
        </w:tc>
        <w:tc>
          <w:tcPr>
            <w:tcW w:w="556"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历史功能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下龙勾巷6号、7号建筑</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南雄市雄州街道下龙勾巷6号、7号</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彭显模故居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1910年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上朔彭氏旧屋——朱德居住旧址</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4</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欧氏宗祠</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5</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彭显伦将军故居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1908年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6</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柴岭人民会场</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建设于七十年代初期</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南雄市古市镇柴岭村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7</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张尚琼故居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南雄市湖口镇湖口村张屋村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8</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李氏祖厅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南雄市水口镇大部村李屋自然村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9</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王瑞东住屋楼</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清代光绪年间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kern w:val="0"/>
                <w:szCs w:val="21"/>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南雄市南亩镇三槐堂村小组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10</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内水第</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南雄市南亩镇内水陂村小组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11</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思成堂</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南雄市南亩镇三房村小组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12</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三槐堂</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明代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南雄市南亩镇三槐堂村小组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13</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余庆堂</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南雄市南亩镇樟树下村小组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14</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李氏祠堂</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南雄市南亩镇李屋村小组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15</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书院</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明代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南雄市南亩镇三房村小组</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文化设施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16</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叶修林烈士故居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民国初期</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南雄市界址镇大坊村雷公坑村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17</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永泰门</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交通设施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18</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船塘背宗祠</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1851年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kern w:val="0"/>
                <w:szCs w:val="21"/>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19</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叶明魁烈士故居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1936年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近代现代重要史迹和代表性建筑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南雄市乌迳镇山下村水城村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20</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大夫第</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唐</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21</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正宜书院</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清康熙年间</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22</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01</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23</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02</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24</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03</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25</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04</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26</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05</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27</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06</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28</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07</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29</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民宅</w:t>
            </w:r>
            <w:r>
              <w:t>08</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30</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紫气高腾民宅</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31</w:t>
            </w:r>
          </w:p>
        </w:tc>
        <w:tc>
          <w:tcPr>
            <w:tcW w:w="1271"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吉庆堂</w:t>
            </w:r>
          </w:p>
        </w:tc>
        <w:tc>
          <w:tcPr>
            <w:tcW w:w="655" w:type="pct"/>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清中期</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32</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巡检司</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明代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南雄市百顺镇黄屋城村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官署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33</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泰源张氏祠堂——水口战役红一军团驻地旧址</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南雄市珠玑镇泰源村迳心村</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祭祀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34</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张昌故居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始建于唐，宋初重建，历代修葺</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南雄市珠玑镇珠玑古巷</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8"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35</w:t>
            </w:r>
          </w:p>
        </w:tc>
        <w:tc>
          <w:tcPr>
            <w:tcW w:w="12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周群标故居</w:t>
            </w:r>
          </w:p>
        </w:tc>
        <w:tc>
          <w:tcPr>
            <w:tcW w:w="655"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1019"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古建筑</w:t>
            </w:r>
          </w:p>
        </w:tc>
        <w:tc>
          <w:tcPr>
            <w:tcW w:w="117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南雄市珠玑镇珠玑古巷</w:t>
            </w:r>
          </w:p>
        </w:tc>
        <w:tc>
          <w:tcPr>
            <w:tcW w:w="55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传统民居</w:t>
            </w:r>
          </w:p>
        </w:tc>
      </w:tr>
    </w:tbl>
    <w:p>
      <w:pPr>
        <w:ind w:firstLine="480"/>
        <w:rPr>
          <w:rFonts w:ascii="Times" w:hAnsi="Times" w:cs="宋体"/>
          <w:sz w:val="24"/>
          <w:szCs w:val="24"/>
        </w:rPr>
      </w:pPr>
    </w:p>
    <w:p>
      <w:pPr>
        <w:pStyle w:val="3"/>
        <w:spacing w:before="0" w:after="0"/>
        <w:ind w:firstLine="482"/>
        <w:rPr>
          <w:rFonts w:ascii="Times" w:hAnsi="Times" w:cs="宋体"/>
          <w:bCs w:val="0"/>
          <w:sz w:val="28"/>
          <w:szCs w:val="28"/>
        </w:rPr>
      </w:pPr>
      <w:bookmarkStart w:id="238" w:name="_Toc204964391"/>
      <w:r>
        <w:rPr>
          <w:rFonts w:hint="eastAsia" w:ascii="Times" w:hAnsi="Times" w:cs="宋体"/>
          <w:bCs w:val="0"/>
          <w:sz w:val="28"/>
          <w:szCs w:val="28"/>
        </w:rPr>
        <w:t>附表</w:t>
      </w:r>
      <w:r>
        <w:rPr>
          <w:rFonts w:ascii="Times" w:hAnsi="Times" w:cs="宋体"/>
          <w:bCs w:val="0"/>
          <w:sz w:val="28"/>
          <w:szCs w:val="28"/>
        </w:rPr>
        <w:t>11</w:t>
      </w:r>
      <w:r>
        <w:rPr>
          <w:rFonts w:hint="eastAsia" w:ascii="Times" w:hAnsi="Times" w:cs="宋体"/>
          <w:bCs w:val="0"/>
          <w:sz w:val="28"/>
          <w:szCs w:val="28"/>
        </w:rPr>
        <w:t>：推荐传统风貌建筑一览表</w:t>
      </w:r>
      <w:bookmarkEnd w:id="238"/>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1688"/>
        <w:gridCol w:w="1219"/>
        <w:gridCol w:w="1677"/>
        <w:gridCol w:w="1219"/>
        <w:gridCol w:w="1369"/>
        <w:gridCol w:w="25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shd w:val="clear" w:color="auto" w:fill="D0CECE" w:themeFill="background2" w:themeFillShade="E6"/>
            <w:noWrap/>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序号</w:t>
            </w:r>
          </w:p>
        </w:tc>
        <w:tc>
          <w:tcPr>
            <w:tcW w:w="806"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建筑名称</w:t>
            </w:r>
          </w:p>
        </w:tc>
        <w:tc>
          <w:tcPr>
            <w:tcW w:w="582"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建筑年代</w:t>
            </w:r>
          </w:p>
        </w:tc>
        <w:tc>
          <w:tcPr>
            <w:tcW w:w="801"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建筑功能</w:t>
            </w:r>
          </w:p>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（使用状况）</w:t>
            </w:r>
          </w:p>
        </w:tc>
        <w:tc>
          <w:tcPr>
            <w:tcW w:w="582"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占地面积（㎡）</w:t>
            </w:r>
          </w:p>
        </w:tc>
        <w:tc>
          <w:tcPr>
            <w:tcW w:w="654"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现状</w:t>
            </w:r>
          </w:p>
        </w:tc>
        <w:tc>
          <w:tcPr>
            <w:tcW w:w="1218" w:type="pct"/>
            <w:shd w:val="clear" w:color="auto" w:fill="D0CECE" w:themeFill="background2" w:themeFillShade="E6"/>
            <w:vAlign w:val="center"/>
          </w:tcPr>
          <w:p>
            <w:pPr>
              <w:spacing w:line="240" w:lineRule="auto"/>
              <w:ind w:firstLine="0" w:firstLineChars="0"/>
              <w:jc w:val="center"/>
              <w:rPr>
                <w:rFonts w:cs="宋体"/>
                <w:b/>
                <w:bCs/>
                <w:color w:val="000000" w:themeColor="text1"/>
                <w:kern w:val="0"/>
                <w:szCs w:val="21"/>
                <w14:textFill>
                  <w14:solidFill>
                    <w14:schemeClr w14:val="tx1"/>
                  </w14:solidFill>
                </w14:textFill>
              </w:rPr>
            </w:pPr>
            <w:r>
              <w:rPr>
                <w:rFonts w:hint="eastAsia" w:cs="宋体"/>
                <w:b/>
                <w:bCs/>
                <w:color w:val="000000" w:themeColor="text1"/>
                <w:kern w:val="0"/>
                <w:szCs w:val="21"/>
                <w14:textFill>
                  <w14:solidFill>
                    <w14:schemeClr w14:val="tx1"/>
                  </w14:solidFill>
                </w14:textFill>
              </w:rPr>
              <w:t>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上朔天爵祠</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清代</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聚会议事</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592.18</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保存良好</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上朔欧氏宗祠</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明代</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闲置</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414</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保存一般</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3</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上朔妥先处</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明末清初</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聚会议事</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95.6</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保存一般</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南雄市油山镇上朔村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4</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玉鉴祠</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明嘉靖末年</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祠堂</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w:t>
            </w:r>
            <w:r>
              <w:rPr>
                <w:rFonts w:cs="宋体"/>
                <w:color w:val="000000" w:themeColor="text1"/>
                <w:kern w:val="0"/>
                <w:szCs w:val="21"/>
                <w14:textFill>
                  <w14:solidFill>
                    <w14:schemeClr w14:val="tx1"/>
                  </w14:solidFill>
                </w14:textFill>
              </w:rPr>
              <w:t>53</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保存良好</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5</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缵绪堂</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rPr>
              <w:t>明末清初</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祠堂</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1</w:t>
            </w:r>
            <w:r>
              <w:rPr>
                <w:rFonts w:cs="宋体"/>
                <w:color w:val="000000" w:themeColor="text1"/>
                <w:kern w:val="0"/>
                <w:szCs w:val="21"/>
                <w14:textFill>
                  <w14:solidFill>
                    <w14:schemeClr w14:val="tx1"/>
                  </w14:solidFill>
                </w14:textFill>
              </w:rPr>
              <w:t>19</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保存良好</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南雄市乌迳镇新田村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6</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珠玑驷马桥</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20世纪90年代</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通行</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74.5</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保存良好</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南雄市珠玑镇珠玑古巷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57" w:type="pct"/>
            <w:noWrap/>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7</w:t>
            </w:r>
          </w:p>
        </w:tc>
        <w:tc>
          <w:tcPr>
            <w:tcW w:w="806"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珠玑双龙桥</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20世纪90年代</w:t>
            </w:r>
          </w:p>
        </w:tc>
        <w:tc>
          <w:tcPr>
            <w:tcW w:w="801"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通行</w:t>
            </w:r>
          </w:p>
        </w:tc>
        <w:tc>
          <w:tcPr>
            <w:tcW w:w="582"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211.46</w:t>
            </w:r>
          </w:p>
        </w:tc>
        <w:tc>
          <w:tcPr>
            <w:tcW w:w="654"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保存良好</w:t>
            </w:r>
          </w:p>
        </w:tc>
        <w:tc>
          <w:tcPr>
            <w:tcW w:w="1218" w:type="pct"/>
            <w:vAlign w:val="center"/>
          </w:tcPr>
          <w:p>
            <w:pPr>
              <w:spacing w:line="240" w:lineRule="auto"/>
              <w:ind w:firstLine="0" w:firstLineChars="0"/>
              <w:jc w:val="center"/>
              <w:rPr>
                <w:rFonts w:cs="宋体"/>
                <w:color w:val="000000" w:themeColor="text1"/>
                <w:kern w:val="0"/>
                <w:szCs w:val="21"/>
                <w14:textFill>
                  <w14:solidFill>
                    <w14:schemeClr w14:val="tx1"/>
                  </w14:solidFill>
                </w14:textFill>
              </w:rPr>
            </w:pPr>
            <w:r>
              <w:rPr>
                <w:rFonts w:hint="eastAsia" w:cs="宋体"/>
                <w:color w:val="000000" w:themeColor="text1"/>
                <w:kern w:val="0"/>
                <w:szCs w:val="21"/>
                <w14:textFill>
                  <w14:solidFill>
                    <w14:schemeClr w14:val="tx1"/>
                  </w14:solidFill>
                </w14:textFill>
              </w:rPr>
              <w:t>南雄市珠玑镇珠玑古巷</w:t>
            </w:r>
          </w:p>
        </w:tc>
      </w:tr>
    </w:tbl>
    <w:p>
      <w:pPr>
        <w:ind w:firstLine="420"/>
      </w:pPr>
    </w:p>
    <w:p>
      <w:pPr>
        <w:ind w:firstLine="420"/>
      </w:pPr>
    </w:p>
    <w:p>
      <w:pPr>
        <w:ind w:firstLine="420"/>
      </w:pPr>
    </w:p>
    <w:p>
      <w:pPr>
        <w:pStyle w:val="3"/>
        <w:spacing w:before="0" w:after="0"/>
        <w:ind w:firstLine="482"/>
        <w:rPr>
          <w:rFonts w:ascii="Times" w:hAnsi="Times" w:cs="宋体"/>
          <w:bCs w:val="0"/>
          <w:sz w:val="28"/>
          <w:szCs w:val="28"/>
        </w:rPr>
        <w:sectPr>
          <w:pgSz w:w="23811" w:h="16838" w:orient="landscape"/>
          <w:pgMar w:top="1080" w:right="1440" w:bottom="1080" w:left="1440" w:header="851" w:footer="737" w:gutter="0"/>
          <w:cols w:space="425" w:num="2"/>
          <w:docGrid w:type="lines" w:linePitch="312" w:charSpace="0"/>
        </w:sectPr>
      </w:pPr>
    </w:p>
    <w:p>
      <w:pPr>
        <w:pStyle w:val="3"/>
        <w:spacing w:before="0" w:after="0"/>
        <w:ind w:firstLine="482"/>
        <w:rPr>
          <w:rFonts w:ascii="Times" w:hAnsi="Times" w:cs="宋体"/>
          <w:bCs w:val="0"/>
          <w:sz w:val="28"/>
          <w:szCs w:val="28"/>
        </w:rPr>
      </w:pPr>
      <w:bookmarkStart w:id="239" w:name="_Toc204964392"/>
      <w:r>
        <w:rPr>
          <w:rFonts w:hint="eastAsia" w:ascii="Times" w:hAnsi="Times" w:cs="宋体"/>
          <w:bCs w:val="0"/>
          <w:sz w:val="28"/>
          <w:szCs w:val="28"/>
        </w:rPr>
        <w:t>附表1</w:t>
      </w:r>
      <w:r>
        <w:rPr>
          <w:rFonts w:ascii="Times" w:hAnsi="Times" w:cs="宋体"/>
          <w:bCs w:val="0"/>
          <w:sz w:val="28"/>
          <w:szCs w:val="28"/>
        </w:rPr>
        <w:t>2</w:t>
      </w:r>
      <w:r>
        <w:rPr>
          <w:rFonts w:hint="eastAsia" w:ascii="Times" w:hAnsi="Times" w:cs="宋体"/>
          <w:bCs w:val="0"/>
          <w:sz w:val="28"/>
          <w:szCs w:val="28"/>
        </w:rPr>
        <w:t>：古树名木保护一览表</w:t>
      </w:r>
      <w:bookmarkEnd w:id="239"/>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3"/>
        <w:gridCol w:w="2673"/>
        <w:gridCol w:w="2343"/>
        <w:gridCol w:w="2631"/>
        <w:gridCol w:w="3058"/>
        <w:gridCol w:w="5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1235" w:type="pct"/>
            <w:vMerge w:val="restart"/>
            <w:shd w:val="clear" w:color="auto" w:fill="D8D8D8" w:themeFill="background1" w:themeFillShade="D9"/>
            <w:vAlign w:val="center"/>
          </w:tcPr>
          <w:p>
            <w:pPr>
              <w:widowControl/>
              <w:spacing w:line="240" w:lineRule="auto"/>
              <w:ind w:firstLine="0" w:firstLineChars="0"/>
              <w:jc w:val="center"/>
              <w:rPr>
                <w:rFonts w:cs="Times New Roman"/>
                <w:b/>
                <w:bCs/>
                <w:kern w:val="0"/>
                <w:sz w:val="21"/>
                <w:szCs w:val="21"/>
              </w:rPr>
            </w:pPr>
            <w:r>
              <w:rPr>
                <w:rFonts w:hint="eastAsia" w:cs="Times New Roman"/>
                <w:b/>
                <w:bCs/>
                <w:kern w:val="0"/>
                <w:sz w:val="21"/>
                <w:szCs w:val="21"/>
              </w:rPr>
              <w:t>镇/街名称</w:t>
            </w:r>
          </w:p>
        </w:tc>
        <w:tc>
          <w:tcPr>
            <w:tcW w:w="2531" w:type="pct"/>
            <w:gridSpan w:val="4"/>
            <w:shd w:val="clear" w:color="auto" w:fill="D8D8D8" w:themeFill="background1" w:themeFillShade="D9"/>
            <w:vAlign w:val="center"/>
          </w:tcPr>
          <w:p>
            <w:pPr>
              <w:widowControl/>
              <w:spacing w:line="240" w:lineRule="auto"/>
              <w:ind w:firstLine="0" w:firstLineChars="0"/>
              <w:jc w:val="center"/>
              <w:rPr>
                <w:rFonts w:cs="Times New Roman"/>
                <w:b/>
                <w:bCs/>
                <w:kern w:val="0"/>
                <w:sz w:val="21"/>
                <w:szCs w:val="21"/>
              </w:rPr>
            </w:pPr>
            <w:r>
              <w:rPr>
                <w:rFonts w:hint="eastAsia" w:cs="Times New Roman"/>
                <w:b/>
                <w:bCs/>
                <w:kern w:val="0"/>
                <w:sz w:val="21"/>
                <w:szCs w:val="21"/>
              </w:rPr>
              <w:t>古树名木</w:t>
            </w:r>
          </w:p>
        </w:tc>
        <w:tc>
          <w:tcPr>
            <w:tcW w:w="1235" w:type="pct"/>
            <w:vMerge w:val="restart"/>
            <w:shd w:val="clear" w:color="auto" w:fill="D8D8D8" w:themeFill="background1" w:themeFillShade="D9"/>
            <w:vAlign w:val="center"/>
          </w:tcPr>
          <w:p>
            <w:pPr>
              <w:widowControl/>
              <w:spacing w:line="240" w:lineRule="auto"/>
              <w:ind w:firstLine="0" w:firstLineChars="0"/>
              <w:jc w:val="center"/>
              <w:rPr>
                <w:rFonts w:cs="Times New Roman"/>
                <w:b/>
                <w:bCs/>
                <w:kern w:val="0"/>
                <w:sz w:val="21"/>
                <w:szCs w:val="21"/>
              </w:rPr>
            </w:pPr>
            <w:r>
              <w:rPr>
                <w:rFonts w:hint="eastAsia" w:cs="Times New Roman"/>
                <w:b/>
                <w:bCs/>
                <w:kern w:val="0"/>
                <w:sz w:val="21"/>
                <w:szCs w:val="21"/>
              </w:rPr>
              <w:t>数量（棵）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35" w:type="pct"/>
            <w:vMerge w:val="continue"/>
          </w:tcPr>
          <w:p>
            <w:pPr>
              <w:widowControl w:val="0"/>
              <w:ind w:firstLine="0" w:firstLineChars="0"/>
              <w:jc w:val="center"/>
              <w:rPr>
                <w:rFonts w:cs="Times New Roman"/>
                <w:kern w:val="0"/>
                <w:sz w:val="21"/>
                <w:szCs w:val="21"/>
              </w:rPr>
            </w:pPr>
          </w:p>
        </w:tc>
        <w:tc>
          <w:tcPr>
            <w:tcW w:w="632" w:type="pct"/>
            <w:shd w:val="clear" w:color="auto" w:fill="D8D8D8" w:themeFill="background1" w:themeFillShade="D9"/>
            <w:vAlign w:val="center"/>
          </w:tcPr>
          <w:p>
            <w:pPr>
              <w:widowControl/>
              <w:spacing w:line="240" w:lineRule="auto"/>
              <w:ind w:firstLine="0" w:firstLineChars="0"/>
              <w:jc w:val="center"/>
              <w:rPr>
                <w:rFonts w:cstheme="minorBidi"/>
                <w:b/>
                <w:bCs/>
                <w:kern w:val="2"/>
                <w:sz w:val="21"/>
                <w:szCs w:val="21"/>
              </w:rPr>
            </w:pPr>
            <w:r>
              <w:rPr>
                <w:rFonts w:hint="eastAsia" w:cs="Times New Roman"/>
                <w:b/>
                <w:bCs/>
                <w:kern w:val="0"/>
                <w:sz w:val="21"/>
                <w:szCs w:val="21"/>
              </w:rPr>
              <w:t>一级（棵）</w:t>
            </w:r>
          </w:p>
        </w:tc>
        <w:tc>
          <w:tcPr>
            <w:tcW w:w="554" w:type="pct"/>
            <w:shd w:val="clear" w:color="auto" w:fill="D8D8D8" w:themeFill="background1" w:themeFillShade="D9"/>
            <w:vAlign w:val="center"/>
          </w:tcPr>
          <w:p>
            <w:pPr>
              <w:widowControl/>
              <w:spacing w:line="240" w:lineRule="auto"/>
              <w:ind w:firstLine="0" w:firstLineChars="0"/>
              <w:jc w:val="center"/>
              <w:rPr>
                <w:rFonts w:cstheme="minorBidi"/>
                <w:b/>
                <w:bCs/>
                <w:kern w:val="2"/>
                <w:sz w:val="21"/>
                <w:szCs w:val="21"/>
              </w:rPr>
            </w:pPr>
            <w:r>
              <w:rPr>
                <w:rFonts w:hint="eastAsia" w:cs="Times New Roman"/>
                <w:b/>
                <w:bCs/>
                <w:kern w:val="0"/>
                <w:sz w:val="21"/>
                <w:szCs w:val="21"/>
              </w:rPr>
              <w:t>二级（棵）</w:t>
            </w:r>
          </w:p>
        </w:tc>
        <w:tc>
          <w:tcPr>
            <w:tcW w:w="622" w:type="pct"/>
            <w:shd w:val="clear" w:color="auto" w:fill="D8D8D8" w:themeFill="background1" w:themeFillShade="D9"/>
            <w:vAlign w:val="center"/>
          </w:tcPr>
          <w:p>
            <w:pPr>
              <w:widowControl/>
              <w:spacing w:line="240" w:lineRule="auto"/>
              <w:ind w:firstLine="0" w:firstLineChars="0"/>
              <w:jc w:val="center"/>
              <w:rPr>
                <w:rFonts w:cs="Times New Roman"/>
                <w:b/>
                <w:bCs/>
                <w:kern w:val="0"/>
                <w:sz w:val="21"/>
                <w:szCs w:val="21"/>
              </w:rPr>
            </w:pPr>
            <w:r>
              <w:rPr>
                <w:rFonts w:hint="eastAsia" w:cs="Times New Roman"/>
                <w:b/>
                <w:bCs/>
                <w:kern w:val="0"/>
                <w:sz w:val="21"/>
                <w:szCs w:val="21"/>
              </w:rPr>
              <w:t>三级（棵）</w:t>
            </w:r>
          </w:p>
        </w:tc>
        <w:tc>
          <w:tcPr>
            <w:tcW w:w="723" w:type="pct"/>
            <w:shd w:val="clear" w:color="auto" w:fill="D8D8D8" w:themeFill="background1" w:themeFillShade="D9"/>
            <w:vAlign w:val="center"/>
          </w:tcPr>
          <w:p>
            <w:pPr>
              <w:widowControl/>
              <w:spacing w:line="240" w:lineRule="auto"/>
              <w:ind w:firstLine="0" w:firstLineChars="0"/>
              <w:jc w:val="center"/>
              <w:rPr>
                <w:rFonts w:cs="Times New Roman"/>
                <w:b/>
                <w:bCs/>
                <w:kern w:val="0"/>
                <w:sz w:val="21"/>
                <w:szCs w:val="21"/>
              </w:rPr>
            </w:pPr>
            <w:r>
              <w:rPr>
                <w:rFonts w:hint="eastAsia" w:cs="Times New Roman"/>
                <w:b/>
                <w:bCs/>
                <w:kern w:val="0"/>
                <w:sz w:val="21"/>
                <w:szCs w:val="21"/>
              </w:rPr>
              <w:t>名木（棵）</w:t>
            </w:r>
          </w:p>
        </w:tc>
        <w:tc>
          <w:tcPr>
            <w:tcW w:w="1235" w:type="pct"/>
            <w:vMerge w:val="continue"/>
          </w:tcPr>
          <w:p>
            <w:pPr>
              <w:widowControl w:val="0"/>
              <w:ind w:firstLine="0" w:firstLineChars="0"/>
              <w:jc w:val="center"/>
              <w:rPr>
                <w:rFonts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雄州街道</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8</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11</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35</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5</w:t>
            </w:r>
            <w:r>
              <w:rPr>
                <w:rFonts w:cs="Times New Roman"/>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乌迳镇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5</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26</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71</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界址镇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0</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12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坪田镇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38</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173</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889</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黄坑镇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1</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21</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2</w:t>
            </w:r>
            <w:r>
              <w:rPr>
                <w:rFonts w:cs="Times New Roman"/>
                <w:kern w:val="0"/>
                <w:sz w:val="21"/>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邓坊镇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1</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3</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6</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油山镇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3</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15</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47</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6</w:t>
            </w:r>
            <w:r>
              <w:rPr>
                <w:rFonts w:cs="Times New Roman"/>
                <w:kern w:val="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南亩镇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4</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24</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200</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2</w:t>
            </w:r>
            <w:r>
              <w:rPr>
                <w:rFonts w:cs="Times New Roman"/>
                <w:kern w:val="0"/>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水口镇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5</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3</w:t>
            </w:r>
            <w:r>
              <w:rPr>
                <w:rFonts w:cs="Times New Roman"/>
                <w:kern w:val="0"/>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江头镇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0</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12</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33</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4</w:t>
            </w:r>
            <w:r>
              <w:rPr>
                <w:rFonts w:cs="Times New Roman"/>
                <w:kern w:val="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湖口镇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1</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16</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52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6</w:t>
            </w:r>
            <w:r>
              <w:rPr>
                <w:rFonts w:cs="Times New Roman"/>
                <w:kern w:val="0"/>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珠玑镇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14</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30</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42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8</w:t>
            </w:r>
            <w:r>
              <w:rPr>
                <w:rFonts w:cs="Times New Roman"/>
                <w:kern w:val="0"/>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主田镇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0</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9</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31</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4</w:t>
            </w:r>
            <w:r>
              <w:rPr>
                <w:rFonts w:cs="Times New Roman"/>
                <w:kern w:val="0"/>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古市镇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3</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8</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20</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3</w:t>
            </w:r>
            <w:r>
              <w:rPr>
                <w:rFonts w:cs="Times New Roman"/>
                <w:kern w:val="0"/>
                <w:sz w:val="21"/>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全安镇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15</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41</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5</w:t>
            </w:r>
            <w:r>
              <w:rPr>
                <w:rFonts w:cs="Times New Roman"/>
                <w:kern w:val="0"/>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百顺镇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12</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62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7</w:t>
            </w:r>
            <w:r>
              <w:rPr>
                <w:rFonts w:cs="Times New Roman"/>
                <w:kern w:val="0"/>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澜河镇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4</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32</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3</w:t>
            </w:r>
            <w:r>
              <w:rPr>
                <w:rFonts w:cs="Times New Roman"/>
                <w:kern w:val="0"/>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帽子峰镇</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3</w:t>
            </w:r>
          </w:p>
        </w:tc>
        <w:tc>
          <w:tcPr>
            <w:tcW w:w="554" w:type="pct"/>
          </w:tcPr>
          <w:p>
            <w:pPr>
              <w:widowControl w:val="0"/>
              <w:ind w:firstLine="0" w:firstLineChars="0"/>
              <w:jc w:val="center"/>
              <w:rPr>
                <w:rFonts w:cs="Times New Roman"/>
                <w:kern w:val="0"/>
                <w:sz w:val="21"/>
                <w:szCs w:val="21"/>
              </w:rPr>
            </w:pPr>
            <w:r>
              <w:rPr>
                <w:rFonts w:cs="Times New Roman"/>
                <w:kern w:val="0"/>
                <w:sz w:val="21"/>
                <w:szCs w:val="21"/>
              </w:rPr>
              <w:t>2</w:t>
            </w:r>
          </w:p>
        </w:tc>
        <w:tc>
          <w:tcPr>
            <w:tcW w:w="622" w:type="pct"/>
          </w:tcPr>
          <w:p>
            <w:pPr>
              <w:widowControl w:val="0"/>
              <w:ind w:firstLine="0" w:firstLineChars="0"/>
              <w:jc w:val="center"/>
              <w:rPr>
                <w:rFonts w:cs="Times New Roman"/>
                <w:kern w:val="0"/>
                <w:sz w:val="21"/>
                <w:szCs w:val="21"/>
              </w:rPr>
            </w:pPr>
            <w:r>
              <w:rPr>
                <w:rFonts w:cs="Times New Roman"/>
                <w:kern w:val="0"/>
                <w:sz w:val="21"/>
                <w:szCs w:val="21"/>
              </w:rPr>
              <w:t>31</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3</w:t>
            </w:r>
            <w:r>
              <w:rPr>
                <w:rFonts w:cs="Times New Roman"/>
                <w:kern w:val="0"/>
                <w:sz w:val="21"/>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总计</w:t>
            </w:r>
          </w:p>
        </w:tc>
        <w:tc>
          <w:tcPr>
            <w:tcW w:w="632" w:type="pct"/>
          </w:tcPr>
          <w:p>
            <w:pPr>
              <w:widowControl w:val="0"/>
              <w:ind w:firstLine="0" w:firstLineChars="0"/>
              <w:jc w:val="center"/>
              <w:rPr>
                <w:rFonts w:cs="Times New Roman"/>
                <w:kern w:val="0"/>
                <w:sz w:val="21"/>
                <w:szCs w:val="21"/>
              </w:rPr>
            </w:pPr>
            <w:r>
              <w:rPr>
                <w:rFonts w:cs="Times New Roman"/>
                <w:kern w:val="0"/>
                <w:sz w:val="21"/>
                <w:szCs w:val="21"/>
              </w:rPr>
              <w:t>89</w:t>
            </w:r>
          </w:p>
        </w:tc>
        <w:tc>
          <w:tcPr>
            <w:tcW w:w="554" w:type="pct"/>
          </w:tcPr>
          <w:p>
            <w:pPr>
              <w:widowControl w:val="0"/>
              <w:ind w:firstLine="0" w:firstLineChars="0"/>
              <w:jc w:val="center"/>
              <w:rPr>
                <w:rFonts w:cs="Times New Roman"/>
                <w:kern w:val="0"/>
                <w:sz w:val="21"/>
                <w:szCs w:val="21"/>
              </w:rPr>
            </w:pPr>
            <w:r>
              <w:rPr>
                <w:rFonts w:hint="eastAsia" w:cs="Times New Roman"/>
                <w:kern w:val="0"/>
                <w:sz w:val="21"/>
                <w:szCs w:val="21"/>
              </w:rPr>
              <w:t>3</w:t>
            </w:r>
            <w:r>
              <w:rPr>
                <w:rFonts w:cs="Times New Roman"/>
                <w:kern w:val="0"/>
                <w:sz w:val="21"/>
                <w:szCs w:val="21"/>
              </w:rPr>
              <w:t>68</w:t>
            </w:r>
          </w:p>
        </w:tc>
        <w:tc>
          <w:tcPr>
            <w:tcW w:w="622" w:type="pct"/>
          </w:tcPr>
          <w:p>
            <w:pPr>
              <w:widowControl w:val="0"/>
              <w:ind w:firstLine="0" w:firstLineChars="0"/>
              <w:jc w:val="center"/>
              <w:rPr>
                <w:rFonts w:cs="Times New Roman"/>
                <w:kern w:val="0"/>
                <w:sz w:val="21"/>
                <w:szCs w:val="21"/>
              </w:rPr>
            </w:pPr>
            <w:r>
              <w:rPr>
                <w:rFonts w:hint="eastAsia" w:cs="Times New Roman"/>
                <w:kern w:val="0"/>
                <w:sz w:val="21"/>
                <w:szCs w:val="21"/>
              </w:rPr>
              <w:t>1</w:t>
            </w:r>
            <w:r>
              <w:rPr>
                <w:rFonts w:cs="Times New Roman"/>
                <w:kern w:val="0"/>
                <w:sz w:val="21"/>
                <w:szCs w:val="21"/>
              </w:rPr>
              <w:t>657</w:t>
            </w:r>
          </w:p>
        </w:tc>
        <w:tc>
          <w:tcPr>
            <w:tcW w:w="723" w:type="pct"/>
          </w:tcPr>
          <w:p>
            <w:pPr>
              <w:widowControl w:val="0"/>
              <w:ind w:firstLine="0" w:firstLineChars="0"/>
              <w:jc w:val="center"/>
              <w:rPr>
                <w:rFonts w:cs="Times New Roman"/>
                <w:kern w:val="0"/>
                <w:sz w:val="21"/>
                <w:szCs w:val="21"/>
              </w:rPr>
            </w:pPr>
            <w:r>
              <w:rPr>
                <w:rFonts w:hint="eastAsia" w:cs="Times New Roman"/>
                <w:kern w:val="0"/>
                <w:sz w:val="21"/>
                <w:szCs w:val="21"/>
              </w:rPr>
              <w:t>0</w:t>
            </w:r>
          </w:p>
        </w:tc>
        <w:tc>
          <w:tcPr>
            <w:tcW w:w="1235" w:type="pct"/>
          </w:tcPr>
          <w:p>
            <w:pPr>
              <w:widowControl w:val="0"/>
              <w:ind w:firstLine="0" w:firstLineChars="0"/>
              <w:jc w:val="center"/>
              <w:rPr>
                <w:rFonts w:cs="Times New Roman"/>
                <w:kern w:val="0"/>
                <w:sz w:val="21"/>
                <w:szCs w:val="21"/>
              </w:rPr>
            </w:pPr>
            <w:r>
              <w:rPr>
                <w:rFonts w:hint="eastAsia" w:cs="Times New Roman"/>
                <w:kern w:val="0"/>
                <w:sz w:val="21"/>
                <w:szCs w:val="21"/>
              </w:rPr>
              <w:t>2</w:t>
            </w:r>
            <w:r>
              <w:rPr>
                <w:rFonts w:cs="Times New Roman"/>
                <w:kern w:val="0"/>
                <w:sz w:val="21"/>
                <w:szCs w:val="21"/>
              </w:rPr>
              <w:t>114</w:t>
            </w:r>
          </w:p>
        </w:tc>
      </w:tr>
    </w:tbl>
    <w:p>
      <w:pPr>
        <w:ind w:firstLine="420"/>
      </w:pPr>
    </w:p>
    <w:p>
      <w:pPr>
        <w:ind w:firstLine="420"/>
        <w:sectPr>
          <w:pgSz w:w="23811" w:h="16838" w:orient="landscape"/>
          <w:pgMar w:top="1080" w:right="1440" w:bottom="1080" w:left="1440" w:header="851" w:footer="737" w:gutter="0"/>
          <w:cols w:space="425" w:num="1"/>
          <w:docGrid w:type="lines" w:linePitch="312" w:charSpace="0"/>
        </w:sectPr>
      </w:pPr>
      <w:bookmarkStart w:id="240" w:name="_Toc135989742"/>
    </w:p>
    <w:p>
      <w:pPr>
        <w:ind w:firstLine="420"/>
      </w:pPr>
    </w:p>
    <w:p>
      <w:pPr>
        <w:pStyle w:val="3"/>
        <w:spacing w:before="0" w:after="0"/>
        <w:ind w:firstLine="482"/>
        <w:rPr>
          <w:rFonts w:ascii="Times" w:hAnsi="Times" w:cs="宋体"/>
          <w:bCs w:val="0"/>
          <w:sz w:val="28"/>
          <w:szCs w:val="28"/>
        </w:rPr>
      </w:pPr>
      <w:bookmarkStart w:id="241" w:name="_Toc204964393"/>
      <w:r>
        <w:rPr>
          <w:rFonts w:hint="eastAsia" w:ascii="Times" w:hAnsi="Times" w:cs="宋体"/>
          <w:bCs w:val="0"/>
          <w:sz w:val="28"/>
          <w:szCs w:val="28"/>
        </w:rPr>
        <w:t>附表1</w:t>
      </w:r>
      <w:r>
        <w:rPr>
          <w:rFonts w:ascii="Times" w:hAnsi="Times" w:cs="宋体"/>
          <w:bCs w:val="0"/>
          <w:sz w:val="28"/>
          <w:szCs w:val="28"/>
        </w:rPr>
        <w:t>3</w:t>
      </w:r>
      <w:r>
        <w:rPr>
          <w:rFonts w:hint="eastAsia" w:ascii="Times" w:hAnsi="Times" w:cs="宋体"/>
          <w:bCs w:val="0"/>
          <w:sz w:val="28"/>
          <w:szCs w:val="28"/>
        </w:rPr>
        <w:t>：非物质文化遗产保护一览表</w:t>
      </w:r>
      <w:bookmarkEnd w:id="240"/>
      <w:bookmarkEnd w:id="241"/>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401"/>
        <w:gridCol w:w="3329"/>
        <w:gridCol w:w="1951"/>
        <w:gridCol w:w="1401"/>
        <w:gridCol w:w="1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403" w:type="pct"/>
            <w:shd w:val="clear" w:color="auto" w:fill="E7E6E6" w:themeFill="background2"/>
            <w:vAlign w:val="center"/>
          </w:tcPr>
          <w:p>
            <w:pPr>
              <w:spacing w:line="240" w:lineRule="auto"/>
              <w:ind w:firstLine="0" w:firstLineChars="0"/>
              <w:jc w:val="center"/>
              <w:rPr>
                <w:b/>
                <w:bCs/>
                <w:szCs w:val="21"/>
              </w:rPr>
            </w:pPr>
            <w:r>
              <w:rPr>
                <w:rFonts w:hint="eastAsia"/>
                <w:b/>
                <w:bCs/>
                <w:szCs w:val="21"/>
              </w:rPr>
              <w:t>序号</w:t>
            </w:r>
          </w:p>
        </w:tc>
        <w:tc>
          <w:tcPr>
            <w:tcW w:w="669" w:type="pct"/>
            <w:shd w:val="clear" w:color="auto" w:fill="E7E6E6" w:themeFill="background2"/>
            <w:vAlign w:val="center"/>
          </w:tcPr>
          <w:p>
            <w:pPr>
              <w:spacing w:line="240" w:lineRule="auto"/>
              <w:ind w:firstLine="0" w:firstLineChars="0"/>
              <w:jc w:val="center"/>
              <w:rPr>
                <w:b/>
                <w:bCs/>
                <w:szCs w:val="21"/>
              </w:rPr>
            </w:pPr>
            <w:r>
              <w:rPr>
                <w:rFonts w:hint="eastAsia"/>
                <w:b/>
                <w:bCs/>
                <w:szCs w:val="21"/>
              </w:rPr>
              <w:t>项目类别</w:t>
            </w:r>
          </w:p>
        </w:tc>
        <w:tc>
          <w:tcPr>
            <w:tcW w:w="1590" w:type="pct"/>
            <w:shd w:val="clear" w:color="auto" w:fill="E7E6E6" w:themeFill="background2"/>
            <w:vAlign w:val="center"/>
          </w:tcPr>
          <w:p>
            <w:pPr>
              <w:spacing w:line="240" w:lineRule="auto"/>
              <w:ind w:firstLine="0" w:firstLineChars="0"/>
              <w:jc w:val="center"/>
              <w:rPr>
                <w:b/>
                <w:bCs/>
                <w:szCs w:val="21"/>
              </w:rPr>
            </w:pPr>
            <w:r>
              <w:rPr>
                <w:rFonts w:hint="eastAsia"/>
                <w:b/>
                <w:bCs/>
                <w:szCs w:val="21"/>
              </w:rPr>
              <w:t>项目名称</w:t>
            </w:r>
          </w:p>
        </w:tc>
        <w:tc>
          <w:tcPr>
            <w:tcW w:w="932" w:type="pct"/>
            <w:shd w:val="clear" w:color="auto" w:fill="E7E6E6" w:themeFill="background2"/>
            <w:vAlign w:val="center"/>
          </w:tcPr>
          <w:p>
            <w:pPr>
              <w:spacing w:line="240" w:lineRule="auto"/>
              <w:ind w:firstLine="0" w:firstLineChars="0"/>
              <w:jc w:val="center"/>
              <w:rPr>
                <w:b/>
                <w:bCs/>
                <w:szCs w:val="21"/>
              </w:rPr>
            </w:pPr>
            <w:r>
              <w:rPr>
                <w:rFonts w:hint="eastAsia"/>
                <w:b/>
                <w:bCs/>
                <w:szCs w:val="21"/>
              </w:rPr>
              <w:t>保护</w:t>
            </w:r>
            <w:r>
              <w:rPr>
                <w:b/>
                <w:bCs/>
                <w:szCs w:val="21"/>
              </w:rPr>
              <w:t>单位</w:t>
            </w:r>
          </w:p>
        </w:tc>
        <w:tc>
          <w:tcPr>
            <w:tcW w:w="669" w:type="pct"/>
            <w:shd w:val="clear" w:color="auto" w:fill="E7E6E6" w:themeFill="background2"/>
            <w:vAlign w:val="center"/>
          </w:tcPr>
          <w:p>
            <w:pPr>
              <w:spacing w:line="240" w:lineRule="auto"/>
              <w:ind w:firstLine="0" w:firstLineChars="0"/>
              <w:jc w:val="center"/>
              <w:rPr>
                <w:b/>
                <w:bCs/>
                <w:szCs w:val="21"/>
              </w:rPr>
            </w:pPr>
            <w:r>
              <w:rPr>
                <w:rFonts w:hint="eastAsia"/>
                <w:b/>
                <w:bCs/>
                <w:szCs w:val="21"/>
              </w:rPr>
              <w:t>项目级别</w:t>
            </w:r>
          </w:p>
        </w:tc>
        <w:tc>
          <w:tcPr>
            <w:tcW w:w="737" w:type="pct"/>
            <w:shd w:val="clear" w:color="auto" w:fill="E7E6E6" w:themeFill="background2"/>
            <w:vAlign w:val="center"/>
          </w:tcPr>
          <w:p>
            <w:pPr>
              <w:spacing w:line="240" w:lineRule="auto"/>
              <w:ind w:firstLine="0" w:firstLineChars="0"/>
              <w:jc w:val="center"/>
              <w:rPr>
                <w:b/>
                <w:bCs/>
                <w:szCs w:val="21"/>
              </w:rPr>
            </w:pPr>
            <w:r>
              <w:rPr>
                <w:rFonts w:hint="eastAsia"/>
                <w:b/>
                <w:bCs/>
                <w:szCs w:val="21"/>
              </w:rPr>
              <w:t>批次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shd w:val="clear" w:color="auto" w:fill="E7E6E6" w:themeFill="background2"/>
            <w:vAlign w:val="center"/>
          </w:tcPr>
          <w:p>
            <w:pPr>
              <w:spacing w:line="240" w:lineRule="auto"/>
              <w:ind w:firstLine="0" w:firstLineChars="0"/>
              <w:jc w:val="center"/>
              <w:rPr>
                <w:b/>
                <w:bCs/>
                <w:szCs w:val="21"/>
              </w:rPr>
            </w:pPr>
            <w:r>
              <w:rPr>
                <w:rFonts w:cs="华文细黑"/>
                <w:b/>
                <w:bCs/>
                <w:color w:val="000000"/>
                <w:kern w:val="0"/>
                <w:szCs w:val="21"/>
                <w:lang w:bidi="ar"/>
              </w:rPr>
              <w:t>国家级非物质文化遗产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传统舞蹈</w:t>
            </w:r>
          </w:p>
        </w:tc>
        <w:tc>
          <w:tcPr>
            <w:tcW w:w="1590" w:type="pct"/>
            <w:vAlign w:val="center"/>
          </w:tcPr>
          <w:p>
            <w:pPr>
              <w:spacing w:line="240" w:lineRule="auto"/>
              <w:ind w:firstLine="0" w:firstLineChars="0"/>
              <w:jc w:val="center"/>
              <w:rPr>
                <w:szCs w:val="21"/>
              </w:rPr>
            </w:pPr>
            <w:r>
              <w:rPr>
                <w:rFonts w:cs="华文细黑"/>
                <w:color w:val="000000"/>
                <w:kern w:val="0"/>
                <w:szCs w:val="21"/>
                <w:lang w:bidi="ar"/>
              </w:rPr>
              <w:t>龙舞（香火龙）</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国家级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第三批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民间文学</w:t>
            </w:r>
          </w:p>
        </w:tc>
        <w:tc>
          <w:tcPr>
            <w:tcW w:w="1590"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珠玑巷人南迁</w:t>
            </w:r>
            <w:r>
              <w:rPr>
                <w:rFonts w:hint="eastAsia" w:cs="华文细黑"/>
                <w:color w:val="000000"/>
                <w:kern w:val="0"/>
                <w:szCs w:val="21"/>
                <w:lang w:bidi="ar"/>
              </w:rPr>
              <w:t>传说</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国家级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五</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shd w:val="clear" w:color="auto" w:fill="E7E6E6" w:themeFill="background2"/>
            <w:vAlign w:val="center"/>
          </w:tcPr>
          <w:p>
            <w:pPr>
              <w:spacing w:line="240" w:lineRule="auto"/>
              <w:ind w:firstLine="0" w:firstLineChars="0"/>
              <w:jc w:val="center"/>
              <w:rPr>
                <w:b/>
                <w:bCs/>
                <w:szCs w:val="21"/>
              </w:rPr>
            </w:pPr>
            <w:r>
              <w:rPr>
                <w:rFonts w:cs="华文细黑"/>
                <w:b/>
                <w:bCs/>
                <w:color w:val="000000"/>
                <w:kern w:val="0"/>
                <w:szCs w:val="21"/>
                <w:lang w:bidi="ar"/>
              </w:rPr>
              <w:t>省级非物质文化遗产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1</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传统音乐</w:t>
            </w:r>
          </w:p>
        </w:tc>
        <w:tc>
          <w:tcPr>
            <w:tcW w:w="1590" w:type="pct"/>
            <w:vAlign w:val="center"/>
          </w:tcPr>
          <w:p>
            <w:pPr>
              <w:spacing w:line="240" w:lineRule="auto"/>
              <w:ind w:firstLine="0" w:firstLineChars="0"/>
              <w:jc w:val="center"/>
              <w:rPr>
                <w:szCs w:val="21"/>
              </w:rPr>
            </w:pPr>
            <w:r>
              <w:rPr>
                <w:rFonts w:cs="华文细黑"/>
                <w:color w:val="000000"/>
                <w:kern w:val="0"/>
                <w:szCs w:val="21"/>
                <w:lang w:bidi="ar"/>
              </w:rPr>
              <w:t>龙船歌</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省级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第四批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南雄板鸭制作技艺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省级</w:t>
            </w:r>
          </w:p>
        </w:tc>
        <w:tc>
          <w:tcPr>
            <w:tcW w:w="737"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3</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茶花灯</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省级</w:t>
            </w:r>
          </w:p>
        </w:tc>
        <w:tc>
          <w:tcPr>
            <w:tcW w:w="737"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shd w:val="clear" w:color="auto" w:fill="E7E6E6" w:themeFill="background2"/>
            <w:vAlign w:val="center"/>
          </w:tcPr>
          <w:p>
            <w:pPr>
              <w:spacing w:line="240" w:lineRule="auto"/>
              <w:ind w:firstLine="0" w:firstLineChars="0"/>
              <w:jc w:val="center"/>
              <w:rPr>
                <w:b/>
                <w:bCs/>
                <w:szCs w:val="21"/>
              </w:rPr>
            </w:pPr>
            <w:r>
              <w:rPr>
                <w:rFonts w:cs="华文细黑"/>
                <w:b/>
                <w:bCs/>
                <w:color w:val="000000"/>
                <w:kern w:val="0"/>
                <w:szCs w:val="21"/>
                <w:lang w:bidi="ar"/>
              </w:rPr>
              <w:t>市级非物质文化遗产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1</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传统舞蹈</w:t>
            </w:r>
          </w:p>
        </w:tc>
        <w:tc>
          <w:tcPr>
            <w:tcW w:w="1590" w:type="pct"/>
          </w:tcPr>
          <w:p>
            <w:pPr>
              <w:spacing w:line="240" w:lineRule="auto"/>
              <w:ind w:firstLine="0" w:firstLineChars="0"/>
              <w:jc w:val="center"/>
              <w:rPr>
                <w:szCs w:val="21"/>
              </w:rPr>
            </w:pPr>
            <w:r>
              <w:rPr>
                <w:rFonts w:hint="eastAsia"/>
                <w:szCs w:val="21"/>
              </w:rPr>
              <w:t>双龙舞双狮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市级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w:t>
            </w:r>
            <w:r>
              <w:rPr>
                <w:rFonts w:hint="eastAsia" w:cs="华文细黑"/>
                <w:color w:val="000000"/>
                <w:kern w:val="0"/>
                <w:szCs w:val="21"/>
                <w:lang w:bidi="ar"/>
              </w:rPr>
              <w:t>一</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2</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民俗</w:t>
            </w:r>
          </w:p>
        </w:tc>
        <w:tc>
          <w:tcPr>
            <w:tcW w:w="1590" w:type="pct"/>
          </w:tcPr>
          <w:p>
            <w:pPr>
              <w:spacing w:line="240" w:lineRule="auto"/>
              <w:ind w:firstLine="0" w:firstLineChars="0"/>
              <w:jc w:val="center"/>
              <w:rPr>
                <w:szCs w:val="21"/>
              </w:rPr>
            </w:pPr>
            <w:r>
              <w:rPr>
                <w:rFonts w:hint="eastAsia"/>
                <w:szCs w:val="21"/>
              </w:rPr>
              <w:t>南雄姓氏节</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市级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w:t>
            </w:r>
            <w:r>
              <w:rPr>
                <w:rFonts w:hint="eastAsia" w:cs="华文细黑"/>
                <w:color w:val="000000"/>
                <w:kern w:val="0"/>
                <w:szCs w:val="21"/>
                <w:lang w:bidi="ar"/>
              </w:rPr>
              <w:t>二</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3</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传统技艺</w:t>
            </w:r>
          </w:p>
        </w:tc>
        <w:tc>
          <w:tcPr>
            <w:tcW w:w="1590" w:type="pct"/>
          </w:tcPr>
          <w:p>
            <w:pPr>
              <w:spacing w:line="240" w:lineRule="auto"/>
              <w:ind w:firstLine="0" w:firstLineChars="0"/>
              <w:jc w:val="center"/>
              <w:rPr>
                <w:szCs w:val="21"/>
              </w:rPr>
            </w:pPr>
            <w:r>
              <w:rPr>
                <w:rFonts w:hint="eastAsia"/>
                <w:szCs w:val="21"/>
              </w:rPr>
              <w:t>扎稻草龙制作技艺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市级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4</w:t>
            </w:r>
          </w:p>
        </w:tc>
        <w:tc>
          <w:tcPr>
            <w:tcW w:w="669" w:type="pct"/>
          </w:tcPr>
          <w:p>
            <w:pPr>
              <w:spacing w:line="240" w:lineRule="auto"/>
              <w:ind w:firstLine="0" w:firstLineChars="0"/>
              <w:jc w:val="center"/>
              <w:rPr>
                <w:szCs w:val="21"/>
              </w:rPr>
            </w:pPr>
            <w:r>
              <w:rPr>
                <w:rFonts w:hint="eastAsia"/>
                <w:szCs w:val="21"/>
              </w:rPr>
              <w:t>传统舞蹈</w:t>
            </w:r>
          </w:p>
        </w:tc>
        <w:tc>
          <w:tcPr>
            <w:tcW w:w="1590" w:type="pct"/>
          </w:tcPr>
          <w:p>
            <w:pPr>
              <w:spacing w:line="240" w:lineRule="auto"/>
              <w:ind w:firstLine="0" w:firstLineChars="0"/>
              <w:jc w:val="center"/>
              <w:rPr>
                <w:szCs w:val="21"/>
              </w:rPr>
            </w:pPr>
            <w:r>
              <w:rPr>
                <w:rFonts w:hint="eastAsia"/>
                <w:szCs w:val="21"/>
              </w:rPr>
              <w:t>火龙、火狮、火凤、火虾</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cs="华文细黑"/>
                <w:color w:val="000000"/>
                <w:kern w:val="0"/>
                <w:szCs w:val="21"/>
                <w:lang w:bidi="ar"/>
              </w:rPr>
              <w:t>市级</w:t>
            </w:r>
          </w:p>
        </w:tc>
        <w:tc>
          <w:tcPr>
            <w:tcW w:w="737" w:type="pct"/>
            <w:vAlign w:val="center"/>
          </w:tcPr>
          <w:p>
            <w:pPr>
              <w:spacing w:line="240" w:lineRule="auto"/>
              <w:ind w:firstLine="0" w:firstLineChars="0"/>
              <w:jc w:val="center"/>
              <w:rPr>
                <w:szCs w:val="21"/>
              </w:rPr>
            </w:pPr>
            <w:r>
              <w:rPr>
                <w:rFonts w:cs="华文细黑"/>
                <w:color w:val="000000"/>
                <w:kern w:val="0"/>
                <w:szCs w:val="21"/>
                <w:lang w:bidi="ar"/>
              </w:rPr>
              <w:t>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5</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南雄酿豆腐制作技艺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六</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6</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民</w:t>
            </w:r>
            <w:r>
              <w:rPr>
                <w:szCs w:val="21"/>
              </w:rPr>
              <w:t>俗</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萧统太子的祭祀</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七</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7</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南雄竹、藤工艺编制技艺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八</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8</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南雄旋木工艺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八</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9</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青草狮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0</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灵潭腐竹制作手艺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九</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1</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饺俚糍制作技艺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第</w:t>
            </w:r>
            <w:r>
              <w:rPr>
                <w:rFonts w:hint="eastAsia" w:cs="华文细黑"/>
                <w:color w:val="000000"/>
                <w:kern w:val="0"/>
                <w:szCs w:val="21"/>
                <w:lang w:bidi="ar"/>
              </w:rPr>
              <w:t>九</w:t>
            </w:r>
            <w:r>
              <w:rPr>
                <w:rFonts w:cs="华文细黑"/>
                <w:color w:val="000000"/>
                <w:kern w:val="0"/>
                <w:szCs w:val="21"/>
                <w:lang w:bidi="ar"/>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2</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鸳鸯狮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市级</w:t>
            </w:r>
          </w:p>
        </w:tc>
        <w:tc>
          <w:tcPr>
            <w:tcW w:w="737"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6"/>
            <w:shd w:val="clear" w:color="auto" w:fill="E7E6E6" w:themeFill="background2"/>
            <w:vAlign w:val="center"/>
          </w:tcPr>
          <w:p>
            <w:pPr>
              <w:spacing w:line="240" w:lineRule="auto"/>
              <w:ind w:firstLine="0" w:firstLineChars="0"/>
              <w:jc w:val="center"/>
              <w:rPr>
                <w:rFonts w:cs="华文细黑"/>
                <w:b/>
                <w:bCs/>
                <w:color w:val="000000"/>
                <w:kern w:val="0"/>
                <w:szCs w:val="21"/>
                <w:lang w:bidi="ar"/>
              </w:rPr>
            </w:pPr>
            <w:r>
              <w:rPr>
                <w:rFonts w:hint="eastAsia" w:cs="华文细黑"/>
                <w:b/>
                <w:bCs/>
                <w:color w:val="000000"/>
                <w:kern w:val="0"/>
                <w:szCs w:val="21"/>
                <w:lang w:bidi="ar"/>
              </w:rPr>
              <w:t>县级非物质文化遗产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1</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传统戏剧</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采茶戏</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rFonts w:hint="eastAsia"/>
                <w:color w:val="000000"/>
                <w:szCs w:val="21"/>
                <w:lang w:bidi="ar"/>
              </w:rPr>
              <w:t>第二批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板灯龙</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rFonts w:hint="eastAsia"/>
                <w:color w:val="000000"/>
                <w:szCs w:val="21"/>
                <w:lang w:bidi="ar"/>
              </w:rPr>
              <w:t>第二批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磨地狮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rFonts w:hint="eastAsia"/>
                <w:szCs w:val="21"/>
              </w:rPr>
              <w:t>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九十九节龙</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rFonts w:hint="eastAsia"/>
                <w:szCs w:val="21"/>
              </w:rPr>
              <w:t>第一批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5</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小水岭高脚狮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第五批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szCs w:val="21"/>
              </w:rPr>
              <w:t>6</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民俗</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东坑丰收节</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7</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制“砻”技艺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8</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rPr>
              <w:t>传统体育、游艺与杂技</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南雄咏春拳</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vAlign w:val="center"/>
          </w:tcPr>
          <w:p>
            <w:pPr>
              <w:spacing w:line="240" w:lineRule="auto"/>
              <w:ind w:firstLine="0" w:firstLineChars="0"/>
              <w:jc w:val="center"/>
              <w:rPr>
                <w:rFonts w:cs="华文细黑"/>
                <w:color w:val="000000"/>
                <w:kern w:val="0"/>
                <w:szCs w:val="21"/>
                <w:lang w:bidi="ar"/>
              </w:rPr>
            </w:pPr>
            <w:r>
              <w:rPr>
                <w:szCs w:val="21"/>
              </w:rPr>
              <w:t>第六批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9</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南雄铜勺饼制作技艺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10</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南雄豆浆糍制作技艺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11</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牛干脯制作技艺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第七批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12</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艾糍制作技艺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13</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水豆腐制作技艺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14</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传统制茶技艺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15</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烫皮制作技艺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6</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禾麦酱制作技艺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7</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酸笋鸭制作技艺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8</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客家辣椒酱制作技艺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1</w:t>
            </w:r>
            <w:r>
              <w:rPr>
                <w:szCs w:val="21"/>
              </w:rPr>
              <w:t>9</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红军茶制作技艺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0</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梅岭鹅王制作技艺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1</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客家米酒酿造技艺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2</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纸马舞</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3</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传统舞蹈</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莲塘坳醒狮</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4</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传统音乐</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大庆锣鼓</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5</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传统音乐</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当红军歌</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6</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szCs w:val="21"/>
              </w:rPr>
              <w:t>民间文学</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szCs w:val="21"/>
              </w:rPr>
              <w:t>张九龄开凿梅关古道的传说</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第八批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7</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民间文学</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庾岭寒梅</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8</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民间文学</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三影塔的传说</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2</w:t>
            </w:r>
            <w:r>
              <w:rPr>
                <w:szCs w:val="21"/>
              </w:rPr>
              <w:t>9</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民间文学</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都统故事</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0</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客家糍粑制作技艺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1</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茶籽油古法制作技艺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2</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青梅酒制作技艺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3</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传统技艺</w:t>
            </w:r>
          </w:p>
        </w:tc>
        <w:tc>
          <w:tcPr>
            <w:tcW w:w="1590" w:type="pct"/>
            <w:vAlign w:val="center"/>
          </w:tcPr>
          <w:p>
            <w:pPr>
              <w:spacing w:line="240" w:lineRule="auto"/>
              <w:ind w:firstLine="0" w:firstLineChars="0"/>
              <w:jc w:val="center"/>
              <w:rPr>
                <w:rFonts w:cs="华文细黑"/>
                <w:color w:val="000000"/>
                <w:kern w:val="0"/>
                <w:szCs w:val="21"/>
                <w:lang w:bidi="ar"/>
              </w:rPr>
            </w:pPr>
            <w:r>
              <w:rPr>
                <w:rFonts w:hint="eastAsia"/>
                <w:color w:val="000000"/>
                <w:szCs w:val="21"/>
              </w:rPr>
              <w:t>青梅果脯制作技艺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4</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传统竹艺编织技艺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5</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钻缸酒酿造技艺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6</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酸笋制作技艺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7</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灰水蒸糕糍制作技艺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rFonts w:cs="华文细黑"/>
                <w:color w:val="000000"/>
                <w:kern w:val="0"/>
                <w:szCs w:val="21"/>
                <w:lang w:bidi="ar"/>
              </w:rPr>
            </w:pPr>
            <w:r>
              <w:rPr>
                <w:rFonts w:hint="eastAsia" w:cs="华文细黑"/>
                <w:color w:val="000000"/>
                <w:kern w:val="0"/>
                <w:szCs w:val="21"/>
                <w:lang w:bidi="ar"/>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8</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观音粉制作技艺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3</w:t>
            </w:r>
            <w:r>
              <w:rPr>
                <w:szCs w:val="21"/>
              </w:rPr>
              <w:t>9</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南雄豆腐乳制作技艺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0</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传统技艺</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蕉叶糍制作技艺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1</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民</w:t>
            </w:r>
            <w:r>
              <w:rPr>
                <w:szCs w:val="21"/>
              </w:rPr>
              <w:t>俗</w:t>
            </w:r>
          </w:p>
        </w:tc>
        <w:tc>
          <w:tcPr>
            <w:tcW w:w="1590" w:type="pct"/>
          </w:tcPr>
          <w:p>
            <w:pPr>
              <w:spacing w:line="240" w:lineRule="auto"/>
              <w:ind w:firstLine="0" w:firstLineChars="0"/>
              <w:jc w:val="center"/>
              <w:rPr>
                <w:rFonts w:cs="华文细黑"/>
                <w:color w:val="000000"/>
                <w:kern w:val="0"/>
                <w:szCs w:val="21"/>
                <w:lang w:bidi="ar"/>
              </w:rPr>
            </w:pPr>
            <w:r>
              <w:rPr>
                <w:rFonts w:hint="eastAsia"/>
                <w:szCs w:val="21"/>
              </w:rPr>
              <w:t>珠玑飘色</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rFonts w:cs="华文细黑"/>
                <w:color w:val="000000"/>
                <w:kern w:val="0"/>
                <w:szCs w:val="21"/>
                <w:lang w:bidi="ar"/>
              </w:rPr>
            </w:pPr>
            <w:r>
              <w:rPr>
                <w:rFonts w:hint="eastAsia"/>
                <w:szCs w:val="21"/>
              </w:rPr>
              <w:t>县级</w:t>
            </w:r>
          </w:p>
        </w:tc>
        <w:tc>
          <w:tcPr>
            <w:tcW w:w="737" w:type="pct"/>
          </w:tcPr>
          <w:p>
            <w:pPr>
              <w:spacing w:line="240" w:lineRule="auto"/>
              <w:ind w:firstLine="0" w:firstLineChars="0"/>
              <w:jc w:val="center"/>
              <w:rPr>
                <w:rFonts w:cs="华文细黑"/>
                <w:color w:val="000000"/>
                <w:kern w:val="0"/>
                <w:szCs w:val="21"/>
                <w:lang w:bidi="ar"/>
              </w:rPr>
            </w:pPr>
            <w:r>
              <w:rPr>
                <w:szCs w:val="21"/>
              </w:rPr>
              <w:t>第九批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2</w:t>
            </w:r>
          </w:p>
        </w:tc>
        <w:tc>
          <w:tcPr>
            <w:tcW w:w="669" w:type="pct"/>
          </w:tcPr>
          <w:p>
            <w:pPr>
              <w:spacing w:line="240" w:lineRule="auto"/>
              <w:ind w:firstLine="0" w:firstLineChars="0"/>
              <w:jc w:val="center"/>
              <w:rPr>
                <w:szCs w:val="21"/>
              </w:rPr>
            </w:pPr>
            <w:r>
              <w:rPr>
                <w:rFonts w:hint="eastAsia"/>
              </w:rPr>
              <w:t>民</w:t>
            </w:r>
            <w:r>
              <w:t>俗</w:t>
            </w:r>
          </w:p>
        </w:tc>
        <w:tc>
          <w:tcPr>
            <w:tcW w:w="1590" w:type="pct"/>
          </w:tcPr>
          <w:p>
            <w:pPr>
              <w:spacing w:line="240" w:lineRule="auto"/>
              <w:ind w:firstLine="0" w:firstLineChars="0"/>
              <w:jc w:val="center"/>
              <w:rPr>
                <w:szCs w:val="21"/>
              </w:rPr>
            </w:pPr>
            <w:r>
              <w:rPr>
                <w:rFonts w:hint="eastAsia"/>
              </w:rPr>
              <w:t>舞春牛</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3</w:t>
            </w:r>
          </w:p>
        </w:tc>
        <w:tc>
          <w:tcPr>
            <w:tcW w:w="669" w:type="pct"/>
          </w:tcPr>
          <w:p>
            <w:pPr>
              <w:spacing w:line="240" w:lineRule="auto"/>
              <w:ind w:firstLine="0" w:firstLineChars="0"/>
              <w:jc w:val="center"/>
              <w:rPr>
                <w:szCs w:val="21"/>
              </w:rPr>
            </w:pPr>
            <w:r>
              <w:rPr>
                <w:rFonts w:hint="eastAsia"/>
              </w:rPr>
              <w:t>民</w:t>
            </w:r>
            <w:r>
              <w:t>俗</w:t>
            </w:r>
          </w:p>
        </w:tc>
        <w:tc>
          <w:tcPr>
            <w:tcW w:w="1590" w:type="pct"/>
          </w:tcPr>
          <w:p>
            <w:pPr>
              <w:spacing w:line="240" w:lineRule="auto"/>
              <w:ind w:firstLine="0" w:firstLineChars="0"/>
              <w:jc w:val="center"/>
              <w:rPr>
                <w:szCs w:val="21"/>
              </w:rPr>
            </w:pPr>
            <w:r>
              <w:rPr>
                <w:rFonts w:hint="eastAsia"/>
              </w:rPr>
              <w:t>都统游神</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4</w:t>
            </w:r>
          </w:p>
        </w:tc>
        <w:tc>
          <w:tcPr>
            <w:tcW w:w="669" w:type="pct"/>
          </w:tcPr>
          <w:p>
            <w:pPr>
              <w:spacing w:line="240" w:lineRule="auto"/>
              <w:ind w:firstLine="0" w:firstLineChars="0"/>
              <w:jc w:val="center"/>
              <w:rPr>
                <w:szCs w:val="21"/>
              </w:rPr>
            </w:pPr>
            <w:r>
              <w:rPr>
                <w:rFonts w:hint="eastAsia"/>
              </w:rPr>
              <w:t>民</w:t>
            </w:r>
            <w:r>
              <w:t>俗</w:t>
            </w:r>
          </w:p>
        </w:tc>
        <w:tc>
          <w:tcPr>
            <w:tcW w:w="1590" w:type="pct"/>
          </w:tcPr>
          <w:p>
            <w:pPr>
              <w:spacing w:line="240" w:lineRule="auto"/>
              <w:ind w:firstLine="0" w:firstLineChars="0"/>
              <w:jc w:val="center"/>
              <w:rPr>
                <w:szCs w:val="21"/>
              </w:rPr>
            </w:pPr>
            <w:r>
              <w:rPr>
                <w:rFonts w:hint="eastAsia"/>
              </w:rPr>
              <w:t>百顺天后宫祭祀</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5</w:t>
            </w:r>
          </w:p>
        </w:tc>
        <w:tc>
          <w:tcPr>
            <w:tcW w:w="669" w:type="pct"/>
          </w:tcPr>
          <w:p>
            <w:pPr>
              <w:spacing w:line="240" w:lineRule="auto"/>
              <w:ind w:firstLine="0" w:firstLineChars="0"/>
              <w:jc w:val="center"/>
              <w:rPr>
                <w:szCs w:val="21"/>
              </w:rPr>
            </w:pPr>
            <w:r>
              <w:rPr>
                <w:rFonts w:hint="eastAsia"/>
              </w:rPr>
              <w:t>民间文学</w:t>
            </w:r>
          </w:p>
        </w:tc>
        <w:tc>
          <w:tcPr>
            <w:tcW w:w="1590" w:type="pct"/>
          </w:tcPr>
          <w:p>
            <w:pPr>
              <w:spacing w:line="240" w:lineRule="auto"/>
              <w:ind w:firstLine="0" w:firstLineChars="0"/>
              <w:jc w:val="center"/>
              <w:rPr>
                <w:szCs w:val="21"/>
              </w:rPr>
            </w:pPr>
            <w:r>
              <w:rPr>
                <w:rFonts w:hint="eastAsia"/>
              </w:rPr>
              <w:t>麦铁杖传说</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6</w:t>
            </w:r>
          </w:p>
        </w:tc>
        <w:tc>
          <w:tcPr>
            <w:tcW w:w="669" w:type="pct"/>
          </w:tcPr>
          <w:p>
            <w:pPr>
              <w:spacing w:line="240" w:lineRule="auto"/>
              <w:ind w:firstLine="0" w:firstLineChars="0"/>
              <w:jc w:val="center"/>
              <w:rPr>
                <w:szCs w:val="21"/>
              </w:rPr>
            </w:pPr>
            <w:r>
              <w:rPr>
                <w:rFonts w:hint="eastAsia"/>
                <w:szCs w:val="21"/>
              </w:rPr>
              <w:t>传统技艺</w:t>
            </w:r>
          </w:p>
        </w:tc>
        <w:tc>
          <w:tcPr>
            <w:tcW w:w="1590" w:type="pct"/>
          </w:tcPr>
          <w:p>
            <w:pPr>
              <w:spacing w:line="240" w:lineRule="auto"/>
              <w:ind w:firstLine="0" w:firstLineChars="0"/>
              <w:jc w:val="center"/>
              <w:rPr>
                <w:szCs w:val="21"/>
              </w:rPr>
            </w:pPr>
            <w:r>
              <w:rPr>
                <w:rFonts w:hint="eastAsia"/>
              </w:rPr>
              <w:t>银杏果传统脱皮技艺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7</w:t>
            </w:r>
          </w:p>
        </w:tc>
        <w:tc>
          <w:tcPr>
            <w:tcW w:w="669" w:type="pct"/>
          </w:tcPr>
          <w:p>
            <w:pPr>
              <w:spacing w:line="240" w:lineRule="auto"/>
              <w:ind w:firstLine="0" w:firstLineChars="0"/>
              <w:jc w:val="center"/>
              <w:rPr>
                <w:szCs w:val="21"/>
              </w:rPr>
            </w:pPr>
            <w:r>
              <w:rPr>
                <w:rFonts w:hint="eastAsia"/>
                <w:szCs w:val="21"/>
              </w:rPr>
              <w:t>传统技艺</w:t>
            </w:r>
          </w:p>
        </w:tc>
        <w:tc>
          <w:tcPr>
            <w:tcW w:w="1590" w:type="pct"/>
          </w:tcPr>
          <w:p>
            <w:pPr>
              <w:spacing w:line="240" w:lineRule="auto"/>
              <w:ind w:firstLine="0" w:firstLineChars="0"/>
              <w:jc w:val="center"/>
              <w:rPr>
                <w:szCs w:val="21"/>
              </w:rPr>
            </w:pPr>
            <w:r>
              <w:rPr>
                <w:rFonts w:hint="eastAsia"/>
              </w:rPr>
              <w:t>豆角酥制作技艺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8</w:t>
            </w:r>
          </w:p>
        </w:tc>
        <w:tc>
          <w:tcPr>
            <w:tcW w:w="669" w:type="pct"/>
          </w:tcPr>
          <w:p>
            <w:pPr>
              <w:spacing w:line="240" w:lineRule="auto"/>
              <w:ind w:firstLine="0" w:firstLineChars="0"/>
              <w:jc w:val="center"/>
              <w:rPr>
                <w:szCs w:val="21"/>
              </w:rPr>
            </w:pPr>
            <w:r>
              <w:rPr>
                <w:rFonts w:hint="eastAsia"/>
                <w:szCs w:val="21"/>
              </w:rPr>
              <w:t>传统技艺</w:t>
            </w:r>
          </w:p>
        </w:tc>
        <w:tc>
          <w:tcPr>
            <w:tcW w:w="1590" w:type="pct"/>
          </w:tcPr>
          <w:p>
            <w:pPr>
              <w:spacing w:line="240" w:lineRule="auto"/>
              <w:ind w:firstLine="0" w:firstLineChars="0"/>
              <w:jc w:val="center"/>
              <w:rPr>
                <w:szCs w:val="21"/>
              </w:rPr>
            </w:pPr>
            <w:r>
              <w:rPr>
                <w:rFonts w:hint="eastAsia"/>
              </w:rPr>
              <w:t>油角制作技艺</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tcPr>
          <w:p>
            <w:pPr>
              <w:spacing w:line="240" w:lineRule="auto"/>
              <w:ind w:firstLine="0" w:firstLineChars="0"/>
              <w:jc w:val="center"/>
              <w:rPr>
                <w:szCs w:val="21"/>
              </w:rPr>
            </w:pPr>
            <w:r>
              <w:rPr>
                <w:rFonts w:hint="eastAsia"/>
                <w:szCs w:val="21"/>
              </w:rPr>
              <w:t>县级</w:t>
            </w:r>
          </w:p>
        </w:tc>
        <w:tc>
          <w:tcPr>
            <w:tcW w:w="737" w:type="pct"/>
          </w:tcPr>
          <w:p>
            <w:pPr>
              <w:spacing w:line="240" w:lineRule="auto"/>
              <w:ind w:firstLine="0" w:firstLineChars="0"/>
              <w:jc w:val="center"/>
              <w:rPr>
                <w:szCs w:val="21"/>
              </w:rPr>
            </w:pPr>
            <w:r>
              <w:rPr>
                <w:szCs w:val="21"/>
              </w:rPr>
              <w:t>第</w:t>
            </w:r>
            <w:r>
              <w:rPr>
                <w:rFonts w:hint="eastAsia"/>
                <w:szCs w:val="21"/>
              </w:rPr>
              <w:t>十</w:t>
            </w:r>
            <w:r>
              <w:rPr>
                <w:szCs w:val="21"/>
              </w:rPr>
              <w:t>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3" w:type="pct"/>
            <w:vAlign w:val="center"/>
          </w:tcPr>
          <w:p>
            <w:pPr>
              <w:spacing w:line="240" w:lineRule="auto"/>
              <w:ind w:firstLine="0" w:firstLineChars="0"/>
              <w:jc w:val="center"/>
              <w:rPr>
                <w:szCs w:val="21"/>
              </w:rPr>
            </w:pPr>
            <w:r>
              <w:rPr>
                <w:rFonts w:hint="eastAsia"/>
                <w:szCs w:val="21"/>
              </w:rPr>
              <w:t>4</w:t>
            </w:r>
            <w:r>
              <w:rPr>
                <w:szCs w:val="21"/>
              </w:rPr>
              <w:t>9</w:t>
            </w:r>
          </w:p>
        </w:tc>
        <w:tc>
          <w:tcPr>
            <w:tcW w:w="669" w:type="pct"/>
          </w:tcPr>
          <w:p>
            <w:pPr>
              <w:spacing w:line="240" w:lineRule="auto"/>
              <w:ind w:firstLine="0" w:firstLineChars="0"/>
              <w:jc w:val="center"/>
              <w:rPr>
                <w:szCs w:val="21"/>
              </w:rPr>
            </w:pPr>
            <w:bookmarkStart w:id="242" w:name="_Hlk202174211"/>
            <w:r>
              <w:rPr>
                <w:rFonts w:hint="eastAsia"/>
              </w:rPr>
              <w:t>传统体育、游艺与杂技</w:t>
            </w:r>
            <w:bookmarkEnd w:id="242"/>
          </w:p>
        </w:tc>
        <w:tc>
          <w:tcPr>
            <w:tcW w:w="1590" w:type="pct"/>
            <w:vAlign w:val="center"/>
          </w:tcPr>
          <w:p>
            <w:pPr>
              <w:spacing w:line="240" w:lineRule="auto"/>
              <w:ind w:firstLine="0" w:firstLineChars="0"/>
              <w:jc w:val="center"/>
              <w:rPr>
                <w:szCs w:val="21"/>
              </w:rPr>
            </w:pPr>
            <w:r>
              <w:rPr>
                <w:rFonts w:hint="eastAsia"/>
              </w:rPr>
              <w:t>箬溪武术</w:t>
            </w:r>
          </w:p>
        </w:tc>
        <w:tc>
          <w:tcPr>
            <w:tcW w:w="932" w:type="pct"/>
            <w:vAlign w:val="center"/>
          </w:tcPr>
          <w:p>
            <w:pPr>
              <w:spacing w:line="240" w:lineRule="auto"/>
              <w:ind w:firstLine="0" w:firstLineChars="0"/>
              <w:jc w:val="center"/>
              <w:rPr>
                <w:rFonts w:cs="华文细黑"/>
                <w:color w:val="000000"/>
                <w:kern w:val="0"/>
                <w:szCs w:val="21"/>
                <w:lang w:bidi="ar"/>
              </w:rPr>
            </w:pPr>
            <w:r>
              <w:rPr>
                <w:rFonts w:cs="华文细黑"/>
                <w:color w:val="000000"/>
                <w:kern w:val="0"/>
                <w:szCs w:val="21"/>
                <w:lang w:bidi="ar"/>
              </w:rPr>
              <w:t>南雄市文化馆</w:t>
            </w:r>
          </w:p>
        </w:tc>
        <w:tc>
          <w:tcPr>
            <w:tcW w:w="669" w:type="pct"/>
            <w:vAlign w:val="center"/>
          </w:tcPr>
          <w:p>
            <w:pPr>
              <w:spacing w:line="240" w:lineRule="auto"/>
              <w:ind w:firstLine="0" w:firstLineChars="0"/>
              <w:jc w:val="center"/>
              <w:rPr>
                <w:szCs w:val="21"/>
              </w:rPr>
            </w:pPr>
            <w:r>
              <w:rPr>
                <w:rFonts w:hint="eastAsia"/>
                <w:szCs w:val="21"/>
              </w:rPr>
              <w:t>县级</w:t>
            </w:r>
          </w:p>
        </w:tc>
        <w:tc>
          <w:tcPr>
            <w:tcW w:w="737" w:type="pct"/>
            <w:vAlign w:val="center"/>
          </w:tcPr>
          <w:p>
            <w:pPr>
              <w:spacing w:line="240" w:lineRule="auto"/>
              <w:ind w:firstLine="0" w:firstLineChars="0"/>
              <w:jc w:val="center"/>
              <w:rPr>
                <w:szCs w:val="21"/>
              </w:rPr>
            </w:pPr>
            <w:r>
              <w:rPr>
                <w:szCs w:val="21"/>
              </w:rPr>
              <w:t>第</w:t>
            </w:r>
            <w:r>
              <w:rPr>
                <w:rFonts w:hint="eastAsia"/>
                <w:szCs w:val="21"/>
              </w:rPr>
              <w:t>十</w:t>
            </w:r>
            <w:r>
              <w:rPr>
                <w:szCs w:val="21"/>
              </w:rPr>
              <w:t>批</w:t>
            </w:r>
          </w:p>
        </w:tc>
      </w:tr>
    </w:tbl>
    <w:p>
      <w:pPr>
        <w:pStyle w:val="3"/>
        <w:spacing w:before="0" w:after="0"/>
        <w:ind w:firstLine="482"/>
        <w:rPr>
          <w:rFonts w:ascii="Times" w:hAnsi="Times" w:cs="宋体"/>
          <w:bCs w:val="0"/>
          <w:sz w:val="28"/>
          <w:szCs w:val="28"/>
        </w:rPr>
      </w:pPr>
      <w:r>
        <w:rPr>
          <w:rFonts w:ascii="Times" w:hAnsi="Times" w:cs="宋体"/>
          <w:bCs w:val="0"/>
          <w:sz w:val="24"/>
          <w:szCs w:val="24"/>
        </w:rPr>
        <w:br w:type="column"/>
      </w:r>
      <w:bookmarkStart w:id="243" w:name="_Toc204964394"/>
      <w:r>
        <w:rPr>
          <w:rFonts w:hint="eastAsia" w:ascii="Times" w:hAnsi="Times" w:cs="宋体"/>
          <w:bCs w:val="0"/>
          <w:sz w:val="28"/>
          <w:szCs w:val="28"/>
        </w:rPr>
        <w:t>附表1</w:t>
      </w:r>
      <w:r>
        <w:rPr>
          <w:rFonts w:ascii="Times" w:hAnsi="Times" w:cs="宋体"/>
          <w:bCs w:val="0"/>
          <w:sz w:val="28"/>
          <w:szCs w:val="28"/>
        </w:rPr>
        <w:t>4</w:t>
      </w:r>
      <w:r>
        <w:rPr>
          <w:rFonts w:hint="eastAsia" w:ascii="Times" w:hAnsi="Times" w:cs="宋体"/>
          <w:bCs w:val="0"/>
          <w:sz w:val="28"/>
          <w:szCs w:val="28"/>
        </w:rPr>
        <w:t>：南雄市省定红色革命遗址一览表</w:t>
      </w:r>
      <w:bookmarkEnd w:id="243"/>
    </w:p>
    <w:tbl>
      <w:tblPr>
        <w:tblStyle w:val="4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0"/>
        <w:gridCol w:w="2852"/>
        <w:gridCol w:w="2318"/>
        <w:gridCol w:w="1740"/>
        <w:gridCol w:w="1420"/>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96" w:type="pct"/>
            <w:shd w:val="clear" w:color="auto" w:fill="D0CECE" w:themeFill="background2" w:themeFillShade="E6"/>
            <w:noWrap/>
            <w:vAlign w:val="center"/>
          </w:tcPr>
          <w:p>
            <w:pPr>
              <w:spacing w:line="288" w:lineRule="auto"/>
              <w:ind w:firstLine="0" w:firstLineChars="0"/>
              <w:jc w:val="center"/>
              <w:rPr>
                <w:rFonts w:cs="宋体"/>
                <w:b/>
                <w:bCs/>
                <w:kern w:val="0"/>
                <w:szCs w:val="21"/>
              </w:rPr>
            </w:pPr>
            <w:bookmarkStart w:id="244" w:name="_Hlk200381840"/>
            <w:r>
              <w:rPr>
                <w:rFonts w:hint="eastAsia" w:cs="宋体"/>
                <w:b/>
                <w:bCs/>
                <w:kern w:val="0"/>
                <w:szCs w:val="21"/>
              </w:rPr>
              <w:t>序号</w:t>
            </w:r>
          </w:p>
        </w:tc>
        <w:tc>
          <w:tcPr>
            <w:tcW w:w="1362" w:type="pct"/>
            <w:shd w:val="clear" w:color="auto" w:fill="D0CECE" w:themeFill="background2" w:themeFillShade="E6"/>
            <w:noWrap/>
            <w:vAlign w:val="center"/>
          </w:tcPr>
          <w:p>
            <w:pPr>
              <w:spacing w:line="288" w:lineRule="auto"/>
              <w:ind w:firstLine="0" w:firstLineChars="0"/>
              <w:jc w:val="center"/>
              <w:rPr>
                <w:rFonts w:cs="Arial"/>
                <w:b/>
                <w:bCs/>
                <w:kern w:val="0"/>
                <w:szCs w:val="21"/>
              </w:rPr>
            </w:pPr>
            <w:r>
              <w:rPr>
                <w:rFonts w:cs="Arial"/>
                <w:b/>
                <w:bCs/>
                <w:kern w:val="0"/>
                <w:szCs w:val="21"/>
              </w:rPr>
              <w:t>名称</w:t>
            </w:r>
          </w:p>
        </w:tc>
        <w:tc>
          <w:tcPr>
            <w:tcW w:w="1107" w:type="pct"/>
            <w:shd w:val="clear" w:color="auto" w:fill="D0CECE" w:themeFill="background2" w:themeFillShade="E6"/>
            <w:noWrap/>
            <w:vAlign w:val="center"/>
          </w:tcPr>
          <w:p>
            <w:pPr>
              <w:spacing w:line="288" w:lineRule="auto"/>
              <w:ind w:firstLine="0" w:firstLineChars="0"/>
              <w:jc w:val="center"/>
              <w:rPr>
                <w:rFonts w:cs="Arial"/>
                <w:b/>
                <w:bCs/>
                <w:kern w:val="0"/>
                <w:szCs w:val="21"/>
              </w:rPr>
            </w:pPr>
            <w:r>
              <w:rPr>
                <w:rFonts w:cs="Arial"/>
                <w:b/>
                <w:bCs/>
                <w:kern w:val="0"/>
                <w:szCs w:val="21"/>
              </w:rPr>
              <w:t>地址</w:t>
            </w:r>
          </w:p>
        </w:tc>
        <w:tc>
          <w:tcPr>
            <w:tcW w:w="831" w:type="pct"/>
            <w:shd w:val="clear" w:color="auto" w:fill="D0CECE" w:themeFill="background2" w:themeFillShade="E6"/>
          </w:tcPr>
          <w:p>
            <w:pPr>
              <w:spacing w:line="288" w:lineRule="auto"/>
              <w:ind w:firstLine="0" w:firstLineChars="0"/>
              <w:jc w:val="center"/>
              <w:rPr>
                <w:rFonts w:cs="Arial"/>
                <w:b/>
                <w:bCs/>
                <w:kern w:val="0"/>
                <w:szCs w:val="21"/>
              </w:rPr>
            </w:pPr>
            <w:r>
              <w:rPr>
                <w:rFonts w:hint="eastAsia"/>
                <w:b/>
                <w:bCs/>
                <w:szCs w:val="21"/>
              </w:rPr>
              <w:t>文物保护单位级别</w:t>
            </w:r>
          </w:p>
        </w:tc>
        <w:tc>
          <w:tcPr>
            <w:tcW w:w="678" w:type="pct"/>
            <w:shd w:val="clear" w:color="auto" w:fill="D0CECE" w:themeFill="background2" w:themeFillShade="E6"/>
            <w:noWrap/>
          </w:tcPr>
          <w:p>
            <w:pPr>
              <w:spacing w:line="288" w:lineRule="auto"/>
              <w:ind w:firstLine="0" w:firstLineChars="0"/>
              <w:jc w:val="center"/>
              <w:rPr>
                <w:rFonts w:cs="Arial"/>
                <w:b/>
                <w:bCs/>
                <w:kern w:val="0"/>
                <w:szCs w:val="21"/>
              </w:rPr>
            </w:pPr>
            <w:r>
              <w:rPr>
                <w:rFonts w:hint="eastAsia"/>
                <w:b/>
                <w:bCs/>
                <w:szCs w:val="21"/>
              </w:rPr>
              <w:t>爱国主义教育基地级别</w:t>
            </w:r>
          </w:p>
        </w:tc>
        <w:tc>
          <w:tcPr>
            <w:tcW w:w="726" w:type="pct"/>
            <w:shd w:val="clear" w:color="auto" w:fill="D0CECE" w:themeFill="background2" w:themeFillShade="E6"/>
            <w:noWrap/>
          </w:tcPr>
          <w:p>
            <w:pPr>
              <w:spacing w:line="288" w:lineRule="auto"/>
              <w:ind w:firstLine="0" w:firstLineChars="0"/>
              <w:jc w:val="center"/>
              <w:rPr>
                <w:rFonts w:cs="Arial"/>
                <w:b/>
                <w:bCs/>
                <w:kern w:val="0"/>
                <w:szCs w:val="21"/>
              </w:rPr>
            </w:pPr>
            <w:r>
              <w:rPr>
                <w:rFonts w:hint="eastAsia"/>
                <w:b/>
                <w:bCs/>
                <w:szCs w:val="21"/>
              </w:rPr>
              <w:t>中共党史教育基地级别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5000" w:type="pct"/>
            <w:gridSpan w:val="6"/>
            <w:shd w:val="clear" w:color="auto" w:fill="E7E6E6" w:themeFill="background2"/>
            <w:noWrap/>
            <w:vAlign w:val="center"/>
          </w:tcPr>
          <w:p>
            <w:pPr>
              <w:spacing w:line="288" w:lineRule="auto"/>
              <w:ind w:firstLine="0" w:firstLineChars="0"/>
              <w:jc w:val="center"/>
              <w:rPr>
                <w:rFonts w:cs="Arial"/>
                <w:b/>
                <w:bCs/>
                <w:kern w:val="0"/>
                <w:szCs w:val="21"/>
              </w:rPr>
            </w:pPr>
            <w:r>
              <w:rPr>
                <w:rFonts w:hint="eastAsia" w:cs="Arial"/>
                <w:b/>
                <w:bCs/>
                <w:kern w:val="0"/>
                <w:szCs w:val="21"/>
              </w:rPr>
              <w:t>重要历史事件和重要机构旧址</w:t>
            </w:r>
            <w:r>
              <w:rPr>
                <w:rFonts w:hint="eastAsia" w:cs="Arial"/>
                <w:b/>
                <w:bCs/>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w:t>
            </w:r>
          </w:p>
        </w:tc>
        <w:tc>
          <w:tcPr>
            <w:tcW w:w="1362" w:type="pct"/>
            <w:noWrap/>
            <w:vAlign w:val="center"/>
          </w:tcPr>
          <w:p>
            <w:pPr>
              <w:spacing w:line="288" w:lineRule="auto"/>
              <w:ind w:firstLine="0" w:firstLineChars="0"/>
              <w:jc w:val="center"/>
              <w:rPr>
                <w:rFonts w:cs="Arial"/>
                <w:kern w:val="0"/>
                <w:szCs w:val="21"/>
              </w:rPr>
            </w:pPr>
            <w:r>
              <w:rPr>
                <w:rFonts w:hint="eastAsia"/>
                <w:szCs w:val="21"/>
              </w:rPr>
              <w:t>上朔人民会堂——朔溪乡农民协会旧址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cs="Arial"/>
                <w:kern w:val="0"/>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南雄府学宫大成殿——大革命时期国民党南雄县党部旧址</w:t>
            </w:r>
          </w:p>
        </w:tc>
        <w:tc>
          <w:tcPr>
            <w:tcW w:w="1107" w:type="pct"/>
            <w:noWrap/>
            <w:vAlign w:val="center"/>
          </w:tcPr>
          <w:p>
            <w:pPr>
              <w:spacing w:line="288" w:lineRule="auto"/>
              <w:ind w:firstLine="0" w:firstLineChars="0"/>
              <w:jc w:val="center"/>
              <w:rPr>
                <w:rFonts w:cs="Arial"/>
                <w:kern w:val="0"/>
                <w:szCs w:val="21"/>
              </w:rPr>
            </w:pPr>
            <w:r>
              <w:rPr>
                <w:rFonts w:hint="eastAsia"/>
                <w:szCs w:val="21"/>
              </w:rPr>
              <w:t>南雄市政府大院内</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cs="Arial"/>
                <w:kern w:val="0"/>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南雄县农民协会遗址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雄州街道三影塔广场内</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w:t>
            </w:r>
          </w:p>
        </w:tc>
        <w:tc>
          <w:tcPr>
            <w:tcW w:w="1362" w:type="pct"/>
            <w:noWrap/>
            <w:vAlign w:val="center"/>
          </w:tcPr>
          <w:p>
            <w:pPr>
              <w:spacing w:line="288" w:lineRule="auto"/>
              <w:ind w:firstLine="0" w:firstLineChars="0"/>
              <w:jc w:val="center"/>
              <w:rPr>
                <w:rFonts w:cs="Arial"/>
                <w:kern w:val="0"/>
                <w:szCs w:val="21"/>
              </w:rPr>
            </w:pPr>
            <w:r>
              <w:rPr>
                <w:rFonts w:hint="eastAsia"/>
                <w:szCs w:val="21"/>
              </w:rPr>
              <w:t>中共南雄县委机关湖口花楼遗址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湖口镇湖口村委老屋下村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w:t>
            </w:r>
          </w:p>
        </w:tc>
        <w:tc>
          <w:tcPr>
            <w:tcW w:w="1362" w:type="pct"/>
            <w:noWrap/>
            <w:vAlign w:val="center"/>
          </w:tcPr>
          <w:p>
            <w:pPr>
              <w:spacing w:line="288" w:lineRule="auto"/>
              <w:ind w:firstLine="0" w:firstLineChars="0"/>
              <w:jc w:val="center"/>
              <w:rPr>
                <w:rFonts w:cs="Arial"/>
                <w:kern w:val="0"/>
                <w:szCs w:val="21"/>
              </w:rPr>
            </w:pPr>
            <w:r>
              <w:rPr>
                <w:rFonts w:hint="eastAsia"/>
                <w:szCs w:val="21"/>
              </w:rPr>
              <w:t>灵潭鸳鸯围——南雄县农民暴动策源地旧址（含农民暴动策源地馆）</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珠玑镇灵潭村</w:t>
            </w:r>
          </w:p>
        </w:tc>
        <w:tc>
          <w:tcPr>
            <w:tcW w:w="831" w:type="pct"/>
            <w:vAlign w:val="center"/>
          </w:tcPr>
          <w:p>
            <w:pPr>
              <w:spacing w:line="288" w:lineRule="auto"/>
              <w:ind w:firstLine="0" w:firstLineChars="0"/>
              <w:jc w:val="center"/>
              <w:rPr>
                <w:rFonts w:cs="Arial"/>
                <w:kern w:val="0"/>
                <w:szCs w:val="21"/>
              </w:rPr>
            </w:pPr>
            <w:r>
              <w:rPr>
                <w:rFonts w:hint="eastAsia"/>
                <w:szCs w:val="21"/>
              </w:rPr>
              <w:t>不可移动文物</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南雄县苏维埃政府成立大会会场遗址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黄坑镇黄坑村老圩场</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南雄县苏维埃政府遗址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w:t>
            </w:r>
          </w:p>
        </w:tc>
        <w:tc>
          <w:tcPr>
            <w:tcW w:w="1362" w:type="pct"/>
            <w:noWrap/>
            <w:vAlign w:val="center"/>
          </w:tcPr>
          <w:p>
            <w:pPr>
              <w:spacing w:line="288" w:lineRule="auto"/>
              <w:ind w:firstLine="0" w:firstLineChars="0"/>
              <w:jc w:val="center"/>
              <w:rPr>
                <w:rFonts w:cs="Arial"/>
                <w:kern w:val="0"/>
                <w:szCs w:val="21"/>
              </w:rPr>
            </w:pPr>
            <w:r>
              <w:rPr>
                <w:rFonts w:hint="eastAsia"/>
                <w:szCs w:val="21"/>
              </w:rPr>
              <w:t>上武庙——红五军、红四军军部遗址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雄州街道八一街</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w:t>
            </w:r>
          </w:p>
        </w:tc>
        <w:tc>
          <w:tcPr>
            <w:tcW w:w="1362" w:type="pct"/>
            <w:noWrap/>
            <w:vAlign w:val="center"/>
          </w:tcPr>
          <w:p>
            <w:pPr>
              <w:spacing w:line="288" w:lineRule="auto"/>
              <w:ind w:firstLine="0" w:firstLineChars="0"/>
              <w:jc w:val="center"/>
              <w:rPr>
                <w:rFonts w:cs="Arial"/>
                <w:kern w:val="0"/>
                <w:szCs w:val="21"/>
              </w:rPr>
            </w:pPr>
            <w:r>
              <w:rPr>
                <w:rFonts w:hint="eastAsia"/>
                <w:szCs w:val="21"/>
              </w:rPr>
              <w:t>红军召开群众大会会址</w:t>
            </w:r>
          </w:p>
        </w:tc>
        <w:tc>
          <w:tcPr>
            <w:tcW w:w="1107" w:type="pct"/>
            <w:noWrap/>
            <w:vAlign w:val="center"/>
          </w:tcPr>
          <w:p>
            <w:pPr>
              <w:spacing w:line="288" w:lineRule="auto"/>
              <w:ind w:firstLine="0" w:firstLineChars="0"/>
              <w:jc w:val="center"/>
              <w:rPr>
                <w:rFonts w:cs="Arial"/>
                <w:kern w:val="0"/>
                <w:szCs w:val="21"/>
              </w:rPr>
            </w:pPr>
            <w:r>
              <w:rPr>
                <w:rFonts w:hint="eastAsia"/>
                <w:szCs w:val="21"/>
              </w:rPr>
              <w:t>南雄市人民医院门诊部门坪</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10</w:t>
            </w:r>
          </w:p>
        </w:tc>
        <w:tc>
          <w:tcPr>
            <w:tcW w:w="1362" w:type="pct"/>
            <w:noWrap/>
            <w:vAlign w:val="center"/>
          </w:tcPr>
          <w:p>
            <w:pPr>
              <w:spacing w:line="288" w:lineRule="auto"/>
              <w:ind w:firstLine="0" w:firstLineChars="0"/>
              <w:jc w:val="center"/>
              <w:rPr>
                <w:rFonts w:cs="Arial"/>
                <w:kern w:val="0"/>
                <w:szCs w:val="21"/>
              </w:rPr>
            </w:pPr>
            <w:r>
              <w:rPr>
                <w:rFonts w:hint="eastAsia"/>
                <w:szCs w:val="21"/>
              </w:rPr>
              <w:t>中央苏区秘密交通线南雄交通站旧址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雄州街道八一街</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11</w:t>
            </w:r>
          </w:p>
        </w:tc>
        <w:tc>
          <w:tcPr>
            <w:tcW w:w="1362" w:type="pct"/>
            <w:noWrap/>
            <w:vAlign w:val="center"/>
          </w:tcPr>
          <w:p>
            <w:pPr>
              <w:spacing w:line="288" w:lineRule="auto"/>
              <w:ind w:firstLine="0" w:firstLineChars="0"/>
              <w:jc w:val="center"/>
              <w:rPr>
                <w:rFonts w:cs="Arial"/>
                <w:kern w:val="0"/>
                <w:szCs w:val="21"/>
              </w:rPr>
            </w:pPr>
            <w:r>
              <w:rPr>
                <w:rFonts w:hint="eastAsia"/>
                <w:szCs w:val="21"/>
              </w:rPr>
              <w:t>平林谱房——南雄县苏维埃政府遗址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油山镇平林村委上门村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12</w:t>
            </w:r>
          </w:p>
        </w:tc>
        <w:tc>
          <w:tcPr>
            <w:tcW w:w="1362" w:type="pct"/>
            <w:noWrap/>
            <w:vAlign w:val="center"/>
          </w:tcPr>
          <w:p>
            <w:pPr>
              <w:spacing w:line="288" w:lineRule="auto"/>
              <w:ind w:firstLine="0" w:firstLineChars="0"/>
              <w:jc w:val="center"/>
              <w:rPr>
                <w:rFonts w:cs="Arial"/>
                <w:kern w:val="0"/>
                <w:szCs w:val="21"/>
              </w:rPr>
            </w:pPr>
            <w:r>
              <w:rPr>
                <w:rFonts w:hint="eastAsia"/>
                <w:szCs w:val="21"/>
              </w:rPr>
              <w:t>兰坵围俚——南雄县苏维埃政府驻地遗址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乌迳镇兰坵村委桐子树下村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13</w:t>
            </w:r>
          </w:p>
        </w:tc>
        <w:tc>
          <w:tcPr>
            <w:tcW w:w="1362" w:type="pct"/>
            <w:noWrap/>
            <w:vAlign w:val="center"/>
          </w:tcPr>
          <w:p>
            <w:pPr>
              <w:spacing w:line="288" w:lineRule="auto"/>
              <w:ind w:firstLine="0" w:firstLineChars="0"/>
              <w:jc w:val="center"/>
              <w:rPr>
                <w:rFonts w:cs="Arial"/>
                <w:kern w:val="0"/>
                <w:szCs w:val="21"/>
              </w:rPr>
            </w:pPr>
            <w:r>
              <w:rPr>
                <w:rFonts w:hint="eastAsia"/>
                <w:szCs w:val="21"/>
              </w:rPr>
              <w:t>甑盖脑红军医院遗址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澜河镇白云村上里洞</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14</w:t>
            </w:r>
          </w:p>
        </w:tc>
        <w:tc>
          <w:tcPr>
            <w:tcW w:w="1362" w:type="pct"/>
            <w:noWrap/>
            <w:vAlign w:val="center"/>
          </w:tcPr>
          <w:p>
            <w:pPr>
              <w:spacing w:line="288" w:lineRule="auto"/>
              <w:ind w:firstLine="0" w:firstLineChars="0"/>
              <w:jc w:val="center"/>
              <w:rPr>
                <w:rFonts w:cs="Arial"/>
                <w:kern w:val="0"/>
                <w:szCs w:val="21"/>
              </w:rPr>
            </w:pPr>
            <w:r>
              <w:rPr>
                <w:rFonts w:hint="eastAsia"/>
                <w:szCs w:val="21"/>
              </w:rPr>
              <w:t>中共南雄县委机关莲花寨遗址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油山镇莲山村委石狮下村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15</w:t>
            </w:r>
          </w:p>
        </w:tc>
        <w:tc>
          <w:tcPr>
            <w:tcW w:w="1362" w:type="pct"/>
            <w:noWrap/>
            <w:vAlign w:val="center"/>
          </w:tcPr>
          <w:p>
            <w:pPr>
              <w:spacing w:line="288" w:lineRule="auto"/>
              <w:ind w:firstLine="0" w:firstLineChars="0"/>
              <w:jc w:val="center"/>
              <w:rPr>
                <w:rFonts w:cs="Arial"/>
                <w:kern w:val="0"/>
                <w:szCs w:val="21"/>
              </w:rPr>
            </w:pPr>
            <w:r>
              <w:rPr>
                <w:rFonts w:hint="eastAsia"/>
                <w:szCs w:val="21"/>
              </w:rPr>
              <w:t>赣粤边特委大岭下会议旧址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油山镇大兰村委大岭下村</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16</w:t>
            </w:r>
          </w:p>
        </w:tc>
        <w:tc>
          <w:tcPr>
            <w:tcW w:w="1362" w:type="pct"/>
            <w:noWrap/>
          </w:tcPr>
          <w:p>
            <w:pPr>
              <w:spacing w:line="288" w:lineRule="auto"/>
              <w:ind w:firstLine="0" w:firstLineChars="0"/>
              <w:jc w:val="center"/>
              <w:rPr>
                <w:rFonts w:cs="Arial"/>
                <w:kern w:val="0"/>
                <w:szCs w:val="21"/>
              </w:rPr>
            </w:pPr>
            <w:r>
              <w:rPr>
                <w:rFonts w:hint="eastAsia"/>
                <w:szCs w:val="21"/>
              </w:rPr>
              <w:t>赣粤边游击区指挥中心遗址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澜河镇白云村上里洞</w:t>
            </w:r>
          </w:p>
        </w:tc>
        <w:tc>
          <w:tcPr>
            <w:tcW w:w="831" w:type="pct"/>
          </w:tcPr>
          <w:p>
            <w:pPr>
              <w:spacing w:line="288" w:lineRule="auto"/>
              <w:ind w:firstLine="0" w:firstLineChars="0"/>
              <w:jc w:val="center"/>
              <w:rPr>
                <w:rFonts w:cs="Arial"/>
                <w:kern w:val="0"/>
                <w:szCs w:val="21"/>
              </w:rPr>
            </w:pPr>
            <w:r>
              <w:rPr>
                <w:rFonts w:hint="eastAsia" w:cs="Arial"/>
                <w:kern w:val="0"/>
                <w:szCs w:val="21"/>
              </w:rPr>
              <w:t>-</w:t>
            </w:r>
          </w:p>
        </w:tc>
        <w:tc>
          <w:tcPr>
            <w:tcW w:w="678" w:type="pct"/>
            <w:noWrap/>
            <w:vAlign w:val="center"/>
          </w:tcPr>
          <w:p>
            <w:pPr>
              <w:spacing w:line="288" w:lineRule="auto"/>
              <w:ind w:firstLine="0" w:firstLineChars="0"/>
              <w:jc w:val="center"/>
              <w:rPr>
                <w:rFonts w:cs="Arial"/>
                <w:kern w:val="0"/>
                <w:szCs w:val="21"/>
              </w:rPr>
            </w:pPr>
            <w:r>
              <w:rPr>
                <w:rFonts w:hint="eastAsia" w:cs="Arial"/>
                <w:kern w:val="0"/>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17</w:t>
            </w:r>
          </w:p>
        </w:tc>
        <w:tc>
          <w:tcPr>
            <w:tcW w:w="1362" w:type="pct"/>
            <w:noWrap/>
          </w:tcPr>
          <w:p>
            <w:pPr>
              <w:spacing w:line="288" w:lineRule="auto"/>
              <w:ind w:firstLine="0" w:firstLineChars="0"/>
              <w:jc w:val="center"/>
              <w:rPr>
                <w:rFonts w:cs="Arial"/>
                <w:kern w:val="0"/>
                <w:szCs w:val="21"/>
              </w:rPr>
            </w:pPr>
            <w:r>
              <w:rPr>
                <w:rFonts w:hint="eastAsia"/>
                <w:szCs w:val="21"/>
              </w:rPr>
              <w:t>“北山事件”遗址</w:t>
            </w:r>
          </w:p>
        </w:tc>
        <w:tc>
          <w:tcPr>
            <w:tcW w:w="1107" w:type="pct"/>
            <w:noWrap/>
          </w:tcPr>
          <w:p>
            <w:pPr>
              <w:spacing w:line="288" w:lineRule="auto"/>
              <w:ind w:firstLine="0" w:firstLineChars="0"/>
              <w:jc w:val="center"/>
              <w:rPr>
                <w:rFonts w:cs="Arial"/>
                <w:kern w:val="0"/>
                <w:szCs w:val="21"/>
              </w:rPr>
            </w:pPr>
            <w:r>
              <w:rPr>
                <w:rFonts w:hint="eastAsia"/>
                <w:szCs w:val="21"/>
              </w:rPr>
              <w:t>澜河镇白云村龙狮石</w:t>
            </w:r>
          </w:p>
        </w:tc>
        <w:tc>
          <w:tcPr>
            <w:tcW w:w="831" w:type="pct"/>
          </w:tcPr>
          <w:p>
            <w:pPr>
              <w:spacing w:line="288" w:lineRule="auto"/>
              <w:ind w:firstLine="0" w:firstLineChars="0"/>
              <w:jc w:val="center"/>
              <w:rPr>
                <w:rFonts w:cs="Arial"/>
                <w:kern w:val="0"/>
                <w:szCs w:val="21"/>
              </w:rPr>
            </w:pPr>
            <w:r>
              <w:rPr>
                <w:rFonts w:hint="eastAsia" w:cs="Arial"/>
                <w:kern w:val="0"/>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18</w:t>
            </w:r>
          </w:p>
        </w:tc>
        <w:tc>
          <w:tcPr>
            <w:tcW w:w="1362" w:type="pct"/>
            <w:noWrap/>
            <w:vAlign w:val="center"/>
          </w:tcPr>
          <w:p>
            <w:pPr>
              <w:spacing w:line="288" w:lineRule="auto"/>
              <w:ind w:firstLine="0" w:firstLineChars="0"/>
              <w:jc w:val="center"/>
              <w:rPr>
                <w:szCs w:val="21"/>
              </w:rPr>
            </w:pPr>
            <w:r>
              <w:rPr>
                <w:rFonts w:hint="eastAsia"/>
                <w:szCs w:val="21"/>
              </w:rPr>
              <w:t>中共南雄县委机关里塘坪遗址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珠玑镇叟里元村委里塘坪村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19</w:t>
            </w:r>
          </w:p>
        </w:tc>
        <w:tc>
          <w:tcPr>
            <w:tcW w:w="1362" w:type="pct"/>
            <w:noWrap/>
            <w:vAlign w:val="center"/>
          </w:tcPr>
          <w:p>
            <w:pPr>
              <w:spacing w:line="288" w:lineRule="auto"/>
              <w:ind w:firstLine="0" w:firstLineChars="0"/>
              <w:jc w:val="center"/>
              <w:rPr>
                <w:szCs w:val="21"/>
              </w:rPr>
            </w:pPr>
            <w:r>
              <w:rPr>
                <w:rFonts w:hint="eastAsia"/>
                <w:szCs w:val="21"/>
              </w:rPr>
              <w:t>中共南雄县委机关赤溪庙遗址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湖口镇新湖村委赤溪湖村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20</w:t>
            </w:r>
          </w:p>
        </w:tc>
        <w:tc>
          <w:tcPr>
            <w:tcW w:w="1362" w:type="pct"/>
            <w:noWrap/>
            <w:vAlign w:val="center"/>
          </w:tcPr>
          <w:p>
            <w:pPr>
              <w:spacing w:line="288" w:lineRule="auto"/>
              <w:ind w:firstLine="0" w:firstLineChars="0"/>
              <w:jc w:val="center"/>
              <w:rPr>
                <w:szCs w:val="21"/>
              </w:rPr>
            </w:pPr>
            <w:r>
              <w:rPr>
                <w:rFonts w:hint="eastAsia"/>
                <w:szCs w:val="21"/>
              </w:rPr>
              <w:t>中共南雄中心县委驻地旧址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湖口镇新迳村委古坑村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21</w:t>
            </w:r>
          </w:p>
        </w:tc>
        <w:tc>
          <w:tcPr>
            <w:tcW w:w="1362" w:type="pct"/>
            <w:noWrap/>
            <w:vAlign w:val="center"/>
          </w:tcPr>
          <w:p>
            <w:pPr>
              <w:spacing w:line="288" w:lineRule="auto"/>
              <w:ind w:firstLine="0" w:firstLineChars="0"/>
              <w:jc w:val="center"/>
              <w:rPr>
                <w:szCs w:val="21"/>
              </w:rPr>
            </w:pPr>
            <w:r>
              <w:rPr>
                <w:rFonts w:hint="eastAsia"/>
                <w:szCs w:val="21"/>
              </w:rPr>
              <w:t>南雄市瑶坑村中共广东省委旧址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雄州街道荆岗村委瑶坑村</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省级</w:t>
            </w:r>
          </w:p>
        </w:tc>
        <w:tc>
          <w:tcPr>
            <w:tcW w:w="726" w:type="pct"/>
            <w:noWrap/>
            <w:vAlign w:val="center"/>
          </w:tcPr>
          <w:p>
            <w:pPr>
              <w:spacing w:line="288" w:lineRule="auto"/>
              <w:ind w:firstLine="0" w:firstLineChars="0"/>
              <w:jc w:val="center"/>
              <w:rPr>
                <w:rFonts w:cs="Arial"/>
                <w:kern w:val="0"/>
                <w:szCs w:val="21"/>
              </w:rPr>
            </w:pPr>
            <w:r>
              <w:rPr>
                <w:rFonts w:hint="eastAsia"/>
                <w:szCs w:val="21"/>
              </w:rPr>
              <w:t>省级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22</w:t>
            </w:r>
          </w:p>
        </w:tc>
        <w:tc>
          <w:tcPr>
            <w:tcW w:w="1362" w:type="pct"/>
            <w:noWrap/>
            <w:vAlign w:val="center"/>
          </w:tcPr>
          <w:p>
            <w:pPr>
              <w:spacing w:line="288" w:lineRule="auto"/>
              <w:ind w:firstLine="0" w:firstLineChars="0"/>
              <w:jc w:val="center"/>
              <w:rPr>
                <w:szCs w:val="21"/>
              </w:rPr>
            </w:pPr>
            <w:r>
              <w:rPr>
                <w:rFonts w:hint="eastAsia"/>
                <w:szCs w:val="21"/>
              </w:rPr>
              <w:t>中共广东省委电台驻地遗址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全安镇密下水村委谢地村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23</w:t>
            </w:r>
          </w:p>
        </w:tc>
        <w:tc>
          <w:tcPr>
            <w:tcW w:w="1362" w:type="pct"/>
            <w:noWrap/>
            <w:vAlign w:val="center"/>
          </w:tcPr>
          <w:p>
            <w:pPr>
              <w:spacing w:line="288" w:lineRule="auto"/>
              <w:ind w:firstLine="0" w:firstLineChars="0"/>
              <w:jc w:val="center"/>
              <w:rPr>
                <w:szCs w:val="21"/>
              </w:rPr>
            </w:pPr>
            <w:r>
              <w:rPr>
                <w:rFonts w:hint="eastAsia"/>
                <w:szCs w:val="21"/>
              </w:rPr>
              <w:t>八路军南下支队司令部旧址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澜河镇上矽村委东亨社村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24</w:t>
            </w:r>
          </w:p>
        </w:tc>
        <w:tc>
          <w:tcPr>
            <w:tcW w:w="1362" w:type="pct"/>
            <w:noWrap/>
            <w:vAlign w:val="center"/>
          </w:tcPr>
          <w:p>
            <w:pPr>
              <w:spacing w:line="288" w:lineRule="auto"/>
              <w:ind w:firstLine="0" w:firstLineChars="0"/>
              <w:jc w:val="center"/>
              <w:rPr>
                <w:szCs w:val="21"/>
              </w:rPr>
            </w:pPr>
            <w:r>
              <w:rPr>
                <w:rFonts w:hint="eastAsia"/>
                <w:szCs w:val="21"/>
              </w:rPr>
              <w:t>八路军南下支队军政会议旧址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百顺镇朱安村委沙坑村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25</w:t>
            </w:r>
          </w:p>
        </w:tc>
        <w:tc>
          <w:tcPr>
            <w:tcW w:w="1362" w:type="pct"/>
            <w:noWrap/>
            <w:vAlign w:val="center"/>
          </w:tcPr>
          <w:p>
            <w:pPr>
              <w:spacing w:line="288" w:lineRule="auto"/>
              <w:ind w:firstLine="0" w:firstLineChars="0"/>
              <w:jc w:val="center"/>
              <w:rPr>
                <w:szCs w:val="21"/>
              </w:rPr>
            </w:pPr>
            <w:r>
              <w:rPr>
                <w:rFonts w:hint="eastAsia"/>
                <w:szCs w:val="21"/>
              </w:rPr>
              <w:t>东江纵队粤北党政军委员会旧址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澜河镇白云村小流坑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26</w:t>
            </w:r>
          </w:p>
        </w:tc>
        <w:tc>
          <w:tcPr>
            <w:tcW w:w="1362" w:type="pct"/>
            <w:noWrap/>
            <w:vAlign w:val="center"/>
          </w:tcPr>
          <w:p>
            <w:pPr>
              <w:spacing w:line="288" w:lineRule="auto"/>
              <w:ind w:firstLine="0" w:firstLineChars="0"/>
              <w:jc w:val="center"/>
              <w:rPr>
                <w:szCs w:val="21"/>
              </w:rPr>
            </w:pPr>
            <w:r>
              <w:rPr>
                <w:rFonts w:hint="eastAsia"/>
                <w:szCs w:val="21"/>
              </w:rPr>
              <w:t>中共五岭地委和粤赣湘边区人民解放总队机关旧址</w:t>
            </w:r>
          </w:p>
        </w:tc>
        <w:tc>
          <w:tcPr>
            <w:tcW w:w="1107" w:type="pct"/>
            <w:noWrap/>
            <w:vAlign w:val="center"/>
          </w:tcPr>
          <w:p>
            <w:pPr>
              <w:spacing w:line="288" w:lineRule="auto"/>
              <w:ind w:firstLine="0" w:firstLineChars="0"/>
              <w:jc w:val="center"/>
              <w:rPr>
                <w:rFonts w:cs="Arial"/>
                <w:kern w:val="0"/>
                <w:szCs w:val="21"/>
              </w:rPr>
            </w:pPr>
            <w:r>
              <w:rPr>
                <w:rFonts w:hint="eastAsia"/>
                <w:szCs w:val="21"/>
              </w:rPr>
              <w:t>帽子峰镇坪山村委乾村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27</w:t>
            </w:r>
          </w:p>
        </w:tc>
        <w:tc>
          <w:tcPr>
            <w:tcW w:w="1362" w:type="pct"/>
            <w:noWrap/>
            <w:vAlign w:val="center"/>
          </w:tcPr>
          <w:p>
            <w:pPr>
              <w:spacing w:line="288" w:lineRule="auto"/>
              <w:ind w:firstLine="0" w:firstLineChars="0"/>
              <w:jc w:val="center"/>
              <w:rPr>
                <w:szCs w:val="21"/>
              </w:rPr>
            </w:pPr>
            <w:r>
              <w:rPr>
                <w:rFonts w:hint="eastAsia"/>
                <w:szCs w:val="21"/>
              </w:rPr>
              <w:t>中共五岭地委帽子峰会议遗址</w:t>
            </w:r>
          </w:p>
        </w:tc>
        <w:tc>
          <w:tcPr>
            <w:tcW w:w="1107" w:type="pct"/>
            <w:noWrap/>
            <w:vAlign w:val="center"/>
          </w:tcPr>
          <w:p>
            <w:pPr>
              <w:spacing w:line="288" w:lineRule="auto"/>
              <w:ind w:firstLine="0" w:firstLineChars="0"/>
              <w:jc w:val="center"/>
              <w:rPr>
                <w:rFonts w:cs="Arial"/>
                <w:kern w:val="0"/>
                <w:szCs w:val="21"/>
              </w:rPr>
            </w:pPr>
            <w:r>
              <w:rPr>
                <w:rFonts w:hint="eastAsia"/>
                <w:szCs w:val="21"/>
              </w:rPr>
              <w:t>帽子峰林场芳坑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28</w:t>
            </w:r>
          </w:p>
        </w:tc>
        <w:tc>
          <w:tcPr>
            <w:tcW w:w="1362" w:type="pct"/>
            <w:noWrap/>
            <w:vAlign w:val="center"/>
          </w:tcPr>
          <w:p>
            <w:pPr>
              <w:spacing w:line="288" w:lineRule="auto"/>
              <w:ind w:firstLine="0" w:firstLineChars="0"/>
              <w:jc w:val="center"/>
              <w:rPr>
                <w:szCs w:val="21"/>
              </w:rPr>
            </w:pPr>
            <w:r>
              <w:rPr>
                <w:rFonts w:hint="eastAsia"/>
                <w:szCs w:val="21"/>
              </w:rPr>
              <w:t>中共五岭地委扩大会议上湖旧址</w:t>
            </w:r>
          </w:p>
        </w:tc>
        <w:tc>
          <w:tcPr>
            <w:tcW w:w="1107" w:type="pct"/>
            <w:noWrap/>
            <w:vAlign w:val="center"/>
          </w:tcPr>
          <w:p>
            <w:pPr>
              <w:spacing w:line="288" w:lineRule="auto"/>
              <w:ind w:firstLine="0" w:firstLineChars="0"/>
              <w:jc w:val="center"/>
              <w:rPr>
                <w:rFonts w:cs="Arial"/>
                <w:kern w:val="0"/>
                <w:szCs w:val="21"/>
              </w:rPr>
            </w:pPr>
            <w:r>
              <w:rPr>
                <w:rFonts w:hint="eastAsia"/>
                <w:szCs w:val="21"/>
              </w:rPr>
              <w:t>邓坊镇上湖村委西坑村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29</w:t>
            </w:r>
          </w:p>
        </w:tc>
        <w:tc>
          <w:tcPr>
            <w:tcW w:w="1362" w:type="pct"/>
            <w:noWrap/>
            <w:vAlign w:val="center"/>
          </w:tcPr>
          <w:p>
            <w:pPr>
              <w:spacing w:line="288" w:lineRule="auto"/>
              <w:ind w:firstLine="0" w:firstLineChars="0"/>
              <w:jc w:val="center"/>
              <w:rPr>
                <w:szCs w:val="21"/>
              </w:rPr>
            </w:pPr>
            <w:r>
              <w:rPr>
                <w:rFonts w:hint="eastAsia"/>
                <w:szCs w:val="21"/>
              </w:rPr>
              <w:t>中共五岭地委扩大会议兰坵遗址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乌迳镇兰坵村委寨子脑村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30</w:t>
            </w:r>
          </w:p>
        </w:tc>
        <w:tc>
          <w:tcPr>
            <w:tcW w:w="1362" w:type="pct"/>
            <w:noWrap/>
            <w:vAlign w:val="center"/>
          </w:tcPr>
          <w:p>
            <w:pPr>
              <w:spacing w:line="288" w:lineRule="auto"/>
              <w:ind w:firstLine="0" w:firstLineChars="0"/>
              <w:jc w:val="center"/>
              <w:rPr>
                <w:szCs w:val="21"/>
              </w:rPr>
            </w:pPr>
            <w:r>
              <w:rPr>
                <w:rFonts w:hint="eastAsia"/>
                <w:szCs w:val="21"/>
              </w:rPr>
              <w:t>中共南雄县委、县人民政府驻地旧址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珠玑镇里东村委苔塘村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000" w:type="pct"/>
            <w:gridSpan w:val="6"/>
            <w:shd w:val="clear" w:color="auto" w:fill="E7E6E6" w:themeFill="background2"/>
            <w:noWrap/>
            <w:vAlign w:val="center"/>
          </w:tcPr>
          <w:p>
            <w:pPr>
              <w:spacing w:line="288" w:lineRule="auto"/>
              <w:ind w:firstLine="0" w:firstLineChars="0"/>
              <w:jc w:val="center"/>
              <w:rPr>
                <w:rFonts w:cs="Arial"/>
                <w:b/>
                <w:bCs/>
                <w:kern w:val="0"/>
                <w:szCs w:val="21"/>
              </w:rPr>
            </w:pPr>
            <w:r>
              <w:rPr>
                <w:rFonts w:hint="eastAsia" w:cs="Arial"/>
                <w:b/>
                <w:bCs/>
                <w:kern w:val="0"/>
                <w:szCs w:val="21"/>
              </w:rPr>
              <w:t>重要历史事件发生地和人物活动纪念地</w:t>
            </w:r>
            <w:r>
              <w:rPr>
                <w:rFonts w:hint="eastAsia" w:cs="Arial"/>
                <w:b/>
                <w:bCs/>
                <w:kern w:val="0"/>
                <w:szCs w:val="21"/>
              </w:rPr>
              <w:tab/>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31</w:t>
            </w:r>
          </w:p>
        </w:tc>
        <w:tc>
          <w:tcPr>
            <w:tcW w:w="1362" w:type="pct"/>
            <w:noWrap/>
            <w:vAlign w:val="center"/>
          </w:tcPr>
          <w:p>
            <w:pPr>
              <w:spacing w:line="288" w:lineRule="auto"/>
              <w:ind w:firstLine="0" w:firstLineChars="0"/>
              <w:jc w:val="center"/>
              <w:rPr>
                <w:rFonts w:cs="Arial"/>
                <w:kern w:val="0"/>
                <w:szCs w:val="21"/>
              </w:rPr>
            </w:pPr>
            <w:r>
              <w:rPr>
                <w:rFonts w:hint="eastAsia"/>
                <w:szCs w:val="21"/>
              </w:rPr>
              <w:t>寨下村——红四军宿营地遗址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邓坊镇兰田村委寨下村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32</w:t>
            </w:r>
          </w:p>
        </w:tc>
        <w:tc>
          <w:tcPr>
            <w:tcW w:w="1362" w:type="pct"/>
            <w:noWrap/>
            <w:vAlign w:val="center"/>
          </w:tcPr>
          <w:p>
            <w:pPr>
              <w:spacing w:line="288" w:lineRule="auto"/>
              <w:ind w:firstLine="0" w:firstLineChars="0"/>
              <w:jc w:val="center"/>
              <w:rPr>
                <w:rFonts w:cs="Arial"/>
                <w:kern w:val="0"/>
                <w:szCs w:val="21"/>
              </w:rPr>
            </w:pPr>
            <w:r>
              <w:rPr>
                <w:rFonts w:hint="eastAsia"/>
                <w:szCs w:val="21"/>
              </w:rPr>
              <w:t>红四军突破粤军伏击战场遗址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油山镇坪田坳村大石埂</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33</w:t>
            </w:r>
          </w:p>
        </w:tc>
        <w:tc>
          <w:tcPr>
            <w:tcW w:w="1362" w:type="pct"/>
            <w:noWrap/>
            <w:vAlign w:val="center"/>
          </w:tcPr>
          <w:p>
            <w:pPr>
              <w:spacing w:line="288" w:lineRule="auto"/>
              <w:ind w:firstLine="0" w:firstLineChars="0"/>
              <w:jc w:val="center"/>
              <w:rPr>
                <w:rFonts w:cs="Arial"/>
                <w:kern w:val="0"/>
                <w:szCs w:val="21"/>
              </w:rPr>
            </w:pPr>
            <w:r>
              <w:rPr>
                <w:rFonts w:hint="eastAsia"/>
                <w:szCs w:val="21"/>
              </w:rPr>
              <w:t>夹河口村——朱毛红军会合地遗址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油山镇夹河口村委高口村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34</w:t>
            </w:r>
          </w:p>
        </w:tc>
        <w:tc>
          <w:tcPr>
            <w:tcW w:w="1362" w:type="pct"/>
            <w:noWrap/>
            <w:vAlign w:val="center"/>
          </w:tcPr>
          <w:p>
            <w:pPr>
              <w:spacing w:line="288" w:lineRule="auto"/>
              <w:ind w:firstLine="0" w:firstLineChars="0"/>
              <w:jc w:val="center"/>
              <w:rPr>
                <w:rFonts w:cs="Arial"/>
                <w:kern w:val="0"/>
                <w:szCs w:val="21"/>
              </w:rPr>
            </w:pPr>
            <w:r>
              <w:rPr>
                <w:rFonts w:hint="eastAsia"/>
                <w:szCs w:val="21"/>
              </w:rPr>
              <w:t>黄木岭——红四军脱险地、红军长征部队宿营地遗址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乌迳镇官门楼村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35</w:t>
            </w:r>
          </w:p>
        </w:tc>
        <w:tc>
          <w:tcPr>
            <w:tcW w:w="1362" w:type="pct"/>
            <w:noWrap/>
            <w:vAlign w:val="center"/>
          </w:tcPr>
          <w:p>
            <w:pPr>
              <w:spacing w:line="288" w:lineRule="auto"/>
              <w:ind w:firstLine="0" w:firstLineChars="0"/>
              <w:jc w:val="center"/>
              <w:rPr>
                <w:rFonts w:cs="Arial"/>
                <w:kern w:val="0"/>
                <w:szCs w:val="21"/>
              </w:rPr>
            </w:pPr>
            <w:r>
              <w:rPr>
                <w:rFonts w:hint="eastAsia"/>
                <w:szCs w:val="21"/>
              </w:rPr>
              <w:t>界址圩——工农红军宿营地旧址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界址镇界址村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36</w:t>
            </w:r>
          </w:p>
        </w:tc>
        <w:tc>
          <w:tcPr>
            <w:tcW w:w="1362" w:type="pct"/>
            <w:noWrap/>
            <w:vAlign w:val="center"/>
          </w:tcPr>
          <w:p>
            <w:pPr>
              <w:spacing w:line="288" w:lineRule="auto"/>
              <w:ind w:firstLine="0" w:firstLineChars="0"/>
              <w:jc w:val="center"/>
              <w:rPr>
                <w:rFonts w:cs="Arial"/>
                <w:kern w:val="0"/>
                <w:szCs w:val="21"/>
              </w:rPr>
            </w:pPr>
            <w:r>
              <w:rPr>
                <w:rFonts w:hint="eastAsia"/>
                <w:szCs w:val="21"/>
              </w:rPr>
              <w:t>黄地围门——南雄县委突围战遗址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油山镇黄地村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37</w:t>
            </w:r>
          </w:p>
        </w:tc>
        <w:tc>
          <w:tcPr>
            <w:tcW w:w="1362" w:type="pct"/>
            <w:noWrap/>
            <w:vAlign w:val="center"/>
          </w:tcPr>
          <w:p>
            <w:pPr>
              <w:spacing w:line="288" w:lineRule="auto"/>
              <w:ind w:firstLine="0" w:firstLineChars="0"/>
              <w:jc w:val="center"/>
              <w:rPr>
                <w:rFonts w:cs="Arial"/>
                <w:kern w:val="0"/>
                <w:szCs w:val="21"/>
              </w:rPr>
            </w:pPr>
            <w:r>
              <w:rPr>
                <w:rFonts w:hint="eastAsia"/>
                <w:szCs w:val="21"/>
              </w:rPr>
              <w:t>上朔村红军题壁标语</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38</w:t>
            </w:r>
          </w:p>
        </w:tc>
        <w:tc>
          <w:tcPr>
            <w:tcW w:w="1362" w:type="pct"/>
            <w:noWrap/>
            <w:vAlign w:val="center"/>
          </w:tcPr>
          <w:p>
            <w:pPr>
              <w:spacing w:line="288" w:lineRule="auto"/>
              <w:ind w:firstLine="0" w:firstLineChars="0"/>
              <w:jc w:val="center"/>
              <w:rPr>
                <w:rFonts w:cs="Arial"/>
                <w:kern w:val="0"/>
                <w:szCs w:val="21"/>
              </w:rPr>
            </w:pPr>
            <w:r>
              <w:rPr>
                <w:rFonts w:hint="eastAsia"/>
                <w:szCs w:val="21"/>
              </w:rPr>
              <w:t>上朔村红军题壁歌谣《当红军歌》</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39</w:t>
            </w:r>
          </w:p>
        </w:tc>
        <w:tc>
          <w:tcPr>
            <w:tcW w:w="1362" w:type="pct"/>
            <w:noWrap/>
            <w:vAlign w:val="center"/>
          </w:tcPr>
          <w:p>
            <w:pPr>
              <w:spacing w:line="288" w:lineRule="auto"/>
              <w:ind w:firstLine="0" w:firstLineChars="0"/>
              <w:jc w:val="center"/>
              <w:rPr>
                <w:rFonts w:cs="Arial"/>
                <w:kern w:val="0"/>
                <w:szCs w:val="21"/>
              </w:rPr>
            </w:pPr>
            <w:r>
              <w:rPr>
                <w:rFonts w:hint="eastAsia"/>
                <w:szCs w:val="21"/>
              </w:rPr>
              <w:t>莫屋空坪——红四军活动驻地遗址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南雄市发改局大院内</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40</w:t>
            </w:r>
          </w:p>
        </w:tc>
        <w:tc>
          <w:tcPr>
            <w:tcW w:w="1362" w:type="pct"/>
            <w:noWrap/>
            <w:vAlign w:val="center"/>
          </w:tcPr>
          <w:p>
            <w:pPr>
              <w:spacing w:line="288" w:lineRule="auto"/>
              <w:ind w:firstLine="0" w:firstLineChars="0"/>
              <w:jc w:val="center"/>
              <w:rPr>
                <w:rFonts w:cs="Arial"/>
                <w:kern w:val="0"/>
                <w:szCs w:val="21"/>
              </w:rPr>
            </w:pPr>
            <w:r>
              <w:rPr>
                <w:rFonts w:hint="eastAsia"/>
                <w:szCs w:val="21"/>
              </w:rPr>
              <w:t>中站徐氏宗祠——水口战役红一方面军指挥部旧址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珠玑镇中站村委中站城村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41</w:t>
            </w:r>
          </w:p>
        </w:tc>
        <w:tc>
          <w:tcPr>
            <w:tcW w:w="1362" w:type="pct"/>
            <w:noWrap/>
            <w:vAlign w:val="center"/>
          </w:tcPr>
          <w:p>
            <w:pPr>
              <w:spacing w:line="288" w:lineRule="auto"/>
              <w:ind w:firstLine="0" w:firstLineChars="0"/>
              <w:jc w:val="center"/>
              <w:rPr>
                <w:rFonts w:cs="Arial"/>
                <w:kern w:val="0"/>
                <w:szCs w:val="21"/>
              </w:rPr>
            </w:pPr>
            <w:r>
              <w:rPr>
                <w:rFonts w:hint="eastAsia"/>
                <w:szCs w:val="21"/>
              </w:rPr>
              <w:t>梅关赖氏宗祠——水口战役红一军团驻地旧址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珠玑镇梅关村委小梅关村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42</w:t>
            </w:r>
          </w:p>
        </w:tc>
        <w:tc>
          <w:tcPr>
            <w:tcW w:w="1362" w:type="pct"/>
            <w:noWrap/>
            <w:vAlign w:val="center"/>
          </w:tcPr>
          <w:p>
            <w:pPr>
              <w:spacing w:line="288" w:lineRule="auto"/>
              <w:ind w:firstLine="0" w:firstLineChars="0"/>
              <w:jc w:val="center"/>
              <w:rPr>
                <w:rFonts w:cs="Arial"/>
                <w:kern w:val="0"/>
                <w:szCs w:val="21"/>
              </w:rPr>
            </w:pPr>
            <w:r>
              <w:rPr>
                <w:rFonts w:hint="eastAsia"/>
                <w:szCs w:val="21"/>
              </w:rPr>
              <w:t>梅岭司马第——水口战役红一军团驻地旧址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珠玑镇梅岭村委雉公嵊村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43</w:t>
            </w:r>
          </w:p>
        </w:tc>
        <w:tc>
          <w:tcPr>
            <w:tcW w:w="1362" w:type="pct"/>
            <w:noWrap/>
            <w:vAlign w:val="center"/>
          </w:tcPr>
          <w:p>
            <w:pPr>
              <w:spacing w:line="288" w:lineRule="auto"/>
              <w:ind w:firstLine="0" w:firstLineChars="0"/>
              <w:jc w:val="center"/>
              <w:rPr>
                <w:rFonts w:cs="Arial"/>
                <w:kern w:val="0"/>
                <w:szCs w:val="21"/>
              </w:rPr>
            </w:pPr>
            <w:r>
              <w:rPr>
                <w:rFonts w:hint="eastAsia"/>
                <w:szCs w:val="21"/>
              </w:rPr>
              <w:t>泰源张氏祠堂——水口战役红一军团驻地旧址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珠玑镇泰源村委迳心村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44</w:t>
            </w:r>
          </w:p>
        </w:tc>
        <w:tc>
          <w:tcPr>
            <w:tcW w:w="1362" w:type="pct"/>
            <w:noWrap/>
            <w:vAlign w:val="center"/>
          </w:tcPr>
          <w:p>
            <w:pPr>
              <w:spacing w:line="288" w:lineRule="auto"/>
              <w:ind w:firstLine="0" w:firstLineChars="0"/>
              <w:jc w:val="center"/>
              <w:rPr>
                <w:rFonts w:cs="Arial"/>
                <w:kern w:val="0"/>
                <w:szCs w:val="21"/>
              </w:rPr>
            </w:pPr>
            <w:r>
              <w:rPr>
                <w:rFonts w:hint="eastAsia"/>
                <w:szCs w:val="21"/>
              </w:rPr>
              <w:t>水口战役战场旧址（含大部桥）</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水口镇水口村水口圩</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45</w:t>
            </w:r>
          </w:p>
        </w:tc>
        <w:tc>
          <w:tcPr>
            <w:tcW w:w="1362" w:type="pct"/>
            <w:noWrap/>
            <w:vAlign w:val="center"/>
          </w:tcPr>
          <w:p>
            <w:pPr>
              <w:spacing w:line="288" w:lineRule="auto"/>
              <w:ind w:firstLine="0" w:firstLineChars="0"/>
              <w:jc w:val="center"/>
              <w:rPr>
                <w:rFonts w:cs="Arial"/>
                <w:kern w:val="0"/>
                <w:szCs w:val="21"/>
              </w:rPr>
            </w:pPr>
            <w:r>
              <w:rPr>
                <w:rFonts w:hint="eastAsia"/>
                <w:szCs w:val="21"/>
              </w:rPr>
              <w:t>水口战役红五军团指挥部遗址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水口镇篛过村后龙山</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46</w:t>
            </w:r>
          </w:p>
        </w:tc>
        <w:tc>
          <w:tcPr>
            <w:tcW w:w="1362" w:type="pct"/>
            <w:noWrap/>
            <w:vAlign w:val="center"/>
          </w:tcPr>
          <w:p>
            <w:pPr>
              <w:spacing w:line="288" w:lineRule="auto"/>
              <w:ind w:firstLine="0" w:firstLineChars="0"/>
              <w:jc w:val="center"/>
              <w:rPr>
                <w:rFonts w:cs="Arial"/>
                <w:kern w:val="0"/>
                <w:szCs w:val="21"/>
              </w:rPr>
            </w:pPr>
            <w:r>
              <w:rPr>
                <w:rFonts w:hint="eastAsia"/>
                <w:szCs w:val="21"/>
              </w:rPr>
              <w:t>水口战役红军渡桥遗址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水口镇河村村委下门村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　</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47</w:t>
            </w:r>
          </w:p>
        </w:tc>
        <w:tc>
          <w:tcPr>
            <w:tcW w:w="1362" w:type="pct"/>
            <w:noWrap/>
            <w:vAlign w:val="center"/>
          </w:tcPr>
          <w:p>
            <w:pPr>
              <w:spacing w:line="288" w:lineRule="auto"/>
              <w:ind w:firstLine="0" w:firstLineChars="0"/>
              <w:jc w:val="center"/>
              <w:rPr>
                <w:rFonts w:cs="Arial"/>
                <w:kern w:val="0"/>
                <w:szCs w:val="21"/>
              </w:rPr>
            </w:pPr>
            <w:r>
              <w:rPr>
                <w:rFonts w:hint="eastAsia"/>
                <w:szCs w:val="21"/>
              </w:rPr>
              <w:t>河村——水口战役追击战遗址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水口镇河村村委上、下门村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　</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48</w:t>
            </w:r>
          </w:p>
        </w:tc>
        <w:tc>
          <w:tcPr>
            <w:tcW w:w="1362" w:type="pct"/>
            <w:noWrap/>
            <w:vAlign w:val="center"/>
          </w:tcPr>
          <w:p>
            <w:pPr>
              <w:spacing w:line="288" w:lineRule="auto"/>
              <w:ind w:firstLine="0" w:firstLineChars="0"/>
              <w:jc w:val="center"/>
              <w:rPr>
                <w:rFonts w:cs="Arial"/>
                <w:kern w:val="0"/>
                <w:szCs w:val="21"/>
              </w:rPr>
            </w:pPr>
            <w:r>
              <w:rPr>
                <w:rFonts w:hint="eastAsia"/>
                <w:szCs w:val="21"/>
              </w:rPr>
              <w:t>钟屋村——水口战役后红四军四团驻地旧址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水口镇云西村委钟屋村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49</w:t>
            </w:r>
          </w:p>
        </w:tc>
        <w:tc>
          <w:tcPr>
            <w:tcW w:w="1362" w:type="pct"/>
            <w:noWrap/>
            <w:vAlign w:val="center"/>
          </w:tcPr>
          <w:p>
            <w:pPr>
              <w:spacing w:line="288" w:lineRule="auto"/>
              <w:ind w:firstLine="0" w:firstLineChars="0"/>
              <w:jc w:val="center"/>
              <w:rPr>
                <w:rFonts w:cs="Arial"/>
                <w:kern w:val="0"/>
                <w:szCs w:val="21"/>
              </w:rPr>
            </w:pPr>
            <w:r>
              <w:rPr>
                <w:rFonts w:hint="eastAsia"/>
                <w:szCs w:val="21"/>
              </w:rPr>
              <w:t>鱼鲜村花林寺——水口战役后红军部队驻地旧址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南亩镇鱼鲜村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50</w:t>
            </w:r>
          </w:p>
        </w:tc>
        <w:tc>
          <w:tcPr>
            <w:tcW w:w="1362" w:type="pct"/>
            <w:noWrap/>
            <w:vAlign w:val="center"/>
          </w:tcPr>
          <w:p>
            <w:pPr>
              <w:spacing w:line="288" w:lineRule="auto"/>
              <w:ind w:firstLine="0" w:firstLineChars="0"/>
              <w:jc w:val="center"/>
              <w:rPr>
                <w:rFonts w:cs="Arial"/>
                <w:kern w:val="0"/>
                <w:szCs w:val="21"/>
              </w:rPr>
            </w:pPr>
            <w:r>
              <w:rPr>
                <w:rFonts w:hint="eastAsia"/>
                <w:szCs w:val="21"/>
              </w:rPr>
              <w:t>洋街雪梅祖祠——工农红军宿营地旧址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界址镇赵屋村委洋街村</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51</w:t>
            </w:r>
          </w:p>
        </w:tc>
        <w:tc>
          <w:tcPr>
            <w:tcW w:w="1362" w:type="pct"/>
            <w:noWrap/>
            <w:vAlign w:val="center"/>
          </w:tcPr>
          <w:p>
            <w:pPr>
              <w:spacing w:line="288" w:lineRule="auto"/>
              <w:ind w:firstLine="0" w:firstLineChars="0"/>
              <w:jc w:val="center"/>
              <w:rPr>
                <w:rFonts w:cs="Arial"/>
                <w:kern w:val="0"/>
                <w:szCs w:val="21"/>
              </w:rPr>
            </w:pPr>
            <w:r>
              <w:rPr>
                <w:rFonts w:hint="eastAsia"/>
                <w:szCs w:val="21"/>
              </w:rPr>
              <w:t>洋街董氏祖厅——工农红军宿营地旧址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界址镇赵屋村委洋街村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52</w:t>
            </w:r>
          </w:p>
        </w:tc>
        <w:tc>
          <w:tcPr>
            <w:tcW w:w="1362" w:type="pct"/>
            <w:noWrap/>
            <w:vAlign w:val="center"/>
          </w:tcPr>
          <w:p>
            <w:pPr>
              <w:spacing w:line="288" w:lineRule="auto"/>
              <w:ind w:firstLine="0" w:firstLineChars="0"/>
              <w:jc w:val="center"/>
              <w:rPr>
                <w:rFonts w:cs="Arial"/>
                <w:kern w:val="0"/>
                <w:szCs w:val="21"/>
              </w:rPr>
            </w:pPr>
            <w:r>
              <w:rPr>
                <w:rFonts w:hint="eastAsia"/>
                <w:szCs w:val="21"/>
              </w:rPr>
              <w:t>三角吴氏祠堂——水口战役后红军宿营地旧址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湖口镇三角村委吴屋村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53</w:t>
            </w:r>
          </w:p>
        </w:tc>
        <w:tc>
          <w:tcPr>
            <w:tcW w:w="1362" w:type="pct"/>
            <w:noWrap/>
            <w:vAlign w:val="center"/>
          </w:tcPr>
          <w:p>
            <w:pPr>
              <w:spacing w:line="288" w:lineRule="auto"/>
              <w:ind w:firstLine="0" w:firstLineChars="0"/>
              <w:jc w:val="center"/>
              <w:rPr>
                <w:rFonts w:cs="Arial"/>
                <w:kern w:val="0"/>
                <w:szCs w:val="21"/>
              </w:rPr>
            </w:pPr>
            <w:r>
              <w:rPr>
                <w:rFonts w:hint="eastAsia"/>
                <w:szCs w:val="21"/>
              </w:rPr>
              <w:t>灵潭村红军题壁标语</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珠玑镇灵潭村委恒丰村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54</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南雄县苏维埃政府医院遗址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乌迳镇兰坵村委豪猪坑村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55</w:t>
            </w:r>
          </w:p>
        </w:tc>
        <w:tc>
          <w:tcPr>
            <w:tcW w:w="1362" w:type="pct"/>
            <w:noWrap/>
            <w:vAlign w:val="center"/>
          </w:tcPr>
          <w:p>
            <w:pPr>
              <w:spacing w:line="288" w:lineRule="auto"/>
              <w:ind w:firstLine="0" w:firstLineChars="0"/>
              <w:jc w:val="center"/>
              <w:rPr>
                <w:rFonts w:cs="Arial"/>
                <w:kern w:val="0"/>
                <w:szCs w:val="21"/>
              </w:rPr>
            </w:pPr>
            <w:r>
              <w:rPr>
                <w:rFonts w:hint="eastAsia"/>
                <w:szCs w:val="21"/>
              </w:rPr>
              <w:t>赣粤边红军独立师第三团团部旧址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乌迳镇孔江村委枫坑村</w:t>
            </w:r>
          </w:p>
        </w:tc>
        <w:tc>
          <w:tcPr>
            <w:tcW w:w="831" w:type="pct"/>
            <w:vAlign w:val="center"/>
          </w:tcPr>
          <w:p>
            <w:pPr>
              <w:spacing w:line="288" w:lineRule="auto"/>
              <w:ind w:firstLine="0" w:firstLineChars="0"/>
              <w:jc w:val="center"/>
              <w:rPr>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56</w:t>
            </w:r>
          </w:p>
        </w:tc>
        <w:tc>
          <w:tcPr>
            <w:tcW w:w="1362" w:type="pct"/>
            <w:noWrap/>
            <w:vAlign w:val="center"/>
          </w:tcPr>
          <w:p>
            <w:pPr>
              <w:spacing w:line="288" w:lineRule="auto"/>
              <w:ind w:firstLine="0" w:firstLineChars="0"/>
              <w:jc w:val="center"/>
              <w:rPr>
                <w:rFonts w:cs="Arial"/>
                <w:kern w:val="0"/>
                <w:szCs w:val="21"/>
              </w:rPr>
            </w:pPr>
            <w:r>
              <w:rPr>
                <w:rFonts w:hint="eastAsia"/>
                <w:szCs w:val="21"/>
              </w:rPr>
              <w:t>红军长征入粤第一仗遗址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乌迳镇新田村天昊岭</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57</w:t>
            </w:r>
          </w:p>
        </w:tc>
        <w:tc>
          <w:tcPr>
            <w:tcW w:w="1362" w:type="pct"/>
            <w:noWrap/>
            <w:vAlign w:val="center"/>
          </w:tcPr>
          <w:p>
            <w:pPr>
              <w:spacing w:line="288" w:lineRule="auto"/>
              <w:ind w:firstLine="0" w:firstLineChars="0"/>
              <w:jc w:val="center"/>
              <w:rPr>
                <w:rFonts w:cs="Arial"/>
                <w:kern w:val="0"/>
                <w:szCs w:val="21"/>
              </w:rPr>
            </w:pPr>
            <w:r>
              <w:rPr>
                <w:rFonts w:hint="eastAsia"/>
                <w:szCs w:val="21"/>
              </w:rPr>
              <w:t>红一军团长征部队宿营警戒阵地遗址</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乌迳镇官门楼村老寨俚岭</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58</w:t>
            </w:r>
          </w:p>
        </w:tc>
        <w:tc>
          <w:tcPr>
            <w:tcW w:w="1362" w:type="pct"/>
            <w:noWrap/>
            <w:vAlign w:val="center"/>
          </w:tcPr>
          <w:p>
            <w:pPr>
              <w:spacing w:line="288" w:lineRule="auto"/>
              <w:ind w:firstLine="0" w:firstLineChars="0"/>
              <w:jc w:val="center"/>
              <w:rPr>
                <w:rFonts w:cs="Arial"/>
                <w:kern w:val="0"/>
                <w:szCs w:val="21"/>
              </w:rPr>
            </w:pPr>
            <w:r>
              <w:rPr>
                <w:rFonts w:hint="eastAsia"/>
                <w:szCs w:val="21"/>
              </w:rPr>
              <w:t>新田村红军题壁标语</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乌迳镇新田村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59</w:t>
            </w:r>
          </w:p>
        </w:tc>
        <w:tc>
          <w:tcPr>
            <w:tcW w:w="1362" w:type="pct"/>
            <w:noWrap/>
            <w:vAlign w:val="center"/>
          </w:tcPr>
          <w:p>
            <w:pPr>
              <w:spacing w:line="288" w:lineRule="auto"/>
              <w:ind w:firstLine="0" w:firstLineChars="0"/>
              <w:jc w:val="center"/>
              <w:rPr>
                <w:rFonts w:cs="Arial"/>
                <w:kern w:val="0"/>
                <w:szCs w:val="21"/>
              </w:rPr>
            </w:pPr>
            <w:r>
              <w:rPr>
                <w:rFonts w:hint="eastAsia"/>
                <w:szCs w:val="21"/>
              </w:rPr>
              <w:t>上朔彭氏祠堂——红军长征宿营地旧址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60</w:t>
            </w:r>
          </w:p>
        </w:tc>
        <w:tc>
          <w:tcPr>
            <w:tcW w:w="1362" w:type="pct"/>
            <w:noWrap/>
            <w:vAlign w:val="center"/>
          </w:tcPr>
          <w:p>
            <w:pPr>
              <w:spacing w:line="288" w:lineRule="auto"/>
              <w:ind w:firstLine="0" w:firstLineChars="0"/>
              <w:jc w:val="center"/>
              <w:rPr>
                <w:rFonts w:cs="Arial"/>
                <w:kern w:val="0"/>
                <w:szCs w:val="21"/>
              </w:rPr>
            </w:pPr>
            <w:r>
              <w:rPr>
                <w:rFonts w:hint="eastAsia"/>
                <w:szCs w:val="21"/>
              </w:rPr>
              <w:t>项英、陈毅与赣粤边军分区李乐天会合旧址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油山镇大兰村委廖地村</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61</w:t>
            </w:r>
          </w:p>
        </w:tc>
        <w:tc>
          <w:tcPr>
            <w:tcW w:w="1362" w:type="pct"/>
            <w:noWrap/>
            <w:vAlign w:val="center"/>
          </w:tcPr>
          <w:p>
            <w:pPr>
              <w:spacing w:line="288" w:lineRule="auto"/>
              <w:ind w:firstLine="0" w:firstLineChars="0"/>
              <w:jc w:val="center"/>
              <w:rPr>
                <w:rFonts w:cs="Arial"/>
                <w:kern w:val="0"/>
                <w:szCs w:val="21"/>
              </w:rPr>
            </w:pPr>
            <w:r>
              <w:rPr>
                <w:rFonts w:hint="eastAsia"/>
                <w:szCs w:val="21"/>
              </w:rPr>
              <w:t>金星岩洞——陈毅藏身洞旧址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油山镇大兰村委李坑龙村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62</w:t>
            </w:r>
          </w:p>
        </w:tc>
        <w:tc>
          <w:tcPr>
            <w:tcW w:w="1362" w:type="pct"/>
            <w:noWrap/>
            <w:vAlign w:val="center"/>
          </w:tcPr>
          <w:p>
            <w:pPr>
              <w:spacing w:line="288" w:lineRule="auto"/>
              <w:ind w:firstLine="0" w:firstLineChars="0"/>
              <w:jc w:val="center"/>
              <w:rPr>
                <w:rFonts w:cs="Arial"/>
                <w:kern w:val="0"/>
                <w:szCs w:val="21"/>
              </w:rPr>
            </w:pPr>
            <w:r>
              <w:rPr>
                <w:rFonts w:hint="eastAsia"/>
                <w:szCs w:val="21"/>
              </w:rPr>
              <w:t>龙潭禾山洞——项英、陈毅宿营隐蔽处旧址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油山镇黄地村委梅花寨村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63</w:t>
            </w:r>
          </w:p>
        </w:tc>
        <w:tc>
          <w:tcPr>
            <w:tcW w:w="1362" w:type="pct"/>
            <w:noWrap/>
            <w:vAlign w:val="center"/>
          </w:tcPr>
          <w:p>
            <w:pPr>
              <w:spacing w:line="288" w:lineRule="auto"/>
              <w:ind w:firstLine="0" w:firstLineChars="0"/>
              <w:jc w:val="center"/>
              <w:rPr>
                <w:rFonts w:cs="Arial"/>
                <w:kern w:val="0"/>
                <w:szCs w:val="21"/>
              </w:rPr>
            </w:pPr>
            <w:r>
              <w:rPr>
                <w:rFonts w:hint="eastAsia"/>
                <w:szCs w:val="21"/>
              </w:rPr>
              <w:t>钟鼓岩摩崖石刻——陈毅与国民党代表谈判旧址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珠玑镇梅岭村委石灰窑村</w:t>
            </w:r>
          </w:p>
        </w:tc>
        <w:tc>
          <w:tcPr>
            <w:tcW w:w="831" w:type="pct"/>
            <w:vAlign w:val="center"/>
          </w:tcPr>
          <w:p>
            <w:pPr>
              <w:spacing w:line="288" w:lineRule="auto"/>
              <w:ind w:firstLine="0" w:firstLineChars="0"/>
              <w:jc w:val="center"/>
              <w:rPr>
                <w:rFonts w:cs="Arial"/>
                <w:kern w:val="0"/>
                <w:szCs w:val="21"/>
              </w:rPr>
            </w:pPr>
            <w:r>
              <w:rPr>
                <w:rFonts w:hint="eastAsia"/>
                <w:szCs w:val="21"/>
              </w:rPr>
              <w:t>省级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64</w:t>
            </w:r>
          </w:p>
        </w:tc>
        <w:tc>
          <w:tcPr>
            <w:tcW w:w="1362" w:type="pct"/>
            <w:noWrap/>
            <w:vAlign w:val="center"/>
          </w:tcPr>
          <w:p>
            <w:pPr>
              <w:spacing w:line="288" w:lineRule="auto"/>
              <w:ind w:firstLine="0" w:firstLineChars="0"/>
              <w:jc w:val="center"/>
              <w:rPr>
                <w:rFonts w:cs="Arial"/>
                <w:kern w:val="0"/>
                <w:szCs w:val="21"/>
              </w:rPr>
            </w:pPr>
            <w:r>
              <w:rPr>
                <w:rFonts w:hint="eastAsia"/>
                <w:szCs w:val="21"/>
              </w:rPr>
              <w:t>陈丕显与国民党南雄县县长谈判遗址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雄州街道雄州大道中</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65</w:t>
            </w:r>
          </w:p>
        </w:tc>
        <w:tc>
          <w:tcPr>
            <w:tcW w:w="1362" w:type="pct"/>
            <w:noWrap/>
            <w:vAlign w:val="center"/>
          </w:tcPr>
          <w:p>
            <w:pPr>
              <w:spacing w:line="288" w:lineRule="auto"/>
              <w:ind w:firstLine="0" w:firstLineChars="0"/>
              <w:jc w:val="center"/>
              <w:rPr>
                <w:rFonts w:cs="Arial"/>
                <w:kern w:val="0"/>
                <w:szCs w:val="21"/>
              </w:rPr>
            </w:pPr>
            <w:r>
              <w:rPr>
                <w:rFonts w:hint="eastAsia"/>
                <w:szCs w:val="21"/>
              </w:rPr>
              <w:t>中共南雄中心县委党员训练班旧址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湖口镇新迳村委樟树下村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66</w:t>
            </w:r>
          </w:p>
        </w:tc>
        <w:tc>
          <w:tcPr>
            <w:tcW w:w="1362" w:type="pct"/>
            <w:noWrap/>
            <w:vAlign w:val="center"/>
          </w:tcPr>
          <w:p>
            <w:pPr>
              <w:spacing w:line="288" w:lineRule="auto"/>
              <w:ind w:firstLine="0" w:firstLineChars="0"/>
              <w:jc w:val="center"/>
              <w:rPr>
                <w:rFonts w:cs="Arial"/>
                <w:kern w:val="0"/>
                <w:szCs w:val="21"/>
              </w:rPr>
            </w:pPr>
            <w:r>
              <w:rPr>
                <w:rFonts w:hint="eastAsia"/>
                <w:szCs w:val="21"/>
              </w:rPr>
              <w:t>中共广东省委党员干部训练班遗址</w:t>
            </w:r>
          </w:p>
        </w:tc>
        <w:tc>
          <w:tcPr>
            <w:tcW w:w="1107" w:type="pct"/>
            <w:noWrap/>
            <w:vAlign w:val="center"/>
          </w:tcPr>
          <w:p>
            <w:pPr>
              <w:spacing w:line="288" w:lineRule="auto"/>
              <w:ind w:firstLine="0" w:firstLineChars="0"/>
              <w:jc w:val="center"/>
              <w:rPr>
                <w:rFonts w:cs="Arial"/>
                <w:kern w:val="0"/>
                <w:szCs w:val="21"/>
              </w:rPr>
            </w:pPr>
            <w:r>
              <w:rPr>
                <w:rFonts w:hint="eastAsia"/>
                <w:szCs w:val="21"/>
              </w:rPr>
              <w:t>全安镇河塘村委里岗岭村</w:t>
            </w:r>
          </w:p>
        </w:tc>
        <w:tc>
          <w:tcPr>
            <w:tcW w:w="831" w:type="pct"/>
            <w:vAlign w:val="center"/>
          </w:tcPr>
          <w:p>
            <w:pPr>
              <w:spacing w:line="288" w:lineRule="auto"/>
              <w:ind w:firstLine="0" w:firstLineChars="0"/>
              <w:jc w:val="center"/>
              <w:rPr>
                <w:rFonts w:cs="Arial"/>
                <w:kern w:val="0"/>
                <w:szCs w:val="21"/>
              </w:rPr>
            </w:pPr>
            <w:r>
              <w:rPr>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67</w:t>
            </w:r>
          </w:p>
        </w:tc>
        <w:tc>
          <w:tcPr>
            <w:tcW w:w="1362" w:type="pct"/>
            <w:noWrap/>
            <w:vAlign w:val="center"/>
          </w:tcPr>
          <w:p>
            <w:pPr>
              <w:spacing w:line="288" w:lineRule="auto"/>
              <w:ind w:firstLine="0" w:firstLineChars="0"/>
              <w:jc w:val="center"/>
              <w:rPr>
                <w:rFonts w:cs="Arial"/>
                <w:kern w:val="0"/>
                <w:szCs w:val="21"/>
              </w:rPr>
            </w:pPr>
            <w:r>
              <w:rPr>
                <w:rFonts w:hint="eastAsia"/>
                <w:szCs w:val="21"/>
              </w:rPr>
              <w:t>黄土伦围楼——粤赣湘边区人民解放总队神勇大队驻地旧址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主田镇塘山村委黄土伦村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68</w:t>
            </w:r>
          </w:p>
        </w:tc>
        <w:tc>
          <w:tcPr>
            <w:tcW w:w="1362" w:type="pct"/>
            <w:noWrap/>
            <w:vAlign w:val="center"/>
          </w:tcPr>
          <w:p>
            <w:pPr>
              <w:spacing w:line="288" w:lineRule="auto"/>
              <w:ind w:firstLine="0" w:firstLineChars="0"/>
              <w:jc w:val="center"/>
              <w:rPr>
                <w:rFonts w:cs="Arial"/>
                <w:kern w:val="0"/>
                <w:szCs w:val="21"/>
              </w:rPr>
            </w:pPr>
            <w:r>
              <w:rPr>
                <w:rFonts w:hint="eastAsia"/>
                <w:szCs w:val="21"/>
              </w:rPr>
              <w:t>粤赣湘边区人民解放总队伏击战遗址</w:t>
            </w:r>
          </w:p>
        </w:tc>
        <w:tc>
          <w:tcPr>
            <w:tcW w:w="1107" w:type="pct"/>
            <w:noWrap/>
            <w:vAlign w:val="center"/>
          </w:tcPr>
          <w:p>
            <w:pPr>
              <w:spacing w:line="288" w:lineRule="auto"/>
              <w:ind w:firstLine="0" w:firstLineChars="0"/>
              <w:jc w:val="center"/>
              <w:rPr>
                <w:rFonts w:cs="Arial"/>
                <w:kern w:val="0"/>
                <w:szCs w:val="21"/>
              </w:rPr>
            </w:pPr>
            <w:r>
              <w:rPr>
                <w:rFonts w:hint="eastAsia"/>
                <w:szCs w:val="21"/>
              </w:rPr>
              <w:t>邓坊镇里源村委上杨梅村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69</w:t>
            </w:r>
          </w:p>
        </w:tc>
        <w:tc>
          <w:tcPr>
            <w:tcW w:w="1362" w:type="pct"/>
            <w:noWrap/>
            <w:vAlign w:val="center"/>
          </w:tcPr>
          <w:p>
            <w:pPr>
              <w:spacing w:line="288" w:lineRule="auto"/>
              <w:ind w:firstLine="0" w:firstLineChars="0"/>
              <w:jc w:val="center"/>
              <w:rPr>
                <w:rFonts w:cs="Arial"/>
                <w:kern w:val="0"/>
                <w:szCs w:val="21"/>
              </w:rPr>
            </w:pPr>
            <w:r>
              <w:rPr>
                <w:rFonts w:hint="eastAsia"/>
                <w:szCs w:val="21"/>
              </w:rPr>
              <w:t>北江第二支队樟树下战斗战场遗址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油山镇夹河口村委樟树下村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70</w:t>
            </w:r>
          </w:p>
        </w:tc>
        <w:tc>
          <w:tcPr>
            <w:tcW w:w="1362" w:type="pct"/>
            <w:noWrap/>
            <w:vAlign w:val="center"/>
          </w:tcPr>
          <w:p>
            <w:pPr>
              <w:spacing w:line="288" w:lineRule="auto"/>
              <w:ind w:firstLine="0" w:firstLineChars="0"/>
              <w:jc w:val="center"/>
              <w:rPr>
                <w:rFonts w:cs="Arial"/>
                <w:kern w:val="0"/>
                <w:szCs w:val="21"/>
              </w:rPr>
            </w:pPr>
            <w:r>
              <w:rPr>
                <w:rFonts w:hint="eastAsia"/>
                <w:szCs w:val="21"/>
              </w:rPr>
              <w:t>北江第二支队南亩战斗战场遗址</w:t>
            </w:r>
          </w:p>
        </w:tc>
        <w:tc>
          <w:tcPr>
            <w:tcW w:w="1107" w:type="pct"/>
            <w:noWrap/>
            <w:vAlign w:val="center"/>
          </w:tcPr>
          <w:p>
            <w:pPr>
              <w:spacing w:line="288" w:lineRule="auto"/>
              <w:ind w:firstLine="0" w:firstLineChars="0"/>
              <w:jc w:val="center"/>
              <w:rPr>
                <w:rFonts w:cs="Arial"/>
                <w:kern w:val="0"/>
                <w:szCs w:val="21"/>
              </w:rPr>
            </w:pPr>
            <w:r>
              <w:rPr>
                <w:rFonts w:hint="eastAsia"/>
                <w:szCs w:val="21"/>
              </w:rPr>
              <w:t>南亩镇南亩村老圩场</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71</w:t>
            </w:r>
          </w:p>
        </w:tc>
        <w:tc>
          <w:tcPr>
            <w:tcW w:w="1362" w:type="pct"/>
            <w:noWrap/>
            <w:vAlign w:val="center"/>
          </w:tcPr>
          <w:p>
            <w:pPr>
              <w:spacing w:line="288" w:lineRule="auto"/>
              <w:ind w:firstLine="0" w:firstLineChars="0"/>
              <w:jc w:val="center"/>
              <w:rPr>
                <w:rFonts w:cs="Arial"/>
                <w:kern w:val="0"/>
                <w:szCs w:val="21"/>
              </w:rPr>
            </w:pPr>
            <w:r>
              <w:rPr>
                <w:rFonts w:hint="eastAsia"/>
                <w:szCs w:val="21"/>
              </w:rPr>
              <w:t>南粤雄关与古道——陈毅隐蔽处、南下解放大军与北江第二支队会师旧址</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珠玑镇梅岭村梅关古道</w:t>
            </w:r>
          </w:p>
        </w:tc>
        <w:tc>
          <w:tcPr>
            <w:tcW w:w="831" w:type="pct"/>
            <w:vAlign w:val="center"/>
          </w:tcPr>
          <w:p>
            <w:pPr>
              <w:spacing w:line="288" w:lineRule="auto"/>
              <w:ind w:firstLine="0" w:firstLineChars="0"/>
              <w:jc w:val="center"/>
              <w:rPr>
                <w:rFonts w:cs="Arial"/>
                <w:kern w:val="0"/>
                <w:szCs w:val="21"/>
              </w:rPr>
            </w:pPr>
            <w:r>
              <w:rPr>
                <w:rFonts w:hint="eastAsia"/>
                <w:szCs w:val="21"/>
              </w:rPr>
              <w:t>国家级</w:t>
            </w:r>
          </w:p>
        </w:tc>
        <w:tc>
          <w:tcPr>
            <w:tcW w:w="678" w:type="pct"/>
            <w:noWrap/>
            <w:vAlign w:val="center"/>
          </w:tcPr>
          <w:p>
            <w:pPr>
              <w:spacing w:line="288" w:lineRule="auto"/>
              <w:ind w:firstLine="0" w:firstLineChars="0"/>
              <w:jc w:val="center"/>
              <w:rPr>
                <w:rFonts w:cs="Arial"/>
                <w:kern w:val="0"/>
                <w:szCs w:val="21"/>
              </w:rPr>
            </w:pPr>
            <w:r>
              <w:rPr>
                <w:rFonts w:hint="eastAsia"/>
                <w:szCs w:val="21"/>
              </w:rPr>
              <w:t>市级</w:t>
            </w:r>
          </w:p>
        </w:tc>
        <w:tc>
          <w:tcPr>
            <w:tcW w:w="726" w:type="pct"/>
            <w:noWrap/>
            <w:vAlign w:val="center"/>
          </w:tcPr>
          <w:p>
            <w:pPr>
              <w:spacing w:line="288" w:lineRule="auto"/>
              <w:ind w:firstLine="0" w:firstLineChars="0"/>
              <w:jc w:val="center"/>
              <w:rPr>
                <w:rFonts w:cs="Arial"/>
                <w:kern w:val="0"/>
                <w:szCs w:val="21"/>
              </w:rPr>
            </w:pPr>
            <w:r>
              <w:rPr>
                <w:rFonts w:hint="eastAsia"/>
                <w:szCs w:val="21"/>
              </w:rPr>
              <w:t>市级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6"/>
            <w:shd w:val="clear" w:color="auto" w:fill="E7E6E6" w:themeFill="background2"/>
            <w:noWrap/>
            <w:vAlign w:val="center"/>
          </w:tcPr>
          <w:p>
            <w:pPr>
              <w:spacing w:line="288" w:lineRule="auto"/>
              <w:ind w:firstLine="0" w:firstLineChars="0"/>
              <w:jc w:val="center"/>
              <w:rPr>
                <w:szCs w:val="21"/>
              </w:rPr>
            </w:pPr>
            <w:r>
              <w:rPr>
                <w:rFonts w:hint="eastAsia" w:cs="Arial"/>
                <w:b/>
                <w:bCs/>
                <w:kern w:val="0"/>
                <w:szCs w:val="21"/>
              </w:rPr>
              <w:t>革命领导人故居、旧居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72</w:t>
            </w:r>
          </w:p>
        </w:tc>
        <w:tc>
          <w:tcPr>
            <w:tcW w:w="1362" w:type="pct"/>
            <w:noWrap/>
            <w:vAlign w:val="center"/>
          </w:tcPr>
          <w:p>
            <w:pPr>
              <w:spacing w:line="288" w:lineRule="auto"/>
              <w:ind w:firstLine="0" w:firstLineChars="0"/>
              <w:jc w:val="center"/>
              <w:rPr>
                <w:rFonts w:cs="Arial"/>
                <w:kern w:val="0"/>
                <w:szCs w:val="21"/>
              </w:rPr>
            </w:pPr>
            <w:r>
              <w:rPr>
                <w:rFonts w:hint="eastAsia"/>
                <w:szCs w:val="21"/>
              </w:rPr>
              <w:t>品丰店——毛泽东在南雄居住旧址</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雄州街道八一街</w:t>
            </w:r>
          </w:p>
        </w:tc>
        <w:tc>
          <w:tcPr>
            <w:tcW w:w="831" w:type="pct"/>
            <w:vAlign w:val="center"/>
          </w:tcPr>
          <w:p>
            <w:pPr>
              <w:spacing w:line="288" w:lineRule="auto"/>
              <w:ind w:firstLine="0" w:firstLineChars="0"/>
              <w:jc w:val="center"/>
              <w:rPr>
                <w:rFonts w:cs="Arial"/>
                <w:kern w:val="0"/>
                <w:szCs w:val="21"/>
              </w:rPr>
            </w:pPr>
            <w:r>
              <w:rPr>
                <w:rFonts w:hint="eastAsia"/>
                <w:szCs w:val="21"/>
              </w:rPr>
              <w:t>县级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73</w:t>
            </w:r>
          </w:p>
        </w:tc>
        <w:tc>
          <w:tcPr>
            <w:tcW w:w="1362" w:type="pct"/>
            <w:noWrap/>
            <w:vAlign w:val="center"/>
          </w:tcPr>
          <w:p>
            <w:pPr>
              <w:spacing w:line="288" w:lineRule="auto"/>
              <w:ind w:firstLine="0" w:firstLineChars="0"/>
              <w:jc w:val="center"/>
              <w:rPr>
                <w:rFonts w:cs="Arial"/>
                <w:kern w:val="0"/>
                <w:szCs w:val="21"/>
              </w:rPr>
            </w:pPr>
            <w:r>
              <w:rPr>
                <w:rFonts w:hint="eastAsia"/>
                <w:szCs w:val="21"/>
              </w:rPr>
              <w:t>锦陂雷氏旧屋——毛泽东居住旧址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油山镇锦陂村委井湾村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74</w:t>
            </w:r>
          </w:p>
        </w:tc>
        <w:tc>
          <w:tcPr>
            <w:tcW w:w="1362" w:type="pct"/>
            <w:noWrap/>
            <w:vAlign w:val="center"/>
          </w:tcPr>
          <w:p>
            <w:pPr>
              <w:spacing w:line="288" w:lineRule="auto"/>
              <w:ind w:firstLine="0" w:firstLineChars="0"/>
              <w:jc w:val="center"/>
              <w:rPr>
                <w:rFonts w:cs="Arial"/>
                <w:kern w:val="0"/>
                <w:szCs w:val="21"/>
              </w:rPr>
            </w:pPr>
            <w:r>
              <w:rPr>
                <w:rFonts w:hint="eastAsia"/>
                <w:szCs w:val="21"/>
              </w:rPr>
              <w:t>上朔彭氏旧屋——朱德居住旧址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75</w:t>
            </w:r>
          </w:p>
        </w:tc>
        <w:tc>
          <w:tcPr>
            <w:tcW w:w="1362" w:type="pct"/>
            <w:noWrap/>
            <w:vAlign w:val="center"/>
          </w:tcPr>
          <w:p>
            <w:pPr>
              <w:spacing w:line="288" w:lineRule="auto"/>
              <w:ind w:firstLine="0" w:firstLineChars="0"/>
              <w:jc w:val="center"/>
              <w:rPr>
                <w:rFonts w:cs="Arial"/>
                <w:kern w:val="0"/>
                <w:szCs w:val="21"/>
              </w:rPr>
            </w:pPr>
            <w:r>
              <w:rPr>
                <w:rFonts w:hint="eastAsia"/>
                <w:szCs w:val="21"/>
              </w:rPr>
              <w:t>曾昭秀烈士故居</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湖口镇湖口村委高田村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76</w:t>
            </w:r>
          </w:p>
        </w:tc>
        <w:tc>
          <w:tcPr>
            <w:tcW w:w="1362" w:type="pct"/>
            <w:noWrap/>
            <w:vAlign w:val="center"/>
          </w:tcPr>
          <w:p>
            <w:pPr>
              <w:spacing w:line="288" w:lineRule="auto"/>
              <w:ind w:firstLine="0" w:firstLineChars="0"/>
              <w:jc w:val="center"/>
              <w:rPr>
                <w:rFonts w:cs="Arial"/>
                <w:kern w:val="0"/>
                <w:szCs w:val="21"/>
              </w:rPr>
            </w:pPr>
            <w:r>
              <w:rPr>
                <w:rFonts w:hint="eastAsia"/>
                <w:szCs w:val="21"/>
              </w:rPr>
              <w:t>彭显模烈士故居</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77</w:t>
            </w:r>
          </w:p>
        </w:tc>
        <w:tc>
          <w:tcPr>
            <w:tcW w:w="1362" w:type="pct"/>
            <w:noWrap/>
            <w:vAlign w:val="center"/>
          </w:tcPr>
          <w:p>
            <w:pPr>
              <w:spacing w:line="288" w:lineRule="auto"/>
              <w:ind w:firstLine="0" w:firstLineChars="0"/>
              <w:jc w:val="center"/>
              <w:rPr>
                <w:rFonts w:cs="Arial"/>
                <w:kern w:val="0"/>
                <w:szCs w:val="21"/>
              </w:rPr>
            </w:pPr>
            <w:r>
              <w:rPr>
                <w:rFonts w:hint="eastAsia"/>
                <w:szCs w:val="21"/>
              </w:rPr>
              <w:t>叶修林烈士故居</w:t>
            </w:r>
          </w:p>
        </w:tc>
        <w:tc>
          <w:tcPr>
            <w:tcW w:w="1107" w:type="pct"/>
            <w:noWrap/>
            <w:vAlign w:val="center"/>
          </w:tcPr>
          <w:p>
            <w:pPr>
              <w:spacing w:line="288" w:lineRule="auto"/>
              <w:ind w:firstLine="0" w:firstLineChars="0"/>
              <w:jc w:val="center"/>
              <w:rPr>
                <w:rFonts w:cs="Arial"/>
                <w:kern w:val="0"/>
                <w:szCs w:val="21"/>
              </w:rPr>
            </w:pPr>
            <w:r>
              <w:rPr>
                <w:rFonts w:hint="eastAsia"/>
                <w:szCs w:val="21"/>
              </w:rPr>
              <w:t>界址镇大坊村委雷公坑村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78</w:t>
            </w:r>
          </w:p>
        </w:tc>
        <w:tc>
          <w:tcPr>
            <w:tcW w:w="1362" w:type="pct"/>
            <w:noWrap/>
            <w:vAlign w:val="center"/>
          </w:tcPr>
          <w:p>
            <w:pPr>
              <w:spacing w:line="288" w:lineRule="auto"/>
              <w:ind w:firstLine="0" w:firstLineChars="0"/>
              <w:jc w:val="center"/>
              <w:rPr>
                <w:rFonts w:cs="Arial"/>
                <w:kern w:val="0"/>
                <w:szCs w:val="21"/>
              </w:rPr>
            </w:pPr>
            <w:r>
              <w:rPr>
                <w:rFonts w:hint="eastAsia"/>
                <w:szCs w:val="21"/>
              </w:rPr>
              <w:t>李乐天烈士故居</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湖口镇新迳村委筲箕窝村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79</w:t>
            </w:r>
          </w:p>
        </w:tc>
        <w:tc>
          <w:tcPr>
            <w:tcW w:w="1362" w:type="pct"/>
            <w:noWrap/>
            <w:vAlign w:val="center"/>
          </w:tcPr>
          <w:p>
            <w:pPr>
              <w:spacing w:line="288" w:lineRule="auto"/>
              <w:ind w:firstLine="0" w:firstLineChars="0"/>
              <w:jc w:val="center"/>
              <w:rPr>
                <w:rFonts w:cs="Arial"/>
                <w:kern w:val="0"/>
                <w:szCs w:val="21"/>
              </w:rPr>
            </w:pPr>
            <w:r>
              <w:rPr>
                <w:rFonts w:hint="eastAsia"/>
                <w:szCs w:val="21"/>
              </w:rPr>
              <w:t>叶明魁烈士故居</w:t>
            </w:r>
          </w:p>
        </w:tc>
        <w:tc>
          <w:tcPr>
            <w:tcW w:w="1107" w:type="pct"/>
            <w:noWrap/>
            <w:vAlign w:val="center"/>
          </w:tcPr>
          <w:p>
            <w:pPr>
              <w:spacing w:line="288" w:lineRule="auto"/>
              <w:ind w:firstLine="0" w:firstLineChars="0"/>
              <w:jc w:val="center"/>
              <w:rPr>
                <w:rFonts w:cs="Arial"/>
                <w:kern w:val="0"/>
                <w:szCs w:val="21"/>
              </w:rPr>
            </w:pPr>
            <w:r>
              <w:rPr>
                <w:rFonts w:hint="eastAsia"/>
                <w:szCs w:val="21"/>
              </w:rPr>
              <w:t>乌迳镇山下村委水城村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80</w:t>
            </w:r>
          </w:p>
        </w:tc>
        <w:tc>
          <w:tcPr>
            <w:tcW w:w="1362" w:type="pct"/>
            <w:noWrap/>
            <w:vAlign w:val="center"/>
          </w:tcPr>
          <w:p>
            <w:pPr>
              <w:spacing w:line="288" w:lineRule="auto"/>
              <w:ind w:firstLine="0" w:firstLineChars="0"/>
              <w:jc w:val="center"/>
              <w:rPr>
                <w:rFonts w:cs="Arial"/>
                <w:kern w:val="0"/>
                <w:szCs w:val="21"/>
              </w:rPr>
            </w:pPr>
            <w:r>
              <w:rPr>
                <w:rFonts w:hint="eastAsia"/>
                <w:szCs w:val="21"/>
              </w:rPr>
              <w:t>钟蛟蟠烈士故居（含钟蛟蟠事迹馆）</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珠玑镇灵潭村委恒丰村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县级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81</w:t>
            </w:r>
          </w:p>
        </w:tc>
        <w:tc>
          <w:tcPr>
            <w:tcW w:w="1362" w:type="pct"/>
            <w:noWrap/>
            <w:vAlign w:val="center"/>
          </w:tcPr>
          <w:p>
            <w:pPr>
              <w:spacing w:line="288" w:lineRule="auto"/>
              <w:ind w:firstLine="0" w:firstLineChars="0"/>
              <w:jc w:val="center"/>
              <w:rPr>
                <w:rFonts w:cs="Arial"/>
                <w:kern w:val="0"/>
                <w:szCs w:val="21"/>
              </w:rPr>
            </w:pPr>
            <w:r>
              <w:rPr>
                <w:rFonts w:hint="eastAsia"/>
                <w:szCs w:val="21"/>
              </w:rPr>
              <w:t>邱萃藻故居</w:t>
            </w:r>
          </w:p>
        </w:tc>
        <w:tc>
          <w:tcPr>
            <w:tcW w:w="1107" w:type="pct"/>
            <w:noWrap/>
            <w:vAlign w:val="center"/>
          </w:tcPr>
          <w:p>
            <w:pPr>
              <w:spacing w:line="288" w:lineRule="auto"/>
              <w:ind w:firstLine="0" w:firstLineChars="0"/>
              <w:jc w:val="center"/>
              <w:rPr>
                <w:rFonts w:cs="Arial"/>
                <w:kern w:val="0"/>
                <w:szCs w:val="21"/>
              </w:rPr>
            </w:pPr>
            <w:r>
              <w:rPr>
                <w:rFonts w:hint="eastAsia"/>
                <w:szCs w:val="21"/>
              </w:rPr>
              <w:t>全安镇全安村委郭公岭村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82</w:t>
            </w:r>
          </w:p>
        </w:tc>
        <w:tc>
          <w:tcPr>
            <w:tcW w:w="1362" w:type="pct"/>
            <w:noWrap/>
            <w:vAlign w:val="center"/>
          </w:tcPr>
          <w:p>
            <w:pPr>
              <w:spacing w:line="288" w:lineRule="auto"/>
              <w:ind w:firstLine="0" w:firstLineChars="0"/>
              <w:jc w:val="center"/>
              <w:rPr>
                <w:rFonts w:cs="Arial"/>
                <w:kern w:val="0"/>
                <w:szCs w:val="21"/>
              </w:rPr>
            </w:pPr>
            <w:r>
              <w:rPr>
                <w:rFonts w:hint="eastAsia"/>
                <w:szCs w:val="21"/>
              </w:rPr>
              <w:t>彭显伦将军故居</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油山镇上朔村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83</w:t>
            </w:r>
          </w:p>
        </w:tc>
        <w:tc>
          <w:tcPr>
            <w:tcW w:w="1362" w:type="pct"/>
            <w:noWrap/>
            <w:vAlign w:val="center"/>
          </w:tcPr>
          <w:p>
            <w:pPr>
              <w:spacing w:line="288" w:lineRule="auto"/>
              <w:ind w:firstLine="0" w:firstLineChars="0"/>
              <w:jc w:val="center"/>
              <w:rPr>
                <w:rFonts w:cs="Arial"/>
                <w:kern w:val="0"/>
                <w:szCs w:val="21"/>
              </w:rPr>
            </w:pPr>
            <w:r>
              <w:rPr>
                <w:rFonts w:hint="eastAsia"/>
                <w:szCs w:val="21"/>
              </w:rPr>
              <w:t>张尚琼故居</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湖口镇湖口村委张屋村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E7E6E6" w:themeFill="background2"/>
            <w:noWrap/>
            <w:vAlign w:val="center"/>
          </w:tcPr>
          <w:p>
            <w:pPr>
              <w:spacing w:line="288" w:lineRule="auto"/>
              <w:ind w:firstLine="0" w:firstLineChars="0"/>
              <w:jc w:val="center"/>
              <w:rPr>
                <w:rFonts w:cs="Arial"/>
                <w:b/>
                <w:bCs/>
                <w:kern w:val="0"/>
                <w:szCs w:val="21"/>
              </w:rPr>
            </w:pPr>
            <w:r>
              <w:rPr>
                <w:rFonts w:hint="eastAsia" w:cs="Arial"/>
                <w:b/>
                <w:bCs/>
                <w:kern w:val="0"/>
                <w:szCs w:val="21"/>
              </w:rPr>
              <w:t>烈士墓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84</w:t>
            </w:r>
          </w:p>
        </w:tc>
        <w:tc>
          <w:tcPr>
            <w:tcW w:w="1362" w:type="pct"/>
            <w:noWrap/>
            <w:vAlign w:val="center"/>
          </w:tcPr>
          <w:p>
            <w:pPr>
              <w:spacing w:line="288" w:lineRule="auto"/>
              <w:ind w:firstLine="0" w:firstLineChars="0"/>
              <w:jc w:val="center"/>
              <w:rPr>
                <w:rFonts w:cs="Arial"/>
                <w:kern w:val="0"/>
                <w:szCs w:val="21"/>
              </w:rPr>
            </w:pPr>
            <w:r>
              <w:rPr>
                <w:rFonts w:hint="eastAsia"/>
                <w:szCs w:val="21"/>
              </w:rPr>
              <w:t>水口战役牺牲红军战士掩埋地旧址</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水口镇水口村委打石湖村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85</w:t>
            </w:r>
          </w:p>
        </w:tc>
        <w:tc>
          <w:tcPr>
            <w:tcW w:w="1362" w:type="pct"/>
            <w:noWrap/>
            <w:vAlign w:val="center"/>
          </w:tcPr>
          <w:p>
            <w:pPr>
              <w:spacing w:line="288" w:lineRule="auto"/>
              <w:ind w:firstLine="0" w:firstLineChars="0"/>
              <w:jc w:val="center"/>
              <w:rPr>
                <w:rFonts w:cs="Arial"/>
                <w:kern w:val="0"/>
                <w:szCs w:val="21"/>
              </w:rPr>
            </w:pPr>
            <w:r>
              <w:rPr>
                <w:rFonts w:hint="eastAsia"/>
                <w:szCs w:val="21"/>
              </w:rPr>
              <w:t>李乐天烈士墓</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雄州街道东北郊</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县级</w:t>
            </w:r>
          </w:p>
        </w:tc>
        <w:tc>
          <w:tcPr>
            <w:tcW w:w="726" w:type="pct"/>
            <w:noWrap/>
            <w:vAlign w:val="center"/>
          </w:tcPr>
          <w:p>
            <w:pPr>
              <w:spacing w:line="288" w:lineRule="auto"/>
              <w:ind w:firstLine="0" w:firstLineChars="0"/>
              <w:jc w:val="center"/>
              <w:rPr>
                <w:rFonts w:cs="Arial"/>
                <w:kern w:val="0"/>
                <w:szCs w:val="21"/>
              </w:rPr>
            </w:pPr>
            <w:r>
              <w:rPr>
                <w:rFonts w:hint="eastAsia"/>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000" w:type="pct"/>
            <w:gridSpan w:val="6"/>
            <w:shd w:val="clear" w:color="auto" w:fill="E7E6E6" w:themeFill="background2"/>
            <w:noWrap/>
            <w:vAlign w:val="center"/>
          </w:tcPr>
          <w:p>
            <w:pPr>
              <w:spacing w:line="288" w:lineRule="auto"/>
              <w:ind w:firstLine="0" w:firstLineChars="0"/>
              <w:jc w:val="center"/>
              <w:rPr>
                <w:rFonts w:cs="Arial"/>
                <w:b/>
                <w:bCs/>
                <w:kern w:val="0"/>
                <w:szCs w:val="21"/>
              </w:rPr>
            </w:pPr>
            <w:r>
              <w:rPr>
                <w:rFonts w:hint="eastAsia" w:cs="Arial"/>
                <w:b/>
                <w:bCs/>
                <w:kern w:val="0"/>
                <w:szCs w:val="21"/>
              </w:rPr>
              <w:t>纪念设施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86</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南雄市烈士陵园</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雄州街道崇贤大道</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市级</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87</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南雄市博物馆</w:t>
            </w:r>
          </w:p>
        </w:tc>
        <w:tc>
          <w:tcPr>
            <w:tcW w:w="1107" w:type="pct"/>
            <w:noWrap/>
            <w:vAlign w:val="center"/>
          </w:tcPr>
          <w:p>
            <w:pPr>
              <w:spacing w:line="288" w:lineRule="auto"/>
              <w:ind w:firstLine="0" w:firstLineChars="0"/>
              <w:jc w:val="center"/>
              <w:rPr>
                <w:rFonts w:cs="Arial"/>
                <w:kern w:val="0"/>
                <w:szCs w:val="21"/>
              </w:rPr>
            </w:pPr>
            <w:r>
              <w:rPr>
                <w:rFonts w:hint="eastAsia"/>
                <w:szCs w:val="21"/>
              </w:rPr>
              <w:t>雄州街道凌江路</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szCs w:val="21"/>
              </w:rPr>
            </w:pPr>
            <w:r>
              <w:rPr>
                <w:rFonts w:hint="eastAsia"/>
                <w:szCs w:val="21"/>
              </w:rPr>
              <w:t>市级</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88</w:t>
            </w:r>
          </w:p>
        </w:tc>
        <w:tc>
          <w:tcPr>
            <w:tcW w:w="1362" w:type="pct"/>
            <w:noWrap/>
            <w:vAlign w:val="center"/>
          </w:tcPr>
          <w:p>
            <w:pPr>
              <w:spacing w:line="288" w:lineRule="auto"/>
              <w:ind w:firstLine="0" w:firstLineChars="0"/>
              <w:jc w:val="center"/>
              <w:rPr>
                <w:rFonts w:cs="Arial"/>
                <w:kern w:val="0"/>
                <w:szCs w:val="21"/>
              </w:rPr>
            </w:pPr>
            <w:r>
              <w:rPr>
                <w:rFonts w:hint="eastAsia"/>
                <w:szCs w:val="21"/>
              </w:rPr>
              <w:t>水口战役纪念地</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水口镇水口村</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szCs w:val="21"/>
              </w:rPr>
            </w:pPr>
            <w:r>
              <w:rPr>
                <w:rFonts w:hint="eastAsia"/>
                <w:szCs w:val="21"/>
              </w:rPr>
              <w:t>市级</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89</w:t>
            </w:r>
          </w:p>
        </w:tc>
        <w:tc>
          <w:tcPr>
            <w:tcW w:w="1362" w:type="pct"/>
            <w:noWrap/>
            <w:vAlign w:val="center"/>
          </w:tcPr>
          <w:p>
            <w:pPr>
              <w:spacing w:line="288" w:lineRule="auto"/>
              <w:ind w:firstLine="0" w:firstLineChars="0"/>
              <w:jc w:val="center"/>
              <w:rPr>
                <w:rFonts w:cs="Arial"/>
                <w:kern w:val="0"/>
                <w:szCs w:val="21"/>
              </w:rPr>
            </w:pPr>
            <w:r>
              <w:rPr>
                <w:rFonts w:hint="eastAsia"/>
                <w:szCs w:val="21"/>
              </w:rPr>
              <w:t>南雄市博物馆水口分馆</w:t>
            </w:r>
          </w:p>
        </w:tc>
        <w:tc>
          <w:tcPr>
            <w:tcW w:w="1107" w:type="pct"/>
            <w:noWrap/>
            <w:vAlign w:val="center"/>
          </w:tcPr>
          <w:p>
            <w:pPr>
              <w:spacing w:line="288" w:lineRule="auto"/>
              <w:ind w:firstLine="0" w:firstLineChars="0"/>
              <w:jc w:val="center"/>
              <w:rPr>
                <w:rFonts w:cs="Arial"/>
                <w:kern w:val="0"/>
                <w:szCs w:val="21"/>
              </w:rPr>
            </w:pPr>
            <w:r>
              <w:rPr>
                <w:rFonts w:hint="eastAsia"/>
                <w:szCs w:val="21"/>
              </w:rPr>
              <w:t>水口镇水口村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90</w:t>
            </w:r>
          </w:p>
        </w:tc>
        <w:tc>
          <w:tcPr>
            <w:tcW w:w="1362" w:type="pct"/>
            <w:noWrap/>
            <w:vAlign w:val="center"/>
          </w:tcPr>
          <w:p>
            <w:pPr>
              <w:spacing w:line="288" w:lineRule="auto"/>
              <w:ind w:firstLine="0" w:firstLineChars="0"/>
              <w:jc w:val="center"/>
              <w:rPr>
                <w:rFonts w:cs="Arial"/>
                <w:kern w:val="0"/>
                <w:szCs w:val="21"/>
              </w:rPr>
            </w:pPr>
            <w:r>
              <w:rPr>
                <w:rFonts w:hint="eastAsia"/>
                <w:szCs w:val="21"/>
              </w:rPr>
              <w:t>油山革命纪念碑</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油山镇坪田坳村坳口</w:t>
            </w:r>
          </w:p>
        </w:tc>
        <w:tc>
          <w:tcPr>
            <w:tcW w:w="831" w:type="pct"/>
            <w:vAlign w:val="center"/>
          </w:tcPr>
          <w:p>
            <w:pPr>
              <w:spacing w:line="288" w:lineRule="auto"/>
              <w:ind w:firstLine="0" w:firstLineChars="0"/>
              <w:jc w:val="center"/>
              <w:rPr>
                <w:rFonts w:cs="Arial"/>
                <w:kern w:val="0"/>
                <w:szCs w:val="21"/>
              </w:rPr>
            </w:pPr>
            <w:r>
              <w:rPr>
                <w:rFonts w:hint="eastAsia" w:cs="Arial"/>
                <w:kern w:val="0"/>
                <w:szCs w:val="21"/>
              </w:rPr>
              <w:t>未定级</w:t>
            </w:r>
          </w:p>
        </w:tc>
        <w:tc>
          <w:tcPr>
            <w:tcW w:w="678" w:type="pct"/>
            <w:noWrap/>
            <w:vAlign w:val="center"/>
          </w:tcPr>
          <w:p>
            <w:pPr>
              <w:spacing w:line="288" w:lineRule="auto"/>
              <w:ind w:firstLine="0" w:firstLineChars="0"/>
              <w:jc w:val="center"/>
              <w:rPr>
                <w:rFonts w:cs="Arial"/>
                <w:kern w:val="0"/>
                <w:szCs w:val="21"/>
              </w:rPr>
            </w:pPr>
            <w:r>
              <w:rPr>
                <w:rFonts w:hint="eastAsia"/>
                <w:szCs w:val="21"/>
              </w:rPr>
              <w:t>市级</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91</w:t>
            </w:r>
          </w:p>
        </w:tc>
        <w:tc>
          <w:tcPr>
            <w:tcW w:w="1362" w:type="pct"/>
            <w:noWrap/>
            <w:vAlign w:val="center"/>
          </w:tcPr>
          <w:p>
            <w:pPr>
              <w:spacing w:line="288" w:lineRule="auto"/>
              <w:ind w:firstLine="0" w:firstLineChars="0"/>
              <w:jc w:val="center"/>
              <w:rPr>
                <w:rFonts w:cs="Arial"/>
                <w:kern w:val="0"/>
                <w:szCs w:val="21"/>
              </w:rPr>
            </w:pPr>
            <w:r>
              <w:rPr>
                <w:rFonts w:hint="eastAsia"/>
                <w:szCs w:val="21"/>
              </w:rPr>
              <w:t>何挺颖烈士纪念雕像园</w:t>
            </w:r>
          </w:p>
        </w:tc>
        <w:tc>
          <w:tcPr>
            <w:tcW w:w="1107" w:type="pct"/>
            <w:noWrap/>
            <w:vAlign w:val="center"/>
          </w:tcPr>
          <w:p>
            <w:pPr>
              <w:spacing w:line="288" w:lineRule="auto"/>
              <w:ind w:firstLine="0" w:firstLineChars="0"/>
              <w:jc w:val="center"/>
              <w:rPr>
                <w:rFonts w:cs="Arial"/>
                <w:kern w:val="0"/>
                <w:szCs w:val="21"/>
              </w:rPr>
            </w:pPr>
            <w:r>
              <w:rPr>
                <w:rFonts w:hint="eastAsia"/>
                <w:szCs w:val="21"/>
              </w:rPr>
              <w:t>油山镇坪田坳村坳口</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92</w:t>
            </w:r>
          </w:p>
        </w:tc>
        <w:tc>
          <w:tcPr>
            <w:tcW w:w="1362" w:type="pct"/>
            <w:noWrap/>
            <w:vAlign w:val="center"/>
          </w:tcPr>
          <w:p>
            <w:pPr>
              <w:spacing w:line="288" w:lineRule="auto"/>
              <w:ind w:firstLine="0" w:firstLineChars="0"/>
              <w:jc w:val="center"/>
              <w:rPr>
                <w:rFonts w:cs="Arial"/>
                <w:kern w:val="0"/>
                <w:szCs w:val="21"/>
              </w:rPr>
            </w:pPr>
            <w:r>
              <w:rPr>
                <w:rFonts w:hint="eastAsia"/>
                <w:szCs w:val="21"/>
              </w:rPr>
              <w:t>元帅岭</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珠玑镇梅岭村梅关古道</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93</w:t>
            </w:r>
          </w:p>
        </w:tc>
        <w:tc>
          <w:tcPr>
            <w:tcW w:w="1362" w:type="pct"/>
            <w:noWrap/>
            <w:vAlign w:val="center"/>
          </w:tcPr>
          <w:p>
            <w:pPr>
              <w:spacing w:line="288" w:lineRule="auto"/>
              <w:ind w:firstLine="0" w:firstLineChars="0"/>
              <w:jc w:val="center"/>
              <w:rPr>
                <w:rFonts w:cs="Arial"/>
                <w:kern w:val="0"/>
                <w:szCs w:val="21"/>
              </w:rPr>
            </w:pPr>
            <w:r>
              <w:rPr>
                <w:rFonts w:hint="eastAsia"/>
                <w:szCs w:val="21"/>
              </w:rPr>
              <w:t>珠玑革命历史展陈</w:t>
            </w:r>
          </w:p>
        </w:tc>
        <w:tc>
          <w:tcPr>
            <w:tcW w:w="1107" w:type="pct"/>
            <w:noWrap/>
            <w:vAlign w:val="center"/>
          </w:tcPr>
          <w:p>
            <w:pPr>
              <w:spacing w:line="288" w:lineRule="auto"/>
              <w:ind w:firstLine="0" w:firstLineChars="0"/>
              <w:jc w:val="center"/>
              <w:rPr>
                <w:rFonts w:cs="Arial"/>
                <w:kern w:val="0"/>
                <w:szCs w:val="21"/>
              </w:rPr>
            </w:pPr>
            <w:r>
              <w:rPr>
                <w:rFonts w:hint="eastAsia"/>
                <w:szCs w:val="21"/>
              </w:rPr>
              <w:t>珠玑镇灵潭村委田兰村</w:t>
            </w:r>
          </w:p>
        </w:tc>
        <w:tc>
          <w:tcPr>
            <w:tcW w:w="831" w:type="pct"/>
            <w:vAlign w:val="center"/>
          </w:tcPr>
          <w:p>
            <w:pPr>
              <w:spacing w:line="288" w:lineRule="auto"/>
              <w:ind w:firstLine="0" w:firstLineChars="0"/>
              <w:jc w:val="center"/>
              <w:rPr>
                <w:rFonts w:cs="Arial"/>
                <w:kern w:val="0"/>
                <w:szCs w:val="21"/>
              </w:rPr>
            </w:pPr>
            <w:r>
              <w:rPr>
                <w:rFonts w:hint="eastAsia"/>
                <w:szCs w:val="21"/>
              </w:rPr>
              <w:t>-</w:t>
            </w:r>
          </w:p>
        </w:tc>
        <w:tc>
          <w:tcPr>
            <w:tcW w:w="678" w:type="pct"/>
            <w:noWrap/>
            <w:vAlign w:val="center"/>
          </w:tcPr>
          <w:p>
            <w:pPr>
              <w:spacing w:line="288" w:lineRule="auto"/>
              <w:ind w:firstLine="0" w:firstLineChars="0"/>
              <w:jc w:val="center"/>
              <w:rPr>
                <w:rFonts w:cs="Arial"/>
                <w:kern w:val="0"/>
                <w:szCs w:val="21"/>
              </w:rPr>
            </w:pPr>
            <w:r>
              <w:rPr>
                <w:rFonts w:hint="eastAsia"/>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96" w:type="pct"/>
            <w:noWrap/>
            <w:vAlign w:val="center"/>
          </w:tcPr>
          <w:p>
            <w:pPr>
              <w:spacing w:line="288" w:lineRule="auto"/>
              <w:ind w:firstLine="0" w:firstLineChars="0"/>
              <w:jc w:val="center"/>
              <w:rPr>
                <w:rFonts w:cs="Arial"/>
                <w:kern w:val="0"/>
                <w:szCs w:val="21"/>
              </w:rPr>
            </w:pPr>
            <w:r>
              <w:rPr>
                <w:rFonts w:cs="Arial"/>
                <w:kern w:val="0"/>
                <w:szCs w:val="21"/>
              </w:rPr>
              <w:t>94</w:t>
            </w:r>
          </w:p>
        </w:tc>
        <w:tc>
          <w:tcPr>
            <w:tcW w:w="1362" w:type="pct"/>
            <w:noWrap/>
            <w:vAlign w:val="center"/>
          </w:tcPr>
          <w:p>
            <w:pPr>
              <w:spacing w:line="288" w:lineRule="auto"/>
              <w:ind w:firstLine="0" w:firstLineChars="0"/>
              <w:jc w:val="center"/>
              <w:rPr>
                <w:rFonts w:cs="Arial"/>
                <w:kern w:val="0"/>
                <w:szCs w:val="21"/>
              </w:rPr>
            </w:pPr>
            <w:r>
              <w:rPr>
                <w:rFonts w:hint="eastAsia"/>
                <w:szCs w:val="21"/>
              </w:rPr>
              <w:t>李乐天事迹红色教育基地</w:t>
            </w:r>
          </w:p>
        </w:tc>
        <w:tc>
          <w:tcPr>
            <w:tcW w:w="1107" w:type="pct"/>
            <w:noWrap/>
            <w:vAlign w:val="center"/>
          </w:tcPr>
          <w:p>
            <w:pPr>
              <w:spacing w:line="288" w:lineRule="auto"/>
              <w:ind w:firstLine="0" w:firstLineChars="0"/>
              <w:jc w:val="center"/>
              <w:rPr>
                <w:rFonts w:cs="Arial"/>
                <w:kern w:val="0"/>
                <w:szCs w:val="21"/>
              </w:rPr>
            </w:pPr>
            <w:r>
              <w:rPr>
                <w:rFonts w:hint="eastAsia"/>
                <w:szCs w:val="21"/>
              </w:rPr>
              <w:t>湖口镇新迳村委筲箕窝村</w:t>
            </w:r>
          </w:p>
        </w:tc>
        <w:tc>
          <w:tcPr>
            <w:tcW w:w="831" w:type="pct"/>
          </w:tcPr>
          <w:p>
            <w:pPr>
              <w:spacing w:line="288" w:lineRule="auto"/>
              <w:ind w:firstLine="0" w:firstLineChars="0"/>
              <w:jc w:val="center"/>
              <w:rPr>
                <w:rFonts w:cs="Arial"/>
                <w:kern w:val="0"/>
                <w:szCs w:val="21"/>
              </w:rPr>
            </w:pPr>
            <w:r>
              <w:rPr>
                <w:rFonts w:hint="eastAsia" w:cs="Arial"/>
                <w:kern w:val="0"/>
                <w:szCs w:val="21"/>
              </w:rPr>
              <w:t>-</w:t>
            </w:r>
          </w:p>
        </w:tc>
        <w:tc>
          <w:tcPr>
            <w:tcW w:w="678" w:type="pct"/>
            <w:noWrap/>
            <w:vAlign w:val="center"/>
          </w:tcPr>
          <w:p>
            <w:pPr>
              <w:spacing w:line="288" w:lineRule="auto"/>
              <w:ind w:firstLine="0" w:firstLineChars="0"/>
              <w:jc w:val="center"/>
              <w:rPr>
                <w:rFonts w:cs="Arial"/>
                <w:kern w:val="0"/>
                <w:szCs w:val="21"/>
              </w:rPr>
            </w:pPr>
            <w:r>
              <w:rPr>
                <w:rFonts w:hint="eastAsia" w:cs="Arial"/>
                <w:kern w:val="0"/>
                <w:szCs w:val="21"/>
              </w:rPr>
              <w:t>-</w:t>
            </w:r>
          </w:p>
        </w:tc>
        <w:tc>
          <w:tcPr>
            <w:tcW w:w="726" w:type="pct"/>
            <w:noWrap/>
            <w:vAlign w:val="center"/>
          </w:tcPr>
          <w:p>
            <w:pPr>
              <w:spacing w:line="288" w:lineRule="auto"/>
              <w:ind w:firstLine="0" w:firstLineChars="0"/>
              <w:jc w:val="center"/>
              <w:rPr>
                <w:rFonts w:cs="Arial"/>
                <w:kern w:val="0"/>
                <w:szCs w:val="21"/>
              </w:rPr>
            </w:pPr>
            <w:r>
              <w:rPr>
                <w:rFonts w:hint="eastAsia" w:cs="Arial"/>
                <w:kern w:val="0"/>
                <w:szCs w:val="21"/>
              </w:rPr>
              <w:t>-</w:t>
            </w:r>
          </w:p>
        </w:tc>
      </w:tr>
      <w:bookmarkEnd w:id="244"/>
    </w:tbl>
    <w:p>
      <w:pPr>
        <w:pStyle w:val="3"/>
        <w:spacing w:before="0" w:after="0"/>
        <w:rPr>
          <w:sz w:val="24"/>
          <w:szCs w:val="24"/>
          <w:highlight w:val="yellow"/>
        </w:rPr>
      </w:pPr>
    </w:p>
    <w:sectPr>
      <w:pgSz w:w="23811" w:h="16838" w:orient="landscape"/>
      <w:pgMar w:top="1080" w:right="1440" w:bottom="1080" w:left="1440" w:header="851" w:footer="737" w:gutter="0"/>
      <w:cols w:space="425" w:num="2"/>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swiss"/>
    <w:pitch w:val="default"/>
    <w:sig w:usb0="00000000" w:usb1="00000000" w:usb2="00000000"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FZFSJW--GB1-0">
    <w:altName w:val="URW Bookman"/>
    <w:panose1 w:val="00000000000000000000"/>
    <w:charset w:val="00"/>
    <w:family w:val="roman"/>
    <w:pitch w:val="default"/>
    <w:sig w:usb0="00000000" w:usb1="00000000" w:usb2="00000000" w:usb3="00000000" w:csb0="00000000" w:csb1="00000000"/>
  </w:font>
  <w:font w:name="Times">
    <w:altName w:val="DejaVu Sans"/>
    <w:panose1 w:val="02020603050405020304"/>
    <w:charset w:val="00"/>
    <w:family w:val="roman"/>
    <w:pitch w:val="default"/>
    <w:sig w:usb0="00000000" w:usb1="00000000" w:usb2="00000009" w:usb3="00000000" w:csb0="000001FF" w:csb1="00000000"/>
  </w:font>
  <w:font w:name="华文细黑">
    <w:panose1 w:val="02010600040101010101"/>
    <w:charset w:val="86"/>
    <w:family w:val="auto"/>
    <w:pitch w:val="default"/>
    <w:sig w:usb0="00000287" w:usb1="080F0000" w:usb2="00000000" w:usb3="00000000" w:csb0="0004009F" w:csb1="DFD70000"/>
  </w:font>
  <w:font w:name="方正书宋_GBK">
    <w:panose1 w:val="02000000000000000000"/>
    <w:charset w:val="86"/>
    <w:family w:val="auto"/>
    <w:pitch w:val="default"/>
    <w:sig w:usb0="00000001" w:usb1="08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3000509000000000000"/>
    <w:charset w:val="86"/>
    <w:family w:val="auto"/>
    <w:pitch w:val="default"/>
    <w:sig w:usb0="00000001" w:usb1="080E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 w:name="URW Bookman">
    <w:panose1 w:val="000004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center"/>
    </w:pPr>
  </w:p>
  <w:p>
    <w:pPr>
      <w:pStyle w:val="21"/>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47140317"/>
      <w:docPartObj>
        <w:docPartGallery w:val="autotext"/>
      </w:docPartObj>
    </w:sdtPr>
    <w:sdtContent>
      <w:p>
        <w:pPr>
          <w:pStyle w:val="21"/>
          <w:ind w:firstLine="360"/>
          <w:jc w:val="center"/>
        </w:pPr>
        <w:r>
          <w:fldChar w:fldCharType="begin"/>
        </w:r>
        <w:r>
          <w:instrText xml:space="preserve">PAGE   \* MERGEFORMAT</w:instrText>
        </w:r>
        <w:r>
          <w:fldChar w:fldCharType="separate"/>
        </w:r>
        <w:r>
          <w:rPr>
            <w:lang w:val="zh-CN"/>
          </w:rPr>
          <w:t>15</w:t>
        </w:r>
        <w:r>
          <w:fldChar w:fldCharType="end"/>
        </w:r>
      </w:p>
    </w:sdtContent>
  </w:sdt>
  <w:p>
    <w:pPr>
      <w:pStyle w:val="21"/>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328133"/>
      <w:docPartObj>
        <w:docPartGallery w:val="autotext"/>
      </w:docPartObj>
    </w:sdtPr>
    <w:sdtContent>
      <w:p>
        <w:pPr>
          <w:pStyle w:val="21"/>
          <w:ind w:firstLine="360"/>
          <w:jc w:val="center"/>
        </w:pPr>
        <w:r>
          <w:fldChar w:fldCharType="begin"/>
        </w:r>
        <w:r>
          <w:instrText xml:space="preserve">PAGE   \* MERGEFORMAT</w:instrText>
        </w:r>
        <w:r>
          <w:fldChar w:fldCharType="separate"/>
        </w:r>
        <w:r>
          <w:rPr>
            <w:lang w:val="zh-CN"/>
          </w:rPr>
          <w:t>24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1050" w:rightChars="-500" w:firstLine="0" w:firstLineChars="0"/>
      <w:jc w:val="right"/>
      <w:rPr>
        <w:rFonts w:ascii="黑体" w:hAnsi="黑体" w:eastAsia="黑体"/>
        <w:color w:val="808080" w:themeColor="text1" w:themeTint="80"/>
        <w:sz w:val="30"/>
        <w:szCs w:val="30"/>
        <w14:textFill>
          <w14:solidFill>
            <w14:schemeClr w14:val="tx1">
              <w14:lumMod w14:val="50000"/>
              <w14:lumOff w14:val="50000"/>
            </w14:schemeClr>
          </w14:solidFill>
        </w14:textFil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left="42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C2658"/>
    <w:multiLevelType w:val="multilevel"/>
    <w:tmpl w:val="012C2658"/>
    <w:lvl w:ilvl="0" w:tentative="0">
      <w:start w:val="1"/>
      <w:numFmt w:val="decimal"/>
      <w:suff w:val="nothing"/>
      <w:lvlText w:val="%1."/>
      <w:lvlJc w:val="left"/>
      <w:pPr>
        <w:ind w:left="98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18B5891"/>
    <w:multiLevelType w:val="multilevel"/>
    <w:tmpl w:val="018B5891"/>
    <w:lvl w:ilvl="0" w:tentative="0">
      <w:start w:val="1"/>
      <w:numFmt w:val="decimal"/>
      <w:suff w:val="nothing"/>
      <w:lvlText w:val="%1."/>
      <w:lvlJc w:val="left"/>
      <w:pPr>
        <w:ind w:left="98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5A83619"/>
    <w:multiLevelType w:val="multilevel"/>
    <w:tmpl w:val="05A83619"/>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7394430"/>
    <w:multiLevelType w:val="multilevel"/>
    <w:tmpl w:val="07394430"/>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8C52CA1"/>
    <w:multiLevelType w:val="multilevel"/>
    <w:tmpl w:val="08C52CA1"/>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09761ED7"/>
    <w:multiLevelType w:val="multilevel"/>
    <w:tmpl w:val="09761ED7"/>
    <w:lvl w:ilvl="0" w:tentative="0">
      <w:start w:val="1"/>
      <w:numFmt w:val="decimal"/>
      <w:suff w:val="nothing"/>
      <w:lvlText w:val="（%1）"/>
      <w:lvlJc w:val="left"/>
      <w:pPr>
        <w:ind w:left="1281"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0B1C5EFA"/>
    <w:multiLevelType w:val="multilevel"/>
    <w:tmpl w:val="0B1C5EFA"/>
    <w:lvl w:ilvl="0" w:tentative="0">
      <w:start w:val="1"/>
      <w:numFmt w:val="decimal"/>
      <w:suff w:val="nothing"/>
      <w:lvlText w:val="%1."/>
      <w:lvlJc w:val="left"/>
      <w:pPr>
        <w:ind w:left="98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E283E82"/>
    <w:multiLevelType w:val="multilevel"/>
    <w:tmpl w:val="0E283E82"/>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
    <w:nsid w:val="0FC5197F"/>
    <w:multiLevelType w:val="multilevel"/>
    <w:tmpl w:val="0FC5197F"/>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1B87255"/>
    <w:multiLevelType w:val="multilevel"/>
    <w:tmpl w:val="11B87255"/>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168E09BE"/>
    <w:multiLevelType w:val="multilevel"/>
    <w:tmpl w:val="168E09BE"/>
    <w:lvl w:ilvl="0" w:tentative="0">
      <w:start w:val="1"/>
      <w:numFmt w:val="decimal"/>
      <w:suff w:val="nothing"/>
      <w:lvlText w:val="%1."/>
      <w:lvlJc w:val="left"/>
      <w:pPr>
        <w:ind w:left="11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178B7196"/>
    <w:multiLevelType w:val="multilevel"/>
    <w:tmpl w:val="178B7196"/>
    <w:lvl w:ilvl="0" w:tentative="0">
      <w:start w:val="1"/>
      <w:numFmt w:val="chineseCountingThousand"/>
      <w:pStyle w:val="2"/>
      <w:suff w:val="space"/>
      <w:lvlText w:val="第%1章"/>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C180294"/>
    <w:multiLevelType w:val="multilevel"/>
    <w:tmpl w:val="1C180294"/>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DFB669E"/>
    <w:multiLevelType w:val="multilevel"/>
    <w:tmpl w:val="1DFB669E"/>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1EDB6A05"/>
    <w:multiLevelType w:val="multilevel"/>
    <w:tmpl w:val="1EDB6A05"/>
    <w:lvl w:ilvl="0" w:tentative="0">
      <w:start w:val="1"/>
      <w:numFmt w:val="decimal"/>
      <w:suff w:val="nothing"/>
      <w:lvlText w:val="%1."/>
      <w:lvlJc w:val="left"/>
      <w:pPr>
        <w:ind w:left="981"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06C0B6E"/>
    <w:multiLevelType w:val="multilevel"/>
    <w:tmpl w:val="206C0B6E"/>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2076183E"/>
    <w:multiLevelType w:val="multilevel"/>
    <w:tmpl w:val="2076183E"/>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21F60161"/>
    <w:multiLevelType w:val="multilevel"/>
    <w:tmpl w:val="21F60161"/>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24CC634D"/>
    <w:multiLevelType w:val="multilevel"/>
    <w:tmpl w:val="24CC634D"/>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26CA54DA"/>
    <w:multiLevelType w:val="multilevel"/>
    <w:tmpl w:val="26CA54DA"/>
    <w:lvl w:ilvl="0" w:tentative="0">
      <w:start w:val="1"/>
      <w:numFmt w:val="decimal"/>
      <w:suff w:val="nothing"/>
      <w:lvlText w:val="%1."/>
      <w:lvlJc w:val="left"/>
      <w:pPr>
        <w:ind w:left="1380" w:hanging="420"/>
      </w:pPr>
      <w:rPr>
        <w:rFonts w:hint="eastAsia"/>
      </w:rPr>
    </w:lvl>
    <w:lvl w:ilvl="1" w:tentative="0">
      <w:start w:val="1"/>
      <w:numFmt w:val="decimal"/>
      <w:suff w:val="nothing"/>
      <w:lvlText w:val="%2."/>
      <w:lvlJc w:val="left"/>
      <w:pPr>
        <w:ind w:left="981" w:hanging="420"/>
      </w:pPr>
      <w:rPr>
        <w:rFonts w:hint="eastAsia"/>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26E67B42"/>
    <w:multiLevelType w:val="multilevel"/>
    <w:tmpl w:val="26E67B42"/>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2FF86AB9"/>
    <w:multiLevelType w:val="multilevel"/>
    <w:tmpl w:val="2FF86AB9"/>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2">
    <w:nsid w:val="33E06039"/>
    <w:multiLevelType w:val="multilevel"/>
    <w:tmpl w:val="33E06039"/>
    <w:lvl w:ilvl="0" w:tentative="0">
      <w:start w:val="1"/>
      <w:numFmt w:val="decimal"/>
      <w:suff w:val="nothing"/>
      <w:lvlText w:val="%1."/>
      <w:lvlJc w:val="left"/>
      <w:pPr>
        <w:ind w:left="11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35AB1DC4"/>
    <w:multiLevelType w:val="multilevel"/>
    <w:tmpl w:val="35AB1DC4"/>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24">
    <w:nsid w:val="395522F8"/>
    <w:multiLevelType w:val="multilevel"/>
    <w:tmpl w:val="395522F8"/>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3AF51916"/>
    <w:multiLevelType w:val="multilevel"/>
    <w:tmpl w:val="3AF51916"/>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6">
    <w:nsid w:val="3CA1276C"/>
    <w:multiLevelType w:val="multilevel"/>
    <w:tmpl w:val="3CA1276C"/>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402A3F75"/>
    <w:multiLevelType w:val="multilevel"/>
    <w:tmpl w:val="402A3F75"/>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40A07A80"/>
    <w:multiLevelType w:val="multilevel"/>
    <w:tmpl w:val="40A07A80"/>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41C261FE"/>
    <w:multiLevelType w:val="multilevel"/>
    <w:tmpl w:val="41C261FE"/>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0">
    <w:nsid w:val="425464C9"/>
    <w:multiLevelType w:val="multilevel"/>
    <w:tmpl w:val="425464C9"/>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1">
    <w:nsid w:val="436E0BA8"/>
    <w:multiLevelType w:val="multilevel"/>
    <w:tmpl w:val="436E0BA8"/>
    <w:lvl w:ilvl="0" w:tentative="0">
      <w:start w:val="1"/>
      <w:numFmt w:val="decimal"/>
      <w:suff w:val="nothing"/>
      <w:lvlText w:val="%1."/>
      <w:lvlJc w:val="left"/>
      <w:pPr>
        <w:ind w:left="11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44F22E6E"/>
    <w:multiLevelType w:val="multilevel"/>
    <w:tmpl w:val="44F22E6E"/>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33">
    <w:nsid w:val="4C230F22"/>
    <w:multiLevelType w:val="multilevel"/>
    <w:tmpl w:val="4C230F22"/>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4">
    <w:nsid w:val="4CE77F96"/>
    <w:multiLevelType w:val="multilevel"/>
    <w:tmpl w:val="4CE77F96"/>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5">
    <w:nsid w:val="4F7207B5"/>
    <w:multiLevelType w:val="multilevel"/>
    <w:tmpl w:val="4F7207B5"/>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6">
    <w:nsid w:val="50284DCD"/>
    <w:multiLevelType w:val="multilevel"/>
    <w:tmpl w:val="50284DCD"/>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7">
    <w:nsid w:val="53C0435B"/>
    <w:multiLevelType w:val="multilevel"/>
    <w:tmpl w:val="53C0435B"/>
    <w:lvl w:ilvl="0" w:tentative="0">
      <w:start w:val="1"/>
      <w:numFmt w:val="decimal"/>
      <w:suff w:val="nothing"/>
      <w:lvlText w:val="%1."/>
      <w:lvlJc w:val="left"/>
      <w:pPr>
        <w:ind w:left="981"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8">
    <w:nsid w:val="552370F1"/>
    <w:multiLevelType w:val="multilevel"/>
    <w:tmpl w:val="552370F1"/>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57D6675F"/>
    <w:multiLevelType w:val="multilevel"/>
    <w:tmpl w:val="57D6675F"/>
    <w:lvl w:ilvl="0" w:tentative="0">
      <w:start w:val="1"/>
      <w:numFmt w:val="decimal"/>
      <w:suff w:val="nothing"/>
      <w:lvlText w:val="%1."/>
      <w:lvlJc w:val="left"/>
      <w:pPr>
        <w:ind w:left="11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0">
    <w:nsid w:val="592B20F2"/>
    <w:multiLevelType w:val="multilevel"/>
    <w:tmpl w:val="592B20F2"/>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1">
    <w:nsid w:val="594A3089"/>
    <w:multiLevelType w:val="multilevel"/>
    <w:tmpl w:val="594A3089"/>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5CF160A6"/>
    <w:multiLevelType w:val="multilevel"/>
    <w:tmpl w:val="5CF160A6"/>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5D2B74B8"/>
    <w:multiLevelType w:val="multilevel"/>
    <w:tmpl w:val="5D2B74B8"/>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5E117DC9"/>
    <w:multiLevelType w:val="multilevel"/>
    <w:tmpl w:val="5E117DC9"/>
    <w:lvl w:ilvl="0" w:tentative="0">
      <w:start w:val="1"/>
      <w:numFmt w:val="chineseCountingThousand"/>
      <w:lvlText w:val="第%1条"/>
      <w:lvlJc w:val="left"/>
      <w:pPr>
        <w:ind w:left="981" w:hanging="420"/>
      </w:pPr>
      <w:rPr>
        <w:rFonts w:hint="eastAsia"/>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45">
    <w:nsid w:val="5ECD2234"/>
    <w:multiLevelType w:val="multilevel"/>
    <w:tmpl w:val="5ECD2234"/>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6">
    <w:nsid w:val="60416F23"/>
    <w:multiLevelType w:val="multilevel"/>
    <w:tmpl w:val="60416F23"/>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7">
    <w:nsid w:val="64154293"/>
    <w:multiLevelType w:val="multilevel"/>
    <w:tmpl w:val="64154293"/>
    <w:lvl w:ilvl="0" w:tentative="0">
      <w:start w:val="1"/>
      <w:numFmt w:val="decimal"/>
      <w:suff w:val="nothing"/>
      <w:lvlText w:val="%1."/>
      <w:lvlJc w:val="right"/>
      <w:pPr>
        <w:ind w:left="981" w:hanging="420"/>
      </w:pPr>
      <w:rPr>
        <w:rFonts w:hint="eastAsia"/>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48">
    <w:nsid w:val="67370427"/>
    <w:multiLevelType w:val="multilevel"/>
    <w:tmpl w:val="67370427"/>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401" w:hanging="420"/>
      </w:pPr>
    </w:lvl>
    <w:lvl w:ilvl="2" w:tentative="0">
      <w:start w:val="1"/>
      <w:numFmt w:val="lowerRoman"/>
      <w:lvlText w:val="%3."/>
      <w:lvlJc w:val="right"/>
      <w:pPr>
        <w:ind w:left="1821" w:hanging="420"/>
      </w:pPr>
    </w:lvl>
    <w:lvl w:ilvl="3" w:tentative="0">
      <w:start w:val="1"/>
      <w:numFmt w:val="decimal"/>
      <w:lvlText w:val="%4."/>
      <w:lvlJc w:val="left"/>
      <w:pPr>
        <w:ind w:left="2241" w:hanging="420"/>
      </w:pPr>
    </w:lvl>
    <w:lvl w:ilvl="4" w:tentative="0">
      <w:start w:val="1"/>
      <w:numFmt w:val="lowerLetter"/>
      <w:lvlText w:val="%5)"/>
      <w:lvlJc w:val="left"/>
      <w:pPr>
        <w:ind w:left="2661" w:hanging="420"/>
      </w:pPr>
    </w:lvl>
    <w:lvl w:ilvl="5" w:tentative="0">
      <w:start w:val="1"/>
      <w:numFmt w:val="lowerRoman"/>
      <w:lvlText w:val="%6."/>
      <w:lvlJc w:val="right"/>
      <w:pPr>
        <w:ind w:left="3081" w:hanging="420"/>
      </w:pPr>
    </w:lvl>
    <w:lvl w:ilvl="6" w:tentative="0">
      <w:start w:val="1"/>
      <w:numFmt w:val="decimal"/>
      <w:lvlText w:val="%7."/>
      <w:lvlJc w:val="left"/>
      <w:pPr>
        <w:ind w:left="3501" w:hanging="420"/>
      </w:pPr>
    </w:lvl>
    <w:lvl w:ilvl="7" w:tentative="0">
      <w:start w:val="1"/>
      <w:numFmt w:val="lowerLetter"/>
      <w:lvlText w:val="%8)"/>
      <w:lvlJc w:val="left"/>
      <w:pPr>
        <w:ind w:left="3921" w:hanging="420"/>
      </w:pPr>
    </w:lvl>
    <w:lvl w:ilvl="8" w:tentative="0">
      <w:start w:val="1"/>
      <w:numFmt w:val="lowerRoman"/>
      <w:lvlText w:val="%9."/>
      <w:lvlJc w:val="right"/>
      <w:pPr>
        <w:ind w:left="4341" w:hanging="420"/>
      </w:pPr>
    </w:lvl>
  </w:abstractNum>
  <w:abstractNum w:abstractNumId="49">
    <w:nsid w:val="6AE407C0"/>
    <w:multiLevelType w:val="multilevel"/>
    <w:tmpl w:val="6AE407C0"/>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0">
    <w:nsid w:val="6D726F37"/>
    <w:multiLevelType w:val="multilevel"/>
    <w:tmpl w:val="6D726F37"/>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72266340"/>
    <w:multiLevelType w:val="multilevel"/>
    <w:tmpl w:val="72266340"/>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2">
    <w:nsid w:val="73177CA1"/>
    <w:multiLevelType w:val="multilevel"/>
    <w:tmpl w:val="73177CA1"/>
    <w:lvl w:ilvl="0" w:tentative="0">
      <w:start w:val="1"/>
      <w:numFmt w:val="chineseCountingThousand"/>
      <w:suff w:val="space"/>
      <w:lvlText w:val="第%1节"/>
      <w:lvlJc w:val="left"/>
      <w:pPr>
        <w:ind w:left="420"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3">
    <w:nsid w:val="74035697"/>
    <w:multiLevelType w:val="multilevel"/>
    <w:tmpl w:val="74035697"/>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4">
    <w:nsid w:val="77165DE4"/>
    <w:multiLevelType w:val="multilevel"/>
    <w:tmpl w:val="77165DE4"/>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5">
    <w:nsid w:val="7BC03FED"/>
    <w:multiLevelType w:val="multilevel"/>
    <w:tmpl w:val="7BC03FED"/>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6">
    <w:nsid w:val="7ED1623E"/>
    <w:multiLevelType w:val="multilevel"/>
    <w:tmpl w:val="7ED1623E"/>
    <w:lvl w:ilvl="0" w:tentative="0">
      <w:start w:val="1"/>
      <w:numFmt w:val="decimal"/>
      <w:suff w:val="nothing"/>
      <w:lvlText w:val="%1．"/>
      <w:lvlJc w:val="left"/>
      <w:pPr>
        <w:ind w:left="981"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1"/>
  </w:num>
  <w:num w:numId="2">
    <w:abstractNumId w:val="44"/>
  </w:num>
  <w:num w:numId="3">
    <w:abstractNumId w:val="22"/>
  </w:num>
  <w:num w:numId="4">
    <w:abstractNumId w:val="10"/>
  </w:num>
  <w:num w:numId="5">
    <w:abstractNumId w:val="39"/>
  </w:num>
  <w:num w:numId="6">
    <w:abstractNumId w:val="31"/>
  </w:num>
  <w:num w:numId="7">
    <w:abstractNumId w:val="12"/>
  </w:num>
  <w:num w:numId="8">
    <w:abstractNumId w:val="47"/>
  </w:num>
  <w:num w:numId="9">
    <w:abstractNumId w:val="28"/>
  </w:num>
  <w:num w:numId="10">
    <w:abstractNumId w:val="50"/>
  </w:num>
  <w:num w:numId="11">
    <w:abstractNumId w:val="41"/>
  </w:num>
  <w:num w:numId="12">
    <w:abstractNumId w:val="20"/>
  </w:num>
  <w:num w:numId="13">
    <w:abstractNumId w:val="4"/>
  </w:num>
  <w:num w:numId="14">
    <w:abstractNumId w:val="30"/>
  </w:num>
  <w:num w:numId="15">
    <w:abstractNumId w:val="5"/>
  </w:num>
  <w:num w:numId="16">
    <w:abstractNumId w:val="54"/>
  </w:num>
  <w:num w:numId="17">
    <w:abstractNumId w:val="29"/>
  </w:num>
  <w:num w:numId="18">
    <w:abstractNumId w:val="32"/>
  </w:num>
  <w:num w:numId="19">
    <w:abstractNumId w:val="23"/>
  </w:num>
  <w:num w:numId="20">
    <w:abstractNumId w:val="48"/>
  </w:num>
  <w:num w:numId="21">
    <w:abstractNumId w:val="17"/>
  </w:num>
  <w:num w:numId="22">
    <w:abstractNumId w:val="16"/>
  </w:num>
  <w:num w:numId="23">
    <w:abstractNumId w:val="35"/>
  </w:num>
  <w:num w:numId="24">
    <w:abstractNumId w:val="2"/>
  </w:num>
  <w:num w:numId="25">
    <w:abstractNumId w:val="55"/>
  </w:num>
  <w:num w:numId="26">
    <w:abstractNumId w:val="3"/>
  </w:num>
  <w:num w:numId="27">
    <w:abstractNumId w:val="33"/>
  </w:num>
  <w:num w:numId="28">
    <w:abstractNumId w:val="19"/>
  </w:num>
  <w:num w:numId="29">
    <w:abstractNumId w:val="1"/>
  </w:num>
  <w:num w:numId="30">
    <w:abstractNumId w:val="24"/>
  </w:num>
  <w:num w:numId="31">
    <w:abstractNumId w:val="6"/>
  </w:num>
  <w:num w:numId="32">
    <w:abstractNumId w:val="14"/>
  </w:num>
  <w:num w:numId="33">
    <w:abstractNumId w:val="0"/>
  </w:num>
  <w:num w:numId="34">
    <w:abstractNumId w:val="25"/>
  </w:num>
  <w:num w:numId="35">
    <w:abstractNumId w:val="21"/>
  </w:num>
  <w:num w:numId="36">
    <w:abstractNumId w:val="7"/>
  </w:num>
  <w:num w:numId="37">
    <w:abstractNumId w:val="42"/>
  </w:num>
  <w:num w:numId="38">
    <w:abstractNumId w:val="37"/>
  </w:num>
  <w:num w:numId="39">
    <w:abstractNumId w:val="36"/>
  </w:num>
  <w:num w:numId="40">
    <w:abstractNumId w:val="46"/>
  </w:num>
  <w:num w:numId="41">
    <w:abstractNumId w:val="40"/>
  </w:num>
  <w:num w:numId="42">
    <w:abstractNumId w:val="8"/>
  </w:num>
  <w:num w:numId="43">
    <w:abstractNumId w:val="38"/>
  </w:num>
  <w:num w:numId="44">
    <w:abstractNumId w:val="49"/>
  </w:num>
  <w:num w:numId="45">
    <w:abstractNumId w:val="52"/>
  </w:num>
  <w:num w:numId="46">
    <w:abstractNumId w:val="34"/>
  </w:num>
  <w:num w:numId="47">
    <w:abstractNumId w:val="56"/>
  </w:num>
  <w:num w:numId="48">
    <w:abstractNumId w:val="51"/>
  </w:num>
  <w:num w:numId="49">
    <w:abstractNumId w:val="26"/>
  </w:num>
  <w:num w:numId="50">
    <w:abstractNumId w:val="53"/>
  </w:num>
  <w:num w:numId="51">
    <w:abstractNumId w:val="43"/>
  </w:num>
  <w:num w:numId="52">
    <w:abstractNumId w:val="27"/>
  </w:num>
  <w:num w:numId="53">
    <w:abstractNumId w:val="13"/>
  </w:num>
  <w:num w:numId="54">
    <w:abstractNumId w:val="45"/>
  </w:num>
  <w:num w:numId="55">
    <w:abstractNumId w:val="15"/>
  </w:num>
  <w:num w:numId="56">
    <w:abstractNumId w:val="9"/>
  </w:num>
  <w:num w:numId="5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A4"/>
    <w:rsid w:val="0000075B"/>
    <w:rsid w:val="00000A3C"/>
    <w:rsid w:val="00001637"/>
    <w:rsid w:val="00002A84"/>
    <w:rsid w:val="0000790B"/>
    <w:rsid w:val="00012FC6"/>
    <w:rsid w:val="00014757"/>
    <w:rsid w:val="000151A0"/>
    <w:rsid w:val="0001705A"/>
    <w:rsid w:val="000179D6"/>
    <w:rsid w:val="00021084"/>
    <w:rsid w:val="00021CA3"/>
    <w:rsid w:val="00022754"/>
    <w:rsid w:val="000230DC"/>
    <w:rsid w:val="00025B78"/>
    <w:rsid w:val="00025F00"/>
    <w:rsid w:val="00030E87"/>
    <w:rsid w:val="0003112D"/>
    <w:rsid w:val="00031EB4"/>
    <w:rsid w:val="00033BDD"/>
    <w:rsid w:val="00036694"/>
    <w:rsid w:val="00036989"/>
    <w:rsid w:val="00037502"/>
    <w:rsid w:val="0004110D"/>
    <w:rsid w:val="0004193C"/>
    <w:rsid w:val="0004281C"/>
    <w:rsid w:val="00050A31"/>
    <w:rsid w:val="00051B5B"/>
    <w:rsid w:val="00053D9D"/>
    <w:rsid w:val="000544CA"/>
    <w:rsid w:val="00054A52"/>
    <w:rsid w:val="00054A71"/>
    <w:rsid w:val="000557D0"/>
    <w:rsid w:val="00057D7F"/>
    <w:rsid w:val="000631E3"/>
    <w:rsid w:val="0006444D"/>
    <w:rsid w:val="00064FE6"/>
    <w:rsid w:val="0006677C"/>
    <w:rsid w:val="00066C67"/>
    <w:rsid w:val="00067FB4"/>
    <w:rsid w:val="00070603"/>
    <w:rsid w:val="00070B68"/>
    <w:rsid w:val="00072B5C"/>
    <w:rsid w:val="000758E1"/>
    <w:rsid w:val="000777D2"/>
    <w:rsid w:val="00084D74"/>
    <w:rsid w:val="00084D7D"/>
    <w:rsid w:val="00087473"/>
    <w:rsid w:val="00087587"/>
    <w:rsid w:val="00091A2A"/>
    <w:rsid w:val="00095E09"/>
    <w:rsid w:val="00097CE6"/>
    <w:rsid w:val="000A0C0C"/>
    <w:rsid w:val="000A10B1"/>
    <w:rsid w:val="000A2B1F"/>
    <w:rsid w:val="000A34E3"/>
    <w:rsid w:val="000A4D4E"/>
    <w:rsid w:val="000A7386"/>
    <w:rsid w:val="000B39CA"/>
    <w:rsid w:val="000B4178"/>
    <w:rsid w:val="000C28D7"/>
    <w:rsid w:val="000C349E"/>
    <w:rsid w:val="000C423F"/>
    <w:rsid w:val="000C6E49"/>
    <w:rsid w:val="000D0ABA"/>
    <w:rsid w:val="000D1C41"/>
    <w:rsid w:val="000D764B"/>
    <w:rsid w:val="000D76D0"/>
    <w:rsid w:val="000D784B"/>
    <w:rsid w:val="000E057F"/>
    <w:rsid w:val="000E2BB6"/>
    <w:rsid w:val="000E4A49"/>
    <w:rsid w:val="000E4DD4"/>
    <w:rsid w:val="000F560E"/>
    <w:rsid w:val="000F5EC1"/>
    <w:rsid w:val="00103A6D"/>
    <w:rsid w:val="00105950"/>
    <w:rsid w:val="00107B10"/>
    <w:rsid w:val="00107C22"/>
    <w:rsid w:val="00107F6A"/>
    <w:rsid w:val="00112F83"/>
    <w:rsid w:val="00113782"/>
    <w:rsid w:val="0011728D"/>
    <w:rsid w:val="001235FA"/>
    <w:rsid w:val="00125614"/>
    <w:rsid w:val="00127844"/>
    <w:rsid w:val="00132333"/>
    <w:rsid w:val="001347B5"/>
    <w:rsid w:val="0013512E"/>
    <w:rsid w:val="00135FDB"/>
    <w:rsid w:val="00136245"/>
    <w:rsid w:val="00141E7E"/>
    <w:rsid w:val="001450E3"/>
    <w:rsid w:val="00146F0F"/>
    <w:rsid w:val="0014722A"/>
    <w:rsid w:val="00147A70"/>
    <w:rsid w:val="00155521"/>
    <w:rsid w:val="00155C27"/>
    <w:rsid w:val="0015631F"/>
    <w:rsid w:val="00160F54"/>
    <w:rsid w:val="001642B0"/>
    <w:rsid w:val="00164ED8"/>
    <w:rsid w:val="00165EFC"/>
    <w:rsid w:val="00165F96"/>
    <w:rsid w:val="001706C0"/>
    <w:rsid w:val="00171997"/>
    <w:rsid w:val="00173A1E"/>
    <w:rsid w:val="00173B65"/>
    <w:rsid w:val="001805C3"/>
    <w:rsid w:val="00182D85"/>
    <w:rsid w:val="00185AEA"/>
    <w:rsid w:val="00191258"/>
    <w:rsid w:val="00195421"/>
    <w:rsid w:val="00195F96"/>
    <w:rsid w:val="001A0D7E"/>
    <w:rsid w:val="001A13C7"/>
    <w:rsid w:val="001A1472"/>
    <w:rsid w:val="001A2C25"/>
    <w:rsid w:val="001A6601"/>
    <w:rsid w:val="001A66C7"/>
    <w:rsid w:val="001B293A"/>
    <w:rsid w:val="001B401E"/>
    <w:rsid w:val="001B5AFE"/>
    <w:rsid w:val="001B6D78"/>
    <w:rsid w:val="001C6FB0"/>
    <w:rsid w:val="001D2BBA"/>
    <w:rsid w:val="001D343F"/>
    <w:rsid w:val="001D528F"/>
    <w:rsid w:val="001D5BFB"/>
    <w:rsid w:val="001D5C05"/>
    <w:rsid w:val="001D68CC"/>
    <w:rsid w:val="001E0012"/>
    <w:rsid w:val="001E052B"/>
    <w:rsid w:val="001E54CD"/>
    <w:rsid w:val="001E6043"/>
    <w:rsid w:val="001E66D3"/>
    <w:rsid w:val="001E7F20"/>
    <w:rsid w:val="001F1BA7"/>
    <w:rsid w:val="001F2E52"/>
    <w:rsid w:val="001F6302"/>
    <w:rsid w:val="001F7F01"/>
    <w:rsid w:val="002002BE"/>
    <w:rsid w:val="00200BDE"/>
    <w:rsid w:val="0020150F"/>
    <w:rsid w:val="002036D6"/>
    <w:rsid w:val="00206471"/>
    <w:rsid w:val="00212EA2"/>
    <w:rsid w:val="00212FA0"/>
    <w:rsid w:val="00213833"/>
    <w:rsid w:val="002138D0"/>
    <w:rsid w:val="0021538F"/>
    <w:rsid w:val="00223E8A"/>
    <w:rsid w:val="00224045"/>
    <w:rsid w:val="002242B4"/>
    <w:rsid w:val="0022579F"/>
    <w:rsid w:val="00230D8E"/>
    <w:rsid w:val="002314CC"/>
    <w:rsid w:val="00234458"/>
    <w:rsid w:val="00234C11"/>
    <w:rsid w:val="002420B2"/>
    <w:rsid w:val="00243ECE"/>
    <w:rsid w:val="002461F8"/>
    <w:rsid w:val="00246AF4"/>
    <w:rsid w:val="00246DEB"/>
    <w:rsid w:val="002475DB"/>
    <w:rsid w:val="00250116"/>
    <w:rsid w:val="0025087A"/>
    <w:rsid w:val="00253317"/>
    <w:rsid w:val="002547EC"/>
    <w:rsid w:val="00257D12"/>
    <w:rsid w:val="00263B8C"/>
    <w:rsid w:val="00265591"/>
    <w:rsid w:val="00272040"/>
    <w:rsid w:val="0027631C"/>
    <w:rsid w:val="0028371F"/>
    <w:rsid w:val="00284AA5"/>
    <w:rsid w:val="002912AE"/>
    <w:rsid w:val="00292920"/>
    <w:rsid w:val="00292C98"/>
    <w:rsid w:val="002939A3"/>
    <w:rsid w:val="00294856"/>
    <w:rsid w:val="002957C0"/>
    <w:rsid w:val="002969A4"/>
    <w:rsid w:val="00296B78"/>
    <w:rsid w:val="00297213"/>
    <w:rsid w:val="002976B1"/>
    <w:rsid w:val="002A04E6"/>
    <w:rsid w:val="002A15D6"/>
    <w:rsid w:val="002A1D0E"/>
    <w:rsid w:val="002A3977"/>
    <w:rsid w:val="002A4B69"/>
    <w:rsid w:val="002A5637"/>
    <w:rsid w:val="002A62ED"/>
    <w:rsid w:val="002A666D"/>
    <w:rsid w:val="002A7A1A"/>
    <w:rsid w:val="002B0D9A"/>
    <w:rsid w:val="002B24DB"/>
    <w:rsid w:val="002B25B3"/>
    <w:rsid w:val="002B52F3"/>
    <w:rsid w:val="002B62E9"/>
    <w:rsid w:val="002C15C7"/>
    <w:rsid w:val="002C18E3"/>
    <w:rsid w:val="002C190A"/>
    <w:rsid w:val="002C2A4F"/>
    <w:rsid w:val="002C3FCB"/>
    <w:rsid w:val="002C6EB8"/>
    <w:rsid w:val="002C7012"/>
    <w:rsid w:val="002C7295"/>
    <w:rsid w:val="002D109C"/>
    <w:rsid w:val="002D3645"/>
    <w:rsid w:val="002D7B04"/>
    <w:rsid w:val="002E043C"/>
    <w:rsid w:val="002E07F5"/>
    <w:rsid w:val="002E1093"/>
    <w:rsid w:val="002F0C69"/>
    <w:rsid w:val="002F18AC"/>
    <w:rsid w:val="002F2E54"/>
    <w:rsid w:val="002F3CFA"/>
    <w:rsid w:val="002F3E58"/>
    <w:rsid w:val="002F43A1"/>
    <w:rsid w:val="002F630D"/>
    <w:rsid w:val="003012E0"/>
    <w:rsid w:val="00302DBD"/>
    <w:rsid w:val="00302DE8"/>
    <w:rsid w:val="00307CDA"/>
    <w:rsid w:val="00307EAD"/>
    <w:rsid w:val="00310E4E"/>
    <w:rsid w:val="003123FF"/>
    <w:rsid w:val="0031456E"/>
    <w:rsid w:val="003150D5"/>
    <w:rsid w:val="00316A24"/>
    <w:rsid w:val="003173F7"/>
    <w:rsid w:val="00320068"/>
    <w:rsid w:val="00322F82"/>
    <w:rsid w:val="003239F4"/>
    <w:rsid w:val="00326A15"/>
    <w:rsid w:val="00327DD6"/>
    <w:rsid w:val="003306A9"/>
    <w:rsid w:val="003311DD"/>
    <w:rsid w:val="003314CB"/>
    <w:rsid w:val="00331888"/>
    <w:rsid w:val="00331EC9"/>
    <w:rsid w:val="00336AE7"/>
    <w:rsid w:val="00336E31"/>
    <w:rsid w:val="0033778F"/>
    <w:rsid w:val="00337B88"/>
    <w:rsid w:val="003446F2"/>
    <w:rsid w:val="003454A2"/>
    <w:rsid w:val="003457F5"/>
    <w:rsid w:val="00345F94"/>
    <w:rsid w:val="003506BC"/>
    <w:rsid w:val="00350B25"/>
    <w:rsid w:val="00360278"/>
    <w:rsid w:val="00364738"/>
    <w:rsid w:val="00367FBB"/>
    <w:rsid w:val="00370B4E"/>
    <w:rsid w:val="00376C6C"/>
    <w:rsid w:val="00385173"/>
    <w:rsid w:val="00385C33"/>
    <w:rsid w:val="003871F5"/>
    <w:rsid w:val="003946F1"/>
    <w:rsid w:val="00395995"/>
    <w:rsid w:val="00397341"/>
    <w:rsid w:val="003A0113"/>
    <w:rsid w:val="003A1B1A"/>
    <w:rsid w:val="003A1C31"/>
    <w:rsid w:val="003A5DC4"/>
    <w:rsid w:val="003A5EE0"/>
    <w:rsid w:val="003A61C4"/>
    <w:rsid w:val="003A7343"/>
    <w:rsid w:val="003B1028"/>
    <w:rsid w:val="003B2964"/>
    <w:rsid w:val="003B7CA2"/>
    <w:rsid w:val="003C02FE"/>
    <w:rsid w:val="003C0E7D"/>
    <w:rsid w:val="003C62A6"/>
    <w:rsid w:val="003C71AB"/>
    <w:rsid w:val="003D02AB"/>
    <w:rsid w:val="003E041B"/>
    <w:rsid w:val="003E1CA4"/>
    <w:rsid w:val="003E5E6F"/>
    <w:rsid w:val="003E7687"/>
    <w:rsid w:val="003E7A7E"/>
    <w:rsid w:val="003E7CDF"/>
    <w:rsid w:val="003F4E8C"/>
    <w:rsid w:val="003F5BD1"/>
    <w:rsid w:val="003F7CFD"/>
    <w:rsid w:val="00400A3A"/>
    <w:rsid w:val="00401268"/>
    <w:rsid w:val="0040133E"/>
    <w:rsid w:val="00403317"/>
    <w:rsid w:val="00404824"/>
    <w:rsid w:val="0040599D"/>
    <w:rsid w:val="004077D5"/>
    <w:rsid w:val="00407A48"/>
    <w:rsid w:val="00410CF4"/>
    <w:rsid w:val="00412E22"/>
    <w:rsid w:val="0041533F"/>
    <w:rsid w:val="00415BFC"/>
    <w:rsid w:val="00426A6F"/>
    <w:rsid w:val="00433433"/>
    <w:rsid w:val="00434B7D"/>
    <w:rsid w:val="00434C2A"/>
    <w:rsid w:val="00437D14"/>
    <w:rsid w:val="00437F2C"/>
    <w:rsid w:val="00445732"/>
    <w:rsid w:val="0044747F"/>
    <w:rsid w:val="00451653"/>
    <w:rsid w:val="004526BF"/>
    <w:rsid w:val="00454139"/>
    <w:rsid w:val="00454468"/>
    <w:rsid w:val="004563B3"/>
    <w:rsid w:val="0045790D"/>
    <w:rsid w:val="00460905"/>
    <w:rsid w:val="0046270B"/>
    <w:rsid w:val="00463E06"/>
    <w:rsid w:val="00465EAE"/>
    <w:rsid w:val="0046654E"/>
    <w:rsid w:val="0046689F"/>
    <w:rsid w:val="00467BCC"/>
    <w:rsid w:val="0047049B"/>
    <w:rsid w:val="00470CCC"/>
    <w:rsid w:val="00474D7B"/>
    <w:rsid w:val="00475219"/>
    <w:rsid w:val="00481240"/>
    <w:rsid w:val="00486412"/>
    <w:rsid w:val="00490E5E"/>
    <w:rsid w:val="00492173"/>
    <w:rsid w:val="00492D03"/>
    <w:rsid w:val="00492D27"/>
    <w:rsid w:val="0049494C"/>
    <w:rsid w:val="0049496C"/>
    <w:rsid w:val="00495AFD"/>
    <w:rsid w:val="00496438"/>
    <w:rsid w:val="004A0249"/>
    <w:rsid w:val="004A11E7"/>
    <w:rsid w:val="004A2EE8"/>
    <w:rsid w:val="004A4C49"/>
    <w:rsid w:val="004A5652"/>
    <w:rsid w:val="004B036C"/>
    <w:rsid w:val="004B1314"/>
    <w:rsid w:val="004B59B3"/>
    <w:rsid w:val="004B60A6"/>
    <w:rsid w:val="004B7386"/>
    <w:rsid w:val="004C0FB1"/>
    <w:rsid w:val="004C272E"/>
    <w:rsid w:val="004C44BA"/>
    <w:rsid w:val="004C5467"/>
    <w:rsid w:val="004C652F"/>
    <w:rsid w:val="004C74E8"/>
    <w:rsid w:val="004D047E"/>
    <w:rsid w:val="004D1F53"/>
    <w:rsid w:val="004D3EDB"/>
    <w:rsid w:val="004D6588"/>
    <w:rsid w:val="004D6FEB"/>
    <w:rsid w:val="004D6FEE"/>
    <w:rsid w:val="004E017C"/>
    <w:rsid w:val="004E2CEE"/>
    <w:rsid w:val="004E6FC3"/>
    <w:rsid w:val="004E74CE"/>
    <w:rsid w:val="004E7CF4"/>
    <w:rsid w:val="004E7D26"/>
    <w:rsid w:val="004E7FF1"/>
    <w:rsid w:val="004F2E15"/>
    <w:rsid w:val="004F52A4"/>
    <w:rsid w:val="004F6B52"/>
    <w:rsid w:val="00500E1F"/>
    <w:rsid w:val="0050291C"/>
    <w:rsid w:val="0050306A"/>
    <w:rsid w:val="00504AE7"/>
    <w:rsid w:val="00506AE8"/>
    <w:rsid w:val="00507536"/>
    <w:rsid w:val="00507B8F"/>
    <w:rsid w:val="00510981"/>
    <w:rsid w:val="00511415"/>
    <w:rsid w:val="00521D48"/>
    <w:rsid w:val="005235A6"/>
    <w:rsid w:val="005241D1"/>
    <w:rsid w:val="00530155"/>
    <w:rsid w:val="00530170"/>
    <w:rsid w:val="005314E6"/>
    <w:rsid w:val="005348B4"/>
    <w:rsid w:val="00540499"/>
    <w:rsid w:val="00540A68"/>
    <w:rsid w:val="005422C1"/>
    <w:rsid w:val="0054414C"/>
    <w:rsid w:val="00544648"/>
    <w:rsid w:val="005460D6"/>
    <w:rsid w:val="005523CC"/>
    <w:rsid w:val="00553645"/>
    <w:rsid w:val="005537F4"/>
    <w:rsid w:val="00555C46"/>
    <w:rsid w:val="00555DD8"/>
    <w:rsid w:val="00557008"/>
    <w:rsid w:val="005610E2"/>
    <w:rsid w:val="005635B7"/>
    <w:rsid w:val="00565B1F"/>
    <w:rsid w:val="00570D0D"/>
    <w:rsid w:val="005730DE"/>
    <w:rsid w:val="00573138"/>
    <w:rsid w:val="00582578"/>
    <w:rsid w:val="0058356A"/>
    <w:rsid w:val="00591A56"/>
    <w:rsid w:val="0059273A"/>
    <w:rsid w:val="00594E33"/>
    <w:rsid w:val="00595B67"/>
    <w:rsid w:val="005A0202"/>
    <w:rsid w:val="005A1E66"/>
    <w:rsid w:val="005A1F1A"/>
    <w:rsid w:val="005A269B"/>
    <w:rsid w:val="005A285E"/>
    <w:rsid w:val="005A397C"/>
    <w:rsid w:val="005A4F88"/>
    <w:rsid w:val="005A5F8C"/>
    <w:rsid w:val="005A70AF"/>
    <w:rsid w:val="005B2156"/>
    <w:rsid w:val="005B2EF4"/>
    <w:rsid w:val="005B3CEE"/>
    <w:rsid w:val="005B4638"/>
    <w:rsid w:val="005B5F5D"/>
    <w:rsid w:val="005B6309"/>
    <w:rsid w:val="005C05F3"/>
    <w:rsid w:val="005C367E"/>
    <w:rsid w:val="005C4288"/>
    <w:rsid w:val="005C52A6"/>
    <w:rsid w:val="005C6337"/>
    <w:rsid w:val="005C7A51"/>
    <w:rsid w:val="005C7C0E"/>
    <w:rsid w:val="005D0371"/>
    <w:rsid w:val="005D0CEE"/>
    <w:rsid w:val="005D1A5B"/>
    <w:rsid w:val="005D5D52"/>
    <w:rsid w:val="005D6E89"/>
    <w:rsid w:val="005E08D7"/>
    <w:rsid w:val="005E2F15"/>
    <w:rsid w:val="005E32F2"/>
    <w:rsid w:val="005E3C5B"/>
    <w:rsid w:val="005E4435"/>
    <w:rsid w:val="005E5724"/>
    <w:rsid w:val="005E72A6"/>
    <w:rsid w:val="005F045D"/>
    <w:rsid w:val="005F2273"/>
    <w:rsid w:val="005F24CA"/>
    <w:rsid w:val="005F360E"/>
    <w:rsid w:val="005F5535"/>
    <w:rsid w:val="005F6A77"/>
    <w:rsid w:val="0060152D"/>
    <w:rsid w:val="00602242"/>
    <w:rsid w:val="006072D7"/>
    <w:rsid w:val="00613C0F"/>
    <w:rsid w:val="00616375"/>
    <w:rsid w:val="00616ABA"/>
    <w:rsid w:val="00617F2C"/>
    <w:rsid w:val="006229FE"/>
    <w:rsid w:val="00622F90"/>
    <w:rsid w:val="00623D30"/>
    <w:rsid w:val="006249F9"/>
    <w:rsid w:val="0062760B"/>
    <w:rsid w:val="006317FA"/>
    <w:rsid w:val="0063544B"/>
    <w:rsid w:val="00635901"/>
    <w:rsid w:val="00642990"/>
    <w:rsid w:val="006453C2"/>
    <w:rsid w:val="00651A1A"/>
    <w:rsid w:val="00654041"/>
    <w:rsid w:val="00654B92"/>
    <w:rsid w:val="006623A5"/>
    <w:rsid w:val="00662A0B"/>
    <w:rsid w:val="0066538E"/>
    <w:rsid w:val="006714F9"/>
    <w:rsid w:val="00676031"/>
    <w:rsid w:val="00676537"/>
    <w:rsid w:val="00676FA2"/>
    <w:rsid w:val="00680E4A"/>
    <w:rsid w:val="00684C8B"/>
    <w:rsid w:val="00684D55"/>
    <w:rsid w:val="00685CA1"/>
    <w:rsid w:val="00685F73"/>
    <w:rsid w:val="00692EDC"/>
    <w:rsid w:val="006935B6"/>
    <w:rsid w:val="006946DA"/>
    <w:rsid w:val="006971EC"/>
    <w:rsid w:val="006A2817"/>
    <w:rsid w:val="006A30EB"/>
    <w:rsid w:val="006A34BE"/>
    <w:rsid w:val="006A3D72"/>
    <w:rsid w:val="006A47F4"/>
    <w:rsid w:val="006A5AEC"/>
    <w:rsid w:val="006A71BA"/>
    <w:rsid w:val="006A740F"/>
    <w:rsid w:val="006B2002"/>
    <w:rsid w:val="006B6DA8"/>
    <w:rsid w:val="006C304A"/>
    <w:rsid w:val="006C4D08"/>
    <w:rsid w:val="006C5428"/>
    <w:rsid w:val="006C5593"/>
    <w:rsid w:val="006D429B"/>
    <w:rsid w:val="006D437C"/>
    <w:rsid w:val="006D5123"/>
    <w:rsid w:val="006D5D44"/>
    <w:rsid w:val="006D7CA6"/>
    <w:rsid w:val="006E1734"/>
    <w:rsid w:val="006E50E8"/>
    <w:rsid w:val="006E555E"/>
    <w:rsid w:val="006E7ECD"/>
    <w:rsid w:val="006F09AA"/>
    <w:rsid w:val="006F09AD"/>
    <w:rsid w:val="006F0E3F"/>
    <w:rsid w:val="006F0F85"/>
    <w:rsid w:val="006F469D"/>
    <w:rsid w:val="006F5483"/>
    <w:rsid w:val="006F5A4C"/>
    <w:rsid w:val="006F72DF"/>
    <w:rsid w:val="006F7595"/>
    <w:rsid w:val="006F7CD8"/>
    <w:rsid w:val="00700EAD"/>
    <w:rsid w:val="00702E86"/>
    <w:rsid w:val="00705BAA"/>
    <w:rsid w:val="00706C0A"/>
    <w:rsid w:val="007138BA"/>
    <w:rsid w:val="00716CE2"/>
    <w:rsid w:val="00717F23"/>
    <w:rsid w:val="00720F45"/>
    <w:rsid w:val="00720FFE"/>
    <w:rsid w:val="007219B0"/>
    <w:rsid w:val="00723976"/>
    <w:rsid w:val="00724F06"/>
    <w:rsid w:val="007354D4"/>
    <w:rsid w:val="007361C0"/>
    <w:rsid w:val="007379C3"/>
    <w:rsid w:val="00743CDF"/>
    <w:rsid w:val="00751343"/>
    <w:rsid w:val="00752335"/>
    <w:rsid w:val="007557A9"/>
    <w:rsid w:val="00757767"/>
    <w:rsid w:val="00760393"/>
    <w:rsid w:val="007641C6"/>
    <w:rsid w:val="00775564"/>
    <w:rsid w:val="00780474"/>
    <w:rsid w:val="007827B3"/>
    <w:rsid w:val="00786346"/>
    <w:rsid w:val="0078659B"/>
    <w:rsid w:val="00786608"/>
    <w:rsid w:val="007866F4"/>
    <w:rsid w:val="007871CF"/>
    <w:rsid w:val="00787AC3"/>
    <w:rsid w:val="007911C7"/>
    <w:rsid w:val="00791C43"/>
    <w:rsid w:val="00792265"/>
    <w:rsid w:val="00792F5C"/>
    <w:rsid w:val="0079364F"/>
    <w:rsid w:val="00793C5E"/>
    <w:rsid w:val="00794186"/>
    <w:rsid w:val="00795E59"/>
    <w:rsid w:val="00796F0A"/>
    <w:rsid w:val="007A0868"/>
    <w:rsid w:val="007A11EC"/>
    <w:rsid w:val="007A3E04"/>
    <w:rsid w:val="007B0045"/>
    <w:rsid w:val="007B4D74"/>
    <w:rsid w:val="007B62EA"/>
    <w:rsid w:val="007B694D"/>
    <w:rsid w:val="007B6A69"/>
    <w:rsid w:val="007C0C0B"/>
    <w:rsid w:val="007C4B49"/>
    <w:rsid w:val="007C557E"/>
    <w:rsid w:val="007D1CB9"/>
    <w:rsid w:val="007D4876"/>
    <w:rsid w:val="007D51F1"/>
    <w:rsid w:val="007D5423"/>
    <w:rsid w:val="007E14D9"/>
    <w:rsid w:val="007F309E"/>
    <w:rsid w:val="007F673A"/>
    <w:rsid w:val="007F70B8"/>
    <w:rsid w:val="00804821"/>
    <w:rsid w:val="00804F0D"/>
    <w:rsid w:val="00806D70"/>
    <w:rsid w:val="00813E63"/>
    <w:rsid w:val="008147B0"/>
    <w:rsid w:val="0081499E"/>
    <w:rsid w:val="00814B69"/>
    <w:rsid w:val="0081723D"/>
    <w:rsid w:val="00822F9D"/>
    <w:rsid w:val="00825954"/>
    <w:rsid w:val="008261F9"/>
    <w:rsid w:val="008269C3"/>
    <w:rsid w:val="00826F05"/>
    <w:rsid w:val="008307A5"/>
    <w:rsid w:val="0083300C"/>
    <w:rsid w:val="00835A96"/>
    <w:rsid w:val="008363D6"/>
    <w:rsid w:val="008412BA"/>
    <w:rsid w:val="00841BDA"/>
    <w:rsid w:val="008430C3"/>
    <w:rsid w:val="0084401B"/>
    <w:rsid w:val="0084500D"/>
    <w:rsid w:val="00845740"/>
    <w:rsid w:val="00857F95"/>
    <w:rsid w:val="00860C5C"/>
    <w:rsid w:val="00861C95"/>
    <w:rsid w:val="00862A7E"/>
    <w:rsid w:val="00863CB0"/>
    <w:rsid w:val="008671E4"/>
    <w:rsid w:val="008673B5"/>
    <w:rsid w:val="008705A5"/>
    <w:rsid w:val="00870D28"/>
    <w:rsid w:val="00873DE7"/>
    <w:rsid w:val="00875535"/>
    <w:rsid w:val="008775CB"/>
    <w:rsid w:val="00883D7B"/>
    <w:rsid w:val="00886913"/>
    <w:rsid w:val="00886C94"/>
    <w:rsid w:val="00887064"/>
    <w:rsid w:val="0089287D"/>
    <w:rsid w:val="00892FFA"/>
    <w:rsid w:val="00895A71"/>
    <w:rsid w:val="008964E8"/>
    <w:rsid w:val="00896704"/>
    <w:rsid w:val="008A0937"/>
    <w:rsid w:val="008A4418"/>
    <w:rsid w:val="008A5163"/>
    <w:rsid w:val="008A5828"/>
    <w:rsid w:val="008B0CA0"/>
    <w:rsid w:val="008B1D76"/>
    <w:rsid w:val="008B218E"/>
    <w:rsid w:val="008B239E"/>
    <w:rsid w:val="008B34F6"/>
    <w:rsid w:val="008B6040"/>
    <w:rsid w:val="008C13CA"/>
    <w:rsid w:val="008C27C2"/>
    <w:rsid w:val="008C3F07"/>
    <w:rsid w:val="008C6F8F"/>
    <w:rsid w:val="008D1018"/>
    <w:rsid w:val="008D528A"/>
    <w:rsid w:val="008D68F1"/>
    <w:rsid w:val="008E04F9"/>
    <w:rsid w:val="008E08BA"/>
    <w:rsid w:val="008E31D9"/>
    <w:rsid w:val="008E714E"/>
    <w:rsid w:val="008F27CA"/>
    <w:rsid w:val="008F4EC2"/>
    <w:rsid w:val="008F5DDE"/>
    <w:rsid w:val="008F74AB"/>
    <w:rsid w:val="009047FD"/>
    <w:rsid w:val="00907C65"/>
    <w:rsid w:val="00910250"/>
    <w:rsid w:val="00913E34"/>
    <w:rsid w:val="009148D3"/>
    <w:rsid w:val="00916467"/>
    <w:rsid w:val="00917A72"/>
    <w:rsid w:val="00921EBB"/>
    <w:rsid w:val="00922903"/>
    <w:rsid w:val="00926D32"/>
    <w:rsid w:val="00927ED3"/>
    <w:rsid w:val="009304CC"/>
    <w:rsid w:val="00932B9E"/>
    <w:rsid w:val="00934DCF"/>
    <w:rsid w:val="0093671E"/>
    <w:rsid w:val="00936B37"/>
    <w:rsid w:val="00936E6F"/>
    <w:rsid w:val="00943764"/>
    <w:rsid w:val="00943765"/>
    <w:rsid w:val="00946BC8"/>
    <w:rsid w:val="009509B8"/>
    <w:rsid w:val="00950DEE"/>
    <w:rsid w:val="00955CF6"/>
    <w:rsid w:val="00956419"/>
    <w:rsid w:val="009576E3"/>
    <w:rsid w:val="0096213D"/>
    <w:rsid w:val="009632D8"/>
    <w:rsid w:val="00970549"/>
    <w:rsid w:val="0097148F"/>
    <w:rsid w:val="00974F93"/>
    <w:rsid w:val="00975F82"/>
    <w:rsid w:val="009824D9"/>
    <w:rsid w:val="0098392C"/>
    <w:rsid w:val="0098480A"/>
    <w:rsid w:val="00984E46"/>
    <w:rsid w:val="00991080"/>
    <w:rsid w:val="00991141"/>
    <w:rsid w:val="0099222F"/>
    <w:rsid w:val="00992F6D"/>
    <w:rsid w:val="0099366D"/>
    <w:rsid w:val="009A5700"/>
    <w:rsid w:val="009A70AF"/>
    <w:rsid w:val="009A7D60"/>
    <w:rsid w:val="009B11FA"/>
    <w:rsid w:val="009B1350"/>
    <w:rsid w:val="009C0EAB"/>
    <w:rsid w:val="009C55EB"/>
    <w:rsid w:val="009C5B3B"/>
    <w:rsid w:val="009D054F"/>
    <w:rsid w:val="009D0B11"/>
    <w:rsid w:val="009D1891"/>
    <w:rsid w:val="009D401E"/>
    <w:rsid w:val="009D4EDB"/>
    <w:rsid w:val="009D565E"/>
    <w:rsid w:val="009E2E7B"/>
    <w:rsid w:val="009F621A"/>
    <w:rsid w:val="009F7F02"/>
    <w:rsid w:val="00A040B7"/>
    <w:rsid w:val="00A04AB5"/>
    <w:rsid w:val="00A13ED6"/>
    <w:rsid w:val="00A14296"/>
    <w:rsid w:val="00A15D02"/>
    <w:rsid w:val="00A25505"/>
    <w:rsid w:val="00A26FE3"/>
    <w:rsid w:val="00A27E67"/>
    <w:rsid w:val="00A30528"/>
    <w:rsid w:val="00A3353E"/>
    <w:rsid w:val="00A33B28"/>
    <w:rsid w:val="00A351F6"/>
    <w:rsid w:val="00A40903"/>
    <w:rsid w:val="00A41438"/>
    <w:rsid w:val="00A42720"/>
    <w:rsid w:val="00A51A50"/>
    <w:rsid w:val="00A57203"/>
    <w:rsid w:val="00A57F19"/>
    <w:rsid w:val="00A61602"/>
    <w:rsid w:val="00A66C63"/>
    <w:rsid w:val="00A728AA"/>
    <w:rsid w:val="00A729D8"/>
    <w:rsid w:val="00A73664"/>
    <w:rsid w:val="00A77358"/>
    <w:rsid w:val="00A7748D"/>
    <w:rsid w:val="00A80A8C"/>
    <w:rsid w:val="00A80DBA"/>
    <w:rsid w:val="00A81805"/>
    <w:rsid w:val="00A81C39"/>
    <w:rsid w:val="00A8233C"/>
    <w:rsid w:val="00A8404B"/>
    <w:rsid w:val="00A86C41"/>
    <w:rsid w:val="00A9089D"/>
    <w:rsid w:val="00A96B7F"/>
    <w:rsid w:val="00AA25C7"/>
    <w:rsid w:val="00AA306A"/>
    <w:rsid w:val="00AA5B9A"/>
    <w:rsid w:val="00AB08B6"/>
    <w:rsid w:val="00AC2162"/>
    <w:rsid w:val="00AC76EB"/>
    <w:rsid w:val="00AC79DC"/>
    <w:rsid w:val="00AC7DC2"/>
    <w:rsid w:val="00AD20AD"/>
    <w:rsid w:val="00AD3935"/>
    <w:rsid w:val="00AD6327"/>
    <w:rsid w:val="00AD6BA6"/>
    <w:rsid w:val="00AE03F8"/>
    <w:rsid w:val="00AE4CC0"/>
    <w:rsid w:val="00AE5235"/>
    <w:rsid w:val="00AE53AD"/>
    <w:rsid w:val="00AE7451"/>
    <w:rsid w:val="00AE7FF3"/>
    <w:rsid w:val="00AF23FD"/>
    <w:rsid w:val="00AF5A59"/>
    <w:rsid w:val="00AF6A1E"/>
    <w:rsid w:val="00B00A2B"/>
    <w:rsid w:val="00B040EC"/>
    <w:rsid w:val="00B04ADD"/>
    <w:rsid w:val="00B04EFE"/>
    <w:rsid w:val="00B17B6A"/>
    <w:rsid w:val="00B20CED"/>
    <w:rsid w:val="00B25B41"/>
    <w:rsid w:val="00B27B56"/>
    <w:rsid w:val="00B3000E"/>
    <w:rsid w:val="00B33F36"/>
    <w:rsid w:val="00B34403"/>
    <w:rsid w:val="00B34BB2"/>
    <w:rsid w:val="00B36EBE"/>
    <w:rsid w:val="00B379DD"/>
    <w:rsid w:val="00B40810"/>
    <w:rsid w:val="00B41A0D"/>
    <w:rsid w:val="00B507CD"/>
    <w:rsid w:val="00B50BA8"/>
    <w:rsid w:val="00B51C1E"/>
    <w:rsid w:val="00B5230A"/>
    <w:rsid w:val="00B542A4"/>
    <w:rsid w:val="00B558B8"/>
    <w:rsid w:val="00B55E38"/>
    <w:rsid w:val="00B57180"/>
    <w:rsid w:val="00B57B69"/>
    <w:rsid w:val="00B57D3A"/>
    <w:rsid w:val="00B654A0"/>
    <w:rsid w:val="00B7135D"/>
    <w:rsid w:val="00B713B4"/>
    <w:rsid w:val="00B7180F"/>
    <w:rsid w:val="00B73C29"/>
    <w:rsid w:val="00B73E57"/>
    <w:rsid w:val="00B740AA"/>
    <w:rsid w:val="00B7632C"/>
    <w:rsid w:val="00B80554"/>
    <w:rsid w:val="00B82B96"/>
    <w:rsid w:val="00B85587"/>
    <w:rsid w:val="00B9233A"/>
    <w:rsid w:val="00B94E94"/>
    <w:rsid w:val="00BA1D2B"/>
    <w:rsid w:val="00BA2477"/>
    <w:rsid w:val="00BA3643"/>
    <w:rsid w:val="00BA429D"/>
    <w:rsid w:val="00BA493C"/>
    <w:rsid w:val="00BA5D1D"/>
    <w:rsid w:val="00BA7642"/>
    <w:rsid w:val="00BA7723"/>
    <w:rsid w:val="00BB06F6"/>
    <w:rsid w:val="00BB2E85"/>
    <w:rsid w:val="00BB3CB8"/>
    <w:rsid w:val="00BD0BBA"/>
    <w:rsid w:val="00BD0FBD"/>
    <w:rsid w:val="00BD350D"/>
    <w:rsid w:val="00BD5C24"/>
    <w:rsid w:val="00BD5D11"/>
    <w:rsid w:val="00BD733E"/>
    <w:rsid w:val="00BD78CA"/>
    <w:rsid w:val="00BE0B47"/>
    <w:rsid w:val="00BE2BD0"/>
    <w:rsid w:val="00BE3AC3"/>
    <w:rsid w:val="00BE3ED8"/>
    <w:rsid w:val="00BE4B4B"/>
    <w:rsid w:val="00BE54E8"/>
    <w:rsid w:val="00BE5D59"/>
    <w:rsid w:val="00BE6BB1"/>
    <w:rsid w:val="00BE6F1F"/>
    <w:rsid w:val="00BF01D4"/>
    <w:rsid w:val="00BF20B6"/>
    <w:rsid w:val="00BF36D8"/>
    <w:rsid w:val="00C0020E"/>
    <w:rsid w:val="00C0470C"/>
    <w:rsid w:val="00C06122"/>
    <w:rsid w:val="00C12866"/>
    <w:rsid w:val="00C17D69"/>
    <w:rsid w:val="00C20143"/>
    <w:rsid w:val="00C230B7"/>
    <w:rsid w:val="00C255BC"/>
    <w:rsid w:val="00C26053"/>
    <w:rsid w:val="00C26C38"/>
    <w:rsid w:val="00C33AB6"/>
    <w:rsid w:val="00C36031"/>
    <w:rsid w:val="00C3635C"/>
    <w:rsid w:val="00C36E55"/>
    <w:rsid w:val="00C37013"/>
    <w:rsid w:val="00C4420F"/>
    <w:rsid w:val="00C4488F"/>
    <w:rsid w:val="00C45A04"/>
    <w:rsid w:val="00C46487"/>
    <w:rsid w:val="00C472CF"/>
    <w:rsid w:val="00C52A03"/>
    <w:rsid w:val="00C5676A"/>
    <w:rsid w:val="00C57E16"/>
    <w:rsid w:val="00C600E1"/>
    <w:rsid w:val="00C6360C"/>
    <w:rsid w:val="00C63775"/>
    <w:rsid w:val="00C70D64"/>
    <w:rsid w:val="00C726C2"/>
    <w:rsid w:val="00C74599"/>
    <w:rsid w:val="00C74C1F"/>
    <w:rsid w:val="00C81868"/>
    <w:rsid w:val="00C8396A"/>
    <w:rsid w:val="00C83E54"/>
    <w:rsid w:val="00C85237"/>
    <w:rsid w:val="00C861EB"/>
    <w:rsid w:val="00C87003"/>
    <w:rsid w:val="00C90319"/>
    <w:rsid w:val="00C9105C"/>
    <w:rsid w:val="00C91459"/>
    <w:rsid w:val="00C934FB"/>
    <w:rsid w:val="00C9435E"/>
    <w:rsid w:val="00C97D0D"/>
    <w:rsid w:val="00CA30F4"/>
    <w:rsid w:val="00CA3F7B"/>
    <w:rsid w:val="00CA4152"/>
    <w:rsid w:val="00CA4458"/>
    <w:rsid w:val="00CA4724"/>
    <w:rsid w:val="00CA5997"/>
    <w:rsid w:val="00CA7D4B"/>
    <w:rsid w:val="00CB199F"/>
    <w:rsid w:val="00CB23DE"/>
    <w:rsid w:val="00CB33D1"/>
    <w:rsid w:val="00CB42C9"/>
    <w:rsid w:val="00CB5673"/>
    <w:rsid w:val="00CC20CA"/>
    <w:rsid w:val="00CC2C29"/>
    <w:rsid w:val="00CC3D92"/>
    <w:rsid w:val="00CC3F88"/>
    <w:rsid w:val="00CC78DB"/>
    <w:rsid w:val="00CD170A"/>
    <w:rsid w:val="00CD2AD8"/>
    <w:rsid w:val="00CD31EE"/>
    <w:rsid w:val="00CD3C8A"/>
    <w:rsid w:val="00CE16B5"/>
    <w:rsid w:val="00CE2B9D"/>
    <w:rsid w:val="00CE2FC0"/>
    <w:rsid w:val="00CE4E1D"/>
    <w:rsid w:val="00CE5164"/>
    <w:rsid w:val="00CE5B57"/>
    <w:rsid w:val="00CF26A6"/>
    <w:rsid w:val="00CF5096"/>
    <w:rsid w:val="00D0215F"/>
    <w:rsid w:val="00D0365A"/>
    <w:rsid w:val="00D03B69"/>
    <w:rsid w:val="00D046C9"/>
    <w:rsid w:val="00D05E21"/>
    <w:rsid w:val="00D1051B"/>
    <w:rsid w:val="00D128E9"/>
    <w:rsid w:val="00D15466"/>
    <w:rsid w:val="00D16E6E"/>
    <w:rsid w:val="00D214E6"/>
    <w:rsid w:val="00D21746"/>
    <w:rsid w:val="00D22897"/>
    <w:rsid w:val="00D2358E"/>
    <w:rsid w:val="00D23DA2"/>
    <w:rsid w:val="00D25A6F"/>
    <w:rsid w:val="00D25BDA"/>
    <w:rsid w:val="00D25F38"/>
    <w:rsid w:val="00D32822"/>
    <w:rsid w:val="00D33E5C"/>
    <w:rsid w:val="00D410ED"/>
    <w:rsid w:val="00D425CB"/>
    <w:rsid w:val="00D463F5"/>
    <w:rsid w:val="00D50965"/>
    <w:rsid w:val="00D538B0"/>
    <w:rsid w:val="00D555CB"/>
    <w:rsid w:val="00D564D1"/>
    <w:rsid w:val="00D570FC"/>
    <w:rsid w:val="00D62A89"/>
    <w:rsid w:val="00D63448"/>
    <w:rsid w:val="00D64F1A"/>
    <w:rsid w:val="00D674BC"/>
    <w:rsid w:val="00D73130"/>
    <w:rsid w:val="00D73779"/>
    <w:rsid w:val="00D824F0"/>
    <w:rsid w:val="00D84CE2"/>
    <w:rsid w:val="00D9175C"/>
    <w:rsid w:val="00D91C9C"/>
    <w:rsid w:val="00D952B6"/>
    <w:rsid w:val="00D96C14"/>
    <w:rsid w:val="00D976E9"/>
    <w:rsid w:val="00DA57AE"/>
    <w:rsid w:val="00DB1CB2"/>
    <w:rsid w:val="00DB3BDC"/>
    <w:rsid w:val="00DB5939"/>
    <w:rsid w:val="00DB7D3F"/>
    <w:rsid w:val="00DC58E6"/>
    <w:rsid w:val="00DC7641"/>
    <w:rsid w:val="00DD15CF"/>
    <w:rsid w:val="00DD4E06"/>
    <w:rsid w:val="00DD4FF1"/>
    <w:rsid w:val="00DD5145"/>
    <w:rsid w:val="00DD6ACE"/>
    <w:rsid w:val="00DD7712"/>
    <w:rsid w:val="00DD7D0B"/>
    <w:rsid w:val="00DE09A1"/>
    <w:rsid w:val="00DE2AB3"/>
    <w:rsid w:val="00DE3510"/>
    <w:rsid w:val="00DE3C4B"/>
    <w:rsid w:val="00DE5E9A"/>
    <w:rsid w:val="00DE5EAE"/>
    <w:rsid w:val="00DE66DA"/>
    <w:rsid w:val="00DE74DC"/>
    <w:rsid w:val="00DF21CB"/>
    <w:rsid w:val="00DF3BFE"/>
    <w:rsid w:val="00DF40E1"/>
    <w:rsid w:val="00DF51F9"/>
    <w:rsid w:val="00DF7243"/>
    <w:rsid w:val="00E03547"/>
    <w:rsid w:val="00E0363F"/>
    <w:rsid w:val="00E0410E"/>
    <w:rsid w:val="00E055AF"/>
    <w:rsid w:val="00E059B7"/>
    <w:rsid w:val="00E05CC1"/>
    <w:rsid w:val="00E10A1F"/>
    <w:rsid w:val="00E10FC1"/>
    <w:rsid w:val="00E13672"/>
    <w:rsid w:val="00E1561D"/>
    <w:rsid w:val="00E1564C"/>
    <w:rsid w:val="00E20016"/>
    <w:rsid w:val="00E22EE1"/>
    <w:rsid w:val="00E23574"/>
    <w:rsid w:val="00E26E56"/>
    <w:rsid w:val="00E2784C"/>
    <w:rsid w:val="00E27FD8"/>
    <w:rsid w:val="00E308C4"/>
    <w:rsid w:val="00E4113D"/>
    <w:rsid w:val="00E4173C"/>
    <w:rsid w:val="00E41AB5"/>
    <w:rsid w:val="00E434E4"/>
    <w:rsid w:val="00E46F19"/>
    <w:rsid w:val="00E47011"/>
    <w:rsid w:val="00E5052C"/>
    <w:rsid w:val="00E51A23"/>
    <w:rsid w:val="00E52AFA"/>
    <w:rsid w:val="00E5484E"/>
    <w:rsid w:val="00E55BC2"/>
    <w:rsid w:val="00E55F4B"/>
    <w:rsid w:val="00E5652F"/>
    <w:rsid w:val="00E608BD"/>
    <w:rsid w:val="00E63096"/>
    <w:rsid w:val="00E6473C"/>
    <w:rsid w:val="00E65906"/>
    <w:rsid w:val="00E65ED3"/>
    <w:rsid w:val="00E7115E"/>
    <w:rsid w:val="00E74A6A"/>
    <w:rsid w:val="00E74F33"/>
    <w:rsid w:val="00E8023E"/>
    <w:rsid w:val="00E8035C"/>
    <w:rsid w:val="00E859E7"/>
    <w:rsid w:val="00E877A9"/>
    <w:rsid w:val="00E90D2D"/>
    <w:rsid w:val="00E9346C"/>
    <w:rsid w:val="00E94539"/>
    <w:rsid w:val="00E96563"/>
    <w:rsid w:val="00E97260"/>
    <w:rsid w:val="00E97C6B"/>
    <w:rsid w:val="00EA0116"/>
    <w:rsid w:val="00EA3369"/>
    <w:rsid w:val="00EA4977"/>
    <w:rsid w:val="00EA5BA6"/>
    <w:rsid w:val="00EB6086"/>
    <w:rsid w:val="00EB6849"/>
    <w:rsid w:val="00EB68BE"/>
    <w:rsid w:val="00EC03C7"/>
    <w:rsid w:val="00EC1CBF"/>
    <w:rsid w:val="00EC35F6"/>
    <w:rsid w:val="00EC485A"/>
    <w:rsid w:val="00EC4CBC"/>
    <w:rsid w:val="00EC51B8"/>
    <w:rsid w:val="00EC547B"/>
    <w:rsid w:val="00ED490A"/>
    <w:rsid w:val="00ED4C44"/>
    <w:rsid w:val="00ED4F0C"/>
    <w:rsid w:val="00ED5873"/>
    <w:rsid w:val="00ED597C"/>
    <w:rsid w:val="00ED7F65"/>
    <w:rsid w:val="00EE2107"/>
    <w:rsid w:val="00EF16F7"/>
    <w:rsid w:val="00EF1E89"/>
    <w:rsid w:val="00EF6021"/>
    <w:rsid w:val="00F07E08"/>
    <w:rsid w:val="00F1042C"/>
    <w:rsid w:val="00F10808"/>
    <w:rsid w:val="00F12EE5"/>
    <w:rsid w:val="00F20396"/>
    <w:rsid w:val="00F20694"/>
    <w:rsid w:val="00F23081"/>
    <w:rsid w:val="00F233D1"/>
    <w:rsid w:val="00F24C86"/>
    <w:rsid w:val="00F251C1"/>
    <w:rsid w:val="00F31ADD"/>
    <w:rsid w:val="00F33A79"/>
    <w:rsid w:val="00F35DAA"/>
    <w:rsid w:val="00F364C7"/>
    <w:rsid w:val="00F369D6"/>
    <w:rsid w:val="00F40726"/>
    <w:rsid w:val="00F42DA6"/>
    <w:rsid w:val="00F44579"/>
    <w:rsid w:val="00F46104"/>
    <w:rsid w:val="00F4632A"/>
    <w:rsid w:val="00F472E0"/>
    <w:rsid w:val="00F479F0"/>
    <w:rsid w:val="00F47CFD"/>
    <w:rsid w:val="00F571A7"/>
    <w:rsid w:val="00F5740A"/>
    <w:rsid w:val="00F57A82"/>
    <w:rsid w:val="00F62214"/>
    <w:rsid w:val="00F70F66"/>
    <w:rsid w:val="00F71A7D"/>
    <w:rsid w:val="00F72662"/>
    <w:rsid w:val="00F75624"/>
    <w:rsid w:val="00F8207A"/>
    <w:rsid w:val="00F84239"/>
    <w:rsid w:val="00F855B5"/>
    <w:rsid w:val="00F8564B"/>
    <w:rsid w:val="00F85D4F"/>
    <w:rsid w:val="00F863F0"/>
    <w:rsid w:val="00F9243A"/>
    <w:rsid w:val="00F93359"/>
    <w:rsid w:val="00F96124"/>
    <w:rsid w:val="00F9675E"/>
    <w:rsid w:val="00F96AA0"/>
    <w:rsid w:val="00F96E49"/>
    <w:rsid w:val="00F97630"/>
    <w:rsid w:val="00FA0219"/>
    <w:rsid w:val="00FA1B89"/>
    <w:rsid w:val="00FA2322"/>
    <w:rsid w:val="00FA3897"/>
    <w:rsid w:val="00FA6F8B"/>
    <w:rsid w:val="00FB325E"/>
    <w:rsid w:val="00FB4117"/>
    <w:rsid w:val="00FC3038"/>
    <w:rsid w:val="00FC61D0"/>
    <w:rsid w:val="00FC6FC4"/>
    <w:rsid w:val="00FC71D3"/>
    <w:rsid w:val="00FC7D2F"/>
    <w:rsid w:val="00FD21AE"/>
    <w:rsid w:val="00FD4EA6"/>
    <w:rsid w:val="00FD6393"/>
    <w:rsid w:val="00FD69B0"/>
    <w:rsid w:val="00FE1AB0"/>
    <w:rsid w:val="00FE244D"/>
    <w:rsid w:val="00FE4FF2"/>
    <w:rsid w:val="00FE7A66"/>
    <w:rsid w:val="00FE7CB9"/>
    <w:rsid w:val="00FF1CC1"/>
    <w:rsid w:val="00FF4669"/>
    <w:rsid w:val="00FF4EAC"/>
    <w:rsid w:val="00FF65CC"/>
    <w:rsid w:val="00FF78FD"/>
    <w:rsid w:val="BDFFDE88"/>
    <w:rsid w:val="BF7F5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宋体" w:hAnsi="宋体" w:eastAsia="宋体" w:cstheme="minorBidi"/>
      <w:kern w:val="2"/>
      <w:sz w:val="21"/>
      <w:szCs w:val="22"/>
      <w:lang w:val="en-US" w:eastAsia="zh-CN" w:bidi="ar-SA"/>
    </w:rPr>
  </w:style>
  <w:style w:type="paragraph" w:styleId="2">
    <w:name w:val="heading 1"/>
    <w:basedOn w:val="1"/>
    <w:next w:val="1"/>
    <w:link w:val="42"/>
    <w:qFormat/>
    <w:uiPriority w:val="0"/>
    <w:pPr>
      <w:keepNext/>
      <w:keepLines/>
      <w:numPr>
        <w:ilvl w:val="0"/>
        <w:numId w:val="1"/>
      </w:numPr>
      <w:spacing w:before="320" w:after="320"/>
      <w:ind w:firstLine="0" w:firstLineChars="0"/>
      <w:jc w:val="center"/>
      <w:outlineLvl w:val="0"/>
    </w:pPr>
    <w:rPr>
      <w:b/>
      <w:bCs/>
      <w:kern w:val="44"/>
      <w:sz w:val="36"/>
      <w:szCs w:val="44"/>
    </w:rPr>
  </w:style>
  <w:style w:type="paragraph" w:styleId="3">
    <w:name w:val="heading 2"/>
    <w:basedOn w:val="1"/>
    <w:next w:val="1"/>
    <w:link w:val="43"/>
    <w:unhideWhenUsed/>
    <w:qFormat/>
    <w:uiPriority w:val="0"/>
    <w:pPr>
      <w:keepNext/>
      <w:keepLines/>
      <w:spacing w:before="240" w:after="240"/>
      <w:ind w:firstLine="0" w:firstLineChars="0"/>
      <w:jc w:val="left"/>
      <w:outlineLvl w:val="1"/>
    </w:pPr>
    <w:rPr>
      <w:rFonts w:asciiTheme="majorHAnsi" w:hAnsiTheme="majorHAnsi" w:eastAsiaTheme="majorEastAsia" w:cstheme="majorBidi"/>
      <w:b/>
      <w:bCs/>
      <w:sz w:val="32"/>
      <w:szCs w:val="32"/>
    </w:rPr>
  </w:style>
  <w:style w:type="paragraph" w:styleId="4">
    <w:name w:val="heading 3"/>
    <w:basedOn w:val="1"/>
    <w:next w:val="1"/>
    <w:link w:val="44"/>
    <w:unhideWhenUsed/>
    <w:qFormat/>
    <w:uiPriority w:val="0"/>
    <w:pPr>
      <w:keepNext/>
      <w:keepLines/>
      <w:spacing w:before="240" w:after="240"/>
      <w:ind w:firstLine="0" w:firstLineChars="0"/>
      <w:jc w:val="left"/>
      <w:outlineLvl w:val="2"/>
    </w:pPr>
    <w:rPr>
      <w:b/>
      <w:bCs/>
      <w:sz w:val="28"/>
      <w:szCs w:val="32"/>
    </w:rPr>
  </w:style>
  <w:style w:type="paragraph" w:styleId="5">
    <w:name w:val="heading 4"/>
    <w:basedOn w:val="1"/>
    <w:next w:val="6"/>
    <w:link w:val="74"/>
    <w:qFormat/>
    <w:uiPriority w:val="0"/>
    <w:pPr>
      <w:keepNext/>
      <w:keepLines/>
      <w:widowControl w:val="0"/>
      <w:spacing w:before="50" w:beforeLines="50" w:after="50" w:afterLines="50"/>
      <w:ind w:firstLine="0" w:firstLineChars="0"/>
      <w:jc w:val="left"/>
      <w:outlineLvl w:val="3"/>
    </w:pPr>
    <w:rPr>
      <w:rFonts w:ascii="Times New Roman" w:hAnsi="Times New Roman" w:eastAsia="黑体" w:cs="Times New Roman"/>
      <w:bCs/>
      <w:sz w:val="24"/>
      <w:szCs w:val="28"/>
    </w:rPr>
  </w:style>
  <w:style w:type="paragraph" w:styleId="7">
    <w:name w:val="heading 5"/>
    <w:basedOn w:val="1"/>
    <w:next w:val="6"/>
    <w:link w:val="75"/>
    <w:qFormat/>
    <w:uiPriority w:val="0"/>
    <w:pPr>
      <w:keepNext/>
      <w:keepLines/>
      <w:widowControl w:val="0"/>
      <w:ind w:firstLine="0" w:firstLineChars="0"/>
      <w:jc w:val="left"/>
      <w:outlineLvl w:val="4"/>
    </w:pPr>
    <w:rPr>
      <w:rFonts w:ascii="Times New Roman" w:hAnsi="Times New Roman" w:cs="Times New Roman"/>
      <w:bCs/>
      <w:sz w:val="24"/>
      <w:szCs w:val="28"/>
    </w:rPr>
  </w:style>
  <w:style w:type="paragraph" w:styleId="8">
    <w:name w:val="heading 6"/>
    <w:basedOn w:val="1"/>
    <w:next w:val="1"/>
    <w:link w:val="76"/>
    <w:qFormat/>
    <w:uiPriority w:val="0"/>
    <w:pPr>
      <w:keepNext/>
      <w:keepLines/>
      <w:widowControl w:val="0"/>
      <w:ind w:firstLine="0" w:firstLineChars="0"/>
      <w:outlineLvl w:val="5"/>
    </w:pPr>
    <w:rPr>
      <w:rFonts w:ascii="Times New Roman" w:hAnsi="Times New Roman" w:cs="Times New Roman"/>
      <w:bCs/>
      <w:sz w:val="24"/>
      <w:szCs w:val="24"/>
    </w:rPr>
  </w:style>
  <w:style w:type="paragraph" w:styleId="9">
    <w:name w:val="heading 7"/>
    <w:basedOn w:val="1"/>
    <w:next w:val="1"/>
    <w:link w:val="77"/>
    <w:qFormat/>
    <w:uiPriority w:val="0"/>
    <w:pPr>
      <w:keepNext/>
      <w:keepLines/>
      <w:widowControl w:val="0"/>
      <w:spacing w:before="240" w:after="64" w:line="320" w:lineRule="auto"/>
      <w:ind w:left="1296" w:hanging="1296" w:firstLineChars="0"/>
      <w:outlineLvl w:val="6"/>
    </w:pPr>
    <w:rPr>
      <w:rFonts w:ascii="Calibri" w:hAnsi="Calibri" w:cs="Times New Roman"/>
      <w:b/>
      <w:bCs/>
      <w:sz w:val="24"/>
      <w:szCs w:val="24"/>
    </w:rPr>
  </w:style>
  <w:style w:type="paragraph" w:styleId="10">
    <w:name w:val="heading 8"/>
    <w:basedOn w:val="1"/>
    <w:next w:val="1"/>
    <w:link w:val="78"/>
    <w:qFormat/>
    <w:uiPriority w:val="0"/>
    <w:pPr>
      <w:keepNext/>
      <w:keepLines/>
      <w:widowControl w:val="0"/>
      <w:spacing w:before="240" w:after="64" w:line="320" w:lineRule="auto"/>
      <w:ind w:left="1440" w:hanging="1440" w:firstLineChars="0"/>
      <w:outlineLvl w:val="7"/>
    </w:pPr>
    <w:rPr>
      <w:rFonts w:ascii="Cambria" w:hAnsi="Cambria" w:cs="Times New Roman"/>
      <w:sz w:val="24"/>
      <w:szCs w:val="24"/>
    </w:rPr>
  </w:style>
  <w:style w:type="paragraph" w:styleId="11">
    <w:name w:val="heading 9"/>
    <w:basedOn w:val="1"/>
    <w:next w:val="1"/>
    <w:link w:val="79"/>
    <w:qFormat/>
    <w:uiPriority w:val="0"/>
    <w:pPr>
      <w:keepNext/>
      <w:keepLines/>
      <w:widowControl w:val="0"/>
      <w:ind w:left="1584" w:hanging="1584" w:firstLineChars="0"/>
      <w:jc w:val="center"/>
      <w:outlineLvl w:val="8"/>
    </w:pPr>
    <w:rPr>
      <w:rFonts w:ascii="Times New Roman" w:hAnsi="Times New Roman" w:cs="Times New Roman"/>
      <w:b/>
      <w:sz w:val="24"/>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widowControl w:val="0"/>
    </w:pPr>
    <w:rPr>
      <w:rFonts w:ascii="Times New Roman" w:hAnsi="Times New Roman" w:cs="Times New Roman"/>
      <w:sz w:val="24"/>
      <w:szCs w:val="21"/>
    </w:rPr>
  </w:style>
  <w:style w:type="paragraph" w:styleId="12">
    <w:name w:val="toc 7"/>
    <w:basedOn w:val="1"/>
    <w:next w:val="1"/>
    <w:unhideWhenUsed/>
    <w:qFormat/>
    <w:uiPriority w:val="39"/>
    <w:pPr>
      <w:widowControl w:val="0"/>
      <w:spacing w:line="240" w:lineRule="auto"/>
      <w:ind w:left="2520" w:leftChars="1200" w:firstLine="0" w:firstLineChars="0"/>
    </w:pPr>
    <w:rPr>
      <w:rFonts w:asciiTheme="minorHAnsi" w:hAnsiTheme="minorHAnsi" w:eastAsiaTheme="minorEastAsia"/>
    </w:rPr>
  </w:style>
  <w:style w:type="paragraph" w:styleId="13">
    <w:name w:val="caption"/>
    <w:basedOn w:val="1"/>
    <w:next w:val="1"/>
    <w:qFormat/>
    <w:uiPriority w:val="35"/>
    <w:pPr>
      <w:widowControl w:val="0"/>
      <w:spacing w:line="240" w:lineRule="auto"/>
      <w:ind w:firstLine="0" w:firstLineChars="0"/>
    </w:pPr>
    <w:rPr>
      <w:rFonts w:ascii="Cambria" w:hAnsi="Cambria" w:eastAsia="黑体" w:cs="Times New Roman"/>
      <w:sz w:val="20"/>
      <w:szCs w:val="20"/>
    </w:rPr>
  </w:style>
  <w:style w:type="paragraph" w:styleId="14">
    <w:name w:val="annotation text"/>
    <w:basedOn w:val="1"/>
    <w:link w:val="52"/>
    <w:semiHidden/>
    <w:unhideWhenUsed/>
    <w:qFormat/>
    <w:uiPriority w:val="99"/>
    <w:pPr>
      <w:jc w:val="left"/>
    </w:pPr>
  </w:style>
  <w:style w:type="paragraph" w:styleId="15">
    <w:name w:val="Body Text"/>
    <w:basedOn w:val="1"/>
    <w:link w:val="82"/>
    <w:unhideWhenUsed/>
    <w:qFormat/>
    <w:uiPriority w:val="99"/>
    <w:pPr>
      <w:widowControl w:val="0"/>
      <w:spacing w:after="120" w:line="240" w:lineRule="auto"/>
      <w:ind w:firstLine="0" w:firstLineChars="0"/>
    </w:pPr>
    <w:rPr>
      <w:rFonts w:ascii="Calibri" w:hAnsi="Calibri" w:cs="Times New Roman"/>
      <w:szCs w:val="21"/>
    </w:rPr>
  </w:style>
  <w:style w:type="paragraph" w:styleId="16">
    <w:name w:val="Body Text Indent"/>
    <w:basedOn w:val="1"/>
    <w:link w:val="80"/>
    <w:unhideWhenUsed/>
    <w:qFormat/>
    <w:uiPriority w:val="99"/>
    <w:pPr>
      <w:spacing w:after="120"/>
      <w:ind w:left="420" w:leftChars="200"/>
    </w:pPr>
  </w:style>
  <w:style w:type="paragraph" w:styleId="17">
    <w:name w:val="toc 5"/>
    <w:basedOn w:val="1"/>
    <w:next w:val="1"/>
    <w:unhideWhenUsed/>
    <w:qFormat/>
    <w:uiPriority w:val="39"/>
    <w:pPr>
      <w:widowControl w:val="0"/>
      <w:spacing w:line="240" w:lineRule="auto"/>
      <w:ind w:left="1680" w:leftChars="800" w:firstLine="0" w:firstLineChars="0"/>
    </w:pPr>
    <w:rPr>
      <w:rFonts w:asciiTheme="minorHAnsi" w:hAnsiTheme="minorHAnsi" w:eastAsiaTheme="minorEastAsia"/>
    </w:rPr>
  </w:style>
  <w:style w:type="paragraph" w:styleId="18">
    <w:name w:val="toc 3"/>
    <w:basedOn w:val="1"/>
    <w:next w:val="1"/>
    <w:unhideWhenUsed/>
    <w:qFormat/>
    <w:uiPriority w:val="39"/>
    <w:pPr>
      <w:widowControl w:val="0"/>
      <w:spacing w:line="240" w:lineRule="auto"/>
      <w:ind w:left="840" w:leftChars="400" w:firstLine="0" w:firstLineChars="0"/>
    </w:pPr>
    <w:rPr>
      <w:rFonts w:asciiTheme="minorHAnsi" w:hAnsiTheme="minorHAnsi" w:eastAsiaTheme="minorEastAsia"/>
    </w:rPr>
  </w:style>
  <w:style w:type="paragraph" w:styleId="19">
    <w:name w:val="toc 8"/>
    <w:basedOn w:val="1"/>
    <w:next w:val="1"/>
    <w:unhideWhenUsed/>
    <w:qFormat/>
    <w:uiPriority w:val="39"/>
    <w:pPr>
      <w:widowControl w:val="0"/>
      <w:spacing w:line="240" w:lineRule="auto"/>
      <w:ind w:left="2940" w:leftChars="1400" w:firstLine="0" w:firstLineChars="0"/>
    </w:pPr>
    <w:rPr>
      <w:rFonts w:asciiTheme="minorHAnsi" w:hAnsiTheme="minorHAnsi" w:eastAsiaTheme="minorEastAsia"/>
    </w:rPr>
  </w:style>
  <w:style w:type="paragraph" w:styleId="20">
    <w:name w:val="Balloon Text"/>
    <w:basedOn w:val="1"/>
    <w:link w:val="54"/>
    <w:unhideWhenUsed/>
    <w:qFormat/>
    <w:uiPriority w:val="99"/>
    <w:pPr>
      <w:spacing w:line="240" w:lineRule="auto"/>
    </w:pPr>
    <w:rPr>
      <w:sz w:val="18"/>
      <w:szCs w:val="18"/>
    </w:rPr>
  </w:style>
  <w:style w:type="paragraph" w:styleId="21">
    <w:name w:val="footer"/>
    <w:basedOn w:val="1"/>
    <w:link w:val="46"/>
    <w:unhideWhenUsed/>
    <w:qFormat/>
    <w:uiPriority w:val="99"/>
    <w:pPr>
      <w:tabs>
        <w:tab w:val="center" w:pos="4153"/>
        <w:tab w:val="right" w:pos="8306"/>
      </w:tabs>
      <w:snapToGrid w:val="0"/>
      <w:spacing w:line="240" w:lineRule="auto"/>
      <w:jc w:val="left"/>
    </w:pPr>
    <w:rPr>
      <w:sz w:val="18"/>
      <w:szCs w:val="18"/>
    </w:rPr>
  </w:style>
  <w:style w:type="paragraph" w:styleId="22">
    <w:name w:val="header"/>
    <w:basedOn w:val="1"/>
    <w:link w:val="45"/>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3">
    <w:name w:val="toc 1"/>
    <w:basedOn w:val="1"/>
    <w:next w:val="1"/>
    <w:unhideWhenUsed/>
    <w:qFormat/>
    <w:uiPriority w:val="39"/>
  </w:style>
  <w:style w:type="paragraph" w:styleId="24">
    <w:name w:val="toc 4"/>
    <w:basedOn w:val="1"/>
    <w:next w:val="1"/>
    <w:unhideWhenUsed/>
    <w:qFormat/>
    <w:uiPriority w:val="39"/>
    <w:pPr>
      <w:widowControl w:val="0"/>
      <w:spacing w:line="240" w:lineRule="auto"/>
      <w:ind w:left="1260" w:leftChars="600" w:firstLine="0" w:firstLineChars="0"/>
    </w:pPr>
    <w:rPr>
      <w:rFonts w:asciiTheme="minorHAnsi" w:hAnsiTheme="minorHAnsi" w:eastAsiaTheme="minorEastAsia"/>
    </w:rPr>
  </w:style>
  <w:style w:type="paragraph" w:styleId="25">
    <w:name w:val="Subtitle"/>
    <w:basedOn w:val="1"/>
    <w:next w:val="26"/>
    <w:link w:val="83"/>
    <w:qFormat/>
    <w:uiPriority w:val="11"/>
    <w:pPr>
      <w:widowControl w:val="0"/>
      <w:spacing w:before="240" w:after="60" w:line="312" w:lineRule="auto"/>
      <w:ind w:firstLine="0" w:firstLineChars="0"/>
      <w:jc w:val="right"/>
      <w:outlineLvl w:val="1"/>
    </w:pPr>
    <w:rPr>
      <w:rFonts w:ascii="Cambria" w:hAnsi="Cambria" w:cs="Times New Roman"/>
      <w:b/>
      <w:bCs/>
      <w:kern w:val="28"/>
      <w:sz w:val="32"/>
      <w:szCs w:val="32"/>
    </w:rPr>
  </w:style>
  <w:style w:type="paragraph" w:styleId="26">
    <w:name w:val="Body Text First Indent 2"/>
    <w:basedOn w:val="6"/>
    <w:link w:val="81"/>
    <w:qFormat/>
    <w:uiPriority w:val="0"/>
    <w:pPr>
      <w:ind w:firstLine="480"/>
    </w:pPr>
  </w:style>
  <w:style w:type="paragraph" w:styleId="27">
    <w:name w:val="toc 6"/>
    <w:basedOn w:val="1"/>
    <w:next w:val="1"/>
    <w:unhideWhenUsed/>
    <w:qFormat/>
    <w:uiPriority w:val="39"/>
    <w:pPr>
      <w:widowControl w:val="0"/>
      <w:spacing w:line="240" w:lineRule="auto"/>
      <w:ind w:left="2100" w:leftChars="1000" w:firstLine="0" w:firstLineChars="0"/>
    </w:pPr>
    <w:rPr>
      <w:rFonts w:asciiTheme="minorHAnsi" w:hAnsiTheme="minorHAnsi" w:eastAsiaTheme="minorEastAsia"/>
    </w:rPr>
  </w:style>
  <w:style w:type="paragraph" w:styleId="28">
    <w:name w:val="toc 2"/>
    <w:basedOn w:val="1"/>
    <w:next w:val="1"/>
    <w:unhideWhenUsed/>
    <w:qFormat/>
    <w:uiPriority w:val="39"/>
    <w:pPr>
      <w:tabs>
        <w:tab w:val="left" w:leader="dot" w:pos="2520"/>
        <w:tab w:val="right" w:leader="dot" w:pos="9736"/>
      </w:tabs>
      <w:ind w:left="420" w:leftChars="200" w:firstLine="420"/>
    </w:pPr>
  </w:style>
  <w:style w:type="paragraph" w:styleId="29">
    <w:name w:val="toc 9"/>
    <w:basedOn w:val="1"/>
    <w:next w:val="1"/>
    <w:unhideWhenUsed/>
    <w:qFormat/>
    <w:uiPriority w:val="39"/>
    <w:pPr>
      <w:widowControl w:val="0"/>
      <w:spacing w:line="240" w:lineRule="auto"/>
      <w:ind w:left="3360" w:leftChars="1600" w:firstLine="0" w:firstLineChars="0"/>
    </w:pPr>
    <w:rPr>
      <w:rFonts w:asciiTheme="minorHAnsi" w:hAnsiTheme="minorHAnsi" w:eastAsiaTheme="minorEastAsia"/>
    </w:rPr>
  </w:style>
  <w:style w:type="paragraph" w:styleId="30">
    <w:name w:val="Normal (Web)"/>
    <w:basedOn w:val="1"/>
    <w:semiHidden/>
    <w:unhideWhenUsed/>
    <w:qFormat/>
    <w:uiPriority w:val="99"/>
    <w:pPr>
      <w:spacing w:before="100" w:beforeAutospacing="1" w:after="100" w:afterAutospacing="1" w:line="240" w:lineRule="auto"/>
      <w:ind w:firstLine="0" w:firstLineChars="0"/>
      <w:jc w:val="left"/>
    </w:pPr>
    <w:rPr>
      <w:rFonts w:cs="宋体"/>
      <w:kern w:val="0"/>
      <w:sz w:val="24"/>
      <w:szCs w:val="24"/>
    </w:rPr>
  </w:style>
  <w:style w:type="paragraph" w:styleId="31">
    <w:name w:val="Title"/>
    <w:basedOn w:val="1"/>
    <w:next w:val="6"/>
    <w:link w:val="84"/>
    <w:qFormat/>
    <w:uiPriority w:val="0"/>
    <w:pPr>
      <w:widowControl w:val="0"/>
      <w:spacing w:before="240" w:after="60" w:line="240" w:lineRule="auto"/>
      <w:ind w:firstLine="0" w:firstLineChars="0"/>
      <w:jc w:val="center"/>
      <w:outlineLvl w:val="0"/>
    </w:pPr>
    <w:rPr>
      <w:rFonts w:ascii="Times New Roman" w:hAnsi="Times New Roman" w:eastAsia="黑体" w:cs="Times New Roman"/>
      <w:bCs/>
      <w:sz w:val="36"/>
      <w:szCs w:val="32"/>
    </w:rPr>
  </w:style>
  <w:style w:type="paragraph" w:styleId="32">
    <w:name w:val="annotation subject"/>
    <w:basedOn w:val="14"/>
    <w:next w:val="14"/>
    <w:link w:val="53"/>
    <w:semiHidden/>
    <w:unhideWhenUsed/>
    <w:qFormat/>
    <w:uiPriority w:val="99"/>
    <w:rPr>
      <w:b/>
      <w:bCs/>
    </w:rPr>
  </w:style>
  <w:style w:type="paragraph" w:styleId="33">
    <w:name w:val="Body Text First Indent"/>
    <w:basedOn w:val="15"/>
    <w:link w:val="85"/>
    <w:unhideWhenUsed/>
    <w:qFormat/>
    <w:uiPriority w:val="99"/>
    <w:pPr>
      <w:ind w:firstLine="420" w:firstLineChars="100"/>
    </w:pPr>
  </w:style>
  <w:style w:type="table" w:styleId="35">
    <w:name w:val="Table Grid"/>
    <w:basedOn w:val="34"/>
    <w:qFormat/>
    <w:uiPriority w:val="3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b/>
      <w:bCs/>
    </w:rPr>
  </w:style>
  <w:style w:type="character" w:styleId="38">
    <w:name w:val="page number"/>
    <w:qFormat/>
    <w:uiPriority w:val="0"/>
  </w:style>
  <w:style w:type="character" w:styleId="39">
    <w:name w:val="FollowedHyperlink"/>
    <w:basedOn w:val="36"/>
    <w:semiHidden/>
    <w:unhideWhenUsed/>
    <w:qFormat/>
    <w:uiPriority w:val="99"/>
    <w:rPr>
      <w:color w:val="800080"/>
      <w:u w:val="single"/>
    </w:rPr>
  </w:style>
  <w:style w:type="character" w:styleId="40">
    <w:name w:val="Hyperlink"/>
    <w:basedOn w:val="36"/>
    <w:unhideWhenUsed/>
    <w:qFormat/>
    <w:uiPriority w:val="99"/>
    <w:rPr>
      <w:color w:val="0563C1" w:themeColor="hyperlink"/>
      <w:u w:val="single"/>
      <w14:textFill>
        <w14:solidFill>
          <w14:schemeClr w14:val="hlink"/>
        </w14:solidFill>
      </w14:textFill>
    </w:rPr>
  </w:style>
  <w:style w:type="character" w:styleId="41">
    <w:name w:val="annotation reference"/>
    <w:basedOn w:val="36"/>
    <w:semiHidden/>
    <w:unhideWhenUsed/>
    <w:qFormat/>
    <w:uiPriority w:val="99"/>
    <w:rPr>
      <w:sz w:val="21"/>
      <w:szCs w:val="21"/>
    </w:rPr>
  </w:style>
  <w:style w:type="character" w:customStyle="1" w:styleId="42">
    <w:name w:val="标题 1 字符"/>
    <w:basedOn w:val="36"/>
    <w:link w:val="2"/>
    <w:qFormat/>
    <w:uiPriority w:val="0"/>
    <w:rPr>
      <w:rFonts w:ascii="宋体" w:hAnsi="宋体" w:eastAsia="宋体"/>
      <w:b/>
      <w:bCs/>
      <w:kern w:val="44"/>
      <w:sz w:val="36"/>
      <w:szCs w:val="44"/>
    </w:rPr>
  </w:style>
  <w:style w:type="character" w:customStyle="1" w:styleId="43">
    <w:name w:val="标题 2 字符"/>
    <w:basedOn w:val="36"/>
    <w:link w:val="3"/>
    <w:qFormat/>
    <w:uiPriority w:val="0"/>
    <w:rPr>
      <w:rFonts w:asciiTheme="majorHAnsi" w:hAnsiTheme="majorHAnsi" w:eastAsiaTheme="majorEastAsia" w:cstheme="majorBidi"/>
      <w:b/>
      <w:bCs/>
      <w:sz w:val="32"/>
      <w:szCs w:val="32"/>
    </w:rPr>
  </w:style>
  <w:style w:type="character" w:customStyle="1" w:styleId="44">
    <w:name w:val="标题 3 字符"/>
    <w:basedOn w:val="36"/>
    <w:link w:val="4"/>
    <w:qFormat/>
    <w:uiPriority w:val="0"/>
    <w:rPr>
      <w:rFonts w:ascii="宋体" w:hAnsi="宋体" w:eastAsia="宋体"/>
      <w:b/>
      <w:bCs/>
      <w:sz w:val="28"/>
      <w:szCs w:val="32"/>
    </w:rPr>
  </w:style>
  <w:style w:type="character" w:customStyle="1" w:styleId="45">
    <w:name w:val="页眉 字符"/>
    <w:basedOn w:val="36"/>
    <w:link w:val="22"/>
    <w:qFormat/>
    <w:uiPriority w:val="99"/>
    <w:rPr>
      <w:rFonts w:ascii="宋体" w:hAnsi="宋体" w:eastAsia="宋体"/>
      <w:sz w:val="18"/>
      <w:szCs w:val="18"/>
    </w:rPr>
  </w:style>
  <w:style w:type="character" w:customStyle="1" w:styleId="46">
    <w:name w:val="页脚 字符"/>
    <w:basedOn w:val="36"/>
    <w:link w:val="21"/>
    <w:qFormat/>
    <w:uiPriority w:val="99"/>
    <w:rPr>
      <w:rFonts w:ascii="宋体" w:hAnsi="宋体" w:eastAsia="宋体"/>
      <w:sz w:val="18"/>
      <w:szCs w:val="18"/>
    </w:rPr>
  </w:style>
  <w:style w:type="table" w:customStyle="1" w:styleId="47">
    <w:name w:val="网格型1"/>
    <w:basedOn w:val="3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8">
    <w:name w:val="TOC Heading"/>
    <w:basedOn w:val="2"/>
    <w:next w:val="1"/>
    <w:unhideWhenUsed/>
    <w:qFormat/>
    <w:uiPriority w:val="39"/>
    <w:pPr>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styleId="49">
    <w:name w:val="List Paragraph"/>
    <w:basedOn w:val="1"/>
    <w:qFormat/>
    <w:uiPriority w:val="0"/>
    <w:pPr>
      <w:ind w:firstLine="420"/>
    </w:pPr>
  </w:style>
  <w:style w:type="table" w:customStyle="1" w:styleId="50">
    <w:name w:val="Grid Table Light"/>
    <w:basedOn w:val="34"/>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51">
    <w:name w:val="Plain Table 2"/>
    <w:basedOn w:val="34"/>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52">
    <w:name w:val="批注文字 字符"/>
    <w:basedOn w:val="36"/>
    <w:link w:val="14"/>
    <w:semiHidden/>
    <w:qFormat/>
    <w:uiPriority w:val="99"/>
    <w:rPr>
      <w:rFonts w:ascii="宋体" w:hAnsi="宋体" w:eastAsia="宋体"/>
    </w:rPr>
  </w:style>
  <w:style w:type="character" w:customStyle="1" w:styleId="53">
    <w:name w:val="批注主题 字符"/>
    <w:basedOn w:val="52"/>
    <w:link w:val="32"/>
    <w:semiHidden/>
    <w:qFormat/>
    <w:uiPriority w:val="99"/>
    <w:rPr>
      <w:rFonts w:ascii="宋体" w:hAnsi="宋体" w:eastAsia="宋体"/>
      <w:b/>
      <w:bCs/>
    </w:rPr>
  </w:style>
  <w:style w:type="character" w:customStyle="1" w:styleId="54">
    <w:name w:val="批注框文本 字符"/>
    <w:basedOn w:val="36"/>
    <w:link w:val="20"/>
    <w:semiHidden/>
    <w:qFormat/>
    <w:uiPriority w:val="99"/>
    <w:rPr>
      <w:rFonts w:ascii="宋体" w:hAnsi="宋体" w:eastAsia="宋体"/>
      <w:sz w:val="18"/>
      <w:szCs w:val="18"/>
    </w:rPr>
  </w:style>
  <w:style w:type="paragraph" w:customStyle="1" w:styleId="55">
    <w:name w:val="msonormal"/>
    <w:basedOn w:val="1"/>
    <w:qFormat/>
    <w:uiPriority w:val="0"/>
    <w:pPr>
      <w:spacing w:before="100" w:beforeAutospacing="1" w:after="100" w:afterAutospacing="1" w:line="240" w:lineRule="auto"/>
      <w:ind w:firstLine="0" w:firstLineChars="0"/>
      <w:jc w:val="left"/>
    </w:pPr>
    <w:rPr>
      <w:rFonts w:cs="宋体"/>
      <w:kern w:val="0"/>
      <w:sz w:val="24"/>
      <w:szCs w:val="24"/>
    </w:rPr>
  </w:style>
  <w:style w:type="paragraph" w:customStyle="1" w:styleId="56">
    <w:name w:val="font5"/>
    <w:basedOn w:val="1"/>
    <w:qFormat/>
    <w:uiPriority w:val="0"/>
    <w:pPr>
      <w:spacing w:before="100" w:beforeAutospacing="1" w:after="100" w:afterAutospacing="1" w:line="240" w:lineRule="auto"/>
      <w:ind w:firstLine="0" w:firstLineChars="0"/>
      <w:jc w:val="left"/>
    </w:pPr>
    <w:rPr>
      <w:rFonts w:cs="宋体"/>
      <w:color w:val="FF0000"/>
      <w:kern w:val="0"/>
      <w:sz w:val="22"/>
    </w:rPr>
  </w:style>
  <w:style w:type="paragraph" w:customStyle="1" w:styleId="57">
    <w:name w:val="font6"/>
    <w:basedOn w:val="1"/>
    <w:qFormat/>
    <w:uiPriority w:val="0"/>
    <w:pPr>
      <w:spacing w:before="100" w:beforeAutospacing="1" w:after="100" w:afterAutospacing="1" w:line="240" w:lineRule="auto"/>
      <w:ind w:firstLine="0" w:firstLineChars="0"/>
      <w:jc w:val="left"/>
    </w:pPr>
    <w:rPr>
      <w:rFonts w:cs="宋体"/>
      <w:kern w:val="0"/>
      <w:sz w:val="22"/>
    </w:rPr>
  </w:style>
  <w:style w:type="paragraph" w:customStyle="1" w:styleId="58">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cs="宋体"/>
      <w:b/>
      <w:bCs/>
      <w:kern w:val="0"/>
      <w:sz w:val="24"/>
      <w:szCs w:val="24"/>
    </w:rPr>
  </w:style>
  <w:style w:type="paragraph" w:customStyle="1" w:styleId="59">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b/>
      <w:bCs/>
      <w:kern w:val="0"/>
      <w:sz w:val="24"/>
      <w:szCs w:val="24"/>
    </w:rPr>
  </w:style>
  <w:style w:type="paragraph" w:customStyle="1" w:styleId="60">
    <w:name w:val="xl67"/>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pPr>
    <w:rPr>
      <w:rFonts w:cs="宋体"/>
      <w:kern w:val="0"/>
      <w:sz w:val="24"/>
      <w:szCs w:val="24"/>
    </w:rPr>
  </w:style>
  <w:style w:type="paragraph" w:customStyle="1" w:styleId="61">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kern w:val="0"/>
      <w:sz w:val="24"/>
      <w:szCs w:val="24"/>
    </w:rPr>
  </w:style>
  <w:style w:type="paragraph" w:customStyle="1" w:styleId="62">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kern w:val="0"/>
      <w:sz w:val="24"/>
      <w:szCs w:val="24"/>
    </w:rPr>
  </w:style>
  <w:style w:type="paragraph" w:customStyle="1" w:styleId="63">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left"/>
    </w:pPr>
    <w:rPr>
      <w:rFonts w:cs="宋体"/>
      <w:color w:val="FF0000"/>
      <w:kern w:val="0"/>
      <w:sz w:val="24"/>
      <w:szCs w:val="24"/>
    </w:rPr>
  </w:style>
  <w:style w:type="paragraph" w:customStyle="1" w:styleId="64">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rFonts w:cs="宋体"/>
      <w:kern w:val="0"/>
      <w:sz w:val="24"/>
      <w:szCs w:val="24"/>
    </w:rPr>
  </w:style>
  <w:style w:type="paragraph" w:customStyle="1" w:styleId="65">
    <w:name w:val="xl7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left"/>
    </w:pPr>
    <w:rPr>
      <w:rFonts w:cs="宋体"/>
      <w:kern w:val="0"/>
      <w:sz w:val="24"/>
      <w:szCs w:val="24"/>
    </w:rPr>
  </w:style>
  <w:style w:type="character" w:customStyle="1" w:styleId="66">
    <w:name w:val="fontstyle01"/>
    <w:basedOn w:val="36"/>
    <w:qFormat/>
    <w:uiPriority w:val="0"/>
    <w:rPr>
      <w:rFonts w:hint="eastAsia" w:ascii="仿宋" w:hAnsi="仿宋" w:eastAsia="仿宋"/>
      <w:color w:val="000000"/>
      <w:sz w:val="30"/>
      <w:szCs w:val="30"/>
    </w:rPr>
  </w:style>
  <w:style w:type="paragraph" w:customStyle="1" w:styleId="67">
    <w:name w:val="xl63"/>
    <w:basedOn w:val="1"/>
    <w:qFormat/>
    <w:uiPriority w:val="0"/>
    <w:pPr>
      <w:spacing w:before="100" w:beforeAutospacing="1" w:after="100" w:afterAutospacing="1" w:line="240" w:lineRule="auto"/>
      <w:ind w:firstLine="0" w:firstLineChars="0"/>
      <w:jc w:val="center"/>
    </w:pPr>
    <w:rPr>
      <w:rFonts w:cs="宋体"/>
      <w:kern w:val="0"/>
      <w:sz w:val="24"/>
      <w:szCs w:val="24"/>
    </w:rPr>
  </w:style>
  <w:style w:type="paragraph" w:customStyle="1" w:styleId="68">
    <w:name w:val="xl64"/>
    <w:basedOn w:val="1"/>
    <w:qFormat/>
    <w:uiPriority w:val="0"/>
    <w:pPr>
      <w:spacing w:before="100" w:beforeAutospacing="1" w:after="100" w:afterAutospacing="1" w:line="240" w:lineRule="auto"/>
      <w:ind w:firstLine="0" w:firstLineChars="0"/>
      <w:jc w:val="center"/>
    </w:pPr>
    <w:rPr>
      <w:rFonts w:cs="宋体"/>
      <w:b/>
      <w:bCs/>
      <w:kern w:val="0"/>
      <w:sz w:val="24"/>
      <w:szCs w:val="24"/>
    </w:rPr>
  </w:style>
  <w:style w:type="paragraph" w:customStyle="1" w:styleId="69">
    <w:name w:val="Revision"/>
    <w:hidden/>
    <w:qFormat/>
    <w:uiPriority w:val="99"/>
    <w:rPr>
      <w:rFonts w:ascii="宋体" w:hAnsi="宋体" w:eastAsia="宋体" w:cstheme="minorBidi"/>
      <w:kern w:val="2"/>
      <w:sz w:val="21"/>
      <w:szCs w:val="22"/>
      <w:lang w:val="en-US" w:eastAsia="zh-CN" w:bidi="ar-SA"/>
    </w:rPr>
  </w:style>
  <w:style w:type="character" w:customStyle="1" w:styleId="70">
    <w:name w:val="fontstyle21"/>
    <w:basedOn w:val="36"/>
    <w:qFormat/>
    <w:uiPriority w:val="0"/>
    <w:rPr>
      <w:rFonts w:hint="default" w:ascii="FZFSJW--GB1-0" w:hAnsi="FZFSJW--GB1-0"/>
      <w:color w:val="000000"/>
      <w:sz w:val="32"/>
      <w:szCs w:val="32"/>
    </w:rPr>
  </w:style>
  <w:style w:type="character" w:customStyle="1" w:styleId="71">
    <w:name w:val="fontstyle11"/>
    <w:basedOn w:val="36"/>
    <w:qFormat/>
    <w:uiPriority w:val="0"/>
    <w:rPr>
      <w:rFonts w:hint="default" w:ascii="Calibri" w:hAnsi="Calibri" w:cs="Calibri"/>
      <w:color w:val="000000"/>
      <w:sz w:val="18"/>
      <w:szCs w:val="18"/>
    </w:rPr>
  </w:style>
  <w:style w:type="character" w:customStyle="1" w:styleId="72">
    <w:name w:val="text_alyhf"/>
    <w:basedOn w:val="36"/>
    <w:qFormat/>
    <w:uiPriority w:val="0"/>
  </w:style>
  <w:style w:type="character" w:customStyle="1" w:styleId="73">
    <w:name w:val="Unresolved Mention"/>
    <w:basedOn w:val="36"/>
    <w:semiHidden/>
    <w:unhideWhenUsed/>
    <w:qFormat/>
    <w:uiPriority w:val="99"/>
    <w:rPr>
      <w:color w:val="605E5C"/>
      <w:shd w:val="clear" w:color="auto" w:fill="E1DFDD"/>
    </w:rPr>
  </w:style>
  <w:style w:type="character" w:customStyle="1" w:styleId="74">
    <w:name w:val="标题 4 字符"/>
    <w:basedOn w:val="36"/>
    <w:link w:val="5"/>
    <w:qFormat/>
    <w:uiPriority w:val="0"/>
    <w:rPr>
      <w:rFonts w:ascii="Times New Roman" w:hAnsi="Times New Roman" w:eastAsia="黑体" w:cs="Times New Roman"/>
      <w:bCs/>
      <w:sz w:val="24"/>
      <w:szCs w:val="28"/>
    </w:rPr>
  </w:style>
  <w:style w:type="character" w:customStyle="1" w:styleId="75">
    <w:name w:val="标题 5 字符"/>
    <w:basedOn w:val="36"/>
    <w:link w:val="7"/>
    <w:qFormat/>
    <w:uiPriority w:val="0"/>
    <w:rPr>
      <w:rFonts w:ascii="Times New Roman" w:hAnsi="Times New Roman" w:eastAsia="宋体" w:cs="Times New Roman"/>
      <w:bCs/>
      <w:sz w:val="24"/>
      <w:szCs w:val="28"/>
    </w:rPr>
  </w:style>
  <w:style w:type="character" w:customStyle="1" w:styleId="76">
    <w:name w:val="标题 6 字符"/>
    <w:basedOn w:val="36"/>
    <w:link w:val="8"/>
    <w:qFormat/>
    <w:uiPriority w:val="0"/>
    <w:rPr>
      <w:rFonts w:ascii="Times New Roman" w:hAnsi="Times New Roman" w:eastAsia="宋体" w:cs="Times New Roman"/>
      <w:bCs/>
      <w:sz w:val="24"/>
      <w:szCs w:val="24"/>
    </w:rPr>
  </w:style>
  <w:style w:type="character" w:customStyle="1" w:styleId="77">
    <w:name w:val="标题 7 字符"/>
    <w:basedOn w:val="36"/>
    <w:link w:val="9"/>
    <w:qFormat/>
    <w:uiPriority w:val="0"/>
    <w:rPr>
      <w:rFonts w:ascii="Calibri" w:hAnsi="Calibri" w:eastAsia="宋体" w:cs="Times New Roman"/>
      <w:b/>
      <w:bCs/>
      <w:sz w:val="24"/>
      <w:szCs w:val="24"/>
    </w:rPr>
  </w:style>
  <w:style w:type="character" w:customStyle="1" w:styleId="78">
    <w:name w:val="标题 8 字符"/>
    <w:basedOn w:val="36"/>
    <w:link w:val="10"/>
    <w:qFormat/>
    <w:uiPriority w:val="0"/>
    <w:rPr>
      <w:rFonts w:ascii="Cambria" w:hAnsi="Cambria" w:eastAsia="宋体" w:cs="Times New Roman"/>
      <w:sz w:val="24"/>
      <w:szCs w:val="24"/>
    </w:rPr>
  </w:style>
  <w:style w:type="character" w:customStyle="1" w:styleId="79">
    <w:name w:val="标题 9 字符"/>
    <w:basedOn w:val="36"/>
    <w:link w:val="11"/>
    <w:qFormat/>
    <w:uiPriority w:val="0"/>
    <w:rPr>
      <w:rFonts w:ascii="Times New Roman" w:hAnsi="Times New Roman" w:eastAsia="宋体" w:cs="Times New Roman"/>
      <w:b/>
      <w:sz w:val="24"/>
      <w:szCs w:val="21"/>
    </w:rPr>
  </w:style>
  <w:style w:type="character" w:customStyle="1" w:styleId="80">
    <w:name w:val="正文文本缩进 字符"/>
    <w:basedOn w:val="36"/>
    <w:link w:val="16"/>
    <w:semiHidden/>
    <w:qFormat/>
    <w:uiPriority w:val="99"/>
    <w:rPr>
      <w:rFonts w:ascii="宋体" w:hAnsi="宋体" w:eastAsia="宋体"/>
    </w:rPr>
  </w:style>
  <w:style w:type="character" w:customStyle="1" w:styleId="81">
    <w:name w:val="正文文本首行缩进 2 字符"/>
    <w:basedOn w:val="80"/>
    <w:link w:val="26"/>
    <w:qFormat/>
    <w:uiPriority w:val="0"/>
    <w:rPr>
      <w:rFonts w:ascii="Times New Roman" w:hAnsi="Times New Roman" w:eastAsia="宋体" w:cs="Times New Roman"/>
      <w:sz w:val="24"/>
      <w:szCs w:val="21"/>
    </w:rPr>
  </w:style>
  <w:style w:type="character" w:customStyle="1" w:styleId="82">
    <w:name w:val="正文文本 字符"/>
    <w:basedOn w:val="36"/>
    <w:link w:val="15"/>
    <w:qFormat/>
    <w:uiPriority w:val="99"/>
    <w:rPr>
      <w:rFonts w:ascii="Calibri" w:hAnsi="Calibri" w:eastAsia="宋体" w:cs="Times New Roman"/>
      <w:szCs w:val="21"/>
    </w:rPr>
  </w:style>
  <w:style w:type="character" w:customStyle="1" w:styleId="83">
    <w:name w:val="副标题 字符"/>
    <w:basedOn w:val="36"/>
    <w:link w:val="25"/>
    <w:qFormat/>
    <w:uiPriority w:val="11"/>
    <w:rPr>
      <w:rFonts w:ascii="Cambria" w:hAnsi="Cambria" w:eastAsia="宋体" w:cs="Times New Roman"/>
      <w:b/>
      <w:bCs/>
      <w:kern w:val="28"/>
      <w:sz w:val="32"/>
      <w:szCs w:val="32"/>
    </w:rPr>
  </w:style>
  <w:style w:type="character" w:customStyle="1" w:styleId="84">
    <w:name w:val="标题 字符"/>
    <w:basedOn w:val="36"/>
    <w:link w:val="31"/>
    <w:qFormat/>
    <w:uiPriority w:val="0"/>
    <w:rPr>
      <w:rFonts w:ascii="Times New Roman" w:hAnsi="Times New Roman" w:eastAsia="黑体" w:cs="Times New Roman"/>
      <w:bCs/>
      <w:sz w:val="36"/>
      <w:szCs w:val="32"/>
    </w:rPr>
  </w:style>
  <w:style w:type="character" w:customStyle="1" w:styleId="85">
    <w:name w:val="正文文本首行缩进 字符"/>
    <w:basedOn w:val="82"/>
    <w:link w:val="33"/>
    <w:qFormat/>
    <w:uiPriority w:val="99"/>
    <w:rPr>
      <w:rFonts w:ascii="Calibri" w:hAnsi="Calibri" w:eastAsia="宋体" w:cs="Times New Roman"/>
      <w:szCs w:val="21"/>
    </w:rPr>
  </w:style>
  <w:style w:type="character" w:customStyle="1" w:styleId="86">
    <w:name w:val="无间隔 字符"/>
    <w:link w:val="87"/>
    <w:qFormat/>
    <w:locked/>
    <w:uiPriority w:val="1"/>
    <w:rPr>
      <w:sz w:val="22"/>
    </w:rPr>
  </w:style>
  <w:style w:type="paragraph" w:styleId="87">
    <w:name w:val="No Spacing"/>
    <w:link w:val="86"/>
    <w:qFormat/>
    <w:uiPriority w:val="1"/>
    <w:rPr>
      <w:rFonts w:asciiTheme="minorHAnsi" w:hAnsiTheme="minorHAnsi" w:eastAsiaTheme="minorEastAsia" w:cstheme="minorBidi"/>
      <w:kern w:val="2"/>
      <w:sz w:val="22"/>
      <w:szCs w:val="22"/>
      <w:lang w:val="en-US" w:eastAsia="zh-CN" w:bidi="ar-SA"/>
    </w:rPr>
  </w:style>
  <w:style w:type="character" w:customStyle="1" w:styleId="88">
    <w:name w:val="未处理的提及1"/>
    <w:basedOn w:val="3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75</Pages>
  <Words>56767</Words>
  <Characters>8689</Characters>
  <Lines>72</Lines>
  <Paragraphs>130</Paragraphs>
  <TotalTime>0</TotalTime>
  <ScaleCrop>false</ScaleCrop>
  <LinksUpToDate>false</LinksUpToDate>
  <CharactersWithSpaces>65326</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2024-05-31T18:22:00Z</dcterms:created>
  <dc:creator>c wj</dc:creator>
  <cp:lastModifiedBy>admin123</cp:lastModifiedBy>
  <cp:lastPrinted>2025-10-13T19:19:00Z</cp:lastPrinted>
  <dcterms:modified xsi:type="dcterms:W3CDTF">2026-09-11T11:01:50Z</dcterms:modified>
  <cp:revision>271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ies>
</file>