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ordWrap/>
        <w:topLinePunct w:val="0"/>
        <w:bidi w:val="0"/>
        <w:adjustRightInd w:val="0"/>
        <w:snapToGrid w:val="0"/>
        <w:spacing w:line="560" w:lineRule="exact"/>
        <w:jc w:val="center"/>
        <w:textAlignment w:val="baseline"/>
        <w:rPr>
          <w:rFonts w:ascii="方正小标宋简体" w:hAnsi="方正小标宋简体" w:eastAsia="方正小标宋简体" w:cs="方正小标宋简体"/>
          <w:sz w:val="43"/>
          <w:szCs w:val="43"/>
        </w:rPr>
      </w:pPr>
      <w:bookmarkStart w:id="0" w:name="OLE_LINK9"/>
      <w:r>
        <w:rPr>
          <w:rFonts w:hint="eastAsia" w:ascii="方正小标宋简体" w:hAnsi="方正小标宋简体" w:eastAsia="方正小标宋简体" w:cs="方正小标宋简体"/>
          <w:spacing w:val="-2"/>
          <w:sz w:val="43"/>
          <w:szCs w:val="43"/>
          <w:lang w:eastAsia="zh-CN"/>
        </w:rPr>
        <w:t>韶关市</w:t>
      </w:r>
      <w:r>
        <w:rPr>
          <w:rFonts w:ascii="方正小标宋简体" w:hAnsi="方正小标宋简体" w:eastAsia="方正小标宋简体" w:cs="方正小标宋简体"/>
          <w:spacing w:val="-2"/>
          <w:sz w:val="43"/>
          <w:szCs w:val="43"/>
        </w:rPr>
        <w:t>卫生健康事业发展</w:t>
      </w:r>
      <w:r>
        <w:rPr>
          <w:rFonts w:ascii="Times New Roman" w:hAnsi="Times New Roman" w:eastAsia="Times New Roman" w:cs="Times New Roman"/>
          <w:spacing w:val="-2"/>
          <w:sz w:val="43"/>
          <w:szCs w:val="43"/>
        </w:rPr>
        <w:t>“</w:t>
      </w:r>
      <w:r>
        <w:rPr>
          <w:rFonts w:ascii="方正小标宋简体" w:hAnsi="方正小标宋简体" w:eastAsia="方正小标宋简体" w:cs="方正小标宋简体"/>
          <w:spacing w:val="-2"/>
          <w:sz w:val="43"/>
          <w:szCs w:val="43"/>
        </w:rPr>
        <w:t>十五五</w:t>
      </w:r>
      <w:r>
        <w:rPr>
          <w:rFonts w:ascii="Times New Roman" w:hAnsi="Times New Roman" w:eastAsia="Times New Roman" w:cs="Times New Roman"/>
          <w:spacing w:val="-2"/>
          <w:sz w:val="43"/>
          <w:szCs w:val="43"/>
        </w:rPr>
        <w:t>”</w:t>
      </w:r>
      <w:r>
        <w:rPr>
          <w:rFonts w:ascii="方正小标宋简体" w:hAnsi="方正小标宋简体" w:eastAsia="方正小标宋简体" w:cs="方正小标宋简体"/>
          <w:spacing w:val="-2"/>
          <w:sz w:val="43"/>
          <w:szCs w:val="43"/>
        </w:rPr>
        <w:t>规划</w:t>
      </w:r>
    </w:p>
    <w:p>
      <w:pPr>
        <w:keepNext w:val="0"/>
        <w:keepLines w:val="0"/>
        <w:pageBreakBefore w:val="0"/>
        <w:wordWrap/>
        <w:topLinePunct w:val="0"/>
        <w:bidi w:val="0"/>
        <w:adjustRightInd w:val="0"/>
        <w:snapToGrid w:val="0"/>
        <w:spacing w:line="560" w:lineRule="exact"/>
        <w:jc w:val="center"/>
        <w:textAlignment w:val="baseline"/>
        <w:rPr>
          <w:rFonts w:ascii="楷体" w:hAnsi="楷体" w:eastAsia="楷体" w:cs="楷体"/>
          <w:sz w:val="31"/>
          <w:szCs w:val="31"/>
        </w:rPr>
      </w:pPr>
      <w:r>
        <w:rPr>
          <w:rFonts w:ascii="楷体" w:hAnsi="楷体" w:eastAsia="楷体" w:cs="楷体"/>
          <w:spacing w:val="-2"/>
          <w:sz w:val="31"/>
          <w:szCs w:val="31"/>
        </w:rPr>
        <w:t>（</w:t>
      </w:r>
      <w:r>
        <w:rPr>
          <w:rFonts w:hint="eastAsia" w:ascii="楷体" w:hAnsi="楷体" w:eastAsia="楷体" w:cs="楷体"/>
          <w:spacing w:val="-2"/>
          <w:sz w:val="31"/>
          <w:szCs w:val="31"/>
          <w:lang w:val="en-US" w:eastAsia="zh-CN"/>
        </w:rPr>
        <w:t>征求意见稿</w:t>
      </w:r>
      <w:r>
        <w:rPr>
          <w:rFonts w:ascii="楷体" w:hAnsi="楷体" w:eastAsia="楷体" w:cs="楷体"/>
          <w:spacing w:val="-2"/>
          <w:sz w:val="31"/>
          <w:szCs w:val="31"/>
        </w:rPr>
        <w:t>）</w:t>
      </w:r>
    </w:p>
    <w:bookmarkEnd w:id="0"/>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一、规划背景</w:t>
      </w:r>
      <w:bookmarkStart w:id="21" w:name="_GoBack"/>
      <w:bookmarkEnd w:id="21"/>
    </w:p>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（一）发展基础。</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“十四五”时期，</w:t>
      </w:r>
      <w:r>
        <w:rPr>
          <w:rFonts w:hint="eastAsia" w:ascii="仿宋_GB2312" w:hAnsi="仿宋_GB2312" w:eastAsia="仿宋_GB2312" w:cs="仿宋_GB2312"/>
          <w:spacing w:val="0"/>
          <w:sz w:val="32"/>
          <w:szCs w:val="32"/>
          <w:lang w:eastAsia="zh-CN"/>
        </w:rPr>
        <w:t>全市</w:t>
      </w:r>
      <w:r>
        <w:rPr>
          <w:rFonts w:hint="eastAsia" w:ascii="仿宋_GB2312" w:hAnsi="仿宋_GB2312" w:eastAsia="仿宋_GB2312" w:cs="仿宋_GB2312"/>
          <w:spacing w:val="0"/>
          <w:sz w:val="32"/>
          <w:szCs w:val="32"/>
        </w:rPr>
        <w:t>卫生健康系统扎实落实</w:t>
      </w:r>
      <w:bookmarkStart w:id="1" w:name="OLE_LINK6"/>
      <w:r>
        <w:rPr>
          <w:rFonts w:hint="eastAsia" w:ascii="仿宋_GB2312" w:hAnsi="仿宋_GB2312" w:eastAsia="仿宋_GB2312" w:cs="仿宋_GB2312"/>
          <w:spacing w:val="0"/>
          <w:sz w:val="32"/>
          <w:szCs w:val="32"/>
        </w:rPr>
        <w:t>省委</w:t>
      </w:r>
      <w:bookmarkEnd w:id="1"/>
      <w:r>
        <w:rPr>
          <w:rFonts w:hint="eastAsia" w:ascii="仿宋_GB2312" w:hAnsi="仿宋_GB2312" w:eastAsia="仿宋_GB2312" w:cs="仿宋_GB2312"/>
          <w:spacing w:val="0"/>
          <w:sz w:val="32"/>
          <w:szCs w:val="32"/>
        </w:rPr>
        <w:t>“1310”具体部署，</w:t>
      </w:r>
      <w:r>
        <w:rPr>
          <w:rFonts w:hint="eastAsia" w:ascii="仿宋_GB2312" w:hAnsi="仿宋_GB2312" w:eastAsia="仿宋_GB2312" w:cs="仿宋_GB2312"/>
          <w:b w:val="0"/>
          <w:bCs w:val="0"/>
          <w:snapToGrid w:val="0"/>
          <w:kern w:val="0"/>
          <w:sz w:val="32"/>
          <w:szCs w:val="32"/>
          <w:u w:val="none" w:color="auto"/>
        </w:rPr>
        <w:t>紧扣高质量发展主题，</w:t>
      </w:r>
      <w:r>
        <w:rPr>
          <w:rFonts w:hint="eastAsia" w:ascii="仿宋_GB2312" w:hAnsi="仿宋_GB2312" w:eastAsia="仿宋_GB2312" w:cs="仿宋_GB2312"/>
          <w:spacing w:val="0"/>
          <w:sz w:val="32"/>
          <w:szCs w:val="32"/>
        </w:rPr>
        <w:t>深入实施卫生健康领域“百千万工程”，</w:t>
      </w:r>
      <w:r>
        <w:rPr>
          <w:rFonts w:hint="eastAsia" w:ascii="仿宋_GB2312" w:hAnsi="仿宋_GB2312" w:eastAsia="仿宋_GB2312" w:cs="仿宋_GB2312"/>
          <w:spacing w:val="0"/>
          <w:sz w:val="32"/>
          <w:szCs w:val="32"/>
          <w:lang w:eastAsia="zh-CN"/>
        </w:rPr>
        <w:t>全市</w:t>
      </w:r>
      <w:r>
        <w:rPr>
          <w:rFonts w:hint="eastAsia" w:ascii="仿宋_GB2312" w:hAnsi="仿宋_GB2312" w:eastAsia="仿宋_GB2312" w:cs="仿宋_GB2312"/>
          <w:spacing w:val="0"/>
          <w:sz w:val="32"/>
          <w:szCs w:val="32"/>
        </w:rPr>
        <w:t>卫生健康制度体系更加成熟，医疗卫生资源布局更加均衡、医疗卫生服务持续优化，人民群众健康获得感、幸福感、安全感进一步提高。</w:t>
      </w:r>
      <w:r>
        <w:rPr>
          <w:rFonts w:hint="eastAsia" w:ascii="仿宋_GB2312" w:hAnsi="仿宋_GB2312" w:eastAsia="仿宋_GB2312" w:cs="仿宋_GB2312"/>
          <w:spacing w:val="0"/>
          <w:sz w:val="32"/>
          <w:szCs w:val="32"/>
          <w:lang w:eastAsia="zh-CN"/>
        </w:rPr>
        <w:t>全市</w:t>
      </w:r>
      <w:r>
        <w:rPr>
          <w:rFonts w:hint="eastAsia" w:ascii="仿宋_GB2312" w:hAnsi="仿宋_GB2312" w:eastAsia="仿宋_GB2312" w:cs="仿宋_GB2312"/>
          <w:spacing w:val="0"/>
          <w:sz w:val="32"/>
          <w:szCs w:val="32"/>
        </w:rPr>
        <w:t>人均预期寿命超过80岁，</w:t>
      </w:r>
      <w:r>
        <w:rPr>
          <w:rFonts w:hint="eastAsia" w:ascii="仿宋_GB2312" w:hAnsi="仿宋_GB2312" w:eastAsia="仿宋_GB2312" w:cs="仿宋_GB2312"/>
          <w:spacing w:val="0"/>
          <w:sz w:val="32"/>
          <w:szCs w:val="32"/>
          <w:lang w:val="en-US" w:eastAsia="zh-CN"/>
        </w:rPr>
        <w:t>新生儿</w:t>
      </w:r>
      <w:r>
        <w:rPr>
          <w:rFonts w:hint="eastAsia" w:ascii="仿宋_GB2312" w:hAnsi="仿宋_GB2312" w:eastAsia="仿宋_GB2312" w:cs="仿宋_GB2312"/>
          <w:spacing w:val="0"/>
          <w:sz w:val="32"/>
          <w:szCs w:val="32"/>
        </w:rPr>
        <w:t>、婴儿、5岁以下儿童死亡率持续保持低位，居民健康素养水平达到3</w:t>
      </w:r>
      <w:r>
        <w:rPr>
          <w:rFonts w:hint="eastAsia" w:ascii="仿宋_GB2312" w:hAnsi="仿宋_GB2312" w:eastAsia="仿宋_GB2312" w:cs="仿宋_GB2312"/>
          <w:spacing w:val="0"/>
          <w:sz w:val="32"/>
          <w:szCs w:val="32"/>
          <w:lang w:val="en-US" w:eastAsia="zh-CN"/>
        </w:rPr>
        <w:t>7.3</w:t>
      </w:r>
      <w:r>
        <w:rPr>
          <w:rFonts w:hint="eastAsia" w:ascii="仿宋_GB2312" w:hAnsi="仿宋_GB2312" w:eastAsia="仿宋_GB2312" w:cs="仿宋_GB2312"/>
          <w:spacing w:val="0"/>
          <w:sz w:val="32"/>
          <w:szCs w:val="32"/>
        </w:rPr>
        <w:t>%。建设</w:t>
      </w:r>
      <w:r>
        <w:rPr>
          <w:rFonts w:hint="eastAsia" w:ascii="仿宋_GB2312" w:hAnsi="仿宋_GB2312" w:eastAsia="仿宋_GB2312" w:cs="仿宋_GB2312"/>
          <w:spacing w:val="0"/>
          <w:sz w:val="32"/>
          <w:szCs w:val="32"/>
          <w:lang w:val="en-US" w:eastAsia="zh-CN"/>
        </w:rPr>
        <w:t>2</w:t>
      </w:r>
      <w:r>
        <w:rPr>
          <w:rFonts w:hint="eastAsia" w:ascii="仿宋_GB2312" w:hAnsi="仿宋_GB2312" w:eastAsia="仿宋_GB2312" w:cs="仿宋_GB2312"/>
          <w:spacing w:val="0"/>
          <w:sz w:val="32"/>
          <w:szCs w:val="32"/>
        </w:rPr>
        <w:t>家</w:t>
      </w:r>
      <w:r>
        <w:rPr>
          <w:rFonts w:hint="eastAsia" w:ascii="仿宋_GB2312" w:hAnsi="仿宋_GB2312" w:eastAsia="仿宋_GB2312" w:cs="仿宋_GB2312"/>
          <w:spacing w:val="0"/>
          <w:sz w:val="32"/>
          <w:szCs w:val="32"/>
          <w:lang w:eastAsia="zh-CN"/>
        </w:rPr>
        <w:t>韶关市</w:t>
      </w:r>
      <w:r>
        <w:rPr>
          <w:rFonts w:hint="eastAsia" w:ascii="仿宋_GB2312" w:hAnsi="仿宋_GB2312" w:eastAsia="仿宋_GB2312" w:cs="仿宋_GB2312"/>
          <w:spacing w:val="0"/>
          <w:sz w:val="32"/>
          <w:szCs w:val="32"/>
        </w:rPr>
        <w:t>高水平医院，</w:t>
      </w:r>
      <w:r>
        <w:rPr>
          <w:rFonts w:hint="eastAsia" w:ascii="仿宋_GB2312" w:hAnsi="仿宋_GB2312" w:eastAsia="仿宋_GB2312" w:cs="仿宋_GB2312"/>
          <w:spacing w:val="0"/>
          <w:sz w:val="32"/>
          <w:szCs w:val="32"/>
          <w:lang w:eastAsia="zh-CN"/>
        </w:rPr>
        <w:t>全市</w:t>
      </w:r>
      <w:r>
        <w:rPr>
          <w:rFonts w:hint="eastAsia" w:ascii="仿宋_GB2312" w:hAnsi="仿宋_GB2312" w:eastAsia="仿宋_GB2312" w:cs="仿宋_GB2312"/>
          <w:spacing w:val="0"/>
          <w:sz w:val="32"/>
          <w:szCs w:val="32"/>
        </w:rPr>
        <w:t>市域住院率保持在9</w:t>
      </w:r>
      <w:r>
        <w:rPr>
          <w:rFonts w:hint="eastAsia" w:ascii="仿宋_GB2312" w:hAnsi="仿宋_GB2312" w:eastAsia="仿宋_GB2312" w:cs="仿宋_GB2312"/>
          <w:spacing w:val="0"/>
          <w:sz w:val="32"/>
          <w:szCs w:val="32"/>
          <w:lang w:val="en-US" w:eastAsia="zh-CN"/>
        </w:rPr>
        <w:t>6</w:t>
      </w:r>
      <w:r>
        <w:rPr>
          <w:rFonts w:hint="eastAsia" w:ascii="仿宋_GB2312" w:hAnsi="仿宋_GB2312" w:eastAsia="仿宋_GB2312" w:cs="仿宋_GB2312"/>
          <w:spacing w:val="0"/>
          <w:sz w:val="32"/>
          <w:szCs w:val="32"/>
        </w:rPr>
        <w:t>％左右，分级诊疗格局基本形成。</w:t>
      </w:r>
    </w:p>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（二）面临形势。</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“十五五”时期，</w:t>
      </w:r>
      <w:r>
        <w:rPr>
          <w:rFonts w:hint="eastAsia" w:ascii="仿宋_GB2312" w:hAnsi="仿宋_GB2312" w:eastAsia="仿宋_GB2312" w:cs="仿宋_GB2312"/>
          <w:spacing w:val="0"/>
          <w:sz w:val="32"/>
          <w:szCs w:val="32"/>
          <w:lang w:eastAsia="zh-CN"/>
        </w:rPr>
        <w:t>全市</w:t>
      </w:r>
      <w:r>
        <w:rPr>
          <w:rFonts w:hint="eastAsia" w:ascii="仿宋_GB2312" w:hAnsi="仿宋_GB2312" w:eastAsia="仿宋_GB2312" w:cs="仿宋_GB2312"/>
          <w:spacing w:val="0"/>
          <w:sz w:val="32"/>
          <w:szCs w:val="32"/>
        </w:rPr>
        <w:t>优质医疗卫生资源配置区域、城乡之间均衡性问题依然突出，基层服务能力仍显薄弱，医疗卫生服务体系整合程度有待加强；慢性非传染性疾病高发，传统和新发传染病威胁并存，疾病谱变化叠加多病共病风险，多种疾病威胁与多样化健康影响因素交织，公共卫生体系面临着更大的挑战；心理健康、急诊急救、儿科、康复等服务供给亟待加强，职业健康、食品安全等问题依然突出。</w:t>
      </w:r>
    </w:p>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二、总体要求</w:t>
      </w:r>
    </w:p>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（一）工作目标。</w:t>
      </w:r>
    </w:p>
    <w:p>
      <w:pPr>
        <w:pStyle w:val="13"/>
        <w:keepNext w:val="0"/>
        <w:keepLines w:val="0"/>
        <w:pageBreakBefore w:val="0"/>
        <w:numPr>
          <w:ilvl w:val="0"/>
          <w:numId w:val="0"/>
        </w:numPr>
        <w:kinsoku/>
        <w:wordWrap/>
        <w:topLinePunct/>
        <w:autoSpaceDE w:val="0"/>
        <w:autoSpaceDN w:val="0"/>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rPr>
        <w:t>到2030年左右，建成均衡发展、优质高效、韧性协同、创新驱动、特色突出的卫生健康服务体系，城乡之间的服务差距进一步缩小，</w:t>
      </w:r>
      <w:r>
        <w:rPr>
          <w:rFonts w:hint="eastAsia" w:ascii="仿宋_GB2312" w:hAnsi="仿宋_GB2312" w:eastAsia="仿宋_GB2312" w:cs="仿宋_GB2312"/>
          <w:color w:val="auto"/>
          <w:sz w:val="32"/>
          <w:szCs w:val="32"/>
        </w:rPr>
        <w:t>主要健康指标达到全省中上水平</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sz w:val="32"/>
          <w:szCs w:val="32"/>
          <w:highlight w:val="none"/>
          <w:lang w:val="en-US" w:eastAsia="zh-CN"/>
        </w:rPr>
        <w:t>完成公立医院改革与高质量发展示范（提升）项目任务，</w:t>
      </w:r>
      <w:r>
        <w:rPr>
          <w:rFonts w:hint="eastAsia" w:ascii="仿宋_GB2312" w:hAnsi="仿宋_GB2312" w:eastAsia="仿宋_GB2312" w:cs="仿宋_GB2312"/>
          <w:sz w:val="32"/>
          <w:szCs w:val="32"/>
        </w:rPr>
        <w:t>全面实现规划目标，形成可复制可推广的“韶关经验”。</w:t>
      </w:r>
    </w:p>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（二）主要指标。</w:t>
      </w:r>
    </w:p>
    <w:p>
      <w:pPr>
        <w:spacing w:line="67" w:lineRule="auto"/>
        <w:rPr>
          <w:rFonts w:ascii="Arial"/>
          <w:sz w:val="2"/>
        </w:rPr>
      </w:pPr>
    </w:p>
    <w:tbl>
      <w:tblPr>
        <w:tblStyle w:val="10"/>
        <w:tblW w:w="919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8"/>
        <w:gridCol w:w="548"/>
        <w:gridCol w:w="2559"/>
        <w:gridCol w:w="1020"/>
        <w:gridCol w:w="1571"/>
        <w:gridCol w:w="994"/>
        <w:gridCol w:w="179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9196" w:type="dxa"/>
            <w:gridSpan w:val="7"/>
            <w:vAlign w:val="top"/>
          </w:tcPr>
          <w:p>
            <w:pPr>
              <w:spacing w:before="122" w:line="369" w:lineRule="exact"/>
              <w:ind w:left="2588"/>
              <w:outlineLvl w:val="0"/>
              <w:rPr>
                <w:rFonts w:ascii="黑体" w:hAnsi="黑体" w:eastAsia="黑体" w:cs="黑体"/>
                <w:sz w:val="28"/>
                <w:szCs w:val="28"/>
              </w:rPr>
            </w:pPr>
            <w:r>
              <w:rPr>
                <w:rFonts w:ascii="黑体" w:hAnsi="黑体" w:eastAsia="黑体" w:cs="黑体"/>
                <w:spacing w:val="-11"/>
                <w:position w:val="1"/>
                <w:sz w:val="28"/>
                <w:szCs w:val="28"/>
              </w:rPr>
              <w:t xml:space="preserve">专栏 </w:t>
            </w:r>
            <w:r>
              <w:rPr>
                <w:rFonts w:ascii="Times New Roman" w:hAnsi="Times New Roman" w:eastAsia="Times New Roman" w:cs="Times New Roman"/>
                <w:spacing w:val="-11"/>
                <w:position w:val="1"/>
                <w:sz w:val="28"/>
                <w:szCs w:val="28"/>
              </w:rPr>
              <w:t>1 “</w:t>
            </w:r>
            <w:r>
              <w:rPr>
                <w:rFonts w:ascii="黑体" w:hAnsi="黑体" w:eastAsia="黑体" w:cs="黑体"/>
                <w:spacing w:val="-11"/>
                <w:position w:val="1"/>
                <w:sz w:val="28"/>
                <w:szCs w:val="28"/>
              </w:rPr>
              <w:t>十五五</w:t>
            </w:r>
            <w:r>
              <w:rPr>
                <w:rFonts w:ascii="Times New Roman" w:hAnsi="Times New Roman" w:eastAsia="Times New Roman" w:cs="Times New Roman"/>
                <w:spacing w:val="-11"/>
                <w:position w:val="1"/>
                <w:sz w:val="28"/>
                <w:szCs w:val="28"/>
              </w:rPr>
              <w:t>”</w:t>
            </w:r>
            <w:r>
              <w:rPr>
                <w:rFonts w:ascii="黑体" w:hAnsi="黑体" w:eastAsia="黑体" w:cs="黑体"/>
                <w:spacing w:val="-11"/>
                <w:position w:val="1"/>
                <w:sz w:val="28"/>
                <w:szCs w:val="28"/>
              </w:rPr>
              <w:t>时期主要发展指标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jc w:val="center"/>
        </w:trPr>
        <w:tc>
          <w:tcPr>
            <w:tcW w:w="708" w:type="dxa"/>
            <w:vAlign w:val="top"/>
          </w:tcPr>
          <w:p>
            <w:pPr>
              <w:spacing w:before="211" w:line="223" w:lineRule="auto"/>
              <w:ind w:left="120"/>
              <w:rPr>
                <w:rFonts w:ascii="黑体" w:hAnsi="黑体" w:eastAsia="黑体" w:cs="黑体"/>
                <w:sz w:val="24"/>
                <w:szCs w:val="24"/>
              </w:rPr>
            </w:pPr>
            <w:r>
              <w:rPr>
                <w:rFonts w:ascii="黑体" w:hAnsi="黑体" w:eastAsia="黑体" w:cs="黑体"/>
                <w:spacing w:val="-5"/>
                <w:sz w:val="24"/>
                <w:szCs w:val="24"/>
              </w:rPr>
              <w:t>序号</w:t>
            </w:r>
          </w:p>
        </w:tc>
        <w:tc>
          <w:tcPr>
            <w:tcW w:w="3107" w:type="dxa"/>
            <w:gridSpan w:val="2"/>
            <w:vAlign w:val="top"/>
          </w:tcPr>
          <w:p>
            <w:pPr>
              <w:spacing w:before="211" w:line="223" w:lineRule="auto"/>
              <w:ind w:left="1262"/>
              <w:rPr>
                <w:rFonts w:ascii="黑体" w:hAnsi="黑体" w:eastAsia="黑体" w:cs="黑体"/>
                <w:sz w:val="24"/>
                <w:szCs w:val="24"/>
              </w:rPr>
            </w:pPr>
            <w:r>
              <w:rPr>
                <w:rFonts w:ascii="黑体" w:hAnsi="黑体" w:eastAsia="黑体" w:cs="黑体"/>
                <w:spacing w:val="-5"/>
                <w:sz w:val="24"/>
                <w:szCs w:val="24"/>
              </w:rPr>
              <w:t>指标</w:t>
            </w:r>
          </w:p>
        </w:tc>
        <w:tc>
          <w:tcPr>
            <w:tcW w:w="1020" w:type="dxa"/>
            <w:vAlign w:val="top"/>
          </w:tcPr>
          <w:p>
            <w:pPr>
              <w:spacing w:before="176" w:line="361" w:lineRule="exact"/>
              <w:ind w:left="178"/>
              <w:rPr>
                <w:rFonts w:ascii="黑体" w:hAnsi="黑体" w:eastAsia="黑体" w:cs="黑体"/>
                <w:sz w:val="24"/>
                <w:szCs w:val="24"/>
              </w:rPr>
            </w:pPr>
            <w:r>
              <w:rPr>
                <w:rFonts w:ascii="Times New Roman" w:hAnsi="Times New Roman" w:eastAsia="Times New Roman" w:cs="Times New Roman"/>
                <w:spacing w:val="-2"/>
                <w:position w:val="2"/>
                <w:sz w:val="24"/>
                <w:szCs w:val="24"/>
              </w:rPr>
              <w:t>2025</w:t>
            </w:r>
            <w:r>
              <w:rPr>
                <w:rFonts w:ascii="黑体" w:hAnsi="黑体" w:eastAsia="黑体" w:cs="黑体"/>
                <w:spacing w:val="-2"/>
                <w:position w:val="2"/>
                <w:sz w:val="24"/>
                <w:szCs w:val="24"/>
              </w:rPr>
              <w:t>年</w:t>
            </w:r>
          </w:p>
        </w:tc>
        <w:tc>
          <w:tcPr>
            <w:tcW w:w="1571" w:type="dxa"/>
            <w:vAlign w:val="top"/>
          </w:tcPr>
          <w:p>
            <w:pPr>
              <w:spacing w:before="176" w:line="361" w:lineRule="exact"/>
              <w:ind w:left="38"/>
              <w:rPr>
                <w:rFonts w:ascii="黑体" w:hAnsi="黑体" w:eastAsia="黑体" w:cs="黑体"/>
                <w:sz w:val="24"/>
                <w:szCs w:val="24"/>
              </w:rPr>
            </w:pPr>
            <w:r>
              <w:rPr>
                <w:rFonts w:ascii="Times New Roman" w:hAnsi="Times New Roman" w:eastAsia="Times New Roman" w:cs="Times New Roman"/>
                <w:spacing w:val="-1"/>
                <w:position w:val="2"/>
                <w:sz w:val="24"/>
                <w:szCs w:val="24"/>
              </w:rPr>
              <w:t>2030</w:t>
            </w:r>
            <w:r>
              <w:rPr>
                <w:rFonts w:ascii="黑体" w:hAnsi="黑体" w:eastAsia="黑体" w:cs="黑体"/>
                <w:spacing w:val="-1"/>
                <w:position w:val="2"/>
                <w:sz w:val="24"/>
                <w:szCs w:val="24"/>
              </w:rPr>
              <w:t>年目标值</w:t>
            </w:r>
          </w:p>
        </w:tc>
        <w:tc>
          <w:tcPr>
            <w:tcW w:w="994" w:type="dxa"/>
            <w:vAlign w:val="top"/>
          </w:tcPr>
          <w:p>
            <w:pPr>
              <w:spacing w:before="211" w:line="222" w:lineRule="auto"/>
              <w:ind w:left="264"/>
              <w:rPr>
                <w:rFonts w:ascii="黑体" w:hAnsi="黑体" w:eastAsia="黑体" w:cs="黑体"/>
                <w:sz w:val="24"/>
                <w:szCs w:val="24"/>
              </w:rPr>
            </w:pPr>
            <w:r>
              <w:rPr>
                <w:rFonts w:ascii="黑体" w:hAnsi="黑体" w:eastAsia="黑体" w:cs="黑体"/>
                <w:spacing w:val="-5"/>
                <w:sz w:val="24"/>
                <w:szCs w:val="24"/>
              </w:rPr>
              <w:t>属性</w:t>
            </w:r>
          </w:p>
        </w:tc>
        <w:tc>
          <w:tcPr>
            <w:tcW w:w="1796" w:type="dxa"/>
            <w:vAlign w:val="top"/>
          </w:tcPr>
          <w:p>
            <w:pPr>
              <w:spacing w:before="211" w:line="221" w:lineRule="auto"/>
              <w:ind w:left="429"/>
              <w:rPr>
                <w:rFonts w:ascii="黑体" w:hAnsi="黑体" w:eastAsia="黑体" w:cs="黑体"/>
                <w:sz w:val="24"/>
                <w:szCs w:val="24"/>
              </w:rPr>
            </w:pPr>
            <w:r>
              <w:rPr>
                <w:rFonts w:ascii="黑体" w:hAnsi="黑体" w:eastAsia="黑体" w:cs="黑体"/>
                <w:spacing w:val="-4"/>
                <w:sz w:val="24"/>
                <w:szCs w:val="24"/>
              </w:rPr>
              <w:t>责任单位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9196" w:type="dxa"/>
            <w:gridSpan w:val="7"/>
            <w:vAlign w:val="top"/>
          </w:tcPr>
          <w:p>
            <w:pPr>
              <w:spacing w:before="179" w:line="222" w:lineRule="auto"/>
              <w:ind w:left="27"/>
              <w:rPr>
                <w:rFonts w:ascii="黑体" w:hAnsi="黑体" w:eastAsia="黑体" w:cs="黑体"/>
                <w:sz w:val="22"/>
                <w:szCs w:val="22"/>
              </w:rPr>
            </w:pPr>
            <w:r>
              <w:rPr>
                <w:rFonts w:ascii="黑体" w:hAnsi="黑体" w:eastAsia="黑体" w:cs="黑体"/>
                <w:spacing w:val="-2"/>
                <w:sz w:val="22"/>
                <w:szCs w:val="22"/>
              </w:rPr>
              <w:t>一、健康水平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708" w:type="dxa"/>
            <w:vAlign w:val="top"/>
          </w:tcPr>
          <w:p>
            <w:pPr>
              <w:spacing w:before="145" w:line="290" w:lineRule="exact"/>
              <w:ind w:left="322"/>
              <w:rPr>
                <w:rFonts w:hint="eastAsia" w:ascii="仿宋_GB2312" w:hAnsi="仿宋_GB2312" w:eastAsia="仿宋_GB2312" w:cs="仿宋_GB2312"/>
                <w:sz w:val="22"/>
                <w:szCs w:val="22"/>
              </w:rPr>
            </w:pPr>
            <w:r>
              <w:rPr>
                <w:rFonts w:hint="eastAsia" w:ascii="仿宋_GB2312" w:hAnsi="仿宋_GB2312" w:eastAsia="仿宋_GB2312" w:cs="仿宋_GB2312"/>
                <w:position w:val="1"/>
                <w:sz w:val="22"/>
                <w:szCs w:val="22"/>
              </w:rPr>
              <w:t>1</w:t>
            </w:r>
          </w:p>
        </w:tc>
        <w:tc>
          <w:tcPr>
            <w:tcW w:w="3107" w:type="dxa"/>
            <w:gridSpan w:val="2"/>
            <w:vAlign w:val="top"/>
          </w:tcPr>
          <w:p>
            <w:pPr>
              <w:pStyle w:val="11"/>
              <w:spacing w:before="177" w:line="222" w:lineRule="auto"/>
              <w:ind w:left="513"/>
              <w:rPr>
                <w:rFonts w:hint="eastAsia" w:ascii="仿宋_GB2312" w:hAnsi="仿宋_GB2312" w:eastAsia="仿宋_GB2312" w:cs="仿宋_GB2312"/>
              </w:rPr>
            </w:pPr>
            <w:r>
              <w:rPr>
                <w:rFonts w:hint="eastAsia" w:ascii="仿宋_GB2312" w:hAnsi="仿宋_GB2312" w:eastAsia="仿宋_GB2312" w:cs="仿宋_GB2312"/>
                <w:spacing w:val="-1"/>
              </w:rPr>
              <w:t>人均预期寿命（岁）</w:t>
            </w:r>
          </w:p>
        </w:tc>
        <w:tc>
          <w:tcPr>
            <w:tcW w:w="1020" w:type="dxa"/>
            <w:vAlign w:val="top"/>
          </w:tcPr>
          <w:p>
            <w:pPr>
              <w:spacing w:before="145" w:line="290" w:lineRule="exact"/>
              <w:ind w:left="395"/>
              <w:rPr>
                <w:rFonts w:hint="eastAsia" w:ascii="仿宋_GB2312" w:hAnsi="仿宋_GB2312" w:eastAsia="仿宋_GB2312" w:cs="仿宋_GB2312"/>
                <w:sz w:val="22"/>
                <w:szCs w:val="22"/>
              </w:rPr>
            </w:pPr>
            <w:r>
              <w:rPr>
                <w:rFonts w:hint="eastAsia" w:ascii="仿宋_GB2312" w:hAnsi="仿宋_GB2312" w:eastAsia="仿宋_GB2312" w:cs="仿宋_GB2312"/>
                <w:spacing w:val="-1"/>
                <w:position w:val="1"/>
                <w:sz w:val="22"/>
                <w:szCs w:val="22"/>
              </w:rPr>
              <w:t>&gt;80</w:t>
            </w:r>
          </w:p>
        </w:tc>
        <w:tc>
          <w:tcPr>
            <w:tcW w:w="1571" w:type="dxa"/>
            <w:vAlign w:val="top"/>
          </w:tcPr>
          <w:p>
            <w:pPr>
              <w:spacing w:before="145" w:line="290" w:lineRule="exact"/>
              <w:ind w:left="531"/>
              <w:rPr>
                <w:rFonts w:hint="eastAsia" w:ascii="仿宋_GB2312" w:hAnsi="仿宋_GB2312" w:eastAsia="仿宋_GB2312" w:cs="仿宋_GB2312"/>
                <w:sz w:val="22"/>
                <w:szCs w:val="22"/>
              </w:rPr>
            </w:pPr>
            <w:r>
              <w:rPr>
                <w:rFonts w:hint="eastAsia" w:ascii="仿宋_GB2312" w:hAnsi="仿宋_GB2312" w:eastAsia="仿宋_GB2312" w:cs="仿宋_GB2312"/>
                <w:spacing w:val="-1"/>
                <w:position w:val="1"/>
                <w:sz w:val="22"/>
                <w:szCs w:val="22"/>
              </w:rPr>
              <w:t>&gt;81.5</w:t>
            </w:r>
          </w:p>
        </w:tc>
        <w:tc>
          <w:tcPr>
            <w:tcW w:w="994" w:type="dxa"/>
            <w:vAlign w:val="top"/>
          </w:tcPr>
          <w:p>
            <w:pPr>
              <w:pStyle w:val="11"/>
              <w:spacing w:before="177" w:line="222" w:lineRule="auto"/>
              <w:ind w:left="176"/>
              <w:rPr>
                <w:rFonts w:hint="eastAsia" w:ascii="仿宋_GB2312" w:hAnsi="仿宋_GB2312" w:eastAsia="仿宋_GB2312" w:cs="仿宋_GB2312"/>
              </w:rPr>
            </w:pPr>
            <w:r>
              <w:rPr>
                <w:rFonts w:hint="eastAsia" w:ascii="仿宋_GB2312" w:hAnsi="仿宋_GB2312" w:eastAsia="仿宋_GB2312" w:cs="仿宋_GB2312"/>
                <w:spacing w:val="-3"/>
              </w:rPr>
              <w:t>预期性</w:t>
            </w:r>
          </w:p>
        </w:tc>
        <w:tc>
          <w:tcPr>
            <w:tcW w:w="1796" w:type="dxa"/>
            <w:vAlign w:val="top"/>
          </w:tcPr>
          <w:p>
            <w:pPr>
              <w:pStyle w:val="11"/>
              <w:spacing w:before="177" w:line="221" w:lineRule="auto"/>
              <w:ind w:left="247"/>
              <w:rPr>
                <w:rFonts w:hint="eastAsia" w:ascii="仿宋_GB2312" w:hAnsi="仿宋_GB2312" w:eastAsia="仿宋_GB2312" w:cs="仿宋_GB2312"/>
                <w:lang w:val="en-US" w:eastAsia="zh-CN"/>
              </w:rPr>
            </w:pPr>
            <w:r>
              <w:rPr>
                <w:rFonts w:hint="eastAsia" w:ascii="仿宋_GB2312" w:hAnsi="仿宋_GB2312" w:eastAsia="仿宋_GB2312" w:cs="仿宋_GB2312"/>
                <w:spacing w:val="-2"/>
                <w:lang w:val="en-US" w:eastAsia="zh-CN"/>
              </w:rPr>
              <w:t>规统科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708" w:type="dxa"/>
            <w:vAlign w:val="top"/>
          </w:tcPr>
          <w:p>
            <w:pPr>
              <w:spacing w:before="144" w:line="290" w:lineRule="exact"/>
              <w:ind w:left="301"/>
              <w:rPr>
                <w:rFonts w:hint="eastAsia" w:ascii="仿宋_GB2312" w:hAnsi="仿宋_GB2312" w:eastAsia="仿宋_GB2312" w:cs="仿宋_GB2312"/>
                <w:sz w:val="22"/>
                <w:szCs w:val="22"/>
              </w:rPr>
            </w:pPr>
            <w:r>
              <w:rPr>
                <w:rFonts w:hint="eastAsia" w:ascii="仿宋_GB2312" w:hAnsi="仿宋_GB2312" w:eastAsia="仿宋_GB2312" w:cs="仿宋_GB2312"/>
                <w:position w:val="1"/>
                <w:sz w:val="22"/>
                <w:szCs w:val="22"/>
              </w:rPr>
              <w:t>2</w:t>
            </w:r>
          </w:p>
        </w:tc>
        <w:tc>
          <w:tcPr>
            <w:tcW w:w="3107" w:type="dxa"/>
            <w:gridSpan w:val="2"/>
            <w:vAlign w:val="top"/>
          </w:tcPr>
          <w:p>
            <w:pPr>
              <w:pStyle w:val="11"/>
              <w:spacing w:before="144" w:line="290" w:lineRule="exact"/>
              <w:ind w:left="290"/>
              <w:rPr>
                <w:rFonts w:hint="eastAsia" w:ascii="仿宋_GB2312" w:hAnsi="仿宋_GB2312" w:eastAsia="仿宋_GB2312" w:cs="仿宋_GB2312"/>
              </w:rPr>
            </w:pPr>
            <w:r>
              <w:rPr>
                <w:rFonts w:hint="eastAsia" w:ascii="仿宋_GB2312" w:hAnsi="仿宋_GB2312" w:eastAsia="仿宋_GB2312" w:cs="仿宋_GB2312"/>
                <w:spacing w:val="-1"/>
                <w:position w:val="1"/>
              </w:rPr>
              <w:t>孕产妇死亡率（1/10万）</w:t>
            </w:r>
          </w:p>
        </w:tc>
        <w:tc>
          <w:tcPr>
            <w:tcW w:w="1020" w:type="dxa"/>
            <w:vAlign w:val="top"/>
          </w:tcPr>
          <w:p>
            <w:pPr>
              <w:spacing w:before="144" w:line="290" w:lineRule="exact"/>
              <w:ind w:left="0"/>
              <w:jc w:val="center"/>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pacing w:val="-2"/>
                <w:position w:val="1"/>
                <w:sz w:val="22"/>
                <w:szCs w:val="22"/>
                <w:lang w:val="en-US" w:eastAsia="zh-CN"/>
              </w:rPr>
              <w:t>12</w:t>
            </w:r>
            <w:r>
              <w:rPr>
                <w:rFonts w:hint="eastAsia" w:ascii="仿宋_GB2312" w:hAnsi="仿宋_GB2312" w:eastAsia="仿宋_GB2312" w:cs="仿宋_GB2312"/>
                <w:spacing w:val="-2"/>
                <w:position w:val="1"/>
                <w:sz w:val="22"/>
                <w:szCs w:val="22"/>
              </w:rPr>
              <w:t>.</w:t>
            </w:r>
            <w:r>
              <w:rPr>
                <w:rFonts w:hint="eastAsia" w:ascii="仿宋_GB2312" w:hAnsi="仿宋_GB2312" w:eastAsia="仿宋_GB2312" w:cs="仿宋_GB2312"/>
                <w:spacing w:val="-2"/>
                <w:position w:val="1"/>
                <w:sz w:val="22"/>
                <w:szCs w:val="22"/>
                <w:lang w:val="en-US" w:eastAsia="zh-CN"/>
              </w:rPr>
              <w:t>75</w:t>
            </w:r>
          </w:p>
        </w:tc>
        <w:tc>
          <w:tcPr>
            <w:tcW w:w="1571" w:type="dxa"/>
            <w:vAlign w:val="top"/>
          </w:tcPr>
          <w:p>
            <w:pPr>
              <w:spacing w:before="144" w:line="290" w:lineRule="exact"/>
              <w:ind w:left="670"/>
              <w:rPr>
                <w:rFonts w:hint="eastAsia" w:ascii="仿宋_GB2312" w:hAnsi="仿宋_GB2312" w:eastAsia="仿宋_GB2312" w:cs="仿宋_GB2312"/>
                <w:sz w:val="22"/>
                <w:szCs w:val="22"/>
              </w:rPr>
            </w:pPr>
            <w:r>
              <w:rPr>
                <w:rFonts w:hint="eastAsia" w:ascii="仿宋_GB2312" w:hAnsi="仿宋_GB2312" w:eastAsia="仿宋_GB2312" w:cs="仿宋_GB2312"/>
                <w:spacing w:val="-2"/>
                <w:position w:val="1"/>
                <w:sz w:val="22"/>
                <w:szCs w:val="22"/>
              </w:rPr>
              <w:t>&lt;8</w:t>
            </w:r>
          </w:p>
        </w:tc>
        <w:tc>
          <w:tcPr>
            <w:tcW w:w="994" w:type="dxa"/>
            <w:vAlign w:val="top"/>
          </w:tcPr>
          <w:p>
            <w:pPr>
              <w:pStyle w:val="11"/>
              <w:spacing w:before="176" w:line="222" w:lineRule="auto"/>
              <w:ind w:left="176"/>
              <w:rPr>
                <w:rFonts w:hint="eastAsia" w:ascii="仿宋_GB2312" w:hAnsi="仿宋_GB2312" w:eastAsia="仿宋_GB2312" w:cs="仿宋_GB2312"/>
              </w:rPr>
            </w:pPr>
            <w:r>
              <w:rPr>
                <w:rFonts w:hint="eastAsia" w:ascii="仿宋_GB2312" w:hAnsi="仿宋_GB2312" w:eastAsia="仿宋_GB2312" w:cs="仿宋_GB2312"/>
                <w:spacing w:val="-3"/>
              </w:rPr>
              <w:t>预期性</w:t>
            </w:r>
          </w:p>
        </w:tc>
        <w:tc>
          <w:tcPr>
            <w:tcW w:w="1796" w:type="dxa"/>
            <w:vAlign w:val="top"/>
          </w:tcPr>
          <w:p>
            <w:pPr>
              <w:pStyle w:val="11"/>
              <w:spacing w:before="177" w:line="221" w:lineRule="auto"/>
              <w:ind w:left="247"/>
              <w:rPr>
                <w:rFonts w:hint="eastAsia" w:ascii="仿宋_GB2312" w:hAnsi="仿宋_GB2312" w:eastAsia="仿宋_GB2312" w:cs="仿宋_GB2312"/>
                <w:lang w:eastAsia="zh-CN"/>
              </w:rPr>
            </w:pPr>
            <w:r>
              <w:rPr>
                <w:rFonts w:hint="eastAsia" w:ascii="仿宋_GB2312" w:hAnsi="仿宋_GB2312" w:eastAsia="仿宋_GB2312" w:cs="仿宋_GB2312"/>
                <w:spacing w:val="-2"/>
                <w:lang w:val="en-US" w:eastAsia="zh-CN"/>
              </w:rPr>
              <w:t>妇幼科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jc w:val="center"/>
        </w:trPr>
        <w:tc>
          <w:tcPr>
            <w:tcW w:w="708" w:type="dxa"/>
            <w:vMerge w:val="restart"/>
            <w:tcBorders>
              <w:bottom w:val="nil"/>
            </w:tcBorders>
            <w:vAlign w:val="top"/>
          </w:tcPr>
          <w:p>
            <w:pPr>
              <w:spacing w:line="259" w:lineRule="auto"/>
              <w:rPr>
                <w:rFonts w:hint="eastAsia" w:ascii="仿宋_GB2312" w:hAnsi="仿宋_GB2312" w:eastAsia="仿宋_GB2312" w:cs="仿宋_GB2312"/>
                <w:sz w:val="21"/>
              </w:rPr>
            </w:pPr>
          </w:p>
          <w:p>
            <w:pPr>
              <w:spacing w:before="63" w:line="290" w:lineRule="exact"/>
              <w:ind w:left="305"/>
              <w:rPr>
                <w:rFonts w:hint="eastAsia" w:ascii="仿宋_GB2312" w:hAnsi="仿宋_GB2312" w:eastAsia="仿宋_GB2312" w:cs="仿宋_GB2312"/>
                <w:sz w:val="22"/>
                <w:szCs w:val="22"/>
              </w:rPr>
            </w:pPr>
            <w:r>
              <w:rPr>
                <w:rFonts w:hint="eastAsia" w:ascii="仿宋_GB2312" w:hAnsi="仿宋_GB2312" w:eastAsia="仿宋_GB2312" w:cs="仿宋_GB2312"/>
                <w:position w:val="1"/>
                <w:sz w:val="22"/>
                <w:szCs w:val="22"/>
              </w:rPr>
              <w:t>3</w:t>
            </w:r>
          </w:p>
        </w:tc>
        <w:tc>
          <w:tcPr>
            <w:tcW w:w="548" w:type="dxa"/>
            <w:vMerge w:val="restart"/>
            <w:tcBorders>
              <w:bottom w:val="nil"/>
            </w:tcBorders>
            <w:vAlign w:val="top"/>
          </w:tcPr>
          <w:p>
            <w:pPr>
              <w:pStyle w:val="11"/>
              <w:spacing w:before="56" w:line="221" w:lineRule="auto"/>
              <w:ind w:left="22"/>
              <w:rPr>
                <w:rFonts w:hint="eastAsia" w:ascii="仿宋_GB2312" w:hAnsi="仿宋_GB2312" w:eastAsia="仿宋_GB2312" w:cs="仿宋_GB2312"/>
              </w:rPr>
            </w:pPr>
            <w:r>
              <w:rPr>
                <w:rFonts w:hint="eastAsia" w:ascii="仿宋_GB2312" w:hAnsi="仿宋_GB2312" w:eastAsia="仿宋_GB2312" w:cs="仿宋_GB2312"/>
                <w:spacing w:val="-6"/>
              </w:rPr>
              <w:t>婴幼</w:t>
            </w:r>
          </w:p>
          <w:p>
            <w:pPr>
              <w:pStyle w:val="11"/>
              <w:spacing w:before="36" w:line="221" w:lineRule="auto"/>
              <w:ind w:left="23"/>
              <w:rPr>
                <w:rFonts w:hint="eastAsia" w:ascii="仿宋_GB2312" w:hAnsi="仿宋_GB2312" w:eastAsia="仿宋_GB2312" w:cs="仿宋_GB2312"/>
              </w:rPr>
            </w:pPr>
            <w:r>
              <w:rPr>
                <w:rFonts w:hint="eastAsia" w:ascii="仿宋_GB2312" w:hAnsi="仿宋_GB2312" w:eastAsia="仿宋_GB2312" w:cs="仿宋_GB2312"/>
                <w:spacing w:val="-7"/>
              </w:rPr>
              <w:t>儿死</w:t>
            </w:r>
          </w:p>
          <w:p>
            <w:pPr>
              <w:pStyle w:val="11"/>
              <w:spacing w:before="36" w:line="212" w:lineRule="auto"/>
              <w:ind w:left="21"/>
              <w:rPr>
                <w:rFonts w:hint="eastAsia" w:ascii="仿宋_GB2312" w:hAnsi="仿宋_GB2312" w:eastAsia="仿宋_GB2312" w:cs="仿宋_GB2312"/>
              </w:rPr>
            </w:pPr>
            <w:r>
              <w:rPr>
                <w:rFonts w:hint="eastAsia" w:ascii="仿宋_GB2312" w:hAnsi="仿宋_GB2312" w:eastAsia="仿宋_GB2312" w:cs="仿宋_GB2312"/>
                <w:spacing w:val="-5"/>
              </w:rPr>
              <w:t>亡率</w:t>
            </w:r>
          </w:p>
        </w:tc>
        <w:tc>
          <w:tcPr>
            <w:tcW w:w="2559" w:type="dxa"/>
            <w:vAlign w:val="top"/>
          </w:tcPr>
          <w:p>
            <w:pPr>
              <w:pStyle w:val="11"/>
              <w:spacing w:before="38" w:line="290" w:lineRule="exact"/>
              <w:ind w:left="462"/>
              <w:rPr>
                <w:rFonts w:hint="eastAsia" w:ascii="仿宋_GB2312" w:hAnsi="仿宋_GB2312" w:eastAsia="仿宋_GB2312" w:cs="仿宋_GB2312"/>
              </w:rPr>
            </w:pPr>
            <w:r>
              <w:rPr>
                <w:rFonts w:hint="eastAsia" w:ascii="仿宋_GB2312" w:hAnsi="仿宋_GB2312" w:eastAsia="仿宋_GB2312" w:cs="仿宋_GB2312"/>
                <w:spacing w:val="-2"/>
                <w:position w:val="1"/>
              </w:rPr>
              <w:t>婴儿死亡率</w:t>
            </w:r>
            <w:r>
              <w:rPr>
                <w:rFonts w:hint="eastAsia" w:ascii="仿宋_GB2312" w:hAnsi="仿宋_GB2312" w:eastAsia="仿宋_GB2312" w:cs="仿宋_GB2312"/>
                <w:spacing w:val="-2"/>
                <w:position w:val="1"/>
                <w:lang w:eastAsia="zh-CN"/>
              </w:rPr>
              <w:t>（</w:t>
            </w:r>
            <w:r>
              <w:rPr>
                <w:rFonts w:hint="eastAsia" w:ascii="仿宋_GB2312" w:hAnsi="仿宋_GB2312" w:eastAsia="仿宋_GB2312" w:cs="仿宋_GB2312"/>
                <w:spacing w:val="-2"/>
                <w:position w:val="1"/>
              </w:rPr>
              <w:t>‰</w:t>
            </w:r>
            <w:r>
              <w:rPr>
                <w:rFonts w:hint="eastAsia" w:ascii="仿宋_GB2312" w:hAnsi="仿宋_GB2312" w:eastAsia="仿宋_GB2312" w:cs="仿宋_GB2312"/>
                <w:spacing w:val="-2"/>
                <w:position w:val="1"/>
                <w:lang w:eastAsia="zh-CN"/>
              </w:rPr>
              <w:t>）</w:t>
            </w:r>
          </w:p>
        </w:tc>
        <w:tc>
          <w:tcPr>
            <w:tcW w:w="1020" w:type="dxa"/>
            <w:vAlign w:val="top"/>
          </w:tcPr>
          <w:p>
            <w:pPr>
              <w:spacing w:before="38" w:line="290" w:lineRule="exact"/>
              <w:ind w:left="0"/>
              <w:jc w:val="center"/>
              <w:rPr>
                <w:rFonts w:hint="eastAsia" w:ascii="仿宋_GB2312" w:hAnsi="仿宋_GB2312" w:eastAsia="仿宋_GB2312" w:cs="仿宋_GB2312"/>
                <w:sz w:val="22"/>
                <w:szCs w:val="22"/>
                <w:lang w:eastAsia="zh-CN"/>
              </w:rPr>
            </w:pPr>
            <w:r>
              <w:rPr>
                <w:rFonts w:hint="eastAsia" w:ascii="仿宋_GB2312" w:hAnsi="仿宋_GB2312" w:eastAsia="仿宋_GB2312" w:cs="仿宋_GB2312"/>
                <w:spacing w:val="-7"/>
                <w:position w:val="1"/>
                <w:sz w:val="22"/>
                <w:szCs w:val="22"/>
                <w:lang w:val="en-US" w:eastAsia="zh-CN"/>
              </w:rPr>
              <w:t>2</w:t>
            </w:r>
            <w:r>
              <w:rPr>
                <w:rFonts w:hint="eastAsia" w:ascii="仿宋_GB2312" w:hAnsi="仿宋_GB2312" w:eastAsia="仿宋_GB2312" w:cs="仿宋_GB2312"/>
                <w:spacing w:val="-7"/>
                <w:position w:val="1"/>
                <w:sz w:val="22"/>
                <w:szCs w:val="22"/>
              </w:rPr>
              <w:t>.</w:t>
            </w:r>
            <w:r>
              <w:rPr>
                <w:rFonts w:hint="eastAsia" w:ascii="仿宋_GB2312" w:hAnsi="仿宋_GB2312" w:eastAsia="仿宋_GB2312" w:cs="仿宋_GB2312"/>
                <w:spacing w:val="-7"/>
                <w:position w:val="1"/>
                <w:sz w:val="22"/>
                <w:szCs w:val="22"/>
                <w:lang w:val="en-US" w:eastAsia="zh-CN"/>
              </w:rPr>
              <w:t>10</w:t>
            </w:r>
          </w:p>
        </w:tc>
        <w:tc>
          <w:tcPr>
            <w:tcW w:w="1571" w:type="dxa"/>
            <w:vAlign w:val="top"/>
          </w:tcPr>
          <w:p>
            <w:pPr>
              <w:spacing w:before="38" w:line="290" w:lineRule="exact"/>
              <w:ind w:left="670"/>
              <w:rPr>
                <w:rFonts w:hint="eastAsia" w:ascii="仿宋_GB2312" w:hAnsi="仿宋_GB2312" w:eastAsia="仿宋_GB2312" w:cs="仿宋_GB2312"/>
                <w:sz w:val="22"/>
                <w:szCs w:val="22"/>
              </w:rPr>
            </w:pPr>
            <w:r>
              <w:rPr>
                <w:rFonts w:hint="eastAsia" w:ascii="仿宋_GB2312" w:hAnsi="仿宋_GB2312" w:eastAsia="仿宋_GB2312" w:cs="仿宋_GB2312"/>
                <w:spacing w:val="-2"/>
                <w:position w:val="1"/>
                <w:sz w:val="22"/>
                <w:szCs w:val="22"/>
              </w:rPr>
              <w:t>&lt;3</w:t>
            </w:r>
          </w:p>
        </w:tc>
        <w:tc>
          <w:tcPr>
            <w:tcW w:w="994" w:type="dxa"/>
            <w:vAlign w:val="top"/>
          </w:tcPr>
          <w:p>
            <w:pPr>
              <w:pStyle w:val="11"/>
              <w:spacing w:before="70" w:line="222" w:lineRule="auto"/>
              <w:ind w:left="176"/>
              <w:rPr>
                <w:rFonts w:hint="eastAsia" w:ascii="仿宋_GB2312" w:hAnsi="仿宋_GB2312" w:eastAsia="仿宋_GB2312" w:cs="仿宋_GB2312"/>
              </w:rPr>
            </w:pPr>
            <w:r>
              <w:rPr>
                <w:rFonts w:hint="eastAsia" w:ascii="仿宋_GB2312" w:hAnsi="仿宋_GB2312" w:eastAsia="仿宋_GB2312" w:cs="仿宋_GB2312"/>
                <w:spacing w:val="-3"/>
              </w:rPr>
              <w:t>预期性</w:t>
            </w:r>
          </w:p>
        </w:tc>
        <w:tc>
          <w:tcPr>
            <w:tcW w:w="1796" w:type="dxa"/>
            <w:vAlign w:val="top"/>
          </w:tcPr>
          <w:p>
            <w:pPr>
              <w:pStyle w:val="11"/>
              <w:spacing w:before="71" w:line="221" w:lineRule="auto"/>
              <w:ind w:left="247"/>
              <w:rPr>
                <w:rFonts w:hint="eastAsia" w:ascii="仿宋_GB2312" w:hAnsi="仿宋_GB2312" w:eastAsia="仿宋_GB2312" w:cs="仿宋_GB2312"/>
              </w:rPr>
            </w:pPr>
            <w:r>
              <w:rPr>
                <w:rFonts w:hint="eastAsia" w:ascii="仿宋_GB2312" w:hAnsi="仿宋_GB2312" w:eastAsia="仿宋_GB2312" w:cs="仿宋_GB2312"/>
                <w:spacing w:val="-2"/>
                <w:lang w:val="en-US" w:eastAsia="zh-CN"/>
              </w:rPr>
              <w:t>妇幼科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jc w:val="center"/>
        </w:trPr>
        <w:tc>
          <w:tcPr>
            <w:tcW w:w="708" w:type="dxa"/>
            <w:vMerge w:val="continue"/>
            <w:tcBorders>
              <w:top w:val="nil"/>
            </w:tcBorders>
            <w:vAlign w:val="top"/>
          </w:tcPr>
          <w:p>
            <w:pPr>
              <w:rPr>
                <w:rFonts w:hint="eastAsia" w:ascii="仿宋_GB2312" w:hAnsi="仿宋_GB2312" w:eastAsia="仿宋_GB2312" w:cs="仿宋_GB2312"/>
                <w:sz w:val="21"/>
              </w:rPr>
            </w:pPr>
          </w:p>
        </w:tc>
        <w:tc>
          <w:tcPr>
            <w:tcW w:w="548" w:type="dxa"/>
            <w:vMerge w:val="continue"/>
            <w:tcBorders>
              <w:top w:val="nil"/>
            </w:tcBorders>
            <w:vAlign w:val="top"/>
          </w:tcPr>
          <w:p>
            <w:pPr>
              <w:rPr>
                <w:rFonts w:hint="eastAsia" w:ascii="仿宋_GB2312" w:hAnsi="仿宋_GB2312" w:eastAsia="仿宋_GB2312" w:cs="仿宋_GB2312"/>
                <w:sz w:val="21"/>
              </w:rPr>
            </w:pPr>
          </w:p>
        </w:tc>
        <w:tc>
          <w:tcPr>
            <w:tcW w:w="2559" w:type="dxa"/>
            <w:vAlign w:val="top"/>
          </w:tcPr>
          <w:p>
            <w:pPr>
              <w:pStyle w:val="11"/>
              <w:spacing w:before="144" w:line="290" w:lineRule="exact"/>
              <w:ind w:left="20"/>
              <w:rPr>
                <w:rFonts w:hint="eastAsia" w:ascii="仿宋_GB2312" w:hAnsi="仿宋_GB2312" w:eastAsia="仿宋_GB2312" w:cs="仿宋_GB2312"/>
              </w:rPr>
            </w:pPr>
            <w:r>
              <w:rPr>
                <w:rFonts w:hint="eastAsia" w:ascii="仿宋_GB2312" w:hAnsi="仿宋_GB2312" w:eastAsia="仿宋_GB2312" w:cs="仿宋_GB2312"/>
                <w:spacing w:val="-4"/>
                <w:position w:val="1"/>
              </w:rPr>
              <w:t>5岁以下儿童死亡率</w:t>
            </w:r>
            <w:r>
              <w:rPr>
                <w:rFonts w:hint="eastAsia" w:ascii="仿宋_GB2312" w:hAnsi="仿宋_GB2312" w:eastAsia="仿宋_GB2312" w:cs="仿宋_GB2312"/>
                <w:spacing w:val="-4"/>
                <w:position w:val="1"/>
                <w:lang w:eastAsia="zh-CN"/>
              </w:rPr>
              <w:t>（</w:t>
            </w:r>
            <w:r>
              <w:rPr>
                <w:rFonts w:hint="eastAsia" w:ascii="仿宋_GB2312" w:hAnsi="仿宋_GB2312" w:eastAsia="仿宋_GB2312" w:cs="仿宋_GB2312"/>
                <w:spacing w:val="-4"/>
                <w:position w:val="1"/>
              </w:rPr>
              <w:t>‰</w:t>
            </w:r>
            <w:r>
              <w:rPr>
                <w:rFonts w:hint="eastAsia" w:ascii="仿宋_GB2312" w:hAnsi="仿宋_GB2312" w:eastAsia="仿宋_GB2312" w:cs="仿宋_GB2312"/>
                <w:spacing w:val="-4"/>
                <w:position w:val="1"/>
                <w:lang w:eastAsia="zh-CN"/>
              </w:rPr>
              <w:t>）</w:t>
            </w:r>
          </w:p>
        </w:tc>
        <w:tc>
          <w:tcPr>
            <w:tcW w:w="1020" w:type="dxa"/>
            <w:vAlign w:val="top"/>
          </w:tcPr>
          <w:p>
            <w:pPr>
              <w:spacing w:before="144" w:line="290" w:lineRule="exact"/>
              <w:ind w:left="0"/>
              <w:jc w:val="center"/>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pacing w:val="-1"/>
                <w:position w:val="1"/>
                <w:sz w:val="22"/>
                <w:szCs w:val="22"/>
                <w:lang w:val="en-US" w:eastAsia="zh-CN"/>
              </w:rPr>
              <w:t>3</w:t>
            </w:r>
            <w:r>
              <w:rPr>
                <w:rFonts w:hint="eastAsia" w:ascii="仿宋_GB2312" w:hAnsi="仿宋_GB2312" w:eastAsia="仿宋_GB2312" w:cs="仿宋_GB2312"/>
                <w:spacing w:val="-1"/>
                <w:position w:val="1"/>
                <w:sz w:val="22"/>
                <w:szCs w:val="22"/>
              </w:rPr>
              <w:t>.</w:t>
            </w:r>
            <w:r>
              <w:rPr>
                <w:rFonts w:hint="eastAsia" w:ascii="仿宋_GB2312" w:hAnsi="仿宋_GB2312" w:eastAsia="仿宋_GB2312" w:cs="仿宋_GB2312"/>
                <w:spacing w:val="-1"/>
                <w:position w:val="1"/>
                <w:sz w:val="22"/>
                <w:szCs w:val="22"/>
                <w:lang w:val="en-US" w:eastAsia="zh-CN"/>
              </w:rPr>
              <w:t>63</w:t>
            </w:r>
          </w:p>
        </w:tc>
        <w:tc>
          <w:tcPr>
            <w:tcW w:w="1571" w:type="dxa"/>
            <w:vAlign w:val="top"/>
          </w:tcPr>
          <w:p>
            <w:pPr>
              <w:spacing w:before="144" w:line="290" w:lineRule="exact"/>
              <w:ind w:left="670"/>
              <w:rPr>
                <w:rFonts w:hint="eastAsia" w:ascii="仿宋_GB2312" w:hAnsi="仿宋_GB2312" w:eastAsia="仿宋_GB2312" w:cs="仿宋_GB2312"/>
                <w:sz w:val="22"/>
                <w:szCs w:val="22"/>
              </w:rPr>
            </w:pPr>
            <w:r>
              <w:rPr>
                <w:rFonts w:hint="eastAsia" w:ascii="仿宋_GB2312" w:hAnsi="仿宋_GB2312" w:eastAsia="仿宋_GB2312" w:cs="仿宋_GB2312"/>
                <w:spacing w:val="-2"/>
                <w:position w:val="1"/>
                <w:sz w:val="22"/>
                <w:szCs w:val="22"/>
              </w:rPr>
              <w:t>&lt;4</w:t>
            </w:r>
          </w:p>
        </w:tc>
        <w:tc>
          <w:tcPr>
            <w:tcW w:w="994" w:type="dxa"/>
            <w:vAlign w:val="top"/>
          </w:tcPr>
          <w:p>
            <w:pPr>
              <w:pStyle w:val="11"/>
              <w:spacing w:before="178" w:line="222" w:lineRule="auto"/>
              <w:ind w:left="176"/>
              <w:rPr>
                <w:rFonts w:hint="eastAsia" w:ascii="仿宋_GB2312" w:hAnsi="仿宋_GB2312" w:eastAsia="仿宋_GB2312" w:cs="仿宋_GB2312"/>
              </w:rPr>
            </w:pPr>
            <w:r>
              <w:rPr>
                <w:rFonts w:hint="eastAsia" w:ascii="仿宋_GB2312" w:hAnsi="仿宋_GB2312" w:eastAsia="仿宋_GB2312" w:cs="仿宋_GB2312"/>
                <w:spacing w:val="-3"/>
              </w:rPr>
              <w:t>预期性</w:t>
            </w:r>
          </w:p>
        </w:tc>
        <w:tc>
          <w:tcPr>
            <w:tcW w:w="1796" w:type="dxa"/>
            <w:vAlign w:val="top"/>
          </w:tcPr>
          <w:p>
            <w:pPr>
              <w:pStyle w:val="11"/>
              <w:spacing w:before="179" w:line="221" w:lineRule="auto"/>
              <w:ind w:left="247"/>
              <w:rPr>
                <w:rFonts w:hint="eastAsia" w:ascii="仿宋_GB2312" w:hAnsi="仿宋_GB2312" w:eastAsia="仿宋_GB2312" w:cs="仿宋_GB2312"/>
              </w:rPr>
            </w:pPr>
            <w:r>
              <w:rPr>
                <w:rFonts w:hint="eastAsia" w:ascii="仿宋_GB2312" w:hAnsi="仿宋_GB2312" w:eastAsia="仿宋_GB2312" w:cs="仿宋_GB2312"/>
                <w:spacing w:val="-2"/>
                <w:lang w:val="en-US" w:eastAsia="zh-CN"/>
              </w:rPr>
              <w:t>妇幼科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708" w:type="dxa"/>
            <w:vAlign w:val="top"/>
          </w:tcPr>
          <w:p>
            <w:pPr>
              <w:spacing w:before="146" w:line="290" w:lineRule="exact"/>
              <w:ind w:left="299"/>
              <w:rPr>
                <w:rFonts w:hint="eastAsia" w:ascii="仿宋_GB2312" w:hAnsi="仿宋_GB2312" w:eastAsia="仿宋_GB2312" w:cs="仿宋_GB2312"/>
                <w:sz w:val="22"/>
                <w:szCs w:val="22"/>
              </w:rPr>
            </w:pPr>
            <w:r>
              <w:rPr>
                <w:rFonts w:hint="eastAsia" w:ascii="仿宋_GB2312" w:hAnsi="仿宋_GB2312" w:eastAsia="仿宋_GB2312" w:cs="仿宋_GB2312"/>
                <w:position w:val="1"/>
                <w:sz w:val="22"/>
                <w:szCs w:val="22"/>
              </w:rPr>
              <w:t>4</w:t>
            </w:r>
          </w:p>
        </w:tc>
        <w:tc>
          <w:tcPr>
            <w:tcW w:w="3107" w:type="dxa"/>
            <w:gridSpan w:val="2"/>
            <w:vAlign w:val="top"/>
          </w:tcPr>
          <w:p>
            <w:pPr>
              <w:pStyle w:val="11"/>
              <w:spacing w:before="146" w:line="290" w:lineRule="exact"/>
              <w:ind w:left="92"/>
              <w:rPr>
                <w:rFonts w:hint="eastAsia" w:ascii="仿宋_GB2312" w:hAnsi="仿宋_GB2312" w:eastAsia="仿宋_GB2312" w:cs="仿宋_GB2312"/>
              </w:rPr>
            </w:pPr>
            <w:r>
              <w:rPr>
                <w:rFonts w:hint="eastAsia" w:ascii="仿宋_GB2312" w:hAnsi="仿宋_GB2312" w:eastAsia="仿宋_GB2312" w:cs="仿宋_GB2312"/>
                <w:spacing w:val="-1"/>
                <w:position w:val="1"/>
              </w:rPr>
              <w:t>重大慢性病过早死亡率（%）</w:t>
            </w:r>
          </w:p>
        </w:tc>
        <w:tc>
          <w:tcPr>
            <w:tcW w:w="1020" w:type="dxa"/>
            <w:vAlign w:val="top"/>
          </w:tcPr>
          <w:p>
            <w:pPr>
              <w:spacing w:before="146" w:line="290" w:lineRule="exact"/>
              <w:ind w:left="395"/>
              <w:rPr>
                <w:rFonts w:hint="eastAsia" w:ascii="仿宋_GB2312" w:hAnsi="仿宋_GB2312" w:eastAsia="仿宋_GB2312" w:cs="仿宋_GB2312"/>
                <w:sz w:val="22"/>
                <w:szCs w:val="22"/>
              </w:rPr>
            </w:pPr>
            <w:r>
              <w:rPr>
                <w:rFonts w:hint="eastAsia" w:ascii="仿宋_GB2312" w:hAnsi="仿宋_GB2312" w:eastAsia="仿宋_GB2312" w:cs="仿宋_GB2312"/>
                <w:spacing w:val="-1"/>
                <w:position w:val="1"/>
                <w:sz w:val="22"/>
                <w:szCs w:val="22"/>
              </w:rPr>
              <w:t>&lt;10</w:t>
            </w:r>
          </w:p>
        </w:tc>
        <w:tc>
          <w:tcPr>
            <w:tcW w:w="1571" w:type="dxa"/>
            <w:vAlign w:val="top"/>
          </w:tcPr>
          <w:p>
            <w:pPr>
              <w:spacing w:before="146" w:line="290" w:lineRule="exact"/>
              <w:ind w:left="615"/>
              <w:rPr>
                <w:rFonts w:hint="eastAsia" w:ascii="仿宋_GB2312" w:hAnsi="仿宋_GB2312" w:eastAsia="仿宋_GB2312" w:cs="仿宋_GB2312"/>
                <w:sz w:val="22"/>
                <w:szCs w:val="22"/>
              </w:rPr>
            </w:pPr>
            <w:r>
              <w:rPr>
                <w:rFonts w:hint="eastAsia" w:ascii="仿宋_GB2312" w:hAnsi="仿宋_GB2312" w:eastAsia="仿宋_GB2312" w:cs="仿宋_GB2312"/>
                <w:spacing w:val="-1"/>
                <w:position w:val="1"/>
                <w:sz w:val="22"/>
                <w:szCs w:val="22"/>
              </w:rPr>
              <w:t>&lt;10</w:t>
            </w:r>
          </w:p>
        </w:tc>
        <w:tc>
          <w:tcPr>
            <w:tcW w:w="994" w:type="dxa"/>
            <w:vAlign w:val="top"/>
          </w:tcPr>
          <w:p>
            <w:pPr>
              <w:pStyle w:val="11"/>
              <w:spacing w:before="178" w:line="222" w:lineRule="auto"/>
              <w:ind w:left="176"/>
              <w:rPr>
                <w:rFonts w:hint="eastAsia" w:ascii="仿宋_GB2312" w:hAnsi="仿宋_GB2312" w:eastAsia="仿宋_GB2312" w:cs="仿宋_GB2312"/>
              </w:rPr>
            </w:pPr>
            <w:r>
              <w:rPr>
                <w:rFonts w:hint="eastAsia" w:ascii="仿宋_GB2312" w:hAnsi="仿宋_GB2312" w:eastAsia="仿宋_GB2312" w:cs="仿宋_GB2312"/>
                <w:spacing w:val="-3"/>
              </w:rPr>
              <w:t>预期性</w:t>
            </w:r>
          </w:p>
        </w:tc>
        <w:tc>
          <w:tcPr>
            <w:tcW w:w="1796" w:type="dxa"/>
            <w:vAlign w:val="top"/>
          </w:tcPr>
          <w:p>
            <w:pPr>
              <w:pStyle w:val="11"/>
              <w:spacing w:before="179" w:line="221" w:lineRule="auto"/>
              <w:ind w:left="247"/>
              <w:rPr>
                <w:rFonts w:hint="eastAsia" w:ascii="仿宋_GB2312" w:hAnsi="仿宋_GB2312" w:eastAsia="仿宋_GB2312" w:cs="仿宋_GB2312"/>
                <w:lang w:eastAsia="zh-CN"/>
              </w:rPr>
            </w:pPr>
            <w:r>
              <w:rPr>
                <w:rFonts w:hint="eastAsia" w:ascii="仿宋_GB2312" w:hAnsi="仿宋_GB2312" w:eastAsia="仿宋_GB2312" w:cs="仿宋_GB2312"/>
                <w:spacing w:val="-2"/>
                <w:lang w:val="en-US" w:eastAsia="zh-CN"/>
              </w:rPr>
              <w:t>应急科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jc w:val="center"/>
        </w:trPr>
        <w:tc>
          <w:tcPr>
            <w:tcW w:w="708" w:type="dxa"/>
            <w:vAlign w:val="top"/>
          </w:tcPr>
          <w:p>
            <w:pPr>
              <w:spacing w:before="248" w:line="186" w:lineRule="auto"/>
              <w:ind w:left="307"/>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5</w:t>
            </w:r>
          </w:p>
        </w:tc>
        <w:tc>
          <w:tcPr>
            <w:tcW w:w="3107" w:type="dxa"/>
            <w:gridSpan w:val="2"/>
            <w:vAlign w:val="top"/>
          </w:tcPr>
          <w:p>
            <w:pPr>
              <w:pStyle w:val="11"/>
              <w:spacing w:before="58" w:line="231" w:lineRule="auto"/>
              <w:ind w:left="20" w:firstLine="50"/>
              <w:rPr>
                <w:rFonts w:hint="eastAsia" w:ascii="仿宋_GB2312" w:hAnsi="仿宋_GB2312" w:eastAsia="仿宋_GB2312" w:cs="仿宋_GB2312"/>
              </w:rPr>
            </w:pPr>
            <w:r>
              <w:rPr>
                <w:rFonts w:hint="eastAsia" w:ascii="仿宋_GB2312" w:hAnsi="仿宋_GB2312" w:eastAsia="仿宋_GB2312" w:cs="仿宋_GB2312"/>
                <w:spacing w:val="-7"/>
              </w:rPr>
              <w:t>城乡居民达到《国民体质测定</w:t>
            </w:r>
            <w:r>
              <w:rPr>
                <w:rFonts w:hint="eastAsia" w:ascii="仿宋_GB2312" w:hAnsi="仿宋_GB2312" w:eastAsia="仿宋_GB2312" w:cs="仿宋_GB2312"/>
                <w:spacing w:val="-20"/>
              </w:rPr>
              <w:t>标准》良好以上的人数比例（%）</w:t>
            </w:r>
          </w:p>
        </w:tc>
        <w:tc>
          <w:tcPr>
            <w:tcW w:w="1020" w:type="dxa"/>
            <w:vAlign w:val="top"/>
          </w:tcPr>
          <w:p>
            <w:pPr>
              <w:spacing w:before="174" w:line="290" w:lineRule="exact"/>
              <w:ind w:left="289"/>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pacing w:val="-2"/>
                <w:position w:val="2"/>
                <w:sz w:val="22"/>
                <w:szCs w:val="22"/>
                <w:lang w:val="en-US" w:eastAsia="zh-CN"/>
              </w:rPr>
              <w:t>49.6</w:t>
            </w:r>
          </w:p>
        </w:tc>
        <w:tc>
          <w:tcPr>
            <w:tcW w:w="1571" w:type="dxa"/>
            <w:vAlign w:val="top"/>
          </w:tcPr>
          <w:p>
            <w:pPr>
              <w:pStyle w:val="11"/>
              <w:spacing w:before="174" w:line="290" w:lineRule="exact"/>
              <w:ind w:left="574"/>
              <w:rPr>
                <w:rFonts w:hint="eastAsia" w:ascii="仿宋_GB2312" w:hAnsi="仿宋_GB2312" w:eastAsia="仿宋_GB2312" w:cs="仿宋_GB2312"/>
              </w:rPr>
            </w:pPr>
            <w:r>
              <w:rPr>
                <w:rFonts w:hint="eastAsia" w:ascii="仿宋_GB2312" w:hAnsi="仿宋_GB2312" w:eastAsia="仿宋_GB2312" w:cs="仿宋_GB2312"/>
                <w:spacing w:val="23"/>
                <w:position w:val="1"/>
              </w:rPr>
              <w:t>51</w:t>
            </w:r>
          </w:p>
        </w:tc>
        <w:tc>
          <w:tcPr>
            <w:tcW w:w="994" w:type="dxa"/>
            <w:vAlign w:val="top"/>
          </w:tcPr>
          <w:p>
            <w:pPr>
              <w:pStyle w:val="11"/>
              <w:spacing w:before="206" w:line="222" w:lineRule="auto"/>
              <w:ind w:left="176"/>
              <w:rPr>
                <w:rFonts w:hint="eastAsia" w:ascii="仿宋_GB2312" w:hAnsi="仿宋_GB2312" w:eastAsia="仿宋_GB2312" w:cs="仿宋_GB2312"/>
              </w:rPr>
            </w:pPr>
            <w:r>
              <w:rPr>
                <w:rFonts w:hint="eastAsia" w:ascii="仿宋_GB2312" w:hAnsi="仿宋_GB2312" w:eastAsia="仿宋_GB2312" w:cs="仿宋_GB2312"/>
                <w:spacing w:val="-3"/>
              </w:rPr>
              <w:t>预期性</w:t>
            </w:r>
          </w:p>
        </w:tc>
        <w:tc>
          <w:tcPr>
            <w:tcW w:w="1796" w:type="dxa"/>
            <w:vAlign w:val="top"/>
          </w:tcPr>
          <w:p>
            <w:pPr>
              <w:pStyle w:val="11"/>
              <w:spacing w:before="179" w:line="221" w:lineRule="auto"/>
              <w:ind w:left="247"/>
              <w:rPr>
                <w:rFonts w:hint="eastAsia" w:ascii="仿宋_GB2312" w:hAnsi="仿宋_GB2312" w:eastAsia="仿宋_GB2312" w:cs="仿宋_GB2312"/>
                <w:lang w:val="en-US" w:eastAsia="zh-CN"/>
              </w:rPr>
            </w:pPr>
            <w:bookmarkStart w:id="2" w:name="OLE_LINK10"/>
            <w:r>
              <w:rPr>
                <w:rFonts w:hint="eastAsia" w:ascii="仿宋_GB2312" w:hAnsi="仿宋_GB2312" w:eastAsia="仿宋_GB2312" w:cs="仿宋_GB2312"/>
                <w:spacing w:val="-3"/>
                <w:lang w:val="en-US" w:eastAsia="zh-CN"/>
              </w:rPr>
              <w:t>市</w:t>
            </w:r>
            <w:bookmarkEnd w:id="2"/>
            <w:r>
              <w:rPr>
                <w:rFonts w:hint="eastAsia" w:ascii="仿宋_GB2312" w:hAnsi="仿宋_GB2312" w:eastAsia="仿宋_GB2312" w:cs="仿宋_GB2312"/>
                <w:spacing w:val="-3"/>
                <w:lang w:val="en-US" w:eastAsia="zh-CN"/>
              </w:rPr>
              <w:t>文广旅体局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9196" w:type="dxa"/>
            <w:gridSpan w:val="7"/>
            <w:vAlign w:val="top"/>
          </w:tcPr>
          <w:p>
            <w:pPr>
              <w:spacing w:before="180" w:line="225" w:lineRule="auto"/>
              <w:ind w:left="27"/>
              <w:rPr>
                <w:rFonts w:ascii="黑体" w:hAnsi="黑体" w:eastAsia="黑体" w:cs="黑体"/>
                <w:sz w:val="22"/>
                <w:szCs w:val="22"/>
              </w:rPr>
            </w:pPr>
            <w:r>
              <w:rPr>
                <w:rFonts w:ascii="黑体" w:hAnsi="黑体" w:eastAsia="黑体" w:cs="黑体"/>
                <w:spacing w:val="-2"/>
                <w:sz w:val="22"/>
                <w:szCs w:val="22"/>
              </w:rPr>
              <w:t>二、健康生活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708" w:type="dxa"/>
            <w:vAlign w:val="top"/>
          </w:tcPr>
          <w:p>
            <w:pPr>
              <w:spacing w:before="145" w:line="290" w:lineRule="exact"/>
              <w:ind w:left="305"/>
              <w:rPr>
                <w:rFonts w:hint="eastAsia" w:ascii="仿宋_GB2312" w:hAnsi="仿宋_GB2312" w:eastAsia="仿宋_GB2312" w:cs="仿宋_GB2312"/>
                <w:sz w:val="22"/>
                <w:szCs w:val="22"/>
              </w:rPr>
            </w:pPr>
            <w:r>
              <w:rPr>
                <w:rFonts w:hint="eastAsia" w:ascii="仿宋_GB2312" w:hAnsi="仿宋_GB2312" w:eastAsia="仿宋_GB2312" w:cs="仿宋_GB2312"/>
                <w:position w:val="1"/>
                <w:sz w:val="22"/>
                <w:szCs w:val="22"/>
              </w:rPr>
              <w:t>6</w:t>
            </w:r>
          </w:p>
        </w:tc>
        <w:tc>
          <w:tcPr>
            <w:tcW w:w="3107" w:type="dxa"/>
            <w:gridSpan w:val="2"/>
            <w:vAlign w:val="top"/>
          </w:tcPr>
          <w:p>
            <w:pPr>
              <w:pStyle w:val="11"/>
              <w:spacing w:before="145" w:line="290" w:lineRule="exact"/>
              <w:ind w:left="313"/>
              <w:rPr>
                <w:rFonts w:hint="eastAsia" w:ascii="仿宋_GB2312" w:hAnsi="仿宋_GB2312" w:eastAsia="仿宋_GB2312" w:cs="仿宋_GB2312"/>
              </w:rPr>
            </w:pPr>
            <w:r>
              <w:rPr>
                <w:rFonts w:hint="eastAsia" w:ascii="仿宋_GB2312" w:hAnsi="仿宋_GB2312" w:eastAsia="仿宋_GB2312" w:cs="仿宋_GB2312"/>
                <w:spacing w:val="-1"/>
                <w:position w:val="1"/>
              </w:rPr>
              <w:t>居民健康素养水平（%）</w:t>
            </w:r>
          </w:p>
        </w:tc>
        <w:tc>
          <w:tcPr>
            <w:tcW w:w="1020" w:type="dxa"/>
            <w:vAlign w:val="top"/>
          </w:tcPr>
          <w:p>
            <w:pPr>
              <w:spacing w:before="145" w:line="290" w:lineRule="exact"/>
              <w:ind w:left="323"/>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pacing w:val="-2"/>
                <w:position w:val="1"/>
                <w:sz w:val="22"/>
                <w:szCs w:val="22"/>
              </w:rPr>
              <w:t>3</w:t>
            </w:r>
            <w:r>
              <w:rPr>
                <w:rFonts w:hint="eastAsia" w:ascii="仿宋_GB2312" w:hAnsi="仿宋_GB2312" w:eastAsia="仿宋_GB2312" w:cs="仿宋_GB2312"/>
                <w:spacing w:val="-2"/>
                <w:position w:val="1"/>
                <w:sz w:val="22"/>
                <w:szCs w:val="22"/>
                <w:lang w:val="en-US" w:eastAsia="zh-CN"/>
              </w:rPr>
              <w:t>7</w:t>
            </w:r>
            <w:r>
              <w:rPr>
                <w:rFonts w:hint="eastAsia" w:ascii="仿宋_GB2312" w:hAnsi="仿宋_GB2312" w:eastAsia="仿宋_GB2312" w:cs="仿宋_GB2312"/>
                <w:spacing w:val="-2"/>
                <w:position w:val="1"/>
                <w:sz w:val="22"/>
                <w:szCs w:val="22"/>
              </w:rPr>
              <w:t>.</w:t>
            </w:r>
            <w:r>
              <w:rPr>
                <w:rFonts w:hint="eastAsia" w:ascii="仿宋_GB2312" w:hAnsi="仿宋_GB2312" w:eastAsia="仿宋_GB2312" w:cs="仿宋_GB2312"/>
                <w:spacing w:val="-2"/>
                <w:position w:val="1"/>
                <w:sz w:val="22"/>
                <w:szCs w:val="22"/>
                <w:lang w:val="en-US" w:eastAsia="zh-CN"/>
              </w:rPr>
              <w:t>27</w:t>
            </w:r>
          </w:p>
        </w:tc>
        <w:tc>
          <w:tcPr>
            <w:tcW w:w="1571" w:type="dxa"/>
            <w:vAlign w:val="top"/>
          </w:tcPr>
          <w:p>
            <w:pPr>
              <w:spacing w:before="145" w:line="290" w:lineRule="exact"/>
              <w:ind w:left="677"/>
              <w:rPr>
                <w:rFonts w:hint="eastAsia" w:ascii="仿宋_GB2312" w:hAnsi="仿宋_GB2312" w:eastAsia="仿宋_GB2312" w:cs="仿宋_GB2312"/>
                <w:sz w:val="22"/>
                <w:szCs w:val="22"/>
              </w:rPr>
            </w:pPr>
            <w:r>
              <w:rPr>
                <w:rFonts w:hint="eastAsia" w:ascii="仿宋_GB2312" w:hAnsi="仿宋_GB2312" w:eastAsia="仿宋_GB2312" w:cs="仿宋_GB2312"/>
                <w:spacing w:val="-2"/>
                <w:position w:val="1"/>
                <w:sz w:val="22"/>
                <w:szCs w:val="22"/>
              </w:rPr>
              <w:t>40</w:t>
            </w:r>
          </w:p>
        </w:tc>
        <w:tc>
          <w:tcPr>
            <w:tcW w:w="994" w:type="dxa"/>
            <w:vAlign w:val="top"/>
          </w:tcPr>
          <w:p>
            <w:pPr>
              <w:pStyle w:val="11"/>
              <w:spacing w:before="179" w:line="222" w:lineRule="auto"/>
              <w:ind w:left="176"/>
              <w:rPr>
                <w:rFonts w:hint="eastAsia" w:ascii="仿宋_GB2312" w:hAnsi="仿宋_GB2312" w:eastAsia="仿宋_GB2312" w:cs="仿宋_GB2312"/>
              </w:rPr>
            </w:pPr>
            <w:r>
              <w:rPr>
                <w:rFonts w:hint="eastAsia" w:ascii="仿宋_GB2312" w:hAnsi="仿宋_GB2312" w:eastAsia="仿宋_GB2312" w:cs="仿宋_GB2312"/>
                <w:spacing w:val="-3"/>
              </w:rPr>
              <w:t>预期性</w:t>
            </w:r>
          </w:p>
        </w:tc>
        <w:tc>
          <w:tcPr>
            <w:tcW w:w="1796" w:type="dxa"/>
            <w:vAlign w:val="top"/>
          </w:tcPr>
          <w:p>
            <w:pPr>
              <w:pStyle w:val="11"/>
              <w:spacing w:before="180" w:line="221" w:lineRule="auto"/>
              <w:ind w:left="247"/>
              <w:rPr>
                <w:rFonts w:hint="eastAsia" w:ascii="仿宋_GB2312" w:hAnsi="仿宋_GB2312" w:eastAsia="仿宋_GB2312" w:cs="仿宋_GB2312"/>
                <w:lang w:val="en-US" w:eastAsia="zh-CN"/>
              </w:rPr>
            </w:pPr>
            <w:r>
              <w:rPr>
                <w:rFonts w:hint="eastAsia" w:ascii="仿宋_GB2312" w:hAnsi="仿宋_GB2312" w:eastAsia="仿宋_GB2312" w:cs="仿宋_GB2312"/>
                <w:spacing w:val="-2"/>
                <w:lang w:val="en-US" w:eastAsia="zh-CN"/>
              </w:rPr>
              <w:t>职宣科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jc w:val="center"/>
        </w:trPr>
        <w:tc>
          <w:tcPr>
            <w:tcW w:w="708" w:type="dxa"/>
            <w:vAlign w:val="top"/>
          </w:tcPr>
          <w:p>
            <w:pPr>
              <w:spacing w:before="249" w:line="186" w:lineRule="auto"/>
              <w:ind w:left="304"/>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7</w:t>
            </w:r>
          </w:p>
        </w:tc>
        <w:tc>
          <w:tcPr>
            <w:tcW w:w="3107" w:type="dxa"/>
            <w:gridSpan w:val="2"/>
            <w:vAlign w:val="top"/>
          </w:tcPr>
          <w:p>
            <w:pPr>
              <w:pStyle w:val="11"/>
              <w:spacing w:before="59" w:line="221" w:lineRule="auto"/>
              <w:ind w:left="184"/>
              <w:rPr>
                <w:rFonts w:hint="eastAsia" w:ascii="仿宋_GB2312" w:hAnsi="仿宋_GB2312" w:eastAsia="仿宋_GB2312" w:cs="仿宋_GB2312"/>
              </w:rPr>
            </w:pPr>
            <w:r>
              <w:rPr>
                <w:rFonts w:hint="eastAsia" w:ascii="仿宋_GB2312" w:hAnsi="仿宋_GB2312" w:eastAsia="仿宋_GB2312" w:cs="仿宋_GB2312"/>
                <w:spacing w:val="-1"/>
              </w:rPr>
              <w:t>经常参加体育锻炼人数比例</w:t>
            </w:r>
          </w:p>
          <w:p>
            <w:pPr>
              <w:pStyle w:val="11"/>
              <w:spacing w:before="2" w:line="238" w:lineRule="auto"/>
              <w:ind w:left="1197"/>
              <w:rPr>
                <w:rFonts w:hint="eastAsia" w:ascii="仿宋_GB2312" w:hAnsi="仿宋_GB2312" w:eastAsia="仿宋_GB2312" w:cs="仿宋_GB2312"/>
              </w:rPr>
            </w:pPr>
            <w:r>
              <w:rPr>
                <w:rFonts w:hint="eastAsia" w:ascii="仿宋_GB2312" w:hAnsi="仿宋_GB2312" w:eastAsia="仿宋_GB2312" w:cs="仿宋_GB2312"/>
                <w:spacing w:val="-5"/>
              </w:rPr>
              <w:t>（%）</w:t>
            </w:r>
          </w:p>
        </w:tc>
        <w:tc>
          <w:tcPr>
            <w:tcW w:w="1020" w:type="dxa"/>
            <w:vAlign w:val="top"/>
          </w:tcPr>
          <w:p>
            <w:pPr>
              <w:spacing w:before="176" w:line="290" w:lineRule="exact"/>
              <w:ind w:left="373"/>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pacing w:val="-1"/>
                <w:position w:val="1"/>
                <w:sz w:val="22"/>
                <w:szCs w:val="22"/>
                <w:lang w:val="en-US" w:eastAsia="zh-CN"/>
              </w:rPr>
              <w:t>36.3</w:t>
            </w:r>
          </w:p>
        </w:tc>
        <w:tc>
          <w:tcPr>
            <w:tcW w:w="1571" w:type="dxa"/>
            <w:vAlign w:val="top"/>
          </w:tcPr>
          <w:p>
            <w:pPr>
              <w:spacing w:before="176" w:line="290" w:lineRule="exact"/>
              <w:ind w:left="677"/>
              <w:rPr>
                <w:rFonts w:hint="eastAsia" w:ascii="仿宋_GB2312" w:hAnsi="仿宋_GB2312" w:eastAsia="仿宋_GB2312" w:cs="仿宋_GB2312"/>
                <w:sz w:val="22"/>
                <w:szCs w:val="22"/>
              </w:rPr>
            </w:pPr>
            <w:r>
              <w:rPr>
                <w:rFonts w:hint="eastAsia" w:ascii="仿宋_GB2312" w:hAnsi="仿宋_GB2312" w:eastAsia="仿宋_GB2312" w:cs="仿宋_GB2312"/>
                <w:spacing w:val="-2"/>
                <w:position w:val="1"/>
                <w:sz w:val="22"/>
                <w:szCs w:val="22"/>
              </w:rPr>
              <w:t>44</w:t>
            </w:r>
          </w:p>
        </w:tc>
        <w:tc>
          <w:tcPr>
            <w:tcW w:w="994" w:type="dxa"/>
            <w:vAlign w:val="top"/>
          </w:tcPr>
          <w:p>
            <w:pPr>
              <w:pStyle w:val="11"/>
              <w:spacing w:before="208" w:line="222" w:lineRule="auto"/>
              <w:ind w:left="176"/>
              <w:rPr>
                <w:rFonts w:hint="eastAsia" w:ascii="仿宋_GB2312" w:hAnsi="仿宋_GB2312" w:eastAsia="仿宋_GB2312" w:cs="仿宋_GB2312"/>
              </w:rPr>
            </w:pPr>
            <w:r>
              <w:rPr>
                <w:rFonts w:hint="eastAsia" w:ascii="仿宋_GB2312" w:hAnsi="仿宋_GB2312" w:eastAsia="仿宋_GB2312" w:cs="仿宋_GB2312"/>
                <w:spacing w:val="-3"/>
              </w:rPr>
              <w:t>预期性</w:t>
            </w:r>
          </w:p>
        </w:tc>
        <w:tc>
          <w:tcPr>
            <w:tcW w:w="1796" w:type="dxa"/>
            <w:vAlign w:val="top"/>
          </w:tcPr>
          <w:p>
            <w:pPr>
              <w:pStyle w:val="11"/>
              <w:spacing w:before="179" w:line="221" w:lineRule="auto"/>
              <w:ind w:left="247"/>
              <w:rPr>
                <w:rFonts w:hint="eastAsia" w:ascii="仿宋_GB2312" w:hAnsi="仿宋_GB2312" w:eastAsia="仿宋_GB2312" w:cs="仿宋_GB2312"/>
              </w:rPr>
            </w:pPr>
            <w:r>
              <w:rPr>
                <w:rFonts w:hint="eastAsia" w:ascii="仿宋_GB2312" w:hAnsi="仿宋_GB2312" w:eastAsia="仿宋_GB2312" w:cs="仿宋_GB2312"/>
                <w:spacing w:val="-3"/>
                <w:lang w:val="en-US" w:eastAsia="zh-CN"/>
              </w:rPr>
              <w:t>市文广旅体局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jc w:val="center"/>
        </w:trPr>
        <w:tc>
          <w:tcPr>
            <w:tcW w:w="708" w:type="dxa"/>
            <w:vAlign w:val="top"/>
          </w:tcPr>
          <w:p>
            <w:pPr>
              <w:spacing w:before="147" w:line="290" w:lineRule="exact"/>
              <w:ind w:left="309"/>
              <w:rPr>
                <w:rFonts w:hint="eastAsia" w:ascii="仿宋_GB2312" w:hAnsi="仿宋_GB2312" w:eastAsia="仿宋_GB2312" w:cs="仿宋_GB2312"/>
                <w:sz w:val="22"/>
                <w:szCs w:val="22"/>
              </w:rPr>
            </w:pPr>
            <w:r>
              <w:rPr>
                <w:rFonts w:hint="eastAsia" w:ascii="仿宋_GB2312" w:hAnsi="仿宋_GB2312" w:eastAsia="仿宋_GB2312" w:cs="仿宋_GB2312"/>
                <w:position w:val="1"/>
                <w:sz w:val="22"/>
                <w:szCs w:val="22"/>
              </w:rPr>
              <w:t>8</w:t>
            </w:r>
          </w:p>
        </w:tc>
        <w:tc>
          <w:tcPr>
            <w:tcW w:w="3107" w:type="dxa"/>
            <w:gridSpan w:val="2"/>
            <w:vAlign w:val="top"/>
          </w:tcPr>
          <w:p>
            <w:pPr>
              <w:pStyle w:val="11"/>
              <w:spacing w:before="147" w:line="290" w:lineRule="exact"/>
              <w:ind w:left="421"/>
              <w:rPr>
                <w:rFonts w:hint="eastAsia" w:ascii="仿宋_GB2312" w:hAnsi="仿宋_GB2312" w:eastAsia="仿宋_GB2312" w:cs="仿宋_GB2312"/>
              </w:rPr>
            </w:pPr>
            <w:r>
              <w:rPr>
                <w:rFonts w:hint="eastAsia" w:ascii="仿宋_GB2312" w:hAnsi="仿宋_GB2312" w:eastAsia="仿宋_GB2312" w:cs="仿宋_GB2312"/>
                <w:spacing w:val="-1"/>
                <w:position w:val="1"/>
              </w:rPr>
              <w:t>成人肥胖增长率（%）</w:t>
            </w:r>
          </w:p>
        </w:tc>
        <w:tc>
          <w:tcPr>
            <w:tcW w:w="1020" w:type="dxa"/>
            <w:vAlign w:val="top"/>
          </w:tcPr>
          <w:p>
            <w:pPr>
              <w:spacing w:line="247" w:lineRule="auto"/>
              <w:rPr>
                <w:rFonts w:hint="eastAsia" w:ascii="仿宋_GB2312" w:hAnsi="仿宋_GB2312" w:eastAsia="仿宋_GB2312" w:cs="仿宋_GB2312"/>
                <w:sz w:val="21"/>
              </w:rPr>
            </w:pPr>
          </w:p>
          <w:p>
            <w:pPr>
              <w:spacing w:before="63" w:line="105" w:lineRule="exact"/>
              <w:ind w:left="341"/>
              <w:rPr>
                <w:rFonts w:hint="eastAsia" w:ascii="仿宋_GB2312" w:hAnsi="仿宋_GB2312" w:eastAsia="仿宋_GB2312" w:cs="仿宋_GB2312"/>
                <w:sz w:val="22"/>
                <w:szCs w:val="22"/>
              </w:rPr>
            </w:pPr>
            <w:r>
              <w:rPr>
                <w:rFonts w:hint="eastAsia" w:ascii="仿宋_GB2312" w:hAnsi="仿宋_GB2312" w:eastAsia="仿宋_GB2312" w:cs="仿宋_GB2312"/>
                <w:spacing w:val="2"/>
                <w:position w:val="-2"/>
                <w:sz w:val="22"/>
                <w:szCs w:val="22"/>
              </w:rPr>
              <w:t>——</w:t>
            </w:r>
          </w:p>
        </w:tc>
        <w:tc>
          <w:tcPr>
            <w:tcW w:w="1571" w:type="dxa"/>
            <w:vAlign w:val="top"/>
          </w:tcPr>
          <w:p>
            <w:pPr>
              <w:pStyle w:val="11"/>
              <w:spacing w:before="182" w:line="221" w:lineRule="auto"/>
              <w:ind w:left="354"/>
              <w:rPr>
                <w:rFonts w:hint="eastAsia" w:ascii="仿宋_GB2312" w:hAnsi="仿宋_GB2312" w:eastAsia="仿宋_GB2312" w:cs="仿宋_GB2312"/>
              </w:rPr>
            </w:pPr>
            <w:r>
              <w:rPr>
                <w:rFonts w:hint="eastAsia" w:ascii="仿宋_GB2312" w:hAnsi="仿宋_GB2312" w:eastAsia="仿宋_GB2312" w:cs="仿宋_GB2312"/>
                <w:spacing w:val="-3"/>
              </w:rPr>
              <w:t>持续减缓</w:t>
            </w:r>
          </w:p>
        </w:tc>
        <w:tc>
          <w:tcPr>
            <w:tcW w:w="994" w:type="dxa"/>
            <w:vAlign w:val="top"/>
          </w:tcPr>
          <w:p>
            <w:pPr>
              <w:pStyle w:val="11"/>
              <w:spacing w:before="181" w:line="222" w:lineRule="auto"/>
              <w:ind w:left="176"/>
              <w:rPr>
                <w:rFonts w:hint="eastAsia" w:ascii="仿宋_GB2312" w:hAnsi="仿宋_GB2312" w:eastAsia="仿宋_GB2312" w:cs="仿宋_GB2312"/>
              </w:rPr>
            </w:pPr>
            <w:r>
              <w:rPr>
                <w:rFonts w:hint="eastAsia" w:ascii="仿宋_GB2312" w:hAnsi="仿宋_GB2312" w:eastAsia="仿宋_GB2312" w:cs="仿宋_GB2312"/>
                <w:spacing w:val="-3"/>
              </w:rPr>
              <w:t>预期性</w:t>
            </w:r>
          </w:p>
        </w:tc>
        <w:tc>
          <w:tcPr>
            <w:tcW w:w="1796" w:type="dxa"/>
            <w:vAlign w:val="top"/>
          </w:tcPr>
          <w:p>
            <w:pPr>
              <w:pStyle w:val="11"/>
              <w:spacing w:before="182" w:line="221" w:lineRule="auto"/>
              <w:ind w:left="247"/>
              <w:rPr>
                <w:rFonts w:hint="eastAsia" w:ascii="仿宋_GB2312" w:hAnsi="仿宋_GB2312" w:eastAsia="仿宋_GB2312" w:cs="仿宋_GB2312"/>
              </w:rPr>
            </w:pPr>
            <w:r>
              <w:rPr>
                <w:rFonts w:hint="eastAsia" w:ascii="仿宋_GB2312" w:hAnsi="仿宋_GB2312" w:eastAsia="仿宋_GB2312" w:cs="仿宋_GB2312"/>
                <w:spacing w:val="-2"/>
                <w:lang w:val="en-US" w:eastAsia="zh-CN"/>
              </w:rPr>
              <w:t>应急科</w:t>
            </w:r>
          </w:p>
        </w:tc>
      </w:tr>
    </w:tbl>
    <w:p>
      <w:r>
        <w:br w:type="page"/>
      </w:r>
    </w:p>
    <w:p>
      <w:pPr>
        <w:spacing w:before="32"/>
      </w:pPr>
    </w:p>
    <w:tbl>
      <w:tblPr>
        <w:tblStyle w:val="10"/>
        <w:tblW w:w="919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8"/>
        <w:gridCol w:w="548"/>
        <w:gridCol w:w="2448"/>
        <w:gridCol w:w="1131"/>
        <w:gridCol w:w="1571"/>
        <w:gridCol w:w="994"/>
        <w:gridCol w:w="179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9196" w:type="dxa"/>
            <w:gridSpan w:val="7"/>
            <w:vAlign w:val="top"/>
          </w:tcPr>
          <w:p>
            <w:pPr>
              <w:spacing w:before="122" w:line="369" w:lineRule="exact"/>
              <w:ind w:left="2588"/>
              <w:rPr>
                <w:rFonts w:ascii="黑体" w:hAnsi="黑体" w:eastAsia="黑体" w:cs="黑体"/>
                <w:sz w:val="28"/>
                <w:szCs w:val="28"/>
              </w:rPr>
            </w:pPr>
            <w:r>
              <w:rPr>
                <w:rFonts w:ascii="黑体" w:hAnsi="黑体" w:eastAsia="黑体" w:cs="黑体"/>
                <w:spacing w:val="-11"/>
                <w:position w:val="1"/>
                <w:sz w:val="28"/>
                <w:szCs w:val="28"/>
              </w:rPr>
              <w:t xml:space="preserve">专栏 </w:t>
            </w:r>
            <w:r>
              <w:rPr>
                <w:rFonts w:ascii="Times New Roman" w:hAnsi="Times New Roman" w:eastAsia="Times New Roman" w:cs="Times New Roman"/>
                <w:spacing w:val="-11"/>
                <w:position w:val="1"/>
                <w:sz w:val="28"/>
                <w:szCs w:val="28"/>
              </w:rPr>
              <w:t>1 “</w:t>
            </w:r>
            <w:r>
              <w:rPr>
                <w:rFonts w:ascii="黑体" w:hAnsi="黑体" w:eastAsia="黑体" w:cs="黑体"/>
                <w:spacing w:val="-11"/>
                <w:position w:val="1"/>
                <w:sz w:val="28"/>
                <w:szCs w:val="28"/>
              </w:rPr>
              <w:t>十五五</w:t>
            </w:r>
            <w:r>
              <w:rPr>
                <w:rFonts w:ascii="Times New Roman" w:hAnsi="Times New Roman" w:eastAsia="Times New Roman" w:cs="Times New Roman"/>
                <w:spacing w:val="-11"/>
                <w:position w:val="1"/>
                <w:sz w:val="28"/>
                <w:szCs w:val="28"/>
              </w:rPr>
              <w:t>”</w:t>
            </w:r>
            <w:r>
              <w:rPr>
                <w:rFonts w:ascii="黑体" w:hAnsi="黑体" w:eastAsia="黑体" w:cs="黑体"/>
                <w:spacing w:val="-11"/>
                <w:position w:val="1"/>
                <w:sz w:val="28"/>
                <w:szCs w:val="28"/>
              </w:rPr>
              <w:t>时期主要发展指标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708" w:type="dxa"/>
            <w:vAlign w:val="top"/>
          </w:tcPr>
          <w:p>
            <w:pPr>
              <w:spacing w:before="211" w:line="223" w:lineRule="auto"/>
              <w:ind w:left="120"/>
              <w:rPr>
                <w:rFonts w:ascii="黑体" w:hAnsi="黑体" w:eastAsia="黑体" w:cs="黑体"/>
                <w:sz w:val="24"/>
                <w:szCs w:val="24"/>
              </w:rPr>
            </w:pPr>
            <w:r>
              <w:rPr>
                <w:rFonts w:ascii="黑体" w:hAnsi="黑体" w:eastAsia="黑体" w:cs="黑体"/>
                <w:spacing w:val="-5"/>
                <w:sz w:val="24"/>
                <w:szCs w:val="24"/>
              </w:rPr>
              <w:t>序号</w:t>
            </w:r>
          </w:p>
        </w:tc>
        <w:tc>
          <w:tcPr>
            <w:tcW w:w="2996" w:type="dxa"/>
            <w:gridSpan w:val="2"/>
            <w:vAlign w:val="top"/>
          </w:tcPr>
          <w:p>
            <w:pPr>
              <w:spacing w:before="211" w:line="223" w:lineRule="auto"/>
              <w:ind w:left="1262"/>
              <w:rPr>
                <w:rFonts w:ascii="黑体" w:hAnsi="黑体" w:eastAsia="黑体" w:cs="黑体"/>
                <w:sz w:val="24"/>
                <w:szCs w:val="24"/>
              </w:rPr>
            </w:pPr>
            <w:r>
              <w:rPr>
                <w:rFonts w:ascii="黑体" w:hAnsi="黑体" w:eastAsia="黑体" w:cs="黑体"/>
                <w:spacing w:val="-5"/>
                <w:sz w:val="24"/>
                <w:szCs w:val="24"/>
              </w:rPr>
              <w:t>指标</w:t>
            </w:r>
          </w:p>
        </w:tc>
        <w:tc>
          <w:tcPr>
            <w:tcW w:w="1131" w:type="dxa"/>
            <w:vAlign w:val="top"/>
          </w:tcPr>
          <w:p>
            <w:pPr>
              <w:spacing w:before="176" w:line="361" w:lineRule="exact"/>
              <w:ind w:left="178"/>
              <w:rPr>
                <w:rFonts w:ascii="黑体" w:hAnsi="黑体" w:eastAsia="黑体" w:cs="黑体"/>
                <w:sz w:val="24"/>
                <w:szCs w:val="24"/>
              </w:rPr>
            </w:pPr>
            <w:r>
              <w:rPr>
                <w:rFonts w:ascii="Times New Roman" w:hAnsi="Times New Roman" w:eastAsia="Times New Roman" w:cs="Times New Roman"/>
                <w:spacing w:val="-2"/>
                <w:position w:val="2"/>
                <w:sz w:val="24"/>
                <w:szCs w:val="24"/>
              </w:rPr>
              <w:t>2025</w:t>
            </w:r>
            <w:r>
              <w:rPr>
                <w:rFonts w:ascii="黑体" w:hAnsi="黑体" w:eastAsia="黑体" w:cs="黑体"/>
                <w:spacing w:val="-2"/>
                <w:position w:val="2"/>
                <w:sz w:val="24"/>
                <w:szCs w:val="24"/>
              </w:rPr>
              <w:t>年</w:t>
            </w:r>
          </w:p>
        </w:tc>
        <w:tc>
          <w:tcPr>
            <w:tcW w:w="1571" w:type="dxa"/>
            <w:vAlign w:val="top"/>
          </w:tcPr>
          <w:p>
            <w:pPr>
              <w:spacing w:before="176" w:line="361" w:lineRule="exact"/>
              <w:ind w:left="38"/>
              <w:rPr>
                <w:rFonts w:ascii="黑体" w:hAnsi="黑体" w:eastAsia="黑体" w:cs="黑体"/>
                <w:sz w:val="24"/>
                <w:szCs w:val="24"/>
              </w:rPr>
            </w:pPr>
            <w:r>
              <w:rPr>
                <w:rFonts w:ascii="Times New Roman" w:hAnsi="Times New Roman" w:eastAsia="Times New Roman" w:cs="Times New Roman"/>
                <w:spacing w:val="-1"/>
                <w:position w:val="2"/>
                <w:sz w:val="24"/>
                <w:szCs w:val="24"/>
              </w:rPr>
              <w:t>2030</w:t>
            </w:r>
            <w:r>
              <w:rPr>
                <w:rFonts w:ascii="黑体" w:hAnsi="黑体" w:eastAsia="黑体" w:cs="黑体"/>
                <w:spacing w:val="-1"/>
                <w:position w:val="2"/>
                <w:sz w:val="24"/>
                <w:szCs w:val="24"/>
              </w:rPr>
              <w:t>年目标值</w:t>
            </w:r>
          </w:p>
        </w:tc>
        <w:tc>
          <w:tcPr>
            <w:tcW w:w="994" w:type="dxa"/>
            <w:vAlign w:val="top"/>
          </w:tcPr>
          <w:p>
            <w:pPr>
              <w:spacing w:before="211" w:line="222" w:lineRule="auto"/>
              <w:ind w:left="264"/>
              <w:rPr>
                <w:rFonts w:ascii="黑体" w:hAnsi="黑体" w:eastAsia="黑体" w:cs="黑体"/>
                <w:sz w:val="24"/>
                <w:szCs w:val="24"/>
              </w:rPr>
            </w:pPr>
            <w:r>
              <w:rPr>
                <w:rFonts w:ascii="黑体" w:hAnsi="黑体" w:eastAsia="黑体" w:cs="黑体"/>
                <w:spacing w:val="-5"/>
                <w:sz w:val="24"/>
                <w:szCs w:val="24"/>
              </w:rPr>
              <w:t>属性</w:t>
            </w:r>
          </w:p>
        </w:tc>
        <w:tc>
          <w:tcPr>
            <w:tcW w:w="1796" w:type="dxa"/>
            <w:vAlign w:val="top"/>
          </w:tcPr>
          <w:p>
            <w:pPr>
              <w:spacing w:before="211" w:line="221" w:lineRule="auto"/>
              <w:ind w:left="429"/>
              <w:rPr>
                <w:rFonts w:ascii="黑体" w:hAnsi="黑体" w:eastAsia="黑体" w:cs="黑体"/>
                <w:sz w:val="24"/>
                <w:szCs w:val="24"/>
              </w:rPr>
            </w:pPr>
            <w:r>
              <w:rPr>
                <w:rFonts w:ascii="黑体" w:hAnsi="黑体" w:eastAsia="黑体" w:cs="黑体"/>
                <w:spacing w:val="-4"/>
                <w:sz w:val="24"/>
                <w:szCs w:val="24"/>
              </w:rPr>
              <w:t>责任单位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9196" w:type="dxa"/>
            <w:gridSpan w:val="7"/>
            <w:vAlign w:val="top"/>
          </w:tcPr>
          <w:p>
            <w:pPr>
              <w:spacing w:before="178" w:line="222" w:lineRule="auto"/>
              <w:ind w:left="28"/>
              <w:rPr>
                <w:rFonts w:ascii="黑体" w:hAnsi="黑体" w:eastAsia="黑体" w:cs="黑体"/>
                <w:sz w:val="22"/>
                <w:szCs w:val="22"/>
              </w:rPr>
            </w:pPr>
            <w:r>
              <w:rPr>
                <w:rFonts w:ascii="黑体" w:hAnsi="黑体" w:eastAsia="黑体" w:cs="黑体"/>
                <w:spacing w:val="-2"/>
                <w:sz w:val="22"/>
                <w:szCs w:val="22"/>
              </w:rPr>
              <w:t>三、健康服务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708" w:type="dxa"/>
            <w:vMerge w:val="restart"/>
            <w:tcBorders>
              <w:bottom w:val="nil"/>
            </w:tcBorders>
            <w:vAlign w:val="top"/>
          </w:tcPr>
          <w:p>
            <w:pPr>
              <w:spacing w:line="280" w:lineRule="auto"/>
              <w:rPr>
                <w:rFonts w:hint="eastAsia" w:ascii="仿宋_GB2312" w:hAnsi="仿宋_GB2312" w:eastAsia="仿宋_GB2312" w:cs="仿宋_GB2312"/>
                <w:color w:val="auto"/>
                <w:sz w:val="21"/>
                <w:highlight w:val="none"/>
              </w:rPr>
            </w:pPr>
          </w:p>
          <w:p>
            <w:pPr>
              <w:spacing w:line="281" w:lineRule="auto"/>
              <w:rPr>
                <w:rFonts w:hint="eastAsia" w:ascii="仿宋_GB2312" w:hAnsi="仿宋_GB2312" w:eastAsia="仿宋_GB2312" w:cs="仿宋_GB2312"/>
                <w:color w:val="auto"/>
                <w:sz w:val="21"/>
                <w:highlight w:val="none"/>
              </w:rPr>
            </w:pPr>
          </w:p>
          <w:p>
            <w:pPr>
              <w:spacing w:before="63" w:line="290" w:lineRule="exact"/>
              <w:ind w:left="305"/>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position w:val="1"/>
                <w:sz w:val="22"/>
                <w:szCs w:val="22"/>
                <w:highlight w:val="none"/>
              </w:rPr>
              <w:t>9</w:t>
            </w:r>
          </w:p>
        </w:tc>
        <w:tc>
          <w:tcPr>
            <w:tcW w:w="548" w:type="dxa"/>
            <w:vMerge w:val="restart"/>
            <w:tcBorders>
              <w:bottom w:val="nil"/>
            </w:tcBorders>
            <w:vAlign w:val="top"/>
          </w:tcPr>
          <w:p>
            <w:pPr>
              <w:pStyle w:val="11"/>
              <w:spacing w:before="62" w:line="221" w:lineRule="auto"/>
              <w:ind w:left="57"/>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4"/>
                <w:highlight w:val="none"/>
              </w:rPr>
              <w:t>每千</w:t>
            </w:r>
          </w:p>
          <w:p>
            <w:pPr>
              <w:pStyle w:val="11"/>
              <w:spacing w:before="36" w:line="224" w:lineRule="auto"/>
              <w:ind w:left="59"/>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5"/>
                <w:highlight w:val="none"/>
              </w:rPr>
              <w:t>人口</w:t>
            </w:r>
          </w:p>
          <w:p>
            <w:pPr>
              <w:pStyle w:val="11"/>
              <w:spacing w:before="32" w:line="222" w:lineRule="auto"/>
              <w:ind w:left="68"/>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9"/>
                <w:highlight w:val="none"/>
              </w:rPr>
              <w:t>医护</w:t>
            </w:r>
          </w:p>
          <w:p>
            <w:pPr>
              <w:pStyle w:val="11"/>
              <w:spacing w:before="36" w:line="233" w:lineRule="auto"/>
              <w:ind w:left="169" w:right="52" w:hanging="11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5"/>
                <w:highlight w:val="none"/>
              </w:rPr>
              <w:t>人员</w:t>
            </w:r>
            <w:r>
              <w:rPr>
                <w:rFonts w:hint="eastAsia" w:ascii="仿宋_GB2312" w:hAnsi="仿宋_GB2312" w:eastAsia="仿宋_GB2312" w:cs="仿宋_GB2312"/>
                <w:color w:val="auto"/>
                <w:highlight w:val="none"/>
              </w:rPr>
              <w:t>数</w:t>
            </w:r>
          </w:p>
        </w:tc>
        <w:tc>
          <w:tcPr>
            <w:tcW w:w="2448" w:type="dxa"/>
            <w:vAlign w:val="top"/>
          </w:tcPr>
          <w:p>
            <w:pPr>
              <w:pStyle w:val="11"/>
              <w:spacing w:before="199" w:line="221" w:lineRule="auto"/>
              <w:jc w:val="center"/>
              <w:rPr>
                <w:rFonts w:hint="eastAsia" w:ascii="仿宋_GB2312" w:hAnsi="仿宋_GB2312" w:eastAsia="仿宋_GB2312" w:cs="仿宋_GB2312"/>
                <w:color w:val="auto"/>
                <w:spacing w:val="-1"/>
                <w:highlight w:val="none"/>
              </w:rPr>
            </w:pPr>
            <w:r>
              <w:rPr>
                <w:rFonts w:hint="eastAsia" w:ascii="仿宋_GB2312" w:hAnsi="仿宋_GB2312" w:eastAsia="仿宋_GB2312" w:cs="仿宋_GB2312"/>
                <w:color w:val="auto"/>
                <w:spacing w:val="-1"/>
                <w:highlight w:val="none"/>
              </w:rPr>
              <w:t>每千人口执业医师数</w:t>
            </w:r>
          </w:p>
          <w:p>
            <w:pPr>
              <w:pStyle w:val="11"/>
              <w:spacing w:before="199" w:line="221" w:lineRule="auto"/>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5"/>
                <w:highlight w:val="none"/>
              </w:rPr>
              <w:t>（人）</w:t>
            </w:r>
          </w:p>
        </w:tc>
        <w:tc>
          <w:tcPr>
            <w:tcW w:w="1131" w:type="dxa"/>
            <w:vAlign w:val="top"/>
          </w:tcPr>
          <w:p>
            <w:pPr>
              <w:spacing w:before="174" w:line="290" w:lineRule="exact"/>
              <w:jc w:val="center"/>
              <w:rPr>
                <w:rFonts w:hint="eastAsia" w:ascii="仿宋_GB2312" w:hAnsi="仿宋_GB2312" w:eastAsia="仿宋_GB2312" w:cs="仿宋_GB2312"/>
                <w:spacing w:val="-5"/>
                <w:position w:val="1"/>
                <w:sz w:val="22"/>
                <w:szCs w:val="22"/>
              </w:rPr>
            </w:pPr>
            <w:r>
              <w:rPr>
                <w:rFonts w:hint="eastAsia" w:ascii="仿宋_GB2312" w:hAnsi="仿宋_GB2312" w:eastAsia="仿宋_GB2312" w:cs="仿宋_GB2312"/>
                <w:spacing w:val="-5"/>
                <w:position w:val="1"/>
                <w:sz w:val="22"/>
                <w:szCs w:val="22"/>
                <w:lang w:val="en-US" w:eastAsia="zh-CN"/>
              </w:rPr>
              <w:t>3.22</w:t>
            </w:r>
          </w:p>
        </w:tc>
        <w:tc>
          <w:tcPr>
            <w:tcW w:w="1571" w:type="dxa"/>
            <w:vAlign w:val="top"/>
          </w:tcPr>
          <w:p>
            <w:pPr>
              <w:spacing w:before="174" w:line="290" w:lineRule="exact"/>
              <w:jc w:val="center"/>
              <w:rPr>
                <w:rFonts w:hint="eastAsia" w:ascii="仿宋_GB2312" w:hAnsi="仿宋_GB2312" w:eastAsia="仿宋_GB2312" w:cs="仿宋_GB2312"/>
                <w:spacing w:val="-2"/>
                <w:position w:val="1"/>
                <w:sz w:val="22"/>
                <w:szCs w:val="22"/>
                <w:lang w:val="en-US" w:eastAsia="zh-CN"/>
              </w:rPr>
            </w:pPr>
            <w:r>
              <w:rPr>
                <w:rFonts w:hint="eastAsia" w:ascii="仿宋_GB2312" w:hAnsi="仿宋_GB2312" w:eastAsia="仿宋_GB2312" w:cs="仿宋_GB2312"/>
                <w:spacing w:val="-2"/>
                <w:position w:val="1"/>
                <w:sz w:val="22"/>
                <w:szCs w:val="22"/>
                <w:lang w:val="en-US" w:eastAsia="zh-CN"/>
              </w:rPr>
              <w:t>3.25</w:t>
            </w:r>
          </w:p>
        </w:tc>
        <w:tc>
          <w:tcPr>
            <w:tcW w:w="994" w:type="dxa"/>
            <w:vAlign w:val="top"/>
          </w:tcPr>
          <w:p>
            <w:pPr>
              <w:spacing w:line="274" w:lineRule="auto"/>
              <w:rPr>
                <w:rFonts w:hint="eastAsia" w:ascii="仿宋_GB2312" w:hAnsi="仿宋_GB2312" w:eastAsia="仿宋_GB2312" w:cs="仿宋_GB2312"/>
                <w:snapToGrid w:val="0"/>
                <w:color w:val="auto"/>
                <w:spacing w:val="-3"/>
                <w:kern w:val="0"/>
                <w:sz w:val="22"/>
                <w:szCs w:val="22"/>
                <w:lang w:val="en-US" w:eastAsia="en-US" w:bidi="ar-SA"/>
              </w:rPr>
            </w:pPr>
          </w:p>
          <w:p>
            <w:pPr>
              <w:pStyle w:val="11"/>
              <w:spacing w:before="72" w:line="222" w:lineRule="auto"/>
              <w:ind w:left="176" w:leftChars="0"/>
              <w:rPr>
                <w:rFonts w:hint="eastAsia" w:ascii="仿宋_GB2312" w:hAnsi="仿宋_GB2312" w:eastAsia="仿宋_GB2312" w:cs="仿宋_GB2312"/>
                <w:snapToGrid w:val="0"/>
                <w:color w:val="auto"/>
                <w:spacing w:val="-3"/>
                <w:kern w:val="0"/>
                <w:sz w:val="22"/>
                <w:szCs w:val="22"/>
                <w:lang w:val="en-US" w:eastAsia="en-US" w:bidi="ar-SA"/>
              </w:rPr>
            </w:pPr>
            <w:r>
              <w:rPr>
                <w:rFonts w:hint="eastAsia" w:ascii="仿宋_GB2312" w:hAnsi="仿宋_GB2312" w:eastAsia="仿宋_GB2312" w:cs="仿宋_GB2312"/>
                <w:snapToGrid w:val="0"/>
                <w:color w:val="auto"/>
                <w:spacing w:val="-3"/>
                <w:kern w:val="0"/>
                <w:sz w:val="22"/>
                <w:szCs w:val="22"/>
                <w:lang w:val="en-US" w:eastAsia="en-US" w:bidi="ar-SA"/>
              </w:rPr>
              <w:t>预期性</w:t>
            </w:r>
          </w:p>
        </w:tc>
        <w:tc>
          <w:tcPr>
            <w:tcW w:w="1796" w:type="dxa"/>
            <w:vAlign w:val="top"/>
          </w:tcPr>
          <w:p>
            <w:pPr>
              <w:spacing w:line="275" w:lineRule="auto"/>
              <w:rPr>
                <w:rFonts w:ascii="Arial"/>
                <w:color w:val="auto"/>
                <w:sz w:val="21"/>
                <w:highlight w:val="none"/>
              </w:rPr>
            </w:pPr>
          </w:p>
          <w:p>
            <w:pPr>
              <w:pStyle w:val="11"/>
              <w:spacing w:before="71" w:line="221" w:lineRule="auto"/>
              <w:ind w:left="247" w:leftChars="0"/>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市卫生健康局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708" w:type="dxa"/>
            <w:vMerge w:val="continue"/>
            <w:tcBorders>
              <w:top w:val="nil"/>
            </w:tcBorders>
            <w:vAlign w:val="top"/>
          </w:tcPr>
          <w:p>
            <w:pPr>
              <w:rPr>
                <w:rFonts w:hint="eastAsia" w:ascii="仿宋_GB2312" w:hAnsi="仿宋_GB2312" w:eastAsia="仿宋_GB2312" w:cs="仿宋_GB2312"/>
                <w:color w:val="auto"/>
                <w:sz w:val="21"/>
                <w:highlight w:val="none"/>
              </w:rPr>
            </w:pPr>
          </w:p>
        </w:tc>
        <w:tc>
          <w:tcPr>
            <w:tcW w:w="548" w:type="dxa"/>
            <w:vMerge w:val="continue"/>
            <w:tcBorders>
              <w:top w:val="nil"/>
            </w:tcBorders>
            <w:vAlign w:val="top"/>
          </w:tcPr>
          <w:p>
            <w:pPr>
              <w:rPr>
                <w:rFonts w:hint="eastAsia" w:ascii="仿宋_GB2312" w:hAnsi="仿宋_GB2312" w:eastAsia="仿宋_GB2312" w:cs="仿宋_GB2312"/>
                <w:color w:val="auto"/>
                <w:sz w:val="21"/>
                <w:highlight w:val="none"/>
              </w:rPr>
            </w:pPr>
          </w:p>
        </w:tc>
        <w:tc>
          <w:tcPr>
            <w:tcW w:w="2448" w:type="dxa"/>
            <w:vAlign w:val="top"/>
          </w:tcPr>
          <w:p>
            <w:pPr>
              <w:pStyle w:val="11"/>
              <w:spacing w:before="58" w:line="221" w:lineRule="auto"/>
              <w:ind w:left="239"/>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
                <w:highlight w:val="none"/>
              </w:rPr>
              <w:t>每千人口注册护士数</w:t>
            </w:r>
          </w:p>
          <w:p>
            <w:pPr>
              <w:pStyle w:val="11"/>
              <w:spacing w:before="36" w:line="211" w:lineRule="auto"/>
              <w:ind w:left="905"/>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5"/>
                <w:highlight w:val="none"/>
              </w:rPr>
              <w:t>（人）</w:t>
            </w:r>
          </w:p>
        </w:tc>
        <w:tc>
          <w:tcPr>
            <w:tcW w:w="1131" w:type="dxa"/>
            <w:vAlign w:val="top"/>
          </w:tcPr>
          <w:p>
            <w:pPr>
              <w:spacing w:before="174" w:line="290" w:lineRule="exact"/>
              <w:ind w:left="460"/>
              <w:rPr>
                <w:rFonts w:hint="eastAsia" w:ascii="仿宋_GB2312" w:hAnsi="仿宋_GB2312" w:eastAsia="仿宋_GB2312" w:cs="仿宋_GB2312"/>
                <w:spacing w:val="-5"/>
                <w:position w:val="1"/>
                <w:sz w:val="22"/>
                <w:szCs w:val="22"/>
                <w:lang w:val="en-US" w:eastAsia="zh-CN"/>
              </w:rPr>
            </w:pPr>
            <w:r>
              <w:rPr>
                <w:rFonts w:hint="eastAsia" w:ascii="仿宋_GB2312" w:hAnsi="仿宋_GB2312" w:eastAsia="仿宋_GB2312" w:cs="仿宋_GB2312"/>
                <w:spacing w:val="-5"/>
                <w:position w:val="1"/>
                <w:sz w:val="22"/>
                <w:szCs w:val="22"/>
                <w:lang w:val="en-US" w:eastAsia="zh-CN"/>
              </w:rPr>
              <w:t>4.53</w:t>
            </w:r>
          </w:p>
        </w:tc>
        <w:tc>
          <w:tcPr>
            <w:tcW w:w="1571" w:type="dxa"/>
            <w:vAlign w:val="top"/>
          </w:tcPr>
          <w:p>
            <w:pPr>
              <w:spacing w:before="174" w:line="290" w:lineRule="exact"/>
              <w:ind w:left="678"/>
              <w:rPr>
                <w:rFonts w:hint="eastAsia" w:ascii="仿宋_GB2312" w:hAnsi="仿宋_GB2312" w:eastAsia="仿宋_GB2312" w:cs="仿宋_GB2312"/>
                <w:spacing w:val="-2"/>
                <w:position w:val="1"/>
                <w:sz w:val="22"/>
                <w:szCs w:val="22"/>
                <w:lang w:val="en-US" w:eastAsia="zh-CN"/>
              </w:rPr>
            </w:pPr>
            <w:r>
              <w:rPr>
                <w:rFonts w:hint="eastAsia" w:ascii="仿宋_GB2312" w:hAnsi="仿宋_GB2312" w:eastAsia="仿宋_GB2312" w:cs="仿宋_GB2312"/>
                <w:spacing w:val="-2"/>
                <w:position w:val="1"/>
                <w:sz w:val="22"/>
                <w:szCs w:val="22"/>
                <w:lang w:val="en-US" w:eastAsia="zh-CN"/>
              </w:rPr>
              <w:t>4.7</w:t>
            </w:r>
          </w:p>
        </w:tc>
        <w:tc>
          <w:tcPr>
            <w:tcW w:w="994" w:type="dxa"/>
            <w:vAlign w:val="top"/>
          </w:tcPr>
          <w:p>
            <w:pPr>
              <w:pStyle w:val="11"/>
              <w:spacing w:before="179" w:line="222" w:lineRule="auto"/>
              <w:ind w:left="176"/>
              <w:rPr>
                <w:rFonts w:hint="eastAsia" w:ascii="仿宋_GB2312" w:hAnsi="仿宋_GB2312" w:eastAsia="仿宋_GB2312" w:cs="仿宋_GB2312"/>
                <w:snapToGrid w:val="0"/>
                <w:color w:val="auto"/>
                <w:spacing w:val="-3"/>
                <w:kern w:val="0"/>
                <w:sz w:val="22"/>
                <w:szCs w:val="22"/>
                <w:lang w:val="en-US" w:eastAsia="en-US" w:bidi="ar-SA"/>
              </w:rPr>
            </w:pPr>
            <w:r>
              <w:rPr>
                <w:rFonts w:hint="eastAsia" w:ascii="仿宋_GB2312" w:hAnsi="仿宋_GB2312" w:eastAsia="仿宋_GB2312" w:cs="仿宋_GB2312"/>
                <w:snapToGrid w:val="0"/>
                <w:color w:val="auto"/>
                <w:spacing w:val="-3"/>
                <w:kern w:val="0"/>
                <w:sz w:val="22"/>
                <w:szCs w:val="22"/>
                <w:lang w:val="en-US" w:eastAsia="en-US" w:bidi="ar-SA"/>
              </w:rPr>
              <w:t>预期性</w:t>
            </w:r>
          </w:p>
        </w:tc>
        <w:tc>
          <w:tcPr>
            <w:tcW w:w="1796" w:type="dxa"/>
            <w:vAlign w:val="top"/>
          </w:tcPr>
          <w:p>
            <w:pPr>
              <w:pStyle w:val="11"/>
              <w:spacing w:before="207" w:line="221" w:lineRule="auto"/>
              <w:ind w:left="247" w:leftChars="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市卫生健康局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08" w:type="dxa"/>
            <w:vAlign w:val="top"/>
          </w:tcPr>
          <w:p>
            <w:pPr>
              <w:spacing w:before="145" w:line="290" w:lineRule="exact"/>
              <w:ind w:left="267"/>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13"/>
                <w:position w:val="1"/>
                <w:sz w:val="22"/>
                <w:szCs w:val="22"/>
                <w:highlight w:val="none"/>
              </w:rPr>
              <w:t>10</w:t>
            </w:r>
          </w:p>
        </w:tc>
        <w:tc>
          <w:tcPr>
            <w:tcW w:w="2996" w:type="dxa"/>
            <w:gridSpan w:val="2"/>
            <w:vAlign w:val="top"/>
          </w:tcPr>
          <w:p>
            <w:pPr>
              <w:pStyle w:val="11"/>
              <w:spacing w:before="180" w:line="220" w:lineRule="auto"/>
              <w:ind w:left="182"/>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
                <w:highlight w:val="none"/>
              </w:rPr>
              <w:t>每万人口全科医生数（人）</w:t>
            </w:r>
          </w:p>
        </w:tc>
        <w:tc>
          <w:tcPr>
            <w:tcW w:w="1131" w:type="dxa"/>
            <w:vAlign w:val="top"/>
          </w:tcPr>
          <w:p>
            <w:pPr>
              <w:spacing w:before="174" w:line="290" w:lineRule="exact"/>
              <w:ind w:left="460"/>
              <w:rPr>
                <w:rFonts w:hint="eastAsia" w:ascii="仿宋_GB2312" w:hAnsi="仿宋_GB2312" w:eastAsia="仿宋_GB2312" w:cs="仿宋_GB2312"/>
                <w:spacing w:val="-5"/>
                <w:position w:val="1"/>
                <w:sz w:val="22"/>
                <w:szCs w:val="22"/>
                <w:lang w:val="en-US" w:eastAsia="zh-CN"/>
              </w:rPr>
            </w:pPr>
            <w:r>
              <w:rPr>
                <w:rFonts w:hint="eastAsia" w:ascii="仿宋_GB2312" w:hAnsi="仿宋_GB2312" w:eastAsia="仿宋_GB2312" w:cs="仿宋_GB2312"/>
                <w:spacing w:val="-5"/>
                <w:position w:val="1"/>
                <w:sz w:val="22"/>
                <w:szCs w:val="22"/>
                <w:lang w:val="en-US" w:eastAsia="zh-CN"/>
              </w:rPr>
              <w:t>5.7</w:t>
            </w:r>
          </w:p>
        </w:tc>
        <w:tc>
          <w:tcPr>
            <w:tcW w:w="1571" w:type="dxa"/>
            <w:vAlign w:val="top"/>
          </w:tcPr>
          <w:p>
            <w:pPr>
              <w:spacing w:before="174" w:line="290" w:lineRule="exact"/>
              <w:ind w:left="678"/>
              <w:rPr>
                <w:rFonts w:hint="eastAsia" w:ascii="仿宋_GB2312" w:hAnsi="仿宋_GB2312" w:eastAsia="仿宋_GB2312" w:cs="仿宋_GB2312"/>
                <w:spacing w:val="-2"/>
                <w:position w:val="1"/>
                <w:sz w:val="22"/>
                <w:szCs w:val="22"/>
                <w:lang w:val="en-US" w:eastAsia="zh-CN"/>
              </w:rPr>
            </w:pPr>
            <w:r>
              <w:rPr>
                <w:rFonts w:hint="eastAsia" w:ascii="仿宋_GB2312" w:hAnsi="仿宋_GB2312" w:eastAsia="仿宋_GB2312" w:cs="仿宋_GB2312"/>
                <w:spacing w:val="-2"/>
                <w:position w:val="1"/>
                <w:sz w:val="22"/>
                <w:szCs w:val="22"/>
                <w:lang w:val="en-US" w:eastAsia="zh-CN"/>
              </w:rPr>
              <w:t>6</w:t>
            </w:r>
          </w:p>
        </w:tc>
        <w:tc>
          <w:tcPr>
            <w:tcW w:w="994" w:type="dxa"/>
            <w:vAlign w:val="top"/>
          </w:tcPr>
          <w:p>
            <w:pPr>
              <w:pStyle w:val="11"/>
              <w:spacing w:before="179" w:line="222" w:lineRule="auto"/>
              <w:ind w:left="176"/>
              <w:rPr>
                <w:rFonts w:hint="eastAsia" w:ascii="仿宋_GB2312" w:hAnsi="仿宋_GB2312" w:eastAsia="仿宋_GB2312" w:cs="仿宋_GB2312"/>
                <w:snapToGrid w:val="0"/>
                <w:color w:val="auto"/>
                <w:spacing w:val="-3"/>
                <w:kern w:val="0"/>
                <w:sz w:val="22"/>
                <w:szCs w:val="22"/>
                <w:lang w:val="en-US" w:eastAsia="en-US" w:bidi="ar-SA"/>
              </w:rPr>
            </w:pPr>
            <w:r>
              <w:rPr>
                <w:rFonts w:hint="eastAsia" w:ascii="仿宋_GB2312" w:hAnsi="仿宋_GB2312" w:eastAsia="仿宋_GB2312" w:cs="仿宋_GB2312"/>
                <w:snapToGrid w:val="0"/>
                <w:color w:val="auto"/>
                <w:spacing w:val="-3"/>
                <w:kern w:val="0"/>
                <w:sz w:val="22"/>
                <w:szCs w:val="22"/>
                <w:lang w:val="en-US" w:eastAsia="en-US" w:bidi="ar-SA"/>
              </w:rPr>
              <w:t>预期性</w:t>
            </w:r>
          </w:p>
        </w:tc>
        <w:tc>
          <w:tcPr>
            <w:tcW w:w="1796" w:type="dxa"/>
            <w:vAlign w:val="top"/>
          </w:tcPr>
          <w:p>
            <w:pPr>
              <w:pStyle w:val="11"/>
              <w:spacing w:before="179" w:line="221" w:lineRule="auto"/>
              <w:ind w:left="247" w:leftChars="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市卫生健康局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708" w:type="dxa"/>
            <w:vAlign w:val="top"/>
          </w:tcPr>
          <w:p>
            <w:pPr>
              <w:spacing w:before="175" w:line="290" w:lineRule="exact"/>
              <w:ind w:left="271"/>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13"/>
                <w:position w:val="1"/>
                <w:sz w:val="22"/>
                <w:szCs w:val="22"/>
                <w:highlight w:val="none"/>
              </w:rPr>
              <w:t>11</w:t>
            </w:r>
          </w:p>
        </w:tc>
        <w:tc>
          <w:tcPr>
            <w:tcW w:w="2996" w:type="dxa"/>
            <w:gridSpan w:val="2"/>
            <w:vAlign w:val="top"/>
          </w:tcPr>
          <w:p>
            <w:pPr>
              <w:pStyle w:val="11"/>
              <w:spacing w:before="57" w:line="220" w:lineRule="auto"/>
              <w:ind w:left="81"/>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2"/>
                <w:highlight w:val="none"/>
              </w:rPr>
              <w:t>乡村医生中执业（助理）医师</w:t>
            </w:r>
          </w:p>
          <w:p>
            <w:pPr>
              <w:pStyle w:val="11"/>
              <w:spacing w:before="4"/>
              <w:ind w:left="1008"/>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9"/>
                <w:highlight w:val="none"/>
              </w:rPr>
              <w:t>占比（%）</w:t>
            </w:r>
          </w:p>
        </w:tc>
        <w:tc>
          <w:tcPr>
            <w:tcW w:w="1131" w:type="dxa"/>
            <w:vAlign w:val="top"/>
          </w:tcPr>
          <w:p>
            <w:pPr>
              <w:spacing w:before="174" w:line="290" w:lineRule="exact"/>
              <w:ind w:left="460"/>
              <w:rPr>
                <w:rFonts w:hint="eastAsia" w:ascii="仿宋_GB2312" w:hAnsi="仿宋_GB2312" w:eastAsia="仿宋_GB2312" w:cs="仿宋_GB2312"/>
                <w:color w:val="auto"/>
                <w:spacing w:val="-5"/>
                <w:position w:val="1"/>
                <w:sz w:val="22"/>
                <w:szCs w:val="22"/>
                <w:highlight w:val="none"/>
                <w:lang w:val="en-US" w:eastAsia="zh-CN"/>
              </w:rPr>
            </w:pPr>
            <w:r>
              <w:rPr>
                <w:rFonts w:hint="eastAsia" w:ascii="仿宋_GB2312" w:hAnsi="仿宋_GB2312" w:eastAsia="仿宋_GB2312" w:cs="仿宋_GB2312"/>
                <w:color w:val="auto"/>
                <w:spacing w:val="-5"/>
                <w:position w:val="1"/>
                <w:sz w:val="22"/>
                <w:szCs w:val="22"/>
                <w:highlight w:val="none"/>
                <w:lang w:val="en-US" w:eastAsia="zh-CN"/>
              </w:rPr>
              <w:t>50.7</w:t>
            </w:r>
          </w:p>
        </w:tc>
        <w:tc>
          <w:tcPr>
            <w:tcW w:w="1571" w:type="dxa"/>
            <w:vAlign w:val="top"/>
          </w:tcPr>
          <w:p>
            <w:pPr>
              <w:spacing w:before="174" w:line="290" w:lineRule="exact"/>
              <w:ind w:left="678"/>
              <w:rPr>
                <w:rFonts w:hint="eastAsia" w:ascii="仿宋_GB2312" w:hAnsi="仿宋_GB2312" w:eastAsia="仿宋_GB2312" w:cs="仿宋_GB2312"/>
                <w:color w:val="auto"/>
                <w:spacing w:val="-2"/>
                <w:position w:val="1"/>
                <w:sz w:val="22"/>
                <w:szCs w:val="22"/>
                <w:highlight w:val="none"/>
                <w:lang w:val="en-US" w:eastAsia="zh-CN"/>
              </w:rPr>
            </w:pPr>
            <w:r>
              <w:rPr>
                <w:rFonts w:hint="eastAsia" w:ascii="仿宋_GB2312" w:hAnsi="仿宋_GB2312" w:eastAsia="仿宋_GB2312" w:cs="仿宋_GB2312"/>
                <w:color w:val="auto"/>
                <w:spacing w:val="-2"/>
                <w:position w:val="1"/>
                <w:sz w:val="22"/>
                <w:szCs w:val="22"/>
                <w:highlight w:val="none"/>
                <w:lang w:val="en-US" w:eastAsia="zh-CN"/>
              </w:rPr>
              <w:t>53</w:t>
            </w:r>
          </w:p>
        </w:tc>
        <w:tc>
          <w:tcPr>
            <w:tcW w:w="994" w:type="dxa"/>
            <w:vAlign w:val="top"/>
          </w:tcPr>
          <w:p>
            <w:pPr>
              <w:pStyle w:val="11"/>
              <w:spacing w:before="179" w:line="222" w:lineRule="auto"/>
              <w:ind w:left="176"/>
              <w:rPr>
                <w:rFonts w:hint="eastAsia" w:ascii="仿宋_GB2312" w:hAnsi="仿宋_GB2312" w:eastAsia="仿宋_GB2312" w:cs="仿宋_GB2312"/>
                <w:snapToGrid w:val="0"/>
                <w:color w:val="auto"/>
                <w:spacing w:val="-3"/>
                <w:kern w:val="0"/>
                <w:sz w:val="22"/>
                <w:szCs w:val="22"/>
                <w:highlight w:val="none"/>
                <w:lang w:val="en-US" w:eastAsia="en-US" w:bidi="ar-SA"/>
              </w:rPr>
            </w:pPr>
            <w:r>
              <w:rPr>
                <w:rFonts w:hint="eastAsia" w:ascii="仿宋_GB2312" w:hAnsi="仿宋_GB2312" w:eastAsia="仿宋_GB2312" w:cs="仿宋_GB2312"/>
                <w:snapToGrid w:val="0"/>
                <w:color w:val="auto"/>
                <w:spacing w:val="-3"/>
                <w:kern w:val="0"/>
                <w:sz w:val="22"/>
                <w:szCs w:val="22"/>
                <w:highlight w:val="none"/>
                <w:lang w:val="en-US" w:eastAsia="en-US" w:bidi="ar-SA"/>
              </w:rPr>
              <w:t>预期性</w:t>
            </w:r>
          </w:p>
        </w:tc>
        <w:tc>
          <w:tcPr>
            <w:tcW w:w="1796" w:type="dxa"/>
            <w:vAlign w:val="top"/>
          </w:tcPr>
          <w:p>
            <w:pPr>
              <w:pStyle w:val="11"/>
              <w:spacing w:before="208" w:line="221" w:lineRule="auto"/>
              <w:ind w:left="247"/>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市卫生健康局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9" w:hRule="atLeast"/>
        </w:trPr>
        <w:tc>
          <w:tcPr>
            <w:tcW w:w="708" w:type="dxa"/>
            <w:vAlign w:val="top"/>
          </w:tcPr>
          <w:p>
            <w:pPr>
              <w:spacing w:line="258" w:lineRule="auto"/>
              <w:rPr>
                <w:rFonts w:ascii="Arial"/>
                <w:color w:val="auto"/>
                <w:sz w:val="21"/>
                <w:highlight w:val="none"/>
              </w:rPr>
            </w:pPr>
          </w:p>
          <w:p>
            <w:pPr>
              <w:spacing w:before="63" w:line="290" w:lineRule="exact"/>
              <w:ind w:left="267" w:leftChars="0"/>
              <w:rPr>
                <w:rFonts w:hint="eastAsia" w:ascii="仿宋_GB2312" w:hAnsi="仿宋_GB2312" w:eastAsia="仿宋_GB2312" w:cs="仿宋_GB2312"/>
                <w:color w:val="auto"/>
                <w:sz w:val="22"/>
                <w:szCs w:val="22"/>
                <w:highlight w:val="none"/>
              </w:rPr>
            </w:pPr>
            <w:r>
              <w:rPr>
                <w:rFonts w:ascii="Times New Roman" w:hAnsi="Times New Roman" w:eastAsia="Times New Roman" w:cs="Times New Roman"/>
                <w:color w:val="auto"/>
                <w:spacing w:val="-13"/>
                <w:position w:val="1"/>
                <w:sz w:val="22"/>
                <w:szCs w:val="22"/>
                <w:highlight w:val="none"/>
              </w:rPr>
              <w:t>12</w:t>
            </w:r>
          </w:p>
        </w:tc>
        <w:tc>
          <w:tcPr>
            <w:tcW w:w="2996" w:type="dxa"/>
            <w:gridSpan w:val="2"/>
            <w:vAlign w:val="top"/>
          </w:tcPr>
          <w:p>
            <w:pPr>
              <w:pStyle w:val="11"/>
              <w:spacing w:before="23" w:line="290" w:lineRule="exact"/>
              <w:ind w:left="101"/>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2"/>
                <w:position w:val="1"/>
                <w:highlight w:val="none"/>
              </w:rPr>
              <w:t>3岁以下婴幼儿入托率各地级</w:t>
            </w:r>
          </w:p>
          <w:p>
            <w:pPr>
              <w:pStyle w:val="11"/>
              <w:spacing w:before="44" w:line="221" w:lineRule="auto"/>
              <w:ind w:left="97"/>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以上市卫生健康局（委</w:t>
            </w:r>
            <w:r>
              <w:rPr>
                <w:rFonts w:hint="eastAsia" w:ascii="仿宋_GB2312" w:hAnsi="仿宋_GB2312" w:eastAsia="仿宋_GB2312" w:cs="仿宋_GB2312"/>
                <w:color w:val="auto"/>
                <w:spacing w:val="-51"/>
                <w:w w:val="84"/>
                <w:highlight w:val="none"/>
              </w:rPr>
              <w:t>），（</w:t>
            </w:r>
            <w:r>
              <w:rPr>
                <w:rFonts w:hint="eastAsia" w:ascii="仿宋_GB2312" w:hAnsi="仿宋_GB2312" w:eastAsia="仿宋_GB2312" w:cs="仿宋_GB2312"/>
                <w:color w:val="auto"/>
                <w:highlight w:val="none"/>
              </w:rPr>
              <w:t>百</w:t>
            </w:r>
          </w:p>
          <w:p>
            <w:pPr>
              <w:pStyle w:val="11"/>
              <w:spacing w:before="37" w:line="210" w:lineRule="auto"/>
              <w:ind w:left="1174" w:leftChars="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4"/>
                <w:highlight w:val="none"/>
              </w:rPr>
              <w:t>分点）</w:t>
            </w:r>
          </w:p>
        </w:tc>
        <w:tc>
          <w:tcPr>
            <w:tcW w:w="1131" w:type="dxa"/>
            <w:vAlign w:val="center"/>
          </w:tcPr>
          <w:p>
            <w:pPr>
              <w:spacing w:before="174" w:line="290" w:lineRule="exact"/>
              <w:jc w:val="center"/>
              <w:rPr>
                <w:rFonts w:hint="eastAsia" w:ascii="仿宋_GB2312" w:hAnsi="仿宋_GB2312" w:eastAsia="仿宋_GB2312" w:cs="仿宋_GB2312"/>
                <w:spacing w:val="-5"/>
                <w:position w:val="1"/>
                <w:sz w:val="22"/>
                <w:szCs w:val="22"/>
                <w:lang w:val="en-US" w:eastAsia="zh-CN"/>
              </w:rPr>
            </w:pPr>
            <w:r>
              <w:rPr>
                <w:rFonts w:hint="eastAsia" w:ascii="仿宋_GB2312" w:hAnsi="仿宋_GB2312" w:eastAsia="仿宋_GB2312" w:cs="仿宋_GB2312"/>
                <w:spacing w:val="-5"/>
                <w:position w:val="1"/>
                <w:sz w:val="22"/>
                <w:szCs w:val="22"/>
                <w:lang w:val="en-US" w:eastAsia="zh-CN"/>
              </w:rPr>
              <w:t>7</w:t>
            </w:r>
          </w:p>
        </w:tc>
        <w:tc>
          <w:tcPr>
            <w:tcW w:w="1571" w:type="dxa"/>
            <w:vAlign w:val="center"/>
          </w:tcPr>
          <w:p>
            <w:pPr>
              <w:spacing w:before="174" w:line="290" w:lineRule="exact"/>
              <w:jc w:val="center"/>
              <w:rPr>
                <w:rFonts w:hint="eastAsia" w:ascii="仿宋_GB2312" w:hAnsi="仿宋_GB2312" w:eastAsia="仿宋_GB2312" w:cs="仿宋_GB2312"/>
                <w:spacing w:val="-2"/>
                <w:position w:val="1"/>
                <w:sz w:val="22"/>
                <w:szCs w:val="22"/>
                <w:lang w:val="en-US" w:eastAsia="zh-CN"/>
              </w:rPr>
            </w:pPr>
            <w:r>
              <w:rPr>
                <w:rFonts w:hint="eastAsia" w:ascii="仿宋_GB2312" w:hAnsi="仿宋_GB2312" w:eastAsia="仿宋_GB2312" w:cs="仿宋_GB2312"/>
                <w:spacing w:val="-2"/>
                <w:position w:val="1"/>
                <w:sz w:val="22"/>
                <w:szCs w:val="22"/>
                <w:lang w:val="en-US" w:eastAsia="zh-CN"/>
              </w:rPr>
              <w:t>12</w:t>
            </w:r>
          </w:p>
        </w:tc>
        <w:tc>
          <w:tcPr>
            <w:tcW w:w="994" w:type="dxa"/>
            <w:vAlign w:val="top"/>
          </w:tcPr>
          <w:p>
            <w:pPr>
              <w:spacing w:line="284" w:lineRule="auto"/>
              <w:rPr>
                <w:rFonts w:hint="eastAsia" w:ascii="仿宋_GB2312" w:hAnsi="仿宋_GB2312" w:eastAsia="仿宋_GB2312" w:cs="仿宋_GB2312"/>
                <w:snapToGrid w:val="0"/>
                <w:color w:val="auto"/>
                <w:spacing w:val="-3"/>
                <w:kern w:val="0"/>
                <w:sz w:val="22"/>
                <w:szCs w:val="22"/>
                <w:lang w:val="en-US" w:eastAsia="en-US" w:bidi="ar-SA"/>
              </w:rPr>
            </w:pPr>
          </w:p>
          <w:p>
            <w:pPr>
              <w:pStyle w:val="11"/>
              <w:spacing w:before="72" w:line="222" w:lineRule="auto"/>
              <w:ind w:left="176" w:leftChars="0"/>
              <w:rPr>
                <w:rFonts w:hint="eastAsia" w:ascii="仿宋_GB2312" w:hAnsi="仿宋_GB2312" w:eastAsia="仿宋_GB2312" w:cs="仿宋_GB2312"/>
                <w:snapToGrid w:val="0"/>
                <w:color w:val="auto"/>
                <w:spacing w:val="-3"/>
                <w:kern w:val="0"/>
                <w:sz w:val="22"/>
                <w:szCs w:val="22"/>
                <w:lang w:val="en-US" w:eastAsia="en-US" w:bidi="ar-SA"/>
              </w:rPr>
            </w:pPr>
            <w:r>
              <w:rPr>
                <w:rFonts w:hint="eastAsia" w:ascii="仿宋_GB2312" w:hAnsi="仿宋_GB2312" w:eastAsia="仿宋_GB2312" w:cs="仿宋_GB2312"/>
                <w:snapToGrid w:val="0"/>
                <w:color w:val="auto"/>
                <w:spacing w:val="-3"/>
                <w:kern w:val="0"/>
                <w:sz w:val="22"/>
                <w:szCs w:val="22"/>
                <w:lang w:val="en-US" w:eastAsia="en-US" w:bidi="ar-SA"/>
              </w:rPr>
              <w:t>预期性</w:t>
            </w:r>
          </w:p>
        </w:tc>
        <w:tc>
          <w:tcPr>
            <w:tcW w:w="1796" w:type="dxa"/>
            <w:vAlign w:val="center"/>
          </w:tcPr>
          <w:p>
            <w:pPr>
              <w:pStyle w:val="11"/>
              <w:spacing w:before="72" w:line="221" w:lineRule="auto"/>
              <w:ind w:left="247" w:leftChars="0"/>
              <w:jc w:val="left"/>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市卫生健康局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708" w:type="dxa"/>
            <w:vAlign w:val="top"/>
          </w:tcPr>
          <w:p>
            <w:pPr>
              <w:spacing w:before="174" w:line="290" w:lineRule="exact"/>
              <w:ind w:left="267"/>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pacing w:val="-13"/>
                <w:position w:val="1"/>
                <w:sz w:val="22"/>
                <w:szCs w:val="22"/>
              </w:rPr>
              <w:t>13</w:t>
            </w:r>
          </w:p>
        </w:tc>
        <w:tc>
          <w:tcPr>
            <w:tcW w:w="2996" w:type="dxa"/>
            <w:gridSpan w:val="2"/>
            <w:vAlign w:val="top"/>
          </w:tcPr>
          <w:p>
            <w:pPr>
              <w:pStyle w:val="11"/>
              <w:spacing w:before="58" w:line="220" w:lineRule="auto"/>
              <w:ind w:left="75"/>
              <w:rPr>
                <w:rFonts w:hint="eastAsia" w:ascii="仿宋_GB2312" w:hAnsi="仿宋_GB2312" w:eastAsia="仿宋_GB2312" w:cs="仿宋_GB2312"/>
                <w:color w:val="auto"/>
              </w:rPr>
            </w:pPr>
            <w:r>
              <w:rPr>
                <w:rFonts w:hint="eastAsia" w:ascii="仿宋_GB2312" w:hAnsi="仿宋_GB2312" w:eastAsia="仿宋_GB2312" w:cs="仿宋_GB2312"/>
                <w:color w:val="auto"/>
                <w:spacing w:val="-1"/>
              </w:rPr>
              <w:t>二级以上综合医院老年医学科</w:t>
            </w:r>
          </w:p>
          <w:p>
            <w:pPr>
              <w:pStyle w:val="11"/>
              <w:spacing w:before="5" w:line="238" w:lineRule="auto"/>
              <w:ind w:left="754"/>
              <w:rPr>
                <w:rFonts w:hint="eastAsia" w:ascii="仿宋_GB2312" w:hAnsi="仿宋_GB2312" w:eastAsia="仿宋_GB2312" w:cs="仿宋_GB2312"/>
                <w:color w:val="auto"/>
              </w:rPr>
            </w:pPr>
            <w:r>
              <w:rPr>
                <w:rFonts w:hint="eastAsia" w:ascii="仿宋_GB2312" w:hAnsi="仿宋_GB2312" w:eastAsia="仿宋_GB2312" w:cs="仿宋_GB2312"/>
                <w:color w:val="auto"/>
                <w:spacing w:val="-2"/>
              </w:rPr>
              <w:t>设置比例（%）</w:t>
            </w:r>
          </w:p>
        </w:tc>
        <w:tc>
          <w:tcPr>
            <w:tcW w:w="1131" w:type="dxa"/>
            <w:vAlign w:val="top"/>
          </w:tcPr>
          <w:p>
            <w:pPr>
              <w:spacing w:before="174" w:line="290" w:lineRule="exact"/>
              <w:ind w:left="460"/>
              <w:rPr>
                <w:rFonts w:hint="default" w:ascii="仿宋_GB2312" w:hAnsi="仿宋_GB2312" w:eastAsia="仿宋_GB2312" w:cs="仿宋_GB2312"/>
                <w:spacing w:val="-5"/>
                <w:position w:val="1"/>
                <w:sz w:val="22"/>
                <w:szCs w:val="22"/>
                <w:lang w:val="en-US" w:eastAsia="zh-CN"/>
              </w:rPr>
            </w:pPr>
            <w:r>
              <w:rPr>
                <w:rFonts w:hint="eastAsia" w:ascii="仿宋_GB2312" w:hAnsi="仿宋_GB2312" w:eastAsia="仿宋_GB2312" w:cs="仿宋_GB2312"/>
                <w:spacing w:val="-5"/>
                <w:position w:val="1"/>
                <w:sz w:val="22"/>
                <w:szCs w:val="22"/>
                <w:lang w:val="en-US" w:eastAsia="zh-CN"/>
              </w:rPr>
              <w:t>95.8</w:t>
            </w:r>
          </w:p>
        </w:tc>
        <w:tc>
          <w:tcPr>
            <w:tcW w:w="1571" w:type="dxa"/>
            <w:vAlign w:val="top"/>
          </w:tcPr>
          <w:p>
            <w:pPr>
              <w:spacing w:before="174" w:line="290" w:lineRule="exact"/>
              <w:ind w:left="678"/>
              <w:rPr>
                <w:rFonts w:hint="eastAsia" w:ascii="仿宋_GB2312" w:hAnsi="仿宋_GB2312" w:eastAsia="仿宋_GB2312" w:cs="仿宋_GB2312"/>
                <w:spacing w:val="-2"/>
                <w:position w:val="1"/>
                <w:sz w:val="22"/>
                <w:szCs w:val="22"/>
                <w:lang w:val="en-US" w:eastAsia="zh-CN"/>
              </w:rPr>
            </w:pPr>
            <w:r>
              <w:rPr>
                <w:rFonts w:hint="eastAsia" w:ascii="仿宋_GB2312" w:hAnsi="仿宋_GB2312" w:eastAsia="仿宋_GB2312" w:cs="仿宋_GB2312"/>
                <w:spacing w:val="-2"/>
                <w:position w:val="1"/>
                <w:sz w:val="22"/>
                <w:szCs w:val="22"/>
                <w:lang w:val="en-US" w:eastAsia="zh-CN"/>
              </w:rPr>
              <w:t>95</w:t>
            </w:r>
          </w:p>
        </w:tc>
        <w:tc>
          <w:tcPr>
            <w:tcW w:w="994" w:type="dxa"/>
            <w:vAlign w:val="top"/>
          </w:tcPr>
          <w:p>
            <w:pPr>
              <w:pStyle w:val="11"/>
              <w:spacing w:before="179" w:line="222" w:lineRule="auto"/>
              <w:ind w:left="176"/>
              <w:rPr>
                <w:rFonts w:hint="eastAsia" w:ascii="仿宋_GB2312" w:hAnsi="仿宋_GB2312" w:eastAsia="仿宋_GB2312" w:cs="仿宋_GB2312"/>
                <w:snapToGrid w:val="0"/>
                <w:color w:val="auto"/>
                <w:spacing w:val="-3"/>
                <w:kern w:val="0"/>
                <w:sz w:val="22"/>
                <w:szCs w:val="22"/>
                <w:lang w:val="en-US" w:eastAsia="en-US" w:bidi="ar-SA"/>
              </w:rPr>
            </w:pPr>
            <w:r>
              <w:rPr>
                <w:rFonts w:hint="eastAsia" w:ascii="仿宋_GB2312" w:hAnsi="仿宋_GB2312" w:eastAsia="仿宋_GB2312" w:cs="仿宋_GB2312"/>
                <w:snapToGrid w:val="0"/>
                <w:color w:val="auto"/>
                <w:spacing w:val="-3"/>
                <w:kern w:val="0"/>
                <w:sz w:val="22"/>
                <w:szCs w:val="22"/>
                <w:lang w:val="en-US" w:eastAsia="en-US" w:bidi="ar-SA"/>
              </w:rPr>
              <w:t>预期性</w:t>
            </w:r>
          </w:p>
        </w:tc>
        <w:tc>
          <w:tcPr>
            <w:tcW w:w="1796" w:type="dxa"/>
            <w:vAlign w:val="top"/>
          </w:tcPr>
          <w:p>
            <w:pPr>
              <w:pStyle w:val="11"/>
              <w:spacing w:before="209" w:line="221" w:lineRule="auto"/>
              <w:ind w:left="247"/>
              <w:rPr>
                <w:rFonts w:hint="eastAsia" w:ascii="仿宋_GB2312" w:hAnsi="仿宋_GB2312" w:eastAsia="仿宋_GB2312" w:cs="仿宋_GB2312"/>
                <w:color w:val="auto"/>
              </w:rPr>
            </w:pPr>
            <w:r>
              <w:rPr>
                <w:rFonts w:hint="eastAsia" w:ascii="仿宋_GB2312" w:hAnsi="仿宋_GB2312" w:eastAsia="仿宋_GB2312" w:cs="仿宋_GB2312"/>
                <w:color w:val="auto"/>
                <w:highlight w:val="none"/>
                <w:lang w:val="en-US" w:eastAsia="zh-CN"/>
              </w:rPr>
              <w:t>市卫生健康局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08" w:type="dxa"/>
            <w:vAlign w:val="top"/>
          </w:tcPr>
          <w:p>
            <w:pPr>
              <w:spacing w:before="147" w:line="290" w:lineRule="exact"/>
              <w:ind w:left="267"/>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pacing w:val="-13"/>
                <w:position w:val="1"/>
                <w:sz w:val="22"/>
                <w:szCs w:val="22"/>
              </w:rPr>
              <w:t>14</w:t>
            </w:r>
          </w:p>
        </w:tc>
        <w:tc>
          <w:tcPr>
            <w:tcW w:w="2996" w:type="dxa"/>
            <w:gridSpan w:val="2"/>
            <w:vAlign w:val="top"/>
          </w:tcPr>
          <w:p>
            <w:pPr>
              <w:pStyle w:val="11"/>
              <w:spacing w:before="147" w:line="290" w:lineRule="exact"/>
              <w:ind w:left="511"/>
              <w:rPr>
                <w:rFonts w:hint="eastAsia" w:ascii="仿宋_GB2312" w:hAnsi="仿宋_GB2312" w:eastAsia="仿宋_GB2312" w:cs="仿宋_GB2312"/>
                <w:color w:val="auto"/>
              </w:rPr>
            </w:pPr>
            <w:r>
              <w:rPr>
                <w:rFonts w:hint="eastAsia" w:ascii="仿宋_GB2312" w:hAnsi="仿宋_GB2312" w:eastAsia="仿宋_GB2312" w:cs="仿宋_GB2312"/>
                <w:color w:val="auto"/>
                <w:spacing w:val="-1"/>
                <w:position w:val="1"/>
              </w:rPr>
              <w:t>千人口献血率</w:t>
            </w:r>
            <w:r>
              <w:rPr>
                <w:rFonts w:hint="eastAsia" w:ascii="仿宋_GB2312" w:hAnsi="仿宋_GB2312" w:eastAsia="仿宋_GB2312" w:cs="仿宋_GB2312"/>
                <w:color w:val="auto"/>
                <w:spacing w:val="-1"/>
                <w:position w:val="1"/>
                <w:lang w:eastAsia="zh-CN"/>
              </w:rPr>
              <w:t>（</w:t>
            </w:r>
            <w:r>
              <w:rPr>
                <w:rFonts w:hint="eastAsia" w:ascii="仿宋_GB2312" w:hAnsi="仿宋_GB2312" w:eastAsia="仿宋_GB2312" w:cs="仿宋_GB2312"/>
                <w:color w:val="auto"/>
                <w:spacing w:val="-1"/>
                <w:position w:val="1"/>
              </w:rPr>
              <w:t>‰</w:t>
            </w:r>
            <w:r>
              <w:rPr>
                <w:rFonts w:hint="eastAsia" w:ascii="仿宋_GB2312" w:hAnsi="仿宋_GB2312" w:eastAsia="仿宋_GB2312" w:cs="仿宋_GB2312"/>
                <w:color w:val="auto"/>
                <w:spacing w:val="-1"/>
                <w:position w:val="1"/>
                <w:lang w:eastAsia="zh-CN"/>
              </w:rPr>
              <w:t>）</w:t>
            </w:r>
          </w:p>
        </w:tc>
        <w:tc>
          <w:tcPr>
            <w:tcW w:w="1131" w:type="dxa"/>
            <w:vAlign w:val="top"/>
          </w:tcPr>
          <w:p>
            <w:pPr>
              <w:spacing w:before="174" w:line="290" w:lineRule="exact"/>
              <w:ind w:left="460"/>
              <w:rPr>
                <w:rFonts w:hint="eastAsia" w:ascii="仿宋_GB2312" w:hAnsi="仿宋_GB2312" w:eastAsia="仿宋_GB2312" w:cs="仿宋_GB2312"/>
                <w:spacing w:val="-5"/>
                <w:position w:val="1"/>
                <w:sz w:val="22"/>
                <w:szCs w:val="22"/>
                <w:lang w:val="en-US" w:eastAsia="zh-CN"/>
              </w:rPr>
            </w:pPr>
            <w:r>
              <w:rPr>
                <w:rFonts w:hint="eastAsia" w:ascii="仿宋_GB2312" w:hAnsi="仿宋_GB2312" w:eastAsia="仿宋_GB2312" w:cs="仿宋_GB2312"/>
                <w:spacing w:val="-5"/>
                <w:position w:val="1"/>
                <w:sz w:val="22"/>
                <w:szCs w:val="22"/>
                <w:lang w:val="en-US" w:eastAsia="zh-CN"/>
              </w:rPr>
              <w:t>11.2</w:t>
            </w:r>
          </w:p>
        </w:tc>
        <w:tc>
          <w:tcPr>
            <w:tcW w:w="1571" w:type="dxa"/>
            <w:vAlign w:val="top"/>
          </w:tcPr>
          <w:p>
            <w:pPr>
              <w:pStyle w:val="11"/>
              <w:spacing w:before="179" w:line="221" w:lineRule="auto"/>
              <w:ind w:left="245"/>
              <w:rPr>
                <w:rFonts w:hint="eastAsia" w:ascii="仿宋_GB2312" w:hAnsi="仿宋_GB2312" w:eastAsia="仿宋_GB2312" w:cs="仿宋_GB2312"/>
                <w:color w:val="auto"/>
              </w:rPr>
            </w:pPr>
            <w:r>
              <w:rPr>
                <w:rFonts w:hint="eastAsia" w:ascii="仿宋_GB2312" w:hAnsi="仿宋_GB2312" w:eastAsia="仿宋_GB2312" w:cs="仿宋_GB2312"/>
                <w:color w:val="auto"/>
                <w:spacing w:val="-3"/>
              </w:rPr>
              <w:t>与</w:t>
            </w:r>
            <w:r>
              <w:rPr>
                <w:rFonts w:hint="eastAsia" w:ascii="仿宋_GB2312" w:hAnsi="仿宋_GB2312" w:eastAsia="仿宋_GB2312" w:cs="仿宋_GB2312"/>
                <w:color w:val="auto"/>
                <w:spacing w:val="-3"/>
                <w:lang w:val="en-US" w:eastAsia="zh-CN"/>
              </w:rPr>
              <w:t>全省</w:t>
            </w:r>
            <w:r>
              <w:rPr>
                <w:rFonts w:hint="eastAsia" w:ascii="仿宋_GB2312" w:hAnsi="仿宋_GB2312" w:eastAsia="仿宋_GB2312" w:cs="仿宋_GB2312"/>
                <w:color w:val="auto"/>
                <w:spacing w:val="-3"/>
              </w:rPr>
              <w:t>持平</w:t>
            </w:r>
          </w:p>
        </w:tc>
        <w:tc>
          <w:tcPr>
            <w:tcW w:w="994" w:type="dxa"/>
            <w:vAlign w:val="top"/>
          </w:tcPr>
          <w:p>
            <w:pPr>
              <w:pStyle w:val="11"/>
              <w:spacing w:before="179" w:line="222" w:lineRule="auto"/>
              <w:ind w:left="176"/>
              <w:rPr>
                <w:rFonts w:hint="eastAsia" w:ascii="仿宋_GB2312" w:hAnsi="仿宋_GB2312" w:eastAsia="仿宋_GB2312" w:cs="仿宋_GB2312"/>
                <w:snapToGrid w:val="0"/>
                <w:color w:val="auto"/>
                <w:spacing w:val="-3"/>
                <w:kern w:val="0"/>
                <w:sz w:val="22"/>
                <w:szCs w:val="22"/>
                <w:lang w:val="en-US" w:eastAsia="en-US" w:bidi="ar-SA"/>
              </w:rPr>
            </w:pPr>
            <w:r>
              <w:rPr>
                <w:rFonts w:hint="eastAsia" w:ascii="仿宋_GB2312" w:hAnsi="仿宋_GB2312" w:eastAsia="仿宋_GB2312" w:cs="仿宋_GB2312"/>
                <w:snapToGrid w:val="0"/>
                <w:color w:val="auto"/>
                <w:spacing w:val="-3"/>
                <w:kern w:val="0"/>
                <w:sz w:val="22"/>
                <w:szCs w:val="22"/>
                <w:lang w:val="en-US" w:eastAsia="en-US" w:bidi="ar-SA"/>
              </w:rPr>
              <w:t>预期性</w:t>
            </w:r>
          </w:p>
        </w:tc>
        <w:tc>
          <w:tcPr>
            <w:tcW w:w="1796" w:type="dxa"/>
            <w:vAlign w:val="top"/>
          </w:tcPr>
          <w:p>
            <w:pPr>
              <w:pStyle w:val="11"/>
              <w:spacing w:before="179" w:line="221" w:lineRule="auto"/>
              <w:ind w:left="247"/>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highlight w:val="none"/>
                <w:lang w:val="en-US" w:eastAsia="zh-CN"/>
              </w:rPr>
              <w:t>市卫生健康局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708" w:type="dxa"/>
            <w:vAlign w:val="top"/>
          </w:tcPr>
          <w:p>
            <w:pPr>
              <w:spacing w:before="175" w:line="290" w:lineRule="exact"/>
              <w:ind w:left="267"/>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pacing w:val="-13"/>
                <w:position w:val="1"/>
                <w:sz w:val="22"/>
                <w:szCs w:val="22"/>
                <w:highlight w:val="none"/>
              </w:rPr>
              <w:t>15</w:t>
            </w:r>
          </w:p>
        </w:tc>
        <w:tc>
          <w:tcPr>
            <w:tcW w:w="2996" w:type="dxa"/>
            <w:gridSpan w:val="2"/>
            <w:vAlign w:val="top"/>
          </w:tcPr>
          <w:p>
            <w:pPr>
              <w:pStyle w:val="11"/>
              <w:spacing w:before="59" w:line="220" w:lineRule="auto"/>
              <w:ind w:left="73"/>
              <w:jc w:val="center"/>
              <w:rPr>
                <w:rFonts w:hint="eastAsia" w:ascii="仿宋_GB2312" w:hAnsi="仿宋_GB2312" w:eastAsia="仿宋_GB2312" w:cs="仿宋_GB2312"/>
                <w:color w:val="auto"/>
                <w:highlight w:val="none"/>
              </w:rPr>
            </w:pPr>
            <w:bookmarkStart w:id="3" w:name="OLE_LINK8"/>
            <w:r>
              <w:rPr>
                <w:rFonts w:hint="eastAsia" w:ascii="仿宋_GB2312" w:hAnsi="仿宋_GB2312" w:eastAsia="仿宋_GB2312" w:cs="仿宋_GB2312"/>
                <w:color w:val="auto"/>
                <w:spacing w:val="-1"/>
                <w:highlight w:val="none"/>
              </w:rPr>
              <w:t>严重精神障碍患者规范管理服</w:t>
            </w:r>
            <w:r>
              <w:rPr>
                <w:rFonts w:hint="eastAsia" w:ascii="仿宋_GB2312" w:hAnsi="仿宋_GB2312" w:eastAsia="仿宋_GB2312" w:cs="仿宋_GB2312"/>
                <w:color w:val="auto"/>
                <w:spacing w:val="-2"/>
                <w:highlight w:val="none"/>
              </w:rPr>
              <w:t>务率（%）</w:t>
            </w:r>
            <w:bookmarkEnd w:id="3"/>
          </w:p>
        </w:tc>
        <w:tc>
          <w:tcPr>
            <w:tcW w:w="1131" w:type="dxa"/>
            <w:vAlign w:val="top"/>
          </w:tcPr>
          <w:p>
            <w:pPr>
              <w:spacing w:before="174" w:line="290" w:lineRule="exact"/>
              <w:ind w:left="460"/>
              <w:rPr>
                <w:rFonts w:hint="eastAsia" w:ascii="仿宋_GB2312" w:hAnsi="仿宋_GB2312" w:eastAsia="仿宋_GB2312" w:cs="仿宋_GB2312"/>
                <w:spacing w:val="-5"/>
                <w:position w:val="1"/>
                <w:sz w:val="22"/>
                <w:szCs w:val="22"/>
              </w:rPr>
            </w:pPr>
            <w:r>
              <w:rPr>
                <w:rFonts w:hint="eastAsia" w:ascii="仿宋_GB2312" w:hAnsi="仿宋_GB2312" w:eastAsia="仿宋_GB2312" w:cs="仿宋_GB2312"/>
                <w:spacing w:val="-5"/>
                <w:position w:val="1"/>
                <w:sz w:val="22"/>
                <w:szCs w:val="22"/>
              </w:rPr>
              <w:t>98.25</w:t>
            </w:r>
          </w:p>
        </w:tc>
        <w:tc>
          <w:tcPr>
            <w:tcW w:w="1571" w:type="dxa"/>
            <w:vAlign w:val="top"/>
          </w:tcPr>
          <w:p>
            <w:pPr>
              <w:spacing w:before="175" w:line="290" w:lineRule="exact"/>
              <w:ind w:left="616" w:leftChars="0"/>
              <w:rPr>
                <w:rFonts w:hint="eastAsia" w:ascii="仿宋_GB2312" w:hAnsi="仿宋_GB2312" w:eastAsia="仿宋_GB2312" w:cs="仿宋_GB2312"/>
                <w:color w:val="auto"/>
                <w:sz w:val="22"/>
                <w:szCs w:val="22"/>
                <w:highlight w:val="none"/>
              </w:rPr>
            </w:pPr>
            <w:r>
              <w:rPr>
                <w:rFonts w:ascii="Times New Roman" w:hAnsi="Times New Roman" w:eastAsia="Times New Roman" w:cs="Times New Roman"/>
                <w:color w:val="auto"/>
                <w:spacing w:val="-1"/>
                <w:position w:val="2"/>
                <w:sz w:val="22"/>
                <w:szCs w:val="22"/>
                <w:highlight w:val="none"/>
              </w:rPr>
              <w:t>≥98</w:t>
            </w:r>
          </w:p>
        </w:tc>
        <w:tc>
          <w:tcPr>
            <w:tcW w:w="994" w:type="dxa"/>
            <w:vAlign w:val="top"/>
          </w:tcPr>
          <w:p>
            <w:pPr>
              <w:pStyle w:val="11"/>
              <w:spacing w:before="179" w:line="222" w:lineRule="auto"/>
              <w:ind w:left="176"/>
              <w:rPr>
                <w:rFonts w:hint="eastAsia" w:ascii="仿宋_GB2312" w:hAnsi="仿宋_GB2312" w:eastAsia="仿宋_GB2312" w:cs="仿宋_GB2312"/>
                <w:snapToGrid w:val="0"/>
                <w:color w:val="auto"/>
                <w:spacing w:val="-3"/>
                <w:kern w:val="0"/>
                <w:sz w:val="22"/>
                <w:szCs w:val="22"/>
                <w:lang w:val="en-US" w:eastAsia="en-US" w:bidi="ar-SA"/>
              </w:rPr>
            </w:pPr>
            <w:r>
              <w:rPr>
                <w:rFonts w:hint="eastAsia" w:ascii="仿宋_GB2312" w:hAnsi="仿宋_GB2312" w:eastAsia="仿宋_GB2312" w:cs="仿宋_GB2312"/>
                <w:snapToGrid w:val="0"/>
                <w:color w:val="auto"/>
                <w:spacing w:val="-3"/>
                <w:kern w:val="0"/>
                <w:sz w:val="22"/>
                <w:szCs w:val="22"/>
                <w:lang w:val="en-US" w:eastAsia="en-US" w:bidi="ar-SA"/>
              </w:rPr>
              <w:t>预期性</w:t>
            </w:r>
          </w:p>
        </w:tc>
        <w:tc>
          <w:tcPr>
            <w:tcW w:w="1796" w:type="dxa"/>
            <w:vAlign w:val="top"/>
          </w:tcPr>
          <w:p>
            <w:pPr>
              <w:pStyle w:val="11"/>
              <w:spacing w:before="207" w:line="221" w:lineRule="auto"/>
              <w:ind w:left="247" w:leftChars="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val="en-US" w:eastAsia="zh-CN"/>
              </w:rPr>
              <w:t>市卫生健康局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9196" w:type="dxa"/>
            <w:gridSpan w:val="7"/>
            <w:vAlign w:val="top"/>
          </w:tcPr>
          <w:p>
            <w:pPr>
              <w:spacing w:before="123" w:line="222" w:lineRule="auto"/>
              <w:ind w:left="37"/>
              <w:rPr>
                <w:rFonts w:hint="eastAsia" w:ascii="仿宋_GB2312" w:hAnsi="仿宋_GB2312" w:eastAsia="仿宋_GB2312" w:cs="仿宋_GB2312"/>
                <w:snapToGrid w:val="0"/>
                <w:color w:val="auto"/>
                <w:spacing w:val="-3"/>
                <w:kern w:val="0"/>
                <w:sz w:val="22"/>
                <w:szCs w:val="22"/>
                <w:lang w:val="en-US" w:eastAsia="en-US" w:bidi="ar-SA"/>
              </w:rPr>
            </w:pPr>
            <w:r>
              <w:rPr>
                <w:rFonts w:hint="eastAsia" w:ascii="黑体" w:hAnsi="黑体" w:eastAsia="黑体" w:cs="黑体"/>
                <w:spacing w:val="-2"/>
                <w:sz w:val="22"/>
                <w:szCs w:val="22"/>
                <w:lang w:val="en-US" w:eastAsia="en-US"/>
              </w:rPr>
              <w:t>四、健康环境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708" w:type="dxa"/>
            <w:vAlign w:val="top"/>
          </w:tcPr>
          <w:p>
            <w:pPr>
              <w:spacing w:before="174" w:line="290" w:lineRule="exact"/>
              <w:ind w:left="267"/>
              <w:rPr>
                <w:rFonts w:hint="eastAsia" w:ascii="仿宋_GB2312" w:hAnsi="仿宋_GB2312" w:eastAsia="仿宋_GB2312" w:cs="仿宋_GB2312"/>
                <w:sz w:val="22"/>
                <w:szCs w:val="22"/>
              </w:rPr>
            </w:pPr>
            <w:r>
              <w:rPr>
                <w:rFonts w:hint="eastAsia" w:ascii="仿宋_GB2312" w:hAnsi="仿宋_GB2312" w:eastAsia="仿宋_GB2312" w:cs="仿宋_GB2312"/>
                <w:spacing w:val="-13"/>
                <w:position w:val="1"/>
                <w:sz w:val="22"/>
                <w:szCs w:val="22"/>
              </w:rPr>
              <w:t>16</w:t>
            </w:r>
          </w:p>
        </w:tc>
        <w:tc>
          <w:tcPr>
            <w:tcW w:w="2996" w:type="dxa"/>
            <w:gridSpan w:val="2"/>
            <w:vAlign w:val="top"/>
          </w:tcPr>
          <w:p>
            <w:pPr>
              <w:pStyle w:val="11"/>
              <w:spacing w:before="59" w:line="231" w:lineRule="auto"/>
              <w:ind w:left="289" w:right="284" w:firstLine="3"/>
              <w:rPr>
                <w:rFonts w:hint="eastAsia" w:ascii="仿宋_GB2312" w:hAnsi="仿宋_GB2312" w:eastAsia="仿宋_GB2312" w:cs="仿宋_GB2312"/>
              </w:rPr>
            </w:pPr>
            <w:r>
              <w:rPr>
                <w:rFonts w:hint="eastAsia" w:ascii="仿宋_GB2312" w:hAnsi="仿宋_GB2312" w:eastAsia="仿宋_GB2312" w:cs="仿宋_GB2312"/>
                <w:spacing w:val="-1"/>
              </w:rPr>
              <w:t>地级及以上城市细颗粒</w:t>
            </w:r>
            <w:r>
              <w:rPr>
                <w:rFonts w:hint="eastAsia" w:ascii="仿宋_GB2312" w:hAnsi="仿宋_GB2312" w:eastAsia="仿宋_GB2312" w:cs="仿宋_GB2312"/>
                <w:spacing w:val="-5"/>
              </w:rPr>
              <w:t>（PM2.5）浓度</w:t>
            </w:r>
            <w:r>
              <w:rPr>
                <w:rFonts w:hint="eastAsia" w:ascii="仿宋_GB2312" w:hAnsi="仿宋_GB2312" w:eastAsia="仿宋_GB2312" w:cs="仿宋_GB2312"/>
                <w:spacing w:val="-5"/>
                <w:lang w:eastAsia="zh-CN"/>
              </w:rPr>
              <w:t>（</w:t>
            </w:r>
            <w:r>
              <w:rPr>
                <w:rFonts w:hint="eastAsia" w:ascii="仿宋_GB2312" w:hAnsi="仿宋_GB2312" w:eastAsia="仿宋_GB2312" w:cs="仿宋_GB2312"/>
                <w:spacing w:val="-5"/>
              </w:rPr>
              <w:t>μg/m3）</w:t>
            </w:r>
          </w:p>
        </w:tc>
        <w:tc>
          <w:tcPr>
            <w:tcW w:w="1131" w:type="dxa"/>
            <w:vAlign w:val="top"/>
          </w:tcPr>
          <w:p>
            <w:pPr>
              <w:spacing w:before="174" w:line="290" w:lineRule="exact"/>
              <w:ind w:left="460"/>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pacing w:val="-5"/>
                <w:position w:val="1"/>
                <w:sz w:val="22"/>
                <w:szCs w:val="22"/>
                <w:lang w:val="en-US" w:eastAsia="zh-CN"/>
              </w:rPr>
              <w:t>25</w:t>
            </w:r>
          </w:p>
        </w:tc>
        <w:tc>
          <w:tcPr>
            <w:tcW w:w="1571" w:type="dxa"/>
            <w:vAlign w:val="top"/>
          </w:tcPr>
          <w:p>
            <w:pPr>
              <w:spacing w:before="174" w:line="290" w:lineRule="exact"/>
              <w:ind w:firstLine="216" w:firstLineChars="100"/>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pacing w:val="-2"/>
                <w:position w:val="1"/>
                <w:sz w:val="22"/>
                <w:szCs w:val="22"/>
                <w:lang w:val="en-US" w:eastAsia="zh-CN"/>
              </w:rPr>
              <w:t>完成省定任务</w:t>
            </w:r>
          </w:p>
        </w:tc>
        <w:tc>
          <w:tcPr>
            <w:tcW w:w="994" w:type="dxa"/>
            <w:vAlign w:val="top"/>
          </w:tcPr>
          <w:p>
            <w:pPr>
              <w:pStyle w:val="11"/>
              <w:spacing w:before="179" w:line="222" w:lineRule="auto"/>
              <w:ind w:left="176"/>
              <w:rPr>
                <w:rFonts w:hint="eastAsia" w:ascii="仿宋_GB2312" w:hAnsi="仿宋_GB2312" w:eastAsia="仿宋_GB2312" w:cs="仿宋_GB2312"/>
                <w:snapToGrid w:val="0"/>
                <w:color w:val="auto"/>
                <w:spacing w:val="-3"/>
                <w:kern w:val="0"/>
                <w:sz w:val="22"/>
                <w:szCs w:val="22"/>
                <w:lang w:val="en-US" w:eastAsia="en-US" w:bidi="ar-SA"/>
              </w:rPr>
            </w:pPr>
            <w:r>
              <w:rPr>
                <w:rFonts w:hint="eastAsia" w:ascii="仿宋_GB2312" w:hAnsi="仿宋_GB2312" w:eastAsia="仿宋_GB2312" w:cs="仿宋_GB2312"/>
                <w:snapToGrid w:val="0"/>
                <w:color w:val="auto"/>
                <w:spacing w:val="-3"/>
                <w:kern w:val="0"/>
                <w:sz w:val="22"/>
                <w:szCs w:val="22"/>
                <w:lang w:val="en-US" w:eastAsia="en-US" w:bidi="ar-SA"/>
              </w:rPr>
              <w:t>约束性</w:t>
            </w:r>
          </w:p>
        </w:tc>
        <w:tc>
          <w:tcPr>
            <w:tcW w:w="1796" w:type="dxa"/>
            <w:vAlign w:val="top"/>
          </w:tcPr>
          <w:p>
            <w:pPr>
              <w:pStyle w:val="11"/>
              <w:spacing w:before="209" w:line="221" w:lineRule="auto"/>
              <w:ind w:left="247"/>
              <w:rPr>
                <w:rFonts w:hint="eastAsia" w:ascii="仿宋_GB2312" w:hAnsi="仿宋_GB2312" w:eastAsia="仿宋_GB2312" w:cs="仿宋_GB2312"/>
                <w:lang w:eastAsia="zh-CN"/>
              </w:rPr>
            </w:pPr>
            <w:r>
              <w:rPr>
                <w:rFonts w:hint="eastAsia" w:ascii="仿宋_GB2312" w:hAnsi="仿宋_GB2312" w:eastAsia="仿宋_GB2312" w:cs="仿宋_GB2312"/>
                <w:spacing w:val="-2"/>
                <w:lang w:val="en-US" w:eastAsia="zh-CN"/>
              </w:rPr>
              <w:t>市</w:t>
            </w:r>
            <w:r>
              <w:rPr>
                <w:rFonts w:hint="eastAsia" w:ascii="仿宋_GB2312" w:hAnsi="仿宋_GB2312" w:eastAsia="仿宋_GB2312" w:cs="仿宋_GB2312"/>
                <w:spacing w:val="-2"/>
              </w:rPr>
              <w:t>生态环境</w:t>
            </w:r>
            <w:r>
              <w:rPr>
                <w:rFonts w:hint="eastAsia" w:ascii="仿宋_GB2312" w:hAnsi="仿宋_GB2312" w:eastAsia="仿宋_GB2312" w:cs="仿宋_GB2312"/>
                <w:spacing w:val="-2"/>
                <w:lang w:val="en-US" w:eastAsia="zh-CN"/>
              </w:rPr>
              <w:t>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9" w:hRule="atLeast"/>
        </w:trPr>
        <w:tc>
          <w:tcPr>
            <w:tcW w:w="708" w:type="dxa"/>
            <w:vAlign w:val="top"/>
          </w:tcPr>
          <w:p>
            <w:pPr>
              <w:spacing w:before="240" w:line="290" w:lineRule="exact"/>
              <w:ind w:left="267"/>
              <w:rPr>
                <w:rFonts w:hint="eastAsia" w:ascii="仿宋_GB2312" w:hAnsi="仿宋_GB2312" w:eastAsia="仿宋_GB2312" w:cs="仿宋_GB2312"/>
                <w:sz w:val="22"/>
                <w:szCs w:val="22"/>
              </w:rPr>
            </w:pPr>
            <w:r>
              <w:rPr>
                <w:rFonts w:hint="eastAsia" w:ascii="仿宋_GB2312" w:hAnsi="仿宋_GB2312" w:eastAsia="仿宋_GB2312" w:cs="仿宋_GB2312"/>
                <w:spacing w:val="-13"/>
                <w:position w:val="1"/>
                <w:sz w:val="22"/>
                <w:szCs w:val="22"/>
              </w:rPr>
              <w:t>17</w:t>
            </w:r>
          </w:p>
        </w:tc>
        <w:tc>
          <w:tcPr>
            <w:tcW w:w="2996" w:type="dxa"/>
            <w:gridSpan w:val="2"/>
            <w:vAlign w:val="top"/>
          </w:tcPr>
          <w:p>
            <w:pPr>
              <w:pStyle w:val="11"/>
              <w:spacing w:before="240" w:line="290" w:lineRule="exact"/>
              <w:jc w:val="right"/>
              <w:rPr>
                <w:rFonts w:hint="eastAsia" w:ascii="仿宋_GB2312" w:hAnsi="仿宋_GB2312" w:eastAsia="仿宋_GB2312" w:cs="仿宋_GB2312"/>
              </w:rPr>
            </w:pPr>
            <w:r>
              <w:rPr>
                <w:rFonts w:hint="eastAsia" w:ascii="仿宋_GB2312" w:hAnsi="仿宋_GB2312" w:eastAsia="仿宋_GB2312" w:cs="仿宋_GB2312"/>
                <w:spacing w:val="-6"/>
                <w:position w:val="1"/>
              </w:rPr>
              <w:t>地表水达到优良水体比例（%）</w:t>
            </w:r>
          </w:p>
        </w:tc>
        <w:tc>
          <w:tcPr>
            <w:tcW w:w="1131" w:type="dxa"/>
            <w:vAlign w:val="top"/>
          </w:tcPr>
          <w:p>
            <w:pPr>
              <w:spacing w:before="240" w:line="290" w:lineRule="exact"/>
              <w:ind w:left="465"/>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pacing w:val="-7"/>
                <w:position w:val="1"/>
                <w:sz w:val="22"/>
                <w:szCs w:val="22"/>
                <w:lang w:val="en-US" w:eastAsia="zh-CN"/>
              </w:rPr>
              <w:t>100</w:t>
            </w:r>
          </w:p>
        </w:tc>
        <w:tc>
          <w:tcPr>
            <w:tcW w:w="1571" w:type="dxa"/>
            <w:vAlign w:val="top"/>
          </w:tcPr>
          <w:p>
            <w:pPr>
              <w:spacing w:before="240" w:line="290" w:lineRule="exact"/>
              <w:ind w:left="687"/>
              <w:rPr>
                <w:rFonts w:hint="default" w:ascii="仿宋_GB2312" w:hAnsi="仿宋_GB2312" w:eastAsia="仿宋_GB2312" w:cs="仿宋_GB2312"/>
                <w:sz w:val="22"/>
                <w:szCs w:val="22"/>
                <w:lang w:val="en-US" w:eastAsia="zh-CN"/>
              </w:rPr>
            </w:pPr>
            <w:r>
              <w:rPr>
                <w:rFonts w:hint="eastAsia" w:ascii="仿宋_GB2312" w:hAnsi="仿宋_GB2312" w:eastAsia="仿宋_GB2312" w:cs="仿宋_GB2312"/>
                <w:spacing w:val="-7"/>
                <w:position w:val="1"/>
                <w:sz w:val="22"/>
                <w:szCs w:val="22"/>
                <w:lang w:val="en-US" w:eastAsia="zh-CN"/>
              </w:rPr>
              <w:t>100</w:t>
            </w:r>
          </w:p>
        </w:tc>
        <w:tc>
          <w:tcPr>
            <w:tcW w:w="994" w:type="dxa"/>
            <w:vAlign w:val="top"/>
          </w:tcPr>
          <w:p>
            <w:pPr>
              <w:pStyle w:val="11"/>
              <w:spacing w:before="179" w:line="222" w:lineRule="auto"/>
              <w:ind w:left="176"/>
              <w:rPr>
                <w:rFonts w:hint="eastAsia" w:ascii="仿宋_GB2312" w:hAnsi="仿宋_GB2312" w:eastAsia="仿宋_GB2312" w:cs="仿宋_GB2312"/>
                <w:snapToGrid w:val="0"/>
                <w:color w:val="auto"/>
                <w:spacing w:val="-3"/>
                <w:kern w:val="0"/>
                <w:sz w:val="22"/>
                <w:szCs w:val="22"/>
                <w:lang w:val="en-US" w:eastAsia="en-US" w:bidi="ar-SA"/>
              </w:rPr>
            </w:pPr>
            <w:r>
              <w:rPr>
                <w:rFonts w:hint="eastAsia" w:ascii="仿宋_GB2312" w:hAnsi="仿宋_GB2312" w:eastAsia="仿宋_GB2312" w:cs="仿宋_GB2312"/>
                <w:snapToGrid w:val="0"/>
                <w:color w:val="auto"/>
                <w:spacing w:val="-3"/>
                <w:kern w:val="0"/>
                <w:sz w:val="22"/>
                <w:szCs w:val="22"/>
                <w:lang w:val="en-US" w:eastAsia="en-US" w:bidi="ar-SA"/>
              </w:rPr>
              <w:t>约束性</w:t>
            </w:r>
          </w:p>
        </w:tc>
        <w:tc>
          <w:tcPr>
            <w:tcW w:w="1796" w:type="dxa"/>
            <w:vAlign w:val="top"/>
          </w:tcPr>
          <w:p>
            <w:pPr>
              <w:pStyle w:val="11"/>
              <w:spacing w:before="273" w:line="221" w:lineRule="auto"/>
              <w:ind w:left="247"/>
              <w:rPr>
                <w:rFonts w:hint="eastAsia" w:ascii="仿宋_GB2312" w:hAnsi="仿宋_GB2312" w:eastAsia="仿宋_GB2312" w:cs="仿宋_GB2312"/>
                <w:lang w:eastAsia="zh-CN"/>
              </w:rPr>
            </w:pPr>
            <w:r>
              <w:rPr>
                <w:rFonts w:hint="eastAsia" w:ascii="仿宋_GB2312" w:hAnsi="仿宋_GB2312" w:eastAsia="仿宋_GB2312" w:cs="仿宋_GB2312"/>
                <w:spacing w:val="-2"/>
                <w:lang w:val="en-US" w:eastAsia="zh-CN"/>
              </w:rPr>
              <w:t>市</w:t>
            </w:r>
            <w:r>
              <w:rPr>
                <w:rFonts w:hint="eastAsia" w:ascii="仿宋_GB2312" w:hAnsi="仿宋_GB2312" w:eastAsia="仿宋_GB2312" w:cs="仿宋_GB2312"/>
                <w:spacing w:val="-2"/>
              </w:rPr>
              <w:t>生态环境</w:t>
            </w:r>
            <w:r>
              <w:rPr>
                <w:rFonts w:hint="eastAsia" w:ascii="仿宋_GB2312" w:hAnsi="仿宋_GB2312" w:eastAsia="仿宋_GB2312" w:cs="仿宋_GB2312"/>
                <w:spacing w:val="-2"/>
                <w:lang w:val="en-US" w:eastAsia="zh-CN"/>
              </w:rPr>
              <w:t>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9196" w:type="dxa"/>
            <w:gridSpan w:val="7"/>
            <w:vAlign w:val="top"/>
          </w:tcPr>
          <w:p>
            <w:pPr>
              <w:spacing w:before="181" w:line="224" w:lineRule="auto"/>
              <w:ind w:left="30"/>
              <w:rPr>
                <w:rFonts w:hint="eastAsia" w:ascii="仿宋_GB2312" w:hAnsi="仿宋_GB2312" w:eastAsia="仿宋_GB2312" w:cs="仿宋_GB2312"/>
                <w:snapToGrid w:val="0"/>
                <w:color w:val="auto"/>
                <w:spacing w:val="-3"/>
                <w:kern w:val="0"/>
                <w:sz w:val="22"/>
                <w:szCs w:val="22"/>
                <w:lang w:val="en-US" w:eastAsia="en-US" w:bidi="ar-SA"/>
              </w:rPr>
            </w:pPr>
            <w:r>
              <w:rPr>
                <w:rFonts w:hint="eastAsia" w:ascii="黑体" w:hAnsi="黑体" w:eastAsia="黑体" w:cs="黑体"/>
                <w:spacing w:val="-2"/>
                <w:sz w:val="22"/>
                <w:szCs w:val="22"/>
                <w:lang w:val="en-US" w:eastAsia="en-US"/>
              </w:rPr>
              <w:t>五、健康保障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708" w:type="dxa"/>
            <w:vAlign w:val="top"/>
          </w:tcPr>
          <w:p>
            <w:pPr>
              <w:spacing w:before="177" w:line="290" w:lineRule="exact"/>
              <w:ind w:left="267"/>
              <w:rPr>
                <w:rFonts w:hint="eastAsia" w:ascii="仿宋_GB2312" w:hAnsi="仿宋_GB2312" w:eastAsia="仿宋_GB2312" w:cs="仿宋_GB2312"/>
                <w:sz w:val="22"/>
                <w:szCs w:val="22"/>
              </w:rPr>
            </w:pPr>
            <w:r>
              <w:rPr>
                <w:rFonts w:hint="eastAsia" w:ascii="仿宋_GB2312" w:hAnsi="仿宋_GB2312" w:eastAsia="仿宋_GB2312" w:cs="仿宋_GB2312"/>
                <w:spacing w:val="-13"/>
                <w:position w:val="1"/>
                <w:sz w:val="22"/>
                <w:szCs w:val="22"/>
              </w:rPr>
              <w:t>18</w:t>
            </w:r>
          </w:p>
        </w:tc>
        <w:tc>
          <w:tcPr>
            <w:tcW w:w="2996" w:type="dxa"/>
            <w:gridSpan w:val="2"/>
            <w:vAlign w:val="top"/>
          </w:tcPr>
          <w:p>
            <w:pPr>
              <w:pStyle w:val="11"/>
              <w:spacing w:before="61" w:line="230" w:lineRule="auto"/>
              <w:ind w:left="842" w:right="66" w:hanging="770"/>
              <w:rPr>
                <w:rFonts w:hint="eastAsia" w:ascii="仿宋_GB2312" w:hAnsi="仿宋_GB2312" w:eastAsia="仿宋_GB2312" w:cs="仿宋_GB2312"/>
              </w:rPr>
            </w:pPr>
            <w:r>
              <w:rPr>
                <w:rFonts w:hint="eastAsia" w:ascii="仿宋_GB2312" w:hAnsi="仿宋_GB2312" w:eastAsia="仿宋_GB2312" w:cs="仿宋_GB2312"/>
                <w:spacing w:val="-1"/>
              </w:rPr>
              <w:t>基本医疗保险目录内住院费用</w:t>
            </w:r>
            <w:r>
              <w:rPr>
                <w:rFonts w:hint="eastAsia" w:ascii="仿宋_GB2312" w:hAnsi="仿宋_GB2312" w:eastAsia="仿宋_GB2312" w:cs="仿宋_GB2312"/>
                <w:spacing w:val="-2"/>
              </w:rPr>
              <w:t>基金支付比例</w:t>
            </w:r>
          </w:p>
        </w:tc>
        <w:tc>
          <w:tcPr>
            <w:tcW w:w="1131" w:type="dxa"/>
            <w:vAlign w:val="top"/>
          </w:tcPr>
          <w:p>
            <w:pPr>
              <w:pStyle w:val="11"/>
              <w:spacing w:before="209" w:line="221" w:lineRule="auto"/>
              <w:ind w:left="353"/>
              <w:rPr>
                <w:rFonts w:hint="eastAsia" w:ascii="仿宋_GB2312" w:hAnsi="仿宋_GB2312" w:eastAsia="仿宋_GB2312" w:cs="仿宋_GB2312"/>
              </w:rPr>
            </w:pPr>
            <w:r>
              <w:rPr>
                <w:rFonts w:hint="eastAsia" w:ascii="仿宋_GB2312" w:hAnsi="仿宋_GB2312" w:eastAsia="仿宋_GB2312" w:cs="仿宋_GB2312"/>
                <w:spacing w:val="-5"/>
              </w:rPr>
              <w:t>待定</w:t>
            </w:r>
          </w:p>
        </w:tc>
        <w:tc>
          <w:tcPr>
            <w:tcW w:w="1571" w:type="dxa"/>
            <w:vAlign w:val="top"/>
          </w:tcPr>
          <w:p>
            <w:pPr>
              <w:pStyle w:val="11"/>
              <w:spacing w:before="209" w:line="221" w:lineRule="auto"/>
              <w:ind w:left="574"/>
              <w:rPr>
                <w:rFonts w:hint="eastAsia" w:ascii="仿宋_GB2312" w:hAnsi="仿宋_GB2312" w:eastAsia="仿宋_GB2312" w:cs="仿宋_GB2312"/>
              </w:rPr>
            </w:pPr>
            <w:r>
              <w:rPr>
                <w:rFonts w:hint="eastAsia" w:ascii="仿宋_GB2312" w:hAnsi="仿宋_GB2312" w:eastAsia="仿宋_GB2312" w:cs="仿宋_GB2312"/>
                <w:spacing w:val="-5"/>
              </w:rPr>
              <w:t>待定</w:t>
            </w:r>
          </w:p>
        </w:tc>
        <w:tc>
          <w:tcPr>
            <w:tcW w:w="994" w:type="dxa"/>
            <w:vAlign w:val="top"/>
          </w:tcPr>
          <w:p>
            <w:pPr>
              <w:pStyle w:val="11"/>
              <w:spacing w:before="179" w:line="222" w:lineRule="auto"/>
              <w:ind w:left="176"/>
              <w:rPr>
                <w:rFonts w:hint="eastAsia" w:ascii="仿宋_GB2312" w:hAnsi="仿宋_GB2312" w:eastAsia="仿宋_GB2312" w:cs="仿宋_GB2312"/>
                <w:snapToGrid w:val="0"/>
                <w:color w:val="auto"/>
                <w:spacing w:val="-3"/>
                <w:kern w:val="0"/>
                <w:sz w:val="22"/>
                <w:szCs w:val="22"/>
                <w:lang w:val="en-US" w:eastAsia="en-US" w:bidi="ar-SA"/>
              </w:rPr>
            </w:pPr>
            <w:r>
              <w:rPr>
                <w:rFonts w:hint="eastAsia" w:ascii="仿宋_GB2312" w:hAnsi="仿宋_GB2312" w:eastAsia="仿宋_GB2312" w:cs="仿宋_GB2312"/>
                <w:snapToGrid w:val="0"/>
                <w:color w:val="auto"/>
                <w:spacing w:val="-3"/>
                <w:kern w:val="0"/>
                <w:sz w:val="22"/>
                <w:szCs w:val="22"/>
                <w:lang w:val="en-US" w:eastAsia="en-US" w:bidi="ar-SA"/>
              </w:rPr>
              <w:t>预期性</w:t>
            </w:r>
          </w:p>
        </w:tc>
        <w:tc>
          <w:tcPr>
            <w:tcW w:w="1796" w:type="dxa"/>
            <w:vAlign w:val="top"/>
          </w:tcPr>
          <w:p>
            <w:pPr>
              <w:pStyle w:val="11"/>
              <w:spacing w:before="209" w:line="221" w:lineRule="auto"/>
              <w:ind w:left="468"/>
              <w:rPr>
                <w:rFonts w:hint="eastAsia" w:ascii="仿宋_GB2312" w:hAnsi="仿宋_GB2312" w:eastAsia="仿宋_GB2312" w:cs="仿宋_GB2312"/>
              </w:rPr>
            </w:pPr>
            <w:bookmarkStart w:id="4" w:name="OLE_LINK11"/>
            <w:r>
              <w:rPr>
                <w:rFonts w:hint="eastAsia" w:ascii="仿宋_GB2312" w:hAnsi="仿宋_GB2312" w:eastAsia="仿宋_GB2312" w:cs="仿宋_GB2312"/>
                <w:spacing w:val="-3"/>
                <w:lang w:val="en-US" w:eastAsia="zh-CN"/>
              </w:rPr>
              <w:t>市</w:t>
            </w:r>
            <w:r>
              <w:rPr>
                <w:rFonts w:hint="eastAsia" w:ascii="仿宋_GB2312" w:hAnsi="仿宋_GB2312" w:eastAsia="仿宋_GB2312" w:cs="仿宋_GB2312"/>
                <w:spacing w:val="-3"/>
              </w:rPr>
              <w:t>医保局</w:t>
            </w:r>
            <w:bookmarkEnd w:id="4"/>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708" w:type="dxa"/>
            <w:vAlign w:val="top"/>
          </w:tcPr>
          <w:p>
            <w:pPr>
              <w:spacing w:before="176" w:line="290" w:lineRule="exact"/>
              <w:ind w:left="267"/>
              <w:rPr>
                <w:rFonts w:hint="eastAsia" w:ascii="仿宋_GB2312" w:hAnsi="仿宋_GB2312" w:eastAsia="仿宋_GB2312" w:cs="仿宋_GB2312"/>
                <w:sz w:val="22"/>
                <w:szCs w:val="22"/>
              </w:rPr>
            </w:pPr>
            <w:r>
              <w:rPr>
                <w:rFonts w:hint="eastAsia" w:ascii="仿宋_GB2312" w:hAnsi="仿宋_GB2312" w:eastAsia="仿宋_GB2312" w:cs="仿宋_GB2312"/>
                <w:spacing w:val="-13"/>
                <w:position w:val="1"/>
                <w:sz w:val="22"/>
                <w:szCs w:val="22"/>
              </w:rPr>
              <w:t>19</w:t>
            </w:r>
          </w:p>
        </w:tc>
        <w:tc>
          <w:tcPr>
            <w:tcW w:w="2996" w:type="dxa"/>
            <w:gridSpan w:val="2"/>
            <w:vAlign w:val="top"/>
          </w:tcPr>
          <w:p>
            <w:pPr>
              <w:pStyle w:val="11"/>
              <w:spacing w:before="60" w:line="221" w:lineRule="auto"/>
              <w:ind w:left="76"/>
              <w:rPr>
                <w:rFonts w:hint="eastAsia" w:ascii="仿宋_GB2312" w:hAnsi="仿宋_GB2312" w:eastAsia="仿宋_GB2312" w:cs="仿宋_GB2312"/>
              </w:rPr>
            </w:pPr>
            <w:r>
              <w:rPr>
                <w:rFonts w:hint="eastAsia" w:ascii="仿宋_GB2312" w:hAnsi="仿宋_GB2312" w:eastAsia="仿宋_GB2312" w:cs="仿宋_GB2312"/>
                <w:spacing w:val="-1"/>
              </w:rPr>
              <w:t>商业健康保险保费收入年均复</w:t>
            </w:r>
          </w:p>
          <w:p>
            <w:pPr>
              <w:pStyle w:val="11"/>
              <w:spacing w:before="4"/>
              <w:ind w:left="752"/>
              <w:rPr>
                <w:rFonts w:hint="eastAsia" w:ascii="仿宋_GB2312" w:hAnsi="仿宋_GB2312" w:eastAsia="仿宋_GB2312" w:cs="仿宋_GB2312"/>
              </w:rPr>
            </w:pPr>
            <w:r>
              <w:rPr>
                <w:rFonts w:hint="eastAsia" w:ascii="仿宋_GB2312" w:hAnsi="仿宋_GB2312" w:eastAsia="仿宋_GB2312" w:cs="仿宋_GB2312"/>
                <w:spacing w:val="-2"/>
              </w:rPr>
              <w:t>合增长率（%）</w:t>
            </w:r>
          </w:p>
        </w:tc>
        <w:tc>
          <w:tcPr>
            <w:tcW w:w="1131" w:type="dxa"/>
            <w:vAlign w:val="top"/>
          </w:tcPr>
          <w:p>
            <w:pPr>
              <w:spacing w:before="176" w:line="290" w:lineRule="exact"/>
              <w:ind w:left="531"/>
              <w:rPr>
                <w:rFonts w:hint="eastAsia" w:ascii="仿宋_GB2312" w:hAnsi="仿宋_GB2312" w:eastAsia="仿宋_GB2312" w:cs="仿宋_GB2312"/>
                <w:sz w:val="22"/>
                <w:szCs w:val="22"/>
              </w:rPr>
            </w:pPr>
            <w:r>
              <w:rPr>
                <w:rFonts w:hint="eastAsia" w:ascii="仿宋_GB2312" w:hAnsi="仿宋_GB2312" w:eastAsia="仿宋_GB2312" w:cs="仿宋_GB2312"/>
                <w:position w:val="1"/>
                <w:sz w:val="22"/>
                <w:szCs w:val="22"/>
              </w:rPr>
              <w:t>/</w:t>
            </w:r>
          </w:p>
        </w:tc>
        <w:tc>
          <w:tcPr>
            <w:tcW w:w="1571" w:type="dxa"/>
            <w:vAlign w:val="top"/>
          </w:tcPr>
          <w:p>
            <w:pPr>
              <w:spacing w:before="176" w:line="290" w:lineRule="exact"/>
              <w:ind w:left="734"/>
              <w:rPr>
                <w:rFonts w:hint="eastAsia" w:ascii="仿宋_GB2312" w:hAnsi="仿宋_GB2312" w:eastAsia="仿宋_GB2312" w:cs="仿宋_GB2312"/>
                <w:sz w:val="22"/>
                <w:szCs w:val="22"/>
              </w:rPr>
            </w:pPr>
            <w:r>
              <w:rPr>
                <w:rFonts w:hint="eastAsia" w:ascii="仿宋_GB2312" w:hAnsi="仿宋_GB2312" w:eastAsia="仿宋_GB2312" w:cs="仿宋_GB2312"/>
                <w:position w:val="1"/>
                <w:sz w:val="22"/>
                <w:szCs w:val="22"/>
              </w:rPr>
              <w:t>2</w:t>
            </w:r>
          </w:p>
        </w:tc>
        <w:tc>
          <w:tcPr>
            <w:tcW w:w="994" w:type="dxa"/>
            <w:vAlign w:val="top"/>
          </w:tcPr>
          <w:p>
            <w:pPr>
              <w:pStyle w:val="11"/>
              <w:spacing w:before="179" w:line="222" w:lineRule="auto"/>
              <w:ind w:left="176"/>
              <w:rPr>
                <w:rFonts w:hint="eastAsia" w:ascii="仿宋_GB2312" w:hAnsi="仿宋_GB2312" w:eastAsia="仿宋_GB2312" w:cs="仿宋_GB2312"/>
                <w:snapToGrid w:val="0"/>
                <w:color w:val="auto"/>
                <w:spacing w:val="-3"/>
                <w:kern w:val="0"/>
                <w:sz w:val="22"/>
                <w:szCs w:val="22"/>
                <w:lang w:val="en-US" w:eastAsia="en-US" w:bidi="ar-SA"/>
              </w:rPr>
            </w:pPr>
            <w:r>
              <w:rPr>
                <w:rFonts w:hint="eastAsia" w:ascii="仿宋_GB2312" w:hAnsi="仿宋_GB2312" w:eastAsia="仿宋_GB2312" w:cs="仿宋_GB2312"/>
                <w:snapToGrid w:val="0"/>
                <w:color w:val="auto"/>
                <w:spacing w:val="-3"/>
                <w:kern w:val="0"/>
                <w:sz w:val="22"/>
                <w:szCs w:val="22"/>
                <w:lang w:val="en-US" w:eastAsia="en-US" w:bidi="ar-SA"/>
              </w:rPr>
              <w:t>预期性</w:t>
            </w:r>
          </w:p>
        </w:tc>
        <w:tc>
          <w:tcPr>
            <w:tcW w:w="1796" w:type="dxa"/>
            <w:vAlign w:val="top"/>
          </w:tcPr>
          <w:p>
            <w:pPr>
              <w:pStyle w:val="11"/>
              <w:spacing w:before="208" w:line="221" w:lineRule="auto"/>
              <w:ind w:left="133"/>
              <w:rPr>
                <w:rFonts w:hint="eastAsia" w:ascii="仿宋_GB2312" w:hAnsi="仿宋_GB2312" w:eastAsia="仿宋_GB2312" w:cs="仿宋_GB2312"/>
              </w:rPr>
            </w:pPr>
            <w:r>
              <w:rPr>
                <w:rFonts w:hint="eastAsia" w:ascii="仿宋_GB2312" w:hAnsi="仿宋_GB2312" w:eastAsia="仿宋_GB2312" w:cs="仿宋_GB2312"/>
                <w:spacing w:val="-2"/>
                <w:lang w:val="en-US" w:eastAsia="zh-CN"/>
              </w:rPr>
              <w:t>市</w:t>
            </w:r>
            <w:r>
              <w:rPr>
                <w:rFonts w:hint="eastAsia" w:ascii="仿宋_GB2312" w:hAnsi="仿宋_GB2312" w:eastAsia="仿宋_GB2312" w:cs="仿宋_GB2312"/>
                <w:spacing w:val="-2"/>
              </w:rPr>
              <w:t>金融监管局</w:t>
            </w:r>
          </w:p>
        </w:tc>
      </w:tr>
    </w:tbl>
    <w:p>
      <w:pPr>
        <w:keepNext w:val="0"/>
        <w:keepLines w:val="0"/>
        <w:pageBreakBefore w:val="0"/>
        <w:widowControl/>
        <w:kinsoku/>
        <w:wordWrap/>
        <w:overflowPunct/>
        <w:topLinePunct w:val="0"/>
        <w:autoSpaceDE/>
        <w:autoSpaceDN/>
        <w:bidi w:val="0"/>
        <w:adjustRightInd/>
        <w:snapToGrid/>
        <w:spacing w:line="240" w:lineRule="auto"/>
        <w:ind w:left="0" w:firstLine="0" w:firstLineChars="0"/>
        <w:jc w:val="left"/>
        <w:textAlignment w:val="auto"/>
        <w:rPr>
          <w:rFonts w:hint="eastAsia" w:ascii="黑体" w:hAnsi="黑体" w:eastAsia="黑体" w:cs="黑体"/>
          <w:spacing w:val="8"/>
          <w:sz w:val="32"/>
          <w:szCs w:val="32"/>
        </w:rPr>
      </w:pPr>
    </w:p>
    <w:p>
      <w:pPr>
        <w:rPr>
          <w:rFonts w:hint="eastAsia" w:ascii="黑体" w:hAnsi="黑体" w:eastAsia="黑体" w:cs="黑体"/>
          <w:spacing w:val="8"/>
          <w:sz w:val="32"/>
          <w:szCs w:val="32"/>
        </w:rPr>
      </w:pPr>
      <w:r>
        <w:rPr>
          <w:rFonts w:hint="eastAsia" w:ascii="黑体" w:hAnsi="黑体" w:eastAsia="黑体" w:cs="黑体"/>
          <w:spacing w:val="8"/>
          <w:sz w:val="32"/>
          <w:szCs w:val="32"/>
        </w:rPr>
        <w:br w:type="page"/>
      </w:r>
    </w:p>
    <w:p>
      <w:pPr>
        <w:keepNext w:val="0"/>
        <w:keepLines w:val="0"/>
        <w:pageBreakBefore w:val="0"/>
        <w:widowControl/>
        <w:kinsoku/>
        <w:wordWrap/>
        <w:overflowPunct/>
        <w:topLinePunct w:val="0"/>
        <w:autoSpaceDE/>
        <w:autoSpaceDN/>
        <w:bidi w:val="0"/>
        <w:adjustRightInd/>
        <w:snapToGrid/>
        <w:spacing w:line="240" w:lineRule="auto"/>
        <w:ind w:left="0" w:firstLine="672" w:firstLineChars="200"/>
        <w:jc w:val="left"/>
        <w:textAlignment w:val="auto"/>
        <w:rPr>
          <w:rFonts w:hint="eastAsia" w:ascii="黑体" w:hAnsi="黑体" w:eastAsia="黑体" w:cs="黑体"/>
          <w:sz w:val="32"/>
          <w:szCs w:val="32"/>
        </w:rPr>
      </w:pPr>
      <w:r>
        <w:rPr>
          <w:rFonts w:hint="eastAsia" w:ascii="黑体" w:hAnsi="黑体" w:eastAsia="黑体" w:cs="黑体"/>
          <w:spacing w:val="8"/>
          <w:sz w:val="32"/>
          <w:szCs w:val="32"/>
        </w:rPr>
        <w:t>三、推动医疗卫生服务体系提质增效</w:t>
      </w:r>
    </w:p>
    <w:p>
      <w:pPr>
        <w:keepNext w:val="0"/>
        <w:keepLines w:val="0"/>
        <w:pageBreakBefore w:val="0"/>
        <w:widowControl w:val="0"/>
        <w:kinsoku/>
        <w:wordWrap/>
        <w:overflowPunct w:val="0"/>
        <w:topLinePunct w:val="0"/>
        <w:autoSpaceDE/>
        <w:autoSpaceDN/>
        <w:bidi w:val="0"/>
        <w:adjustRightInd w:val="0"/>
        <w:snapToGrid w:val="0"/>
        <w:spacing w:line="560" w:lineRule="exact"/>
        <w:ind w:left="0" w:firstLine="676"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pacing w:val="9"/>
          <w:sz w:val="32"/>
          <w:szCs w:val="32"/>
        </w:rPr>
        <w:t>（一）明确各级各类医疗机构功能定位。</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right="28" w:firstLine="664" w:firstLineChars="200"/>
        <w:jc w:val="both"/>
        <w:textAlignment w:val="baseline"/>
        <w:rPr>
          <w:rFonts w:hint="eastAsia" w:ascii="仿宋_GB2312" w:hAnsi="仿宋_GB2312" w:eastAsia="仿宋_GB2312" w:cs="仿宋_GB2312"/>
          <w:spacing w:val="0"/>
          <w:position w:val="0"/>
        </w:rPr>
      </w:pPr>
      <w:r>
        <w:rPr>
          <w:rFonts w:hint="eastAsia" w:ascii="仿宋_GB2312" w:hAnsi="仿宋_GB2312" w:eastAsia="仿宋_GB2312" w:cs="仿宋_GB2312"/>
          <w:spacing w:val="6"/>
          <w:sz w:val="32"/>
          <w:szCs w:val="32"/>
        </w:rPr>
        <w:t>完善“十五五”期间全市医疗资源布局和功能定位政策，强化功能整合与服务协同。以“一盘棋”思维推动主城区医疗资源整合，构建主城区医疗集团。粤北人民医院、市第一人民医院聚焦县域外流病种，积极推进肿瘤、心脑血管、创伤、呼吸、眼科等优质医疗资源下沉县域。各市级医院按“大专科、小综合”发展理念，错位发展中西医结合、妇女儿童、传染病、精神、康复、安宁疗护、口腔、医疗美容等专科，牵头组建区域内专科联盟，构建专科导向的区域医疗中心网络。8个紧密型</w:t>
      </w:r>
      <w:r>
        <w:rPr>
          <w:rFonts w:hint="eastAsia" w:ascii="仿宋_GB2312" w:hAnsi="仿宋_GB2312" w:eastAsia="仿宋_GB2312" w:cs="仿宋_GB2312"/>
          <w:spacing w:val="6"/>
          <w:sz w:val="32"/>
          <w:szCs w:val="32"/>
          <w:lang w:val="en-US" w:eastAsia="zh-CN"/>
        </w:rPr>
        <w:t>县域</w:t>
      </w:r>
      <w:r>
        <w:rPr>
          <w:rFonts w:hint="eastAsia" w:ascii="仿宋_GB2312" w:hAnsi="仿宋_GB2312" w:eastAsia="仿宋_GB2312" w:cs="仿宋_GB2312"/>
          <w:spacing w:val="6"/>
          <w:sz w:val="32"/>
          <w:szCs w:val="32"/>
        </w:rPr>
        <w:t>医共体推进县域内医疗资源充分整合和一体化管理，进一步提升县级医院服务能力，强化基层医疗卫生机构基础医疗服务能力，完善基层首诊、双向转诊、急慢分治、上下联动机制。到2023年底，市域住院率稳定在</w:t>
      </w:r>
      <w:r>
        <w:rPr>
          <w:rFonts w:hint="eastAsia" w:ascii="仿宋_GB2312" w:hAnsi="仿宋_GB2312" w:eastAsia="仿宋_GB2312" w:cs="仿宋_GB2312"/>
          <w:spacing w:val="6"/>
          <w:sz w:val="32"/>
          <w:szCs w:val="32"/>
          <w:lang w:val="en-US" w:eastAsia="zh-CN"/>
        </w:rPr>
        <w:t>96</w:t>
      </w:r>
      <w:r>
        <w:rPr>
          <w:rFonts w:hint="eastAsia" w:ascii="仿宋_GB2312" w:hAnsi="仿宋_GB2312" w:eastAsia="仿宋_GB2312" w:cs="仿宋_GB2312"/>
          <w:spacing w:val="6"/>
          <w:sz w:val="32"/>
          <w:szCs w:val="32"/>
        </w:rPr>
        <w:t>%左右，县域住院率稳定在85%左右。</w:t>
      </w:r>
    </w:p>
    <w:p>
      <w:pPr>
        <w:keepNext w:val="0"/>
        <w:keepLines w:val="0"/>
        <w:pageBreakBefore w:val="0"/>
        <w:widowControl w:val="0"/>
        <w:kinsoku/>
        <w:wordWrap/>
        <w:overflowPunct w:val="0"/>
        <w:topLinePunct w:val="0"/>
        <w:autoSpaceDE/>
        <w:autoSpaceDN/>
        <w:bidi w:val="0"/>
        <w:adjustRightInd w:val="0"/>
        <w:snapToGrid w:val="0"/>
        <w:spacing w:line="560" w:lineRule="exact"/>
        <w:ind w:left="703"/>
        <w:jc w:val="both"/>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（二）优化医疗卫生资源配置。</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70" w:firstLine="638"/>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按照“控三、稳二、强基”的发展理念，充分评估各医疗机构医护、床位、设施设备等医疗资源的使用效率，逐步整合低效医疗资源，优化和平衡医疗资源空间布局。继续扩充医疗技术人员队伍，优化医护人员执业环境，确保执业医师占比不低于88%，医护比不低于1:1.25。推动医疗机构按照医、护、药、技、管等不同类别合理设置岗位，三级、二级医院床护比分别不低于0.85:1、0.75:1。基层医疗卫生机构的卫生技术人员占比不低于75%，每万人疾控专业人员不低于1.49名。动态优化限制类医疗技术目录，持续完善省级适宜技术</w:t>
      </w:r>
      <w:bookmarkStart w:id="5" w:name="bookmark1"/>
      <w:bookmarkEnd w:id="5"/>
      <w:r>
        <w:rPr>
          <w:rFonts w:hint="eastAsia" w:ascii="仿宋_GB2312" w:hAnsi="仿宋_GB2312" w:eastAsia="仿宋_GB2312" w:cs="仿宋_GB2312"/>
          <w:spacing w:val="0"/>
          <w:sz w:val="32"/>
          <w:szCs w:val="32"/>
        </w:rPr>
        <w:t>推广项目库。加强大型医用设备配置规划和准入管理，引导医疗机构合理配置适宜设备，推动医疗卫生领域设备更新工作，推进高端医疗设备示范应用。</w:t>
      </w:r>
    </w:p>
    <w:p>
      <w:pPr>
        <w:spacing w:before="25"/>
      </w:pPr>
      <w:bookmarkStart w:id="6" w:name="bookmark2"/>
      <w:bookmarkEnd w:id="6"/>
    </w:p>
    <w:tbl>
      <w:tblPr>
        <w:tblStyle w:val="10"/>
        <w:tblW w:w="8804"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2"/>
        <w:gridCol w:w="4660"/>
        <w:gridCol w:w="977"/>
        <w:gridCol w:w="1194"/>
        <w:gridCol w:w="128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8804" w:type="dxa"/>
            <w:gridSpan w:val="5"/>
            <w:vAlign w:val="top"/>
          </w:tcPr>
          <w:p>
            <w:pPr>
              <w:spacing w:before="185" w:line="460" w:lineRule="exact"/>
              <w:ind w:left="1242"/>
              <w:outlineLvl w:val="0"/>
              <w:rPr>
                <w:rFonts w:ascii="方正小标宋简体" w:hAnsi="方正小标宋简体" w:eastAsia="方正小标宋简体" w:cs="方正小标宋简体"/>
                <w:sz w:val="28"/>
                <w:szCs w:val="28"/>
              </w:rPr>
            </w:pPr>
            <w:r>
              <w:rPr>
                <w:rFonts w:ascii="方正小标宋简体" w:hAnsi="方正小标宋简体" w:eastAsia="方正小标宋简体" w:cs="方正小标宋简体"/>
                <w:spacing w:val="-8"/>
                <w:position w:val="4"/>
                <w:sz w:val="28"/>
                <w:szCs w:val="28"/>
              </w:rPr>
              <w:t xml:space="preserve">专栏 </w:t>
            </w:r>
            <w:r>
              <w:rPr>
                <w:rFonts w:ascii="Times New Roman" w:hAnsi="Times New Roman" w:eastAsia="Times New Roman" w:cs="Times New Roman"/>
                <w:spacing w:val="-8"/>
                <w:position w:val="4"/>
                <w:sz w:val="28"/>
                <w:szCs w:val="28"/>
              </w:rPr>
              <w:t>2   “</w:t>
            </w:r>
            <w:r>
              <w:rPr>
                <w:rFonts w:ascii="方正小标宋简体" w:hAnsi="方正小标宋简体" w:eastAsia="方正小标宋简体" w:cs="方正小标宋简体"/>
                <w:spacing w:val="-8"/>
                <w:position w:val="4"/>
                <w:sz w:val="28"/>
                <w:szCs w:val="28"/>
              </w:rPr>
              <w:t>十五五</w:t>
            </w:r>
            <w:r>
              <w:rPr>
                <w:rFonts w:ascii="Times New Roman" w:hAnsi="Times New Roman" w:eastAsia="Times New Roman" w:cs="Times New Roman"/>
                <w:spacing w:val="-8"/>
                <w:position w:val="4"/>
                <w:sz w:val="28"/>
                <w:szCs w:val="28"/>
              </w:rPr>
              <w:t>”</w:t>
            </w:r>
            <w:r>
              <w:rPr>
                <w:rFonts w:ascii="方正小标宋简体" w:hAnsi="方正小标宋简体" w:eastAsia="方正小标宋简体" w:cs="方正小标宋简体"/>
                <w:spacing w:val="-8"/>
                <w:position w:val="4"/>
                <w:sz w:val="28"/>
                <w:szCs w:val="28"/>
              </w:rPr>
              <w:t>时期</w:t>
            </w:r>
            <w:r>
              <w:rPr>
                <w:rFonts w:hint="eastAsia" w:ascii="方正小标宋简体" w:hAnsi="方正小标宋简体" w:eastAsia="方正小标宋简体" w:cs="方正小标宋简体"/>
                <w:spacing w:val="-8"/>
                <w:position w:val="4"/>
                <w:sz w:val="28"/>
                <w:szCs w:val="28"/>
                <w:lang w:eastAsia="zh-CN"/>
              </w:rPr>
              <w:t>全市</w:t>
            </w:r>
            <w:r>
              <w:rPr>
                <w:rFonts w:ascii="方正小标宋简体" w:hAnsi="方正小标宋简体" w:eastAsia="方正小标宋简体" w:cs="方正小标宋简体"/>
                <w:spacing w:val="-8"/>
                <w:position w:val="4"/>
                <w:sz w:val="28"/>
                <w:szCs w:val="28"/>
              </w:rPr>
              <w:t>医疗卫生服务体系发展指标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692" w:type="dxa"/>
            <w:vAlign w:val="top"/>
          </w:tcPr>
          <w:p>
            <w:pPr>
              <w:spacing w:before="244" w:line="232" w:lineRule="auto"/>
              <w:ind w:left="152"/>
              <w:rPr>
                <w:rFonts w:ascii="黑体" w:hAnsi="黑体" w:eastAsia="黑体" w:cs="黑体"/>
                <w:sz w:val="19"/>
                <w:szCs w:val="19"/>
              </w:rPr>
            </w:pPr>
            <w:r>
              <w:rPr>
                <w:rFonts w:ascii="黑体" w:hAnsi="黑体" w:eastAsia="黑体" w:cs="黑体"/>
                <w:spacing w:val="5"/>
                <w:sz w:val="19"/>
                <w:szCs w:val="19"/>
              </w:rPr>
              <w:t>序号</w:t>
            </w:r>
          </w:p>
        </w:tc>
        <w:tc>
          <w:tcPr>
            <w:tcW w:w="4660" w:type="dxa"/>
            <w:vAlign w:val="top"/>
          </w:tcPr>
          <w:p>
            <w:pPr>
              <w:spacing w:before="244" w:line="231" w:lineRule="auto"/>
              <w:ind w:left="1938"/>
              <w:rPr>
                <w:rFonts w:ascii="黑体" w:hAnsi="黑体" w:eastAsia="黑体" w:cs="黑体"/>
                <w:sz w:val="19"/>
                <w:szCs w:val="19"/>
              </w:rPr>
            </w:pPr>
            <w:r>
              <w:rPr>
                <w:rFonts w:ascii="黑体" w:hAnsi="黑体" w:eastAsia="黑体" w:cs="黑体"/>
                <w:spacing w:val="7"/>
                <w:sz w:val="19"/>
                <w:szCs w:val="19"/>
              </w:rPr>
              <w:t>主要指标</w:t>
            </w:r>
          </w:p>
        </w:tc>
        <w:tc>
          <w:tcPr>
            <w:tcW w:w="977" w:type="dxa"/>
            <w:vAlign w:val="top"/>
          </w:tcPr>
          <w:p>
            <w:pPr>
              <w:spacing w:before="214" w:line="262" w:lineRule="exact"/>
              <w:ind w:left="165"/>
              <w:rPr>
                <w:rFonts w:ascii="黑体" w:hAnsi="黑体" w:eastAsia="黑体" w:cs="黑体"/>
                <w:sz w:val="19"/>
                <w:szCs w:val="19"/>
              </w:rPr>
            </w:pPr>
            <w:r>
              <w:rPr>
                <w:rFonts w:ascii="Times New Roman" w:hAnsi="Times New Roman" w:eastAsia="Times New Roman" w:cs="Times New Roman"/>
                <w:spacing w:val="3"/>
                <w:position w:val="1"/>
                <w:sz w:val="19"/>
                <w:szCs w:val="19"/>
              </w:rPr>
              <w:t>2025</w:t>
            </w:r>
            <w:r>
              <w:rPr>
                <w:rFonts w:ascii="黑体" w:hAnsi="黑体" w:eastAsia="黑体" w:cs="黑体"/>
                <w:spacing w:val="3"/>
                <w:position w:val="1"/>
                <w:sz w:val="19"/>
                <w:szCs w:val="19"/>
              </w:rPr>
              <w:t>年</w:t>
            </w:r>
          </w:p>
        </w:tc>
        <w:tc>
          <w:tcPr>
            <w:tcW w:w="1194" w:type="dxa"/>
            <w:vAlign w:val="top"/>
          </w:tcPr>
          <w:p>
            <w:pPr>
              <w:spacing w:before="75" w:line="261" w:lineRule="exact"/>
              <w:ind w:left="275"/>
              <w:rPr>
                <w:rFonts w:ascii="黑体" w:hAnsi="黑体" w:eastAsia="黑体" w:cs="黑体"/>
                <w:sz w:val="19"/>
                <w:szCs w:val="19"/>
              </w:rPr>
            </w:pPr>
            <w:r>
              <w:rPr>
                <w:rFonts w:ascii="Times New Roman" w:hAnsi="Times New Roman" w:eastAsia="Times New Roman" w:cs="Times New Roman"/>
                <w:spacing w:val="3"/>
                <w:position w:val="1"/>
                <w:sz w:val="19"/>
                <w:szCs w:val="19"/>
              </w:rPr>
              <w:t>2030</w:t>
            </w:r>
            <w:r>
              <w:rPr>
                <w:rFonts w:ascii="黑体" w:hAnsi="黑体" w:eastAsia="黑体" w:cs="黑体"/>
                <w:spacing w:val="3"/>
                <w:position w:val="1"/>
                <w:sz w:val="19"/>
                <w:szCs w:val="19"/>
              </w:rPr>
              <w:t>年</w:t>
            </w:r>
          </w:p>
          <w:p>
            <w:pPr>
              <w:spacing w:before="49" w:line="233" w:lineRule="auto"/>
              <w:ind w:left="328"/>
              <w:rPr>
                <w:rFonts w:ascii="黑体" w:hAnsi="黑体" w:eastAsia="黑体" w:cs="黑体"/>
                <w:sz w:val="19"/>
                <w:szCs w:val="19"/>
              </w:rPr>
            </w:pPr>
            <w:r>
              <w:rPr>
                <w:rFonts w:ascii="黑体" w:hAnsi="黑体" w:eastAsia="黑体" w:cs="黑体"/>
                <w:spacing w:val="-1"/>
                <w:sz w:val="19"/>
                <w:szCs w:val="19"/>
              </w:rPr>
              <w:t>目标值</w:t>
            </w:r>
          </w:p>
        </w:tc>
        <w:tc>
          <w:tcPr>
            <w:tcW w:w="1281" w:type="dxa"/>
            <w:vAlign w:val="top"/>
          </w:tcPr>
          <w:p>
            <w:pPr>
              <w:spacing w:before="244" w:line="231" w:lineRule="auto"/>
              <w:ind w:left="446"/>
              <w:rPr>
                <w:rFonts w:ascii="黑体" w:hAnsi="黑体" w:eastAsia="黑体" w:cs="黑体"/>
                <w:sz w:val="19"/>
                <w:szCs w:val="19"/>
              </w:rPr>
            </w:pPr>
            <w:r>
              <w:rPr>
                <w:rFonts w:ascii="黑体" w:hAnsi="黑体" w:eastAsia="黑体" w:cs="黑体"/>
                <w:spacing w:val="5"/>
                <w:sz w:val="19"/>
                <w:szCs w:val="19"/>
              </w:rPr>
              <w:t>属性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8804" w:type="dxa"/>
            <w:gridSpan w:val="5"/>
            <w:vAlign w:val="top"/>
          </w:tcPr>
          <w:p>
            <w:pPr>
              <w:spacing w:before="120" w:line="223" w:lineRule="auto"/>
              <w:ind w:left="120"/>
              <w:rPr>
                <w:rFonts w:ascii="黑体" w:hAnsi="黑体" w:eastAsia="黑体" w:cs="黑体"/>
                <w:sz w:val="22"/>
                <w:szCs w:val="22"/>
              </w:rPr>
            </w:pPr>
            <w:r>
              <w:rPr>
                <w:rFonts w:ascii="黑体" w:hAnsi="黑体" w:eastAsia="黑体" w:cs="黑体"/>
                <w:spacing w:val="-2"/>
                <w:sz w:val="22"/>
                <w:szCs w:val="22"/>
              </w:rPr>
              <w:t>一、床位配置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692" w:type="dxa"/>
            <w:vAlign w:val="top"/>
          </w:tcPr>
          <w:p>
            <w:pPr>
              <w:spacing w:before="87" w:line="290" w:lineRule="exact"/>
              <w:ind w:left="314"/>
              <w:rPr>
                <w:rFonts w:hint="eastAsia" w:ascii="仿宋_GB2312" w:hAnsi="仿宋_GB2312" w:eastAsia="仿宋_GB2312" w:cs="仿宋_GB2312"/>
                <w:sz w:val="22"/>
                <w:szCs w:val="22"/>
              </w:rPr>
            </w:pPr>
            <w:r>
              <w:rPr>
                <w:rFonts w:hint="eastAsia" w:ascii="仿宋_GB2312" w:hAnsi="仿宋_GB2312" w:eastAsia="仿宋_GB2312" w:cs="仿宋_GB2312"/>
                <w:position w:val="1"/>
                <w:sz w:val="22"/>
                <w:szCs w:val="22"/>
              </w:rPr>
              <w:t>1</w:t>
            </w:r>
          </w:p>
        </w:tc>
        <w:tc>
          <w:tcPr>
            <w:tcW w:w="4660" w:type="dxa"/>
            <w:vAlign w:val="top"/>
          </w:tcPr>
          <w:p>
            <w:pPr>
              <w:pStyle w:val="11"/>
              <w:spacing w:before="122" w:line="220" w:lineRule="auto"/>
              <w:ind w:left="111"/>
              <w:rPr>
                <w:rFonts w:hint="eastAsia" w:ascii="仿宋_GB2312" w:hAnsi="仿宋_GB2312" w:eastAsia="仿宋_GB2312" w:cs="仿宋_GB2312"/>
              </w:rPr>
            </w:pPr>
            <w:r>
              <w:rPr>
                <w:rFonts w:hint="eastAsia" w:ascii="仿宋_GB2312" w:hAnsi="仿宋_GB2312" w:eastAsia="仿宋_GB2312" w:cs="仿宋_GB2312"/>
                <w:spacing w:val="-1"/>
              </w:rPr>
              <w:t>每千人口医疗卫生机构床位数（张）</w:t>
            </w:r>
          </w:p>
        </w:tc>
        <w:tc>
          <w:tcPr>
            <w:tcW w:w="977" w:type="dxa"/>
            <w:vAlign w:val="top"/>
          </w:tcPr>
          <w:p>
            <w:pPr>
              <w:spacing w:before="87" w:line="290" w:lineRule="exact"/>
              <w:ind w:left="304" w:leftChars="0"/>
              <w:jc w:val="left"/>
              <w:rPr>
                <w:rFonts w:hint="default" w:ascii="仿宋_GB2312" w:hAnsi="仿宋_GB2312" w:eastAsia="仿宋_GB2312" w:cs="仿宋_GB2312"/>
                <w:snapToGrid w:val="0"/>
                <w:color w:val="000000"/>
                <w:spacing w:val="-1"/>
                <w:kern w:val="0"/>
                <w:sz w:val="22"/>
                <w:szCs w:val="22"/>
                <w:lang w:val="en-US" w:eastAsia="zh-CN" w:bidi="ar-SA"/>
              </w:rPr>
            </w:pPr>
            <w:r>
              <w:rPr>
                <w:rFonts w:hint="eastAsia" w:ascii="仿宋_GB2312" w:hAnsi="仿宋_GB2312" w:eastAsia="仿宋_GB2312" w:cs="仿宋_GB2312"/>
                <w:snapToGrid w:val="0"/>
                <w:color w:val="000000"/>
                <w:spacing w:val="-1"/>
                <w:kern w:val="0"/>
                <w:sz w:val="22"/>
                <w:szCs w:val="22"/>
                <w:lang w:val="en-US" w:eastAsia="zh-CN" w:bidi="ar-SA"/>
              </w:rPr>
              <w:t>7.22</w:t>
            </w:r>
          </w:p>
        </w:tc>
        <w:tc>
          <w:tcPr>
            <w:tcW w:w="1194" w:type="dxa"/>
            <w:vAlign w:val="top"/>
          </w:tcPr>
          <w:p>
            <w:pPr>
              <w:spacing w:before="87" w:line="290" w:lineRule="exact"/>
              <w:ind w:firstLine="218" w:firstLineChars="100"/>
              <w:jc w:val="left"/>
              <w:rPr>
                <w:rFonts w:hint="eastAsia" w:ascii="仿宋_GB2312" w:hAnsi="仿宋_GB2312" w:eastAsia="仿宋_GB2312" w:cs="仿宋_GB2312"/>
                <w:snapToGrid w:val="0"/>
                <w:color w:val="000000"/>
                <w:spacing w:val="-1"/>
                <w:kern w:val="0"/>
                <w:sz w:val="22"/>
                <w:szCs w:val="22"/>
                <w:lang w:val="en-US" w:eastAsia="zh-CN" w:bidi="ar-SA"/>
              </w:rPr>
            </w:pPr>
            <w:r>
              <w:rPr>
                <w:rFonts w:hint="eastAsia" w:ascii="仿宋_GB2312" w:hAnsi="仿宋_GB2312" w:eastAsia="仿宋_GB2312" w:cs="仿宋_GB2312"/>
                <w:snapToGrid w:val="0"/>
                <w:color w:val="000000"/>
                <w:spacing w:val="-1"/>
                <w:kern w:val="0"/>
                <w:sz w:val="22"/>
                <w:szCs w:val="22"/>
                <w:lang w:val="en-US" w:eastAsia="zh-CN" w:bidi="ar-SA"/>
              </w:rPr>
              <w:t>6.7-7.0</w:t>
            </w:r>
          </w:p>
        </w:tc>
        <w:tc>
          <w:tcPr>
            <w:tcW w:w="1281" w:type="dxa"/>
            <w:vAlign w:val="top"/>
          </w:tcPr>
          <w:p>
            <w:pPr>
              <w:pStyle w:val="11"/>
              <w:spacing w:before="122" w:line="222" w:lineRule="auto"/>
              <w:ind w:left="317"/>
              <w:jc w:val="both"/>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en-US" w:bidi="ar-SA"/>
              </w:rPr>
              <w:t>指导性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692" w:type="dxa"/>
            <w:vMerge w:val="restart"/>
            <w:tcBorders>
              <w:bottom w:val="nil"/>
            </w:tcBorders>
            <w:vAlign w:val="top"/>
          </w:tcPr>
          <w:p>
            <w:pPr>
              <w:spacing w:line="243" w:lineRule="auto"/>
              <w:rPr>
                <w:rFonts w:hint="eastAsia" w:ascii="仿宋_GB2312" w:hAnsi="仿宋_GB2312" w:eastAsia="仿宋_GB2312" w:cs="仿宋_GB2312"/>
                <w:sz w:val="21"/>
              </w:rPr>
            </w:pPr>
          </w:p>
          <w:p>
            <w:pPr>
              <w:spacing w:line="243" w:lineRule="auto"/>
              <w:rPr>
                <w:rFonts w:hint="eastAsia" w:ascii="仿宋_GB2312" w:hAnsi="仿宋_GB2312" w:eastAsia="仿宋_GB2312" w:cs="仿宋_GB2312"/>
                <w:sz w:val="21"/>
              </w:rPr>
            </w:pPr>
          </w:p>
          <w:p>
            <w:pPr>
              <w:spacing w:line="243" w:lineRule="auto"/>
              <w:rPr>
                <w:rFonts w:hint="eastAsia" w:ascii="仿宋_GB2312" w:hAnsi="仿宋_GB2312" w:eastAsia="仿宋_GB2312" w:cs="仿宋_GB2312"/>
                <w:sz w:val="21"/>
              </w:rPr>
            </w:pPr>
          </w:p>
          <w:p>
            <w:pPr>
              <w:spacing w:line="244" w:lineRule="auto"/>
              <w:rPr>
                <w:rFonts w:hint="eastAsia" w:ascii="仿宋_GB2312" w:hAnsi="仿宋_GB2312" w:eastAsia="仿宋_GB2312" w:cs="仿宋_GB2312"/>
                <w:sz w:val="21"/>
              </w:rPr>
            </w:pPr>
          </w:p>
          <w:p>
            <w:pPr>
              <w:spacing w:before="63" w:line="290" w:lineRule="exact"/>
              <w:ind w:left="293"/>
              <w:rPr>
                <w:rFonts w:hint="eastAsia" w:ascii="仿宋_GB2312" w:hAnsi="仿宋_GB2312" w:eastAsia="仿宋_GB2312" w:cs="仿宋_GB2312"/>
                <w:sz w:val="22"/>
                <w:szCs w:val="22"/>
              </w:rPr>
            </w:pPr>
            <w:r>
              <w:rPr>
                <w:rFonts w:hint="eastAsia" w:ascii="仿宋_GB2312" w:hAnsi="仿宋_GB2312" w:eastAsia="仿宋_GB2312" w:cs="仿宋_GB2312"/>
                <w:position w:val="1"/>
                <w:sz w:val="22"/>
                <w:szCs w:val="22"/>
              </w:rPr>
              <w:t>2</w:t>
            </w:r>
          </w:p>
        </w:tc>
        <w:tc>
          <w:tcPr>
            <w:tcW w:w="4660" w:type="dxa"/>
            <w:vAlign w:val="top"/>
          </w:tcPr>
          <w:p>
            <w:pPr>
              <w:pStyle w:val="11"/>
              <w:spacing w:before="122" w:line="220" w:lineRule="auto"/>
              <w:ind w:left="111"/>
              <w:rPr>
                <w:rFonts w:hint="eastAsia" w:ascii="仿宋_GB2312" w:hAnsi="仿宋_GB2312" w:eastAsia="仿宋_GB2312" w:cs="仿宋_GB2312"/>
              </w:rPr>
            </w:pPr>
            <w:r>
              <w:rPr>
                <w:rFonts w:hint="eastAsia" w:ascii="仿宋_GB2312" w:hAnsi="仿宋_GB2312" w:eastAsia="仿宋_GB2312" w:cs="仿宋_GB2312"/>
                <w:spacing w:val="-1"/>
              </w:rPr>
              <w:t>每千人口政府办医疗卫生机构床位数（张）</w:t>
            </w:r>
          </w:p>
        </w:tc>
        <w:tc>
          <w:tcPr>
            <w:tcW w:w="977" w:type="dxa"/>
            <w:vAlign w:val="top"/>
          </w:tcPr>
          <w:p>
            <w:pPr>
              <w:spacing w:before="228" w:line="290" w:lineRule="exact"/>
              <w:ind w:left="302" w:leftChars="0"/>
              <w:jc w:val="left"/>
              <w:rPr>
                <w:rFonts w:hint="default" w:ascii="仿宋_GB2312" w:hAnsi="仿宋_GB2312" w:eastAsia="仿宋_GB2312" w:cs="仿宋_GB2312"/>
                <w:snapToGrid w:val="0"/>
                <w:color w:val="000000"/>
                <w:spacing w:val="-1"/>
                <w:kern w:val="0"/>
                <w:sz w:val="22"/>
                <w:szCs w:val="22"/>
                <w:lang w:val="en-US" w:eastAsia="zh-CN" w:bidi="ar-SA"/>
              </w:rPr>
            </w:pPr>
            <w:r>
              <w:rPr>
                <w:rFonts w:hint="eastAsia" w:ascii="仿宋_GB2312" w:hAnsi="仿宋_GB2312" w:eastAsia="仿宋_GB2312" w:cs="仿宋_GB2312"/>
                <w:snapToGrid w:val="0"/>
                <w:color w:val="000000"/>
                <w:spacing w:val="-1"/>
                <w:kern w:val="0"/>
                <w:sz w:val="22"/>
                <w:szCs w:val="22"/>
                <w:lang w:val="en-US" w:eastAsia="zh-CN" w:bidi="ar-SA"/>
              </w:rPr>
              <w:t>6.53</w:t>
            </w:r>
          </w:p>
        </w:tc>
        <w:tc>
          <w:tcPr>
            <w:tcW w:w="1194" w:type="dxa"/>
            <w:vAlign w:val="top"/>
          </w:tcPr>
          <w:p>
            <w:pPr>
              <w:spacing w:before="228" w:line="290" w:lineRule="exact"/>
              <w:ind w:left="179" w:leftChars="0"/>
              <w:jc w:val="left"/>
              <w:rPr>
                <w:rFonts w:hint="eastAsia" w:ascii="仿宋_GB2312" w:hAnsi="仿宋_GB2312" w:eastAsia="仿宋_GB2312" w:cs="仿宋_GB2312"/>
                <w:snapToGrid w:val="0"/>
                <w:color w:val="000000"/>
                <w:spacing w:val="-1"/>
                <w:kern w:val="0"/>
                <w:sz w:val="22"/>
                <w:szCs w:val="22"/>
                <w:lang w:val="en-US" w:eastAsia="zh-CN" w:bidi="ar-SA"/>
              </w:rPr>
            </w:pPr>
            <w:r>
              <w:rPr>
                <w:rFonts w:hint="eastAsia" w:ascii="仿宋_GB2312" w:hAnsi="仿宋_GB2312" w:eastAsia="仿宋_GB2312" w:cs="仿宋_GB2312"/>
                <w:snapToGrid w:val="0"/>
                <w:color w:val="000000"/>
                <w:spacing w:val="-1"/>
                <w:kern w:val="0"/>
                <w:sz w:val="22"/>
                <w:szCs w:val="22"/>
                <w:lang w:val="en-US" w:eastAsia="zh-CN" w:bidi="ar-SA"/>
              </w:rPr>
              <w:t>6.1-6.3</w:t>
            </w:r>
          </w:p>
        </w:tc>
        <w:tc>
          <w:tcPr>
            <w:tcW w:w="1281" w:type="dxa"/>
            <w:vAlign w:val="top"/>
          </w:tcPr>
          <w:p>
            <w:pPr>
              <w:pStyle w:val="11"/>
              <w:spacing w:before="261" w:line="222" w:lineRule="auto"/>
              <w:ind w:left="317"/>
              <w:jc w:val="both"/>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en-US" w:bidi="ar-SA"/>
              </w:rPr>
              <w:t>指导性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692" w:type="dxa"/>
            <w:vMerge w:val="continue"/>
            <w:tcBorders>
              <w:top w:val="nil"/>
              <w:bottom w:val="nil"/>
            </w:tcBorders>
            <w:vAlign w:val="top"/>
          </w:tcPr>
          <w:p>
            <w:pPr>
              <w:rPr>
                <w:rFonts w:hint="eastAsia" w:ascii="仿宋_GB2312" w:hAnsi="仿宋_GB2312" w:eastAsia="仿宋_GB2312" w:cs="仿宋_GB2312"/>
                <w:sz w:val="21"/>
              </w:rPr>
            </w:pPr>
          </w:p>
        </w:tc>
        <w:tc>
          <w:tcPr>
            <w:tcW w:w="4660" w:type="dxa"/>
            <w:vAlign w:val="top"/>
          </w:tcPr>
          <w:p>
            <w:pPr>
              <w:pStyle w:val="11"/>
              <w:spacing w:before="88" w:line="290" w:lineRule="exact"/>
              <w:ind w:left="559"/>
              <w:rPr>
                <w:rFonts w:hint="eastAsia" w:ascii="仿宋_GB2312" w:hAnsi="仿宋_GB2312" w:eastAsia="仿宋_GB2312" w:cs="仿宋_GB2312"/>
              </w:rPr>
            </w:pPr>
            <w:r>
              <w:rPr>
                <w:rFonts w:hint="eastAsia" w:ascii="仿宋_GB2312" w:hAnsi="仿宋_GB2312" w:eastAsia="仿宋_GB2312" w:cs="仿宋_GB2312"/>
                <w:color w:val="000000"/>
                <w:spacing w:val="0"/>
                <w:position w:val="0"/>
                <w:highlight w:val="none"/>
              </w:rPr>
              <w:t>（</w:t>
            </w:r>
            <w:r>
              <w:rPr>
                <w:rFonts w:hint="eastAsia" w:ascii="仿宋_GB2312" w:hAnsi="仿宋_GB2312" w:eastAsia="仿宋_GB2312" w:cs="仿宋_GB2312"/>
                <w:color w:val="000000"/>
                <w:spacing w:val="0"/>
                <w:position w:val="0"/>
                <w:lang w:eastAsia="zh-CN"/>
              </w:rPr>
              <w:t>1</w:t>
            </w:r>
            <w:r>
              <w:rPr>
                <w:rFonts w:hint="eastAsia" w:ascii="仿宋_GB2312" w:hAnsi="仿宋_GB2312" w:eastAsia="仿宋_GB2312" w:cs="仿宋_GB2312"/>
                <w:color w:val="000000"/>
                <w:spacing w:val="0"/>
                <w:position w:val="0"/>
                <w:highlight w:val="none"/>
              </w:rPr>
              <w:t>）市</w:t>
            </w:r>
            <w:r>
              <w:rPr>
                <w:rFonts w:hint="eastAsia" w:ascii="仿宋_GB2312" w:hAnsi="仿宋_GB2312" w:eastAsia="仿宋_GB2312" w:cs="仿宋_GB2312"/>
                <w:color w:val="000000"/>
                <w:spacing w:val="0"/>
                <w:position w:val="0"/>
                <w:highlight w:val="none"/>
                <w:lang w:val="en-US" w:eastAsia="zh-CN"/>
              </w:rPr>
              <w:t>直</w:t>
            </w:r>
            <w:r>
              <w:rPr>
                <w:rFonts w:hint="eastAsia" w:ascii="仿宋_GB2312" w:hAnsi="仿宋_GB2312" w:eastAsia="仿宋_GB2312" w:cs="仿宋_GB2312"/>
                <w:color w:val="000000"/>
                <w:spacing w:val="0"/>
                <w:position w:val="0"/>
                <w:highlight w:val="none"/>
              </w:rPr>
              <w:t>医院床位数（张）</w:t>
            </w:r>
          </w:p>
        </w:tc>
        <w:tc>
          <w:tcPr>
            <w:tcW w:w="977" w:type="dxa"/>
            <w:vAlign w:val="top"/>
          </w:tcPr>
          <w:p>
            <w:pPr>
              <w:spacing w:before="87" w:line="290" w:lineRule="exact"/>
              <w:ind w:left="319" w:leftChars="0"/>
              <w:jc w:val="left"/>
              <w:rPr>
                <w:rFonts w:hint="default" w:ascii="仿宋_GB2312" w:hAnsi="仿宋_GB2312" w:eastAsia="仿宋_GB2312" w:cs="仿宋_GB2312"/>
                <w:snapToGrid w:val="0"/>
                <w:color w:val="000000"/>
                <w:spacing w:val="-1"/>
                <w:kern w:val="0"/>
                <w:sz w:val="22"/>
                <w:szCs w:val="22"/>
                <w:lang w:val="en-US" w:eastAsia="zh-CN" w:bidi="ar-SA"/>
              </w:rPr>
            </w:pPr>
            <w:r>
              <w:rPr>
                <w:rFonts w:hint="eastAsia" w:ascii="仿宋_GB2312" w:hAnsi="仿宋_GB2312" w:eastAsia="仿宋_GB2312" w:cs="仿宋_GB2312"/>
                <w:snapToGrid w:val="0"/>
                <w:color w:val="000000"/>
                <w:spacing w:val="-1"/>
                <w:kern w:val="0"/>
                <w:sz w:val="22"/>
                <w:szCs w:val="22"/>
                <w:lang w:val="en-US" w:eastAsia="zh-CN" w:bidi="ar-SA"/>
              </w:rPr>
              <w:t>2.62</w:t>
            </w:r>
          </w:p>
        </w:tc>
        <w:tc>
          <w:tcPr>
            <w:tcW w:w="1194" w:type="dxa"/>
            <w:vAlign w:val="top"/>
          </w:tcPr>
          <w:p>
            <w:pPr>
              <w:spacing w:before="87" w:line="290" w:lineRule="exact"/>
              <w:ind w:left="201" w:leftChars="0"/>
              <w:jc w:val="left"/>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zh-CN" w:bidi="ar-SA"/>
              </w:rPr>
              <w:t>2.5-2.6</w:t>
            </w:r>
          </w:p>
        </w:tc>
        <w:tc>
          <w:tcPr>
            <w:tcW w:w="1281" w:type="dxa"/>
            <w:vAlign w:val="top"/>
          </w:tcPr>
          <w:p>
            <w:pPr>
              <w:pStyle w:val="11"/>
              <w:spacing w:before="123" w:line="222" w:lineRule="auto"/>
              <w:ind w:left="317"/>
              <w:jc w:val="both"/>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en-US" w:bidi="ar-SA"/>
              </w:rPr>
              <w:t>指导性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trPr>
        <w:tc>
          <w:tcPr>
            <w:tcW w:w="692" w:type="dxa"/>
            <w:vMerge w:val="continue"/>
            <w:tcBorders>
              <w:top w:val="nil"/>
              <w:bottom w:val="nil"/>
            </w:tcBorders>
            <w:vAlign w:val="top"/>
          </w:tcPr>
          <w:p>
            <w:pPr>
              <w:rPr>
                <w:rFonts w:hint="eastAsia" w:ascii="仿宋_GB2312" w:hAnsi="仿宋_GB2312" w:eastAsia="仿宋_GB2312" w:cs="仿宋_GB2312"/>
                <w:sz w:val="21"/>
              </w:rPr>
            </w:pPr>
          </w:p>
        </w:tc>
        <w:tc>
          <w:tcPr>
            <w:tcW w:w="4660" w:type="dxa"/>
            <w:vAlign w:val="top"/>
          </w:tcPr>
          <w:p>
            <w:pPr>
              <w:pStyle w:val="11"/>
              <w:spacing w:before="88" w:line="290" w:lineRule="exact"/>
              <w:ind w:left="559"/>
              <w:rPr>
                <w:rFonts w:hint="eastAsia" w:ascii="仿宋_GB2312" w:hAnsi="仿宋_GB2312" w:eastAsia="仿宋_GB2312" w:cs="仿宋_GB2312"/>
              </w:rPr>
            </w:pPr>
            <w:r>
              <w:rPr>
                <w:rFonts w:hint="eastAsia" w:ascii="仿宋_GB2312" w:hAnsi="仿宋_GB2312" w:eastAsia="仿宋_GB2312" w:cs="仿宋_GB2312"/>
                <w:color w:val="000000"/>
                <w:spacing w:val="0"/>
                <w:highlight w:val="none"/>
              </w:rPr>
              <w:t>（</w:t>
            </w:r>
            <w:r>
              <w:rPr>
                <w:rFonts w:hint="eastAsia" w:ascii="仿宋_GB2312" w:hAnsi="仿宋_GB2312" w:eastAsia="仿宋_GB2312" w:cs="仿宋_GB2312"/>
                <w:color w:val="000000"/>
                <w:spacing w:val="0"/>
                <w:highlight w:val="none"/>
                <w:lang w:val="en-US" w:eastAsia="zh-CN"/>
              </w:rPr>
              <w:t>2</w:t>
            </w:r>
            <w:r>
              <w:rPr>
                <w:rFonts w:hint="eastAsia" w:ascii="仿宋_GB2312" w:hAnsi="仿宋_GB2312" w:eastAsia="仿宋_GB2312" w:cs="仿宋_GB2312"/>
                <w:color w:val="000000"/>
                <w:spacing w:val="0"/>
                <w:highlight w:val="none"/>
              </w:rPr>
              <w:t>）</w:t>
            </w:r>
            <w:r>
              <w:rPr>
                <w:rFonts w:hint="eastAsia" w:ascii="仿宋_GB2312" w:hAnsi="仿宋_GB2312" w:eastAsia="仿宋_GB2312" w:cs="仿宋_GB2312"/>
                <w:color w:val="000000"/>
                <w:spacing w:val="0"/>
                <w:highlight w:val="none"/>
                <w:lang w:val="en-US" w:eastAsia="zh-CN"/>
              </w:rPr>
              <w:t>县（市、区）级医院床位数</w:t>
            </w:r>
          </w:p>
        </w:tc>
        <w:tc>
          <w:tcPr>
            <w:tcW w:w="977" w:type="dxa"/>
            <w:vAlign w:val="center"/>
          </w:tcPr>
          <w:p>
            <w:pPr>
              <w:spacing w:before="173" w:line="290" w:lineRule="exact"/>
              <w:ind w:left="319" w:leftChars="0"/>
              <w:jc w:val="left"/>
              <w:rPr>
                <w:rFonts w:hint="default" w:ascii="仿宋_GB2312" w:hAnsi="仿宋_GB2312" w:eastAsia="仿宋_GB2312" w:cs="仿宋_GB2312"/>
                <w:snapToGrid w:val="0"/>
                <w:color w:val="000000"/>
                <w:spacing w:val="-1"/>
                <w:kern w:val="0"/>
                <w:sz w:val="22"/>
                <w:szCs w:val="22"/>
                <w:lang w:val="en-US" w:eastAsia="zh-CN" w:bidi="ar-SA"/>
              </w:rPr>
            </w:pPr>
            <w:r>
              <w:rPr>
                <w:rFonts w:hint="eastAsia" w:ascii="仿宋_GB2312" w:hAnsi="仿宋_GB2312" w:eastAsia="仿宋_GB2312" w:cs="仿宋_GB2312"/>
                <w:snapToGrid w:val="0"/>
                <w:color w:val="000000"/>
                <w:spacing w:val="-1"/>
                <w:kern w:val="0"/>
                <w:sz w:val="22"/>
                <w:szCs w:val="22"/>
                <w:lang w:val="en-US" w:eastAsia="zh-CN" w:bidi="ar-SA"/>
              </w:rPr>
              <w:t>2.40</w:t>
            </w:r>
          </w:p>
        </w:tc>
        <w:tc>
          <w:tcPr>
            <w:tcW w:w="1194" w:type="dxa"/>
            <w:vAlign w:val="center"/>
          </w:tcPr>
          <w:p>
            <w:pPr>
              <w:spacing w:before="173" w:line="290" w:lineRule="exact"/>
              <w:ind w:left="201" w:leftChars="0"/>
              <w:jc w:val="left"/>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zh-CN" w:bidi="ar-SA"/>
              </w:rPr>
              <w:t>2.35-2.4</w:t>
            </w:r>
          </w:p>
        </w:tc>
        <w:tc>
          <w:tcPr>
            <w:tcW w:w="1281" w:type="dxa"/>
            <w:vAlign w:val="top"/>
          </w:tcPr>
          <w:p>
            <w:pPr>
              <w:pStyle w:val="11"/>
              <w:spacing w:before="122" w:line="222" w:lineRule="auto"/>
              <w:ind w:left="317"/>
              <w:jc w:val="both"/>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en-US" w:bidi="ar-SA"/>
              </w:rPr>
              <w:t>指导性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 w:hRule="atLeast"/>
        </w:trPr>
        <w:tc>
          <w:tcPr>
            <w:tcW w:w="692" w:type="dxa"/>
            <w:vMerge w:val="continue"/>
            <w:tcBorders>
              <w:top w:val="nil"/>
            </w:tcBorders>
            <w:vAlign w:val="top"/>
          </w:tcPr>
          <w:p>
            <w:pPr>
              <w:rPr>
                <w:rFonts w:hint="eastAsia" w:ascii="仿宋_GB2312" w:hAnsi="仿宋_GB2312" w:eastAsia="仿宋_GB2312" w:cs="仿宋_GB2312"/>
                <w:sz w:val="21"/>
              </w:rPr>
            </w:pPr>
          </w:p>
        </w:tc>
        <w:tc>
          <w:tcPr>
            <w:tcW w:w="4660" w:type="dxa"/>
            <w:vAlign w:val="top"/>
          </w:tcPr>
          <w:p>
            <w:pPr>
              <w:pStyle w:val="11"/>
              <w:spacing w:before="88" w:line="290" w:lineRule="exact"/>
              <w:ind w:left="559"/>
              <w:rPr>
                <w:rFonts w:hint="eastAsia" w:ascii="仿宋_GB2312" w:hAnsi="仿宋_GB2312" w:eastAsia="仿宋_GB2312" w:cs="仿宋_GB2312"/>
              </w:rPr>
            </w:pPr>
            <w:r>
              <w:rPr>
                <w:rFonts w:hint="eastAsia" w:ascii="仿宋_GB2312" w:hAnsi="仿宋_GB2312" w:eastAsia="仿宋_GB2312" w:cs="仿宋_GB2312"/>
                <w:color w:val="000000"/>
                <w:spacing w:val="0"/>
                <w:position w:val="0"/>
                <w:highlight w:val="none"/>
              </w:rPr>
              <w:t>（</w:t>
            </w:r>
            <w:r>
              <w:rPr>
                <w:rFonts w:hint="eastAsia" w:ascii="仿宋_GB2312" w:hAnsi="仿宋_GB2312" w:eastAsia="仿宋_GB2312" w:cs="仿宋_GB2312"/>
                <w:color w:val="000000"/>
                <w:spacing w:val="0"/>
                <w:position w:val="0"/>
                <w:highlight w:val="none"/>
                <w:lang w:val="en-US" w:eastAsia="zh-CN"/>
              </w:rPr>
              <w:t>3</w:t>
            </w:r>
            <w:r>
              <w:rPr>
                <w:rFonts w:hint="eastAsia" w:ascii="仿宋_GB2312" w:hAnsi="仿宋_GB2312" w:eastAsia="仿宋_GB2312" w:cs="仿宋_GB2312"/>
                <w:color w:val="000000"/>
                <w:spacing w:val="0"/>
                <w:position w:val="0"/>
                <w:highlight w:val="none"/>
              </w:rPr>
              <w:t>）基层</w:t>
            </w:r>
            <w:r>
              <w:rPr>
                <w:rFonts w:hint="eastAsia" w:ascii="仿宋_GB2312" w:hAnsi="仿宋_GB2312" w:eastAsia="仿宋_GB2312" w:cs="仿宋_GB2312"/>
                <w:color w:val="000000"/>
                <w:spacing w:val="0"/>
                <w:position w:val="0"/>
                <w:highlight w:val="none"/>
                <w:lang w:val="en-US" w:eastAsia="zh-CN"/>
              </w:rPr>
              <w:t>医疗</w:t>
            </w:r>
            <w:r>
              <w:rPr>
                <w:rFonts w:hint="eastAsia" w:ascii="仿宋_GB2312" w:hAnsi="仿宋_GB2312" w:eastAsia="仿宋_GB2312" w:cs="仿宋_GB2312"/>
                <w:color w:val="000000"/>
                <w:spacing w:val="0"/>
                <w:position w:val="0"/>
                <w:highlight w:val="none"/>
              </w:rPr>
              <w:t>机构床位数（张）</w:t>
            </w:r>
          </w:p>
        </w:tc>
        <w:tc>
          <w:tcPr>
            <w:tcW w:w="977" w:type="dxa"/>
            <w:vAlign w:val="top"/>
          </w:tcPr>
          <w:p>
            <w:pPr>
              <w:spacing w:before="88" w:line="290" w:lineRule="exact"/>
              <w:ind w:left="301" w:leftChars="0"/>
              <w:jc w:val="left"/>
              <w:rPr>
                <w:rFonts w:hint="default" w:ascii="仿宋_GB2312" w:hAnsi="仿宋_GB2312" w:eastAsia="仿宋_GB2312" w:cs="仿宋_GB2312"/>
                <w:snapToGrid w:val="0"/>
                <w:color w:val="000000"/>
                <w:spacing w:val="-1"/>
                <w:kern w:val="0"/>
                <w:sz w:val="22"/>
                <w:szCs w:val="22"/>
                <w:lang w:val="en-US" w:eastAsia="zh-CN" w:bidi="ar-SA"/>
              </w:rPr>
            </w:pPr>
            <w:r>
              <w:rPr>
                <w:rFonts w:hint="eastAsia" w:ascii="仿宋_GB2312" w:hAnsi="仿宋_GB2312" w:eastAsia="仿宋_GB2312" w:cs="仿宋_GB2312"/>
                <w:snapToGrid w:val="0"/>
                <w:color w:val="000000"/>
                <w:spacing w:val="-1"/>
                <w:kern w:val="0"/>
                <w:sz w:val="22"/>
                <w:szCs w:val="22"/>
                <w:lang w:val="en-US" w:eastAsia="zh-CN" w:bidi="ar-SA"/>
              </w:rPr>
              <w:t>1.26</w:t>
            </w:r>
          </w:p>
        </w:tc>
        <w:tc>
          <w:tcPr>
            <w:tcW w:w="1194" w:type="dxa"/>
            <w:vAlign w:val="top"/>
          </w:tcPr>
          <w:p>
            <w:pPr>
              <w:spacing w:before="88" w:line="290" w:lineRule="exact"/>
              <w:ind w:left="183" w:leftChars="0"/>
              <w:jc w:val="left"/>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zh-CN" w:bidi="ar-SA"/>
              </w:rPr>
              <w:t>1.25</w:t>
            </w:r>
            <w:r>
              <w:rPr>
                <w:rFonts w:hint="eastAsia" w:ascii="仿宋_GB2312" w:hAnsi="仿宋_GB2312" w:eastAsia="仿宋_GB2312" w:cs="仿宋_GB2312"/>
                <w:snapToGrid w:val="0"/>
                <w:color w:val="000000"/>
                <w:spacing w:val="-1"/>
                <w:kern w:val="0"/>
                <w:sz w:val="22"/>
                <w:szCs w:val="22"/>
                <w:lang w:val="en-US" w:eastAsia="en-US" w:bidi="ar-SA"/>
              </w:rPr>
              <w:t>-</w:t>
            </w:r>
            <w:r>
              <w:rPr>
                <w:rFonts w:hint="eastAsia" w:ascii="仿宋_GB2312" w:hAnsi="仿宋_GB2312" w:eastAsia="仿宋_GB2312" w:cs="仿宋_GB2312"/>
                <w:snapToGrid w:val="0"/>
                <w:color w:val="000000"/>
                <w:spacing w:val="-1"/>
                <w:kern w:val="0"/>
                <w:sz w:val="22"/>
                <w:szCs w:val="22"/>
                <w:lang w:val="en-US" w:eastAsia="zh-CN" w:bidi="ar-SA"/>
              </w:rPr>
              <w:t>1.3</w:t>
            </w:r>
          </w:p>
        </w:tc>
        <w:tc>
          <w:tcPr>
            <w:tcW w:w="1281" w:type="dxa"/>
            <w:vAlign w:val="top"/>
          </w:tcPr>
          <w:p>
            <w:pPr>
              <w:pStyle w:val="11"/>
              <w:spacing w:before="123" w:line="222" w:lineRule="auto"/>
              <w:ind w:left="317"/>
              <w:jc w:val="both"/>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en-US" w:bidi="ar-SA"/>
              </w:rPr>
              <w:t>指导性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692" w:type="dxa"/>
            <w:vAlign w:val="top"/>
          </w:tcPr>
          <w:p>
            <w:pPr>
              <w:spacing w:before="229" w:line="290" w:lineRule="exact"/>
              <w:ind w:left="297"/>
              <w:rPr>
                <w:rFonts w:hint="eastAsia" w:ascii="仿宋_GB2312" w:hAnsi="仿宋_GB2312" w:eastAsia="仿宋_GB2312" w:cs="仿宋_GB2312"/>
                <w:sz w:val="22"/>
                <w:szCs w:val="22"/>
              </w:rPr>
            </w:pPr>
            <w:r>
              <w:rPr>
                <w:rFonts w:hint="eastAsia" w:ascii="仿宋_GB2312" w:hAnsi="仿宋_GB2312" w:eastAsia="仿宋_GB2312" w:cs="仿宋_GB2312"/>
                <w:position w:val="1"/>
                <w:sz w:val="22"/>
                <w:szCs w:val="22"/>
              </w:rPr>
              <w:t>3</w:t>
            </w:r>
          </w:p>
        </w:tc>
        <w:tc>
          <w:tcPr>
            <w:tcW w:w="4660" w:type="dxa"/>
            <w:vAlign w:val="top"/>
          </w:tcPr>
          <w:p>
            <w:pPr>
              <w:pStyle w:val="11"/>
              <w:spacing w:before="122" w:line="220" w:lineRule="auto"/>
              <w:ind w:left="111"/>
              <w:rPr>
                <w:rFonts w:hint="eastAsia" w:ascii="仿宋_GB2312" w:hAnsi="仿宋_GB2312" w:eastAsia="仿宋_GB2312" w:cs="仿宋_GB2312"/>
              </w:rPr>
            </w:pPr>
            <w:r>
              <w:rPr>
                <w:rFonts w:hint="eastAsia" w:ascii="仿宋_GB2312" w:hAnsi="仿宋_GB2312" w:eastAsia="仿宋_GB2312" w:cs="仿宋_GB2312"/>
                <w:spacing w:val="-1"/>
              </w:rPr>
              <w:t>每千人口非政府办医疗卫生机构床位数</w:t>
            </w:r>
          </w:p>
        </w:tc>
        <w:tc>
          <w:tcPr>
            <w:tcW w:w="977" w:type="dxa"/>
            <w:vAlign w:val="top"/>
          </w:tcPr>
          <w:p>
            <w:pPr>
              <w:spacing w:before="229" w:line="290" w:lineRule="exact"/>
              <w:ind w:left="319" w:leftChars="0"/>
              <w:jc w:val="left"/>
              <w:rPr>
                <w:rFonts w:hint="default" w:ascii="仿宋_GB2312" w:hAnsi="仿宋_GB2312" w:eastAsia="仿宋_GB2312" w:cs="仿宋_GB2312"/>
                <w:snapToGrid w:val="0"/>
                <w:color w:val="000000"/>
                <w:spacing w:val="-1"/>
                <w:kern w:val="0"/>
                <w:sz w:val="22"/>
                <w:szCs w:val="22"/>
                <w:lang w:val="en-US" w:eastAsia="zh-CN" w:bidi="ar-SA"/>
              </w:rPr>
            </w:pPr>
            <w:r>
              <w:rPr>
                <w:rFonts w:hint="eastAsia" w:ascii="仿宋_GB2312" w:hAnsi="仿宋_GB2312" w:eastAsia="仿宋_GB2312" w:cs="仿宋_GB2312"/>
                <w:snapToGrid w:val="0"/>
                <w:color w:val="000000"/>
                <w:spacing w:val="-1"/>
                <w:kern w:val="0"/>
                <w:sz w:val="22"/>
                <w:szCs w:val="22"/>
                <w:lang w:val="en-US" w:eastAsia="zh-CN" w:bidi="ar-SA"/>
              </w:rPr>
              <w:t>0.76</w:t>
            </w:r>
          </w:p>
        </w:tc>
        <w:tc>
          <w:tcPr>
            <w:tcW w:w="1194" w:type="dxa"/>
            <w:vAlign w:val="top"/>
          </w:tcPr>
          <w:p>
            <w:pPr>
              <w:spacing w:before="229" w:line="290" w:lineRule="exact"/>
              <w:ind w:left="201" w:leftChars="0"/>
              <w:jc w:val="left"/>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zh-CN" w:bidi="ar-SA"/>
              </w:rPr>
              <w:t>0.6</w:t>
            </w:r>
            <w:r>
              <w:rPr>
                <w:rFonts w:hint="eastAsia" w:ascii="仿宋_GB2312" w:hAnsi="仿宋_GB2312" w:eastAsia="仿宋_GB2312" w:cs="仿宋_GB2312"/>
                <w:snapToGrid w:val="0"/>
                <w:color w:val="000000"/>
                <w:spacing w:val="-1"/>
                <w:kern w:val="0"/>
                <w:sz w:val="22"/>
                <w:szCs w:val="22"/>
                <w:lang w:val="en-US" w:eastAsia="en-US" w:bidi="ar-SA"/>
              </w:rPr>
              <w:t>-</w:t>
            </w:r>
            <w:r>
              <w:rPr>
                <w:rFonts w:hint="eastAsia" w:ascii="仿宋_GB2312" w:hAnsi="仿宋_GB2312" w:eastAsia="仿宋_GB2312" w:cs="仿宋_GB2312"/>
                <w:snapToGrid w:val="0"/>
                <w:color w:val="000000"/>
                <w:spacing w:val="-1"/>
                <w:kern w:val="0"/>
                <w:sz w:val="22"/>
                <w:szCs w:val="22"/>
                <w:lang w:val="en-US" w:eastAsia="zh-CN" w:bidi="ar-SA"/>
              </w:rPr>
              <w:t>0.7</w:t>
            </w:r>
          </w:p>
        </w:tc>
        <w:tc>
          <w:tcPr>
            <w:tcW w:w="1281" w:type="dxa"/>
            <w:vAlign w:val="top"/>
          </w:tcPr>
          <w:p>
            <w:pPr>
              <w:pStyle w:val="11"/>
              <w:spacing w:before="262" w:line="222" w:lineRule="auto"/>
              <w:ind w:left="317"/>
              <w:jc w:val="both"/>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en-US" w:bidi="ar-SA"/>
              </w:rPr>
              <w:t>指导性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692" w:type="dxa"/>
            <w:vAlign w:val="top"/>
          </w:tcPr>
          <w:p>
            <w:pPr>
              <w:spacing w:before="89" w:line="290" w:lineRule="exact"/>
              <w:ind w:left="292"/>
              <w:rPr>
                <w:rFonts w:hint="eastAsia" w:ascii="仿宋_GB2312" w:hAnsi="仿宋_GB2312" w:eastAsia="仿宋_GB2312" w:cs="仿宋_GB2312"/>
                <w:sz w:val="22"/>
                <w:szCs w:val="22"/>
              </w:rPr>
            </w:pPr>
            <w:r>
              <w:rPr>
                <w:rFonts w:hint="eastAsia" w:ascii="仿宋_GB2312" w:hAnsi="仿宋_GB2312" w:eastAsia="仿宋_GB2312" w:cs="仿宋_GB2312"/>
                <w:position w:val="1"/>
                <w:sz w:val="22"/>
                <w:szCs w:val="22"/>
              </w:rPr>
              <w:t>4</w:t>
            </w:r>
          </w:p>
        </w:tc>
        <w:tc>
          <w:tcPr>
            <w:tcW w:w="4660" w:type="dxa"/>
            <w:vAlign w:val="top"/>
          </w:tcPr>
          <w:p>
            <w:pPr>
              <w:pStyle w:val="11"/>
              <w:spacing w:before="124" w:line="220" w:lineRule="auto"/>
              <w:ind w:left="111"/>
              <w:rPr>
                <w:rFonts w:hint="eastAsia" w:ascii="仿宋_GB2312" w:hAnsi="仿宋_GB2312" w:eastAsia="仿宋_GB2312" w:cs="仿宋_GB2312"/>
              </w:rPr>
            </w:pPr>
            <w:r>
              <w:rPr>
                <w:rFonts w:hint="eastAsia" w:ascii="仿宋_GB2312" w:hAnsi="仿宋_GB2312" w:eastAsia="仿宋_GB2312" w:cs="仿宋_GB2312"/>
                <w:spacing w:val="-1"/>
              </w:rPr>
              <w:t>每千人口接续性医疗机构床位数（张）</w:t>
            </w:r>
          </w:p>
        </w:tc>
        <w:tc>
          <w:tcPr>
            <w:tcW w:w="977" w:type="dxa"/>
            <w:vAlign w:val="top"/>
          </w:tcPr>
          <w:p>
            <w:pPr>
              <w:pStyle w:val="11"/>
              <w:spacing w:before="123" w:line="221" w:lineRule="auto"/>
              <w:ind w:left="111"/>
              <w:jc w:val="center"/>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en-US" w:bidi="ar-SA"/>
              </w:rPr>
              <w:t>待定</w:t>
            </w:r>
          </w:p>
        </w:tc>
        <w:tc>
          <w:tcPr>
            <w:tcW w:w="1194" w:type="dxa"/>
            <w:vAlign w:val="top"/>
          </w:tcPr>
          <w:p>
            <w:pPr>
              <w:pStyle w:val="11"/>
              <w:spacing w:before="123" w:line="221" w:lineRule="auto"/>
              <w:ind w:left="111"/>
              <w:jc w:val="center"/>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en-US" w:bidi="ar-SA"/>
              </w:rPr>
              <w:t>待定</w:t>
            </w:r>
          </w:p>
        </w:tc>
        <w:tc>
          <w:tcPr>
            <w:tcW w:w="1281" w:type="dxa"/>
            <w:vAlign w:val="top"/>
          </w:tcPr>
          <w:p>
            <w:pPr>
              <w:pStyle w:val="11"/>
              <w:spacing w:before="123" w:line="221" w:lineRule="auto"/>
              <w:ind w:left="111" w:firstLine="218" w:firstLineChars="100"/>
              <w:jc w:val="both"/>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en-US" w:bidi="ar-SA"/>
              </w:rPr>
              <w:t>指导性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 w:hRule="atLeast"/>
        </w:trPr>
        <w:tc>
          <w:tcPr>
            <w:tcW w:w="692" w:type="dxa"/>
            <w:vAlign w:val="top"/>
          </w:tcPr>
          <w:p>
            <w:pPr>
              <w:spacing w:before="165" w:line="186" w:lineRule="auto"/>
              <w:ind w:left="299"/>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5</w:t>
            </w:r>
          </w:p>
        </w:tc>
        <w:tc>
          <w:tcPr>
            <w:tcW w:w="4660" w:type="dxa"/>
            <w:vAlign w:val="top"/>
          </w:tcPr>
          <w:p>
            <w:pPr>
              <w:pStyle w:val="11"/>
              <w:spacing w:before="124" w:line="220" w:lineRule="auto"/>
              <w:ind w:left="111"/>
              <w:rPr>
                <w:rFonts w:hint="eastAsia" w:ascii="仿宋_GB2312" w:hAnsi="仿宋_GB2312" w:eastAsia="仿宋_GB2312" w:cs="仿宋_GB2312"/>
              </w:rPr>
            </w:pPr>
            <w:r>
              <w:rPr>
                <w:rFonts w:hint="eastAsia" w:ascii="仿宋_GB2312" w:hAnsi="仿宋_GB2312" w:eastAsia="仿宋_GB2312" w:cs="仿宋_GB2312"/>
                <w:spacing w:val="-1"/>
              </w:rPr>
              <w:t>每千人口精神科开放床位数</w:t>
            </w:r>
          </w:p>
        </w:tc>
        <w:tc>
          <w:tcPr>
            <w:tcW w:w="977" w:type="dxa"/>
            <w:vAlign w:val="top"/>
          </w:tcPr>
          <w:p>
            <w:pPr>
              <w:spacing w:before="91" w:line="290" w:lineRule="exact"/>
              <w:ind w:left="301" w:leftChars="0"/>
              <w:jc w:val="center"/>
              <w:rPr>
                <w:rFonts w:hint="default" w:ascii="仿宋_GB2312" w:hAnsi="仿宋_GB2312" w:eastAsia="仿宋_GB2312" w:cs="仿宋_GB2312"/>
                <w:snapToGrid w:val="0"/>
                <w:color w:val="000000"/>
                <w:spacing w:val="-1"/>
                <w:kern w:val="0"/>
                <w:sz w:val="22"/>
                <w:szCs w:val="22"/>
                <w:lang w:val="en-US" w:eastAsia="zh-CN" w:bidi="ar-SA"/>
              </w:rPr>
            </w:pPr>
            <w:r>
              <w:rPr>
                <w:rFonts w:hint="eastAsia" w:ascii="仿宋_GB2312" w:hAnsi="仿宋_GB2312" w:eastAsia="仿宋_GB2312" w:cs="仿宋_GB2312"/>
                <w:snapToGrid w:val="0"/>
                <w:color w:val="000000"/>
                <w:spacing w:val="-1"/>
                <w:kern w:val="0"/>
                <w:sz w:val="22"/>
                <w:szCs w:val="22"/>
                <w:lang w:val="en-US" w:eastAsia="zh-CN" w:bidi="ar-SA"/>
              </w:rPr>
              <w:t>1.11</w:t>
            </w:r>
          </w:p>
        </w:tc>
        <w:tc>
          <w:tcPr>
            <w:tcW w:w="1194" w:type="dxa"/>
            <w:vAlign w:val="top"/>
          </w:tcPr>
          <w:p>
            <w:pPr>
              <w:spacing w:before="91" w:line="290" w:lineRule="exact"/>
              <w:ind w:left="466" w:leftChars="0"/>
              <w:jc w:val="center"/>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en-US" w:bidi="ar-SA"/>
              </w:rPr>
              <w:t>0.9</w:t>
            </w:r>
          </w:p>
        </w:tc>
        <w:tc>
          <w:tcPr>
            <w:tcW w:w="1281" w:type="dxa"/>
            <w:vAlign w:val="top"/>
          </w:tcPr>
          <w:p>
            <w:pPr>
              <w:pStyle w:val="11"/>
              <w:spacing w:before="124" w:line="222" w:lineRule="auto"/>
              <w:ind w:left="317"/>
              <w:jc w:val="both"/>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en-US" w:bidi="ar-SA"/>
              </w:rPr>
              <w:t>指导性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804" w:type="dxa"/>
            <w:gridSpan w:val="5"/>
            <w:vAlign w:val="top"/>
          </w:tcPr>
          <w:p>
            <w:pPr>
              <w:spacing w:before="120" w:line="222" w:lineRule="auto"/>
              <w:ind w:left="120"/>
              <w:jc w:val="center"/>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en-US" w:bidi="ar-SA"/>
              </w:rPr>
              <w:t>二、人力资源配置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692" w:type="dxa"/>
            <w:vAlign w:val="top"/>
          </w:tcPr>
          <w:p>
            <w:pPr>
              <w:spacing w:before="90" w:line="290" w:lineRule="exact"/>
              <w:ind w:left="118"/>
              <w:jc w:val="center"/>
              <w:rPr>
                <w:rFonts w:hint="eastAsia" w:ascii="仿宋_GB2312" w:hAnsi="仿宋_GB2312" w:eastAsia="仿宋_GB2312" w:cs="仿宋_GB2312"/>
                <w:sz w:val="22"/>
                <w:szCs w:val="22"/>
              </w:rPr>
            </w:pPr>
            <w:r>
              <w:rPr>
                <w:rFonts w:hint="eastAsia" w:ascii="仿宋_GB2312" w:hAnsi="仿宋_GB2312" w:eastAsia="仿宋_GB2312" w:cs="仿宋_GB2312"/>
                <w:position w:val="1"/>
                <w:sz w:val="22"/>
                <w:szCs w:val="22"/>
              </w:rPr>
              <w:t>6</w:t>
            </w:r>
          </w:p>
        </w:tc>
        <w:tc>
          <w:tcPr>
            <w:tcW w:w="4660" w:type="dxa"/>
            <w:vAlign w:val="top"/>
          </w:tcPr>
          <w:p>
            <w:pPr>
              <w:pStyle w:val="11"/>
              <w:spacing w:before="123" w:line="221" w:lineRule="auto"/>
              <w:ind w:left="111"/>
              <w:rPr>
                <w:rFonts w:hint="eastAsia" w:ascii="仿宋_GB2312" w:hAnsi="仿宋_GB2312" w:eastAsia="仿宋_GB2312" w:cs="仿宋_GB2312"/>
              </w:rPr>
            </w:pPr>
            <w:r>
              <w:rPr>
                <w:rFonts w:hint="eastAsia" w:ascii="仿宋_GB2312" w:hAnsi="仿宋_GB2312" w:eastAsia="仿宋_GB2312" w:cs="仿宋_GB2312"/>
                <w:spacing w:val="-1"/>
              </w:rPr>
              <w:t>每千人口基层卫生人员数</w:t>
            </w:r>
          </w:p>
        </w:tc>
        <w:tc>
          <w:tcPr>
            <w:tcW w:w="977" w:type="dxa"/>
            <w:vAlign w:val="top"/>
          </w:tcPr>
          <w:p>
            <w:pPr>
              <w:pStyle w:val="11"/>
              <w:spacing w:before="123" w:line="221" w:lineRule="auto"/>
              <w:ind w:left="111"/>
              <w:jc w:val="center"/>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en-US" w:bidi="ar-SA"/>
              </w:rPr>
              <w:t>待定</w:t>
            </w:r>
          </w:p>
        </w:tc>
        <w:tc>
          <w:tcPr>
            <w:tcW w:w="1194" w:type="dxa"/>
            <w:vAlign w:val="top"/>
          </w:tcPr>
          <w:p>
            <w:pPr>
              <w:pStyle w:val="11"/>
              <w:spacing w:before="123" w:line="221" w:lineRule="auto"/>
              <w:ind w:left="111"/>
              <w:jc w:val="center"/>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en-US" w:bidi="ar-SA"/>
              </w:rPr>
              <w:t>待定</w:t>
            </w:r>
          </w:p>
        </w:tc>
        <w:tc>
          <w:tcPr>
            <w:tcW w:w="1281" w:type="dxa"/>
            <w:vAlign w:val="top"/>
          </w:tcPr>
          <w:p>
            <w:pPr>
              <w:pStyle w:val="11"/>
              <w:spacing w:before="123" w:line="221" w:lineRule="auto"/>
              <w:ind w:left="111" w:firstLine="218" w:firstLineChars="100"/>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en-US" w:bidi="ar-SA"/>
              </w:rPr>
              <w:t>指导性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 w:hRule="atLeast"/>
        </w:trPr>
        <w:tc>
          <w:tcPr>
            <w:tcW w:w="692" w:type="dxa"/>
            <w:vAlign w:val="top"/>
          </w:tcPr>
          <w:p>
            <w:pPr>
              <w:spacing w:before="163" w:line="186" w:lineRule="auto"/>
              <w:ind w:left="116"/>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7</w:t>
            </w:r>
          </w:p>
        </w:tc>
        <w:tc>
          <w:tcPr>
            <w:tcW w:w="4660" w:type="dxa"/>
            <w:vAlign w:val="top"/>
          </w:tcPr>
          <w:p>
            <w:pPr>
              <w:pStyle w:val="11"/>
              <w:spacing w:before="125" w:line="221" w:lineRule="auto"/>
              <w:ind w:left="111"/>
              <w:rPr>
                <w:rFonts w:hint="eastAsia" w:ascii="仿宋_GB2312" w:hAnsi="仿宋_GB2312" w:eastAsia="仿宋_GB2312" w:cs="仿宋_GB2312"/>
              </w:rPr>
            </w:pPr>
            <w:r>
              <w:rPr>
                <w:rFonts w:hint="eastAsia" w:ascii="仿宋_GB2312" w:hAnsi="仿宋_GB2312" w:eastAsia="仿宋_GB2312" w:cs="仿宋_GB2312"/>
                <w:spacing w:val="-1"/>
              </w:rPr>
              <w:t>每千人口药师（士）数（人）</w:t>
            </w:r>
          </w:p>
        </w:tc>
        <w:tc>
          <w:tcPr>
            <w:tcW w:w="977" w:type="dxa"/>
            <w:vAlign w:val="top"/>
          </w:tcPr>
          <w:p>
            <w:pPr>
              <w:spacing w:before="90" w:line="290" w:lineRule="exact"/>
              <w:ind w:left="114" w:leftChars="0" w:firstLine="218" w:firstLineChars="100"/>
              <w:jc w:val="both"/>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en-US" w:bidi="ar-SA"/>
              </w:rPr>
              <w:t>0.43</w:t>
            </w:r>
          </w:p>
        </w:tc>
        <w:tc>
          <w:tcPr>
            <w:tcW w:w="1194" w:type="dxa"/>
            <w:vAlign w:val="top"/>
          </w:tcPr>
          <w:p>
            <w:pPr>
              <w:spacing w:before="90" w:line="290" w:lineRule="exact"/>
              <w:ind w:left="114" w:leftChars="0"/>
              <w:jc w:val="center"/>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en-US" w:bidi="ar-SA"/>
              </w:rPr>
              <w:t>0.45</w:t>
            </w:r>
          </w:p>
        </w:tc>
        <w:tc>
          <w:tcPr>
            <w:tcW w:w="1281" w:type="dxa"/>
            <w:vAlign w:val="top"/>
          </w:tcPr>
          <w:p>
            <w:pPr>
              <w:pStyle w:val="11"/>
              <w:spacing w:before="125" w:line="222" w:lineRule="auto"/>
              <w:ind w:firstLine="218" w:firstLineChars="100"/>
              <w:jc w:val="both"/>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en-US" w:bidi="ar-SA"/>
              </w:rPr>
              <w:t>指导性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692" w:type="dxa"/>
            <w:vAlign w:val="top"/>
          </w:tcPr>
          <w:p>
            <w:pPr>
              <w:spacing w:before="89" w:line="290" w:lineRule="exact"/>
              <w:ind w:left="122"/>
              <w:jc w:val="center"/>
              <w:rPr>
                <w:rFonts w:hint="eastAsia" w:ascii="仿宋_GB2312" w:hAnsi="仿宋_GB2312" w:eastAsia="仿宋_GB2312" w:cs="仿宋_GB2312"/>
                <w:sz w:val="22"/>
                <w:szCs w:val="22"/>
              </w:rPr>
            </w:pPr>
            <w:r>
              <w:rPr>
                <w:rFonts w:hint="eastAsia" w:ascii="仿宋_GB2312" w:hAnsi="仿宋_GB2312" w:eastAsia="仿宋_GB2312" w:cs="仿宋_GB2312"/>
                <w:position w:val="1"/>
                <w:sz w:val="22"/>
                <w:szCs w:val="22"/>
              </w:rPr>
              <w:t>8</w:t>
            </w:r>
          </w:p>
        </w:tc>
        <w:tc>
          <w:tcPr>
            <w:tcW w:w="4660" w:type="dxa"/>
            <w:vAlign w:val="top"/>
          </w:tcPr>
          <w:p>
            <w:pPr>
              <w:pStyle w:val="11"/>
              <w:spacing w:before="124" w:line="220" w:lineRule="auto"/>
              <w:ind w:left="111"/>
              <w:rPr>
                <w:rFonts w:hint="eastAsia" w:ascii="仿宋_GB2312" w:hAnsi="仿宋_GB2312" w:eastAsia="仿宋_GB2312" w:cs="仿宋_GB2312"/>
              </w:rPr>
            </w:pPr>
            <w:r>
              <w:rPr>
                <w:rFonts w:hint="eastAsia" w:ascii="仿宋_GB2312" w:hAnsi="仿宋_GB2312" w:eastAsia="仿宋_GB2312" w:cs="仿宋_GB2312"/>
                <w:spacing w:val="-1"/>
              </w:rPr>
              <w:t>每千名儿童拥有儿科执业（助理）医师数</w:t>
            </w:r>
          </w:p>
        </w:tc>
        <w:tc>
          <w:tcPr>
            <w:tcW w:w="977" w:type="dxa"/>
            <w:vAlign w:val="top"/>
          </w:tcPr>
          <w:p>
            <w:pPr>
              <w:pStyle w:val="11"/>
              <w:spacing w:before="123" w:line="221" w:lineRule="auto"/>
              <w:ind w:left="111"/>
              <w:jc w:val="center"/>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zh-CN" w:bidi="ar-SA"/>
              </w:rPr>
              <w:t>1.49</w:t>
            </w:r>
          </w:p>
        </w:tc>
        <w:tc>
          <w:tcPr>
            <w:tcW w:w="1194" w:type="dxa"/>
            <w:vAlign w:val="top"/>
          </w:tcPr>
          <w:p>
            <w:pPr>
              <w:pStyle w:val="11"/>
              <w:spacing w:before="123" w:line="221" w:lineRule="auto"/>
              <w:ind w:left="111"/>
              <w:jc w:val="center"/>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en-US" w:bidi="ar-SA"/>
              </w:rPr>
              <w:t>待定</w:t>
            </w:r>
          </w:p>
        </w:tc>
        <w:tc>
          <w:tcPr>
            <w:tcW w:w="1281" w:type="dxa"/>
            <w:vAlign w:val="top"/>
          </w:tcPr>
          <w:p>
            <w:pPr>
              <w:pStyle w:val="11"/>
              <w:spacing w:before="123" w:line="221" w:lineRule="auto"/>
              <w:ind w:left="111" w:firstLine="218" w:firstLineChars="100"/>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en-US" w:bidi="ar-SA"/>
              </w:rPr>
              <w:t>指导性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 w:hRule="atLeast"/>
        </w:trPr>
        <w:tc>
          <w:tcPr>
            <w:tcW w:w="692" w:type="dxa"/>
            <w:vAlign w:val="top"/>
          </w:tcPr>
          <w:p>
            <w:pPr>
              <w:spacing w:before="89" w:line="290" w:lineRule="exact"/>
              <w:ind w:left="117"/>
              <w:jc w:val="center"/>
              <w:rPr>
                <w:rFonts w:hint="eastAsia" w:ascii="仿宋_GB2312" w:hAnsi="仿宋_GB2312" w:eastAsia="仿宋_GB2312" w:cs="仿宋_GB2312"/>
                <w:sz w:val="22"/>
                <w:szCs w:val="22"/>
              </w:rPr>
            </w:pPr>
            <w:r>
              <w:rPr>
                <w:rFonts w:hint="eastAsia" w:ascii="仿宋_GB2312" w:hAnsi="仿宋_GB2312" w:eastAsia="仿宋_GB2312" w:cs="仿宋_GB2312"/>
                <w:position w:val="1"/>
                <w:sz w:val="22"/>
                <w:szCs w:val="22"/>
              </w:rPr>
              <w:t>9</w:t>
            </w:r>
          </w:p>
        </w:tc>
        <w:tc>
          <w:tcPr>
            <w:tcW w:w="4660" w:type="dxa"/>
            <w:vAlign w:val="top"/>
          </w:tcPr>
          <w:p>
            <w:pPr>
              <w:pStyle w:val="11"/>
              <w:spacing w:before="124" w:line="221" w:lineRule="auto"/>
              <w:ind w:left="111"/>
              <w:rPr>
                <w:rFonts w:hint="eastAsia" w:ascii="仿宋_GB2312" w:hAnsi="仿宋_GB2312" w:eastAsia="仿宋_GB2312" w:cs="仿宋_GB2312"/>
              </w:rPr>
            </w:pPr>
            <w:r>
              <w:rPr>
                <w:rFonts w:hint="eastAsia" w:ascii="仿宋_GB2312" w:hAnsi="仿宋_GB2312" w:eastAsia="仿宋_GB2312" w:cs="仿宋_GB2312"/>
                <w:spacing w:val="-1"/>
              </w:rPr>
              <w:t>每万人口康复医师数（人）</w:t>
            </w:r>
          </w:p>
        </w:tc>
        <w:tc>
          <w:tcPr>
            <w:tcW w:w="977" w:type="dxa"/>
            <w:vAlign w:val="top"/>
          </w:tcPr>
          <w:p>
            <w:pPr>
              <w:pStyle w:val="11"/>
              <w:spacing w:before="123" w:line="221" w:lineRule="auto"/>
              <w:ind w:left="111"/>
              <w:jc w:val="center"/>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zh-CN" w:bidi="ar-SA"/>
              </w:rPr>
              <w:t>0.19</w:t>
            </w:r>
          </w:p>
        </w:tc>
        <w:tc>
          <w:tcPr>
            <w:tcW w:w="1194" w:type="dxa"/>
            <w:vAlign w:val="top"/>
          </w:tcPr>
          <w:p>
            <w:pPr>
              <w:pStyle w:val="11"/>
              <w:spacing w:before="123" w:line="221" w:lineRule="auto"/>
              <w:ind w:left="111"/>
              <w:jc w:val="center"/>
              <w:rPr>
                <w:rFonts w:hint="eastAsia" w:ascii="仿宋_GB2312" w:hAnsi="仿宋_GB2312" w:eastAsia="仿宋_GB2312" w:cs="仿宋_GB2312"/>
                <w:snapToGrid w:val="0"/>
                <w:color w:val="000000"/>
                <w:spacing w:val="-1"/>
                <w:kern w:val="0"/>
                <w:sz w:val="22"/>
                <w:szCs w:val="22"/>
                <w:lang w:val="en-US" w:eastAsia="zh-CN" w:bidi="ar-SA"/>
              </w:rPr>
            </w:pPr>
            <w:r>
              <w:rPr>
                <w:rFonts w:hint="eastAsia" w:ascii="仿宋_GB2312" w:hAnsi="仿宋_GB2312" w:eastAsia="仿宋_GB2312" w:cs="仿宋_GB2312"/>
                <w:snapToGrid w:val="0"/>
                <w:color w:val="000000"/>
                <w:spacing w:val="-1"/>
                <w:kern w:val="0"/>
                <w:sz w:val="22"/>
                <w:szCs w:val="22"/>
                <w:lang w:val="en-US" w:eastAsia="en-US" w:bidi="ar-SA"/>
              </w:rPr>
              <w:t>0.</w:t>
            </w:r>
            <w:r>
              <w:rPr>
                <w:rFonts w:hint="eastAsia" w:ascii="仿宋_GB2312" w:hAnsi="仿宋_GB2312" w:eastAsia="仿宋_GB2312" w:cs="仿宋_GB2312"/>
                <w:snapToGrid w:val="0"/>
                <w:color w:val="000000"/>
                <w:spacing w:val="-1"/>
                <w:kern w:val="0"/>
                <w:sz w:val="22"/>
                <w:szCs w:val="22"/>
                <w:lang w:val="en-US" w:eastAsia="zh-CN" w:bidi="ar-SA"/>
              </w:rPr>
              <w:t>2</w:t>
            </w:r>
          </w:p>
        </w:tc>
        <w:tc>
          <w:tcPr>
            <w:tcW w:w="1281" w:type="dxa"/>
            <w:vAlign w:val="top"/>
          </w:tcPr>
          <w:p>
            <w:pPr>
              <w:pStyle w:val="11"/>
              <w:spacing w:before="123" w:line="221" w:lineRule="auto"/>
              <w:ind w:left="111" w:firstLine="218" w:firstLineChars="100"/>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en-US" w:bidi="ar-SA"/>
              </w:rPr>
              <w:t>指导性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 w:hRule="atLeast"/>
        </w:trPr>
        <w:tc>
          <w:tcPr>
            <w:tcW w:w="692" w:type="dxa"/>
            <w:vAlign w:val="top"/>
          </w:tcPr>
          <w:p>
            <w:pPr>
              <w:spacing w:before="91" w:line="290" w:lineRule="exact"/>
              <w:ind w:left="134"/>
              <w:jc w:val="center"/>
              <w:rPr>
                <w:rFonts w:hint="eastAsia" w:ascii="仿宋_GB2312" w:hAnsi="仿宋_GB2312" w:eastAsia="仿宋_GB2312" w:cs="仿宋_GB2312"/>
                <w:sz w:val="22"/>
                <w:szCs w:val="22"/>
              </w:rPr>
            </w:pPr>
            <w:r>
              <w:rPr>
                <w:rFonts w:hint="eastAsia" w:ascii="仿宋_GB2312" w:hAnsi="仿宋_GB2312" w:eastAsia="仿宋_GB2312" w:cs="仿宋_GB2312"/>
                <w:spacing w:val="-13"/>
                <w:position w:val="1"/>
                <w:sz w:val="22"/>
                <w:szCs w:val="22"/>
              </w:rPr>
              <w:t>10</w:t>
            </w:r>
          </w:p>
        </w:tc>
        <w:tc>
          <w:tcPr>
            <w:tcW w:w="4660" w:type="dxa"/>
            <w:vAlign w:val="top"/>
          </w:tcPr>
          <w:p>
            <w:pPr>
              <w:pStyle w:val="11"/>
              <w:spacing w:before="123" w:line="221" w:lineRule="auto"/>
              <w:ind w:left="111"/>
              <w:rPr>
                <w:rFonts w:hint="eastAsia" w:ascii="仿宋_GB2312" w:hAnsi="仿宋_GB2312" w:eastAsia="仿宋_GB2312" w:cs="仿宋_GB2312"/>
              </w:rPr>
            </w:pPr>
            <w:r>
              <w:rPr>
                <w:rFonts w:hint="eastAsia" w:ascii="仿宋_GB2312" w:hAnsi="仿宋_GB2312" w:eastAsia="仿宋_GB2312" w:cs="仿宋_GB2312"/>
                <w:spacing w:val="-1"/>
              </w:rPr>
              <w:t>每万人口康复治疗师数（人）</w:t>
            </w:r>
          </w:p>
        </w:tc>
        <w:tc>
          <w:tcPr>
            <w:tcW w:w="977" w:type="dxa"/>
            <w:vAlign w:val="top"/>
          </w:tcPr>
          <w:p>
            <w:pPr>
              <w:pStyle w:val="11"/>
              <w:spacing w:before="123" w:line="221" w:lineRule="auto"/>
              <w:ind w:left="111"/>
              <w:jc w:val="center"/>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en-US" w:bidi="ar-SA"/>
              </w:rPr>
              <w:t>——</w:t>
            </w:r>
          </w:p>
        </w:tc>
        <w:tc>
          <w:tcPr>
            <w:tcW w:w="1194" w:type="dxa"/>
            <w:vAlign w:val="top"/>
          </w:tcPr>
          <w:p>
            <w:pPr>
              <w:pStyle w:val="11"/>
              <w:spacing w:before="123" w:line="221" w:lineRule="auto"/>
              <w:ind w:left="111"/>
              <w:jc w:val="center"/>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en-US" w:bidi="ar-SA"/>
              </w:rPr>
              <w:t>1.9</w:t>
            </w:r>
          </w:p>
        </w:tc>
        <w:tc>
          <w:tcPr>
            <w:tcW w:w="1281" w:type="dxa"/>
            <w:vAlign w:val="top"/>
          </w:tcPr>
          <w:p>
            <w:pPr>
              <w:pStyle w:val="11"/>
              <w:spacing w:before="123" w:line="221" w:lineRule="auto"/>
              <w:ind w:left="111" w:firstLine="218" w:firstLineChars="100"/>
              <w:rPr>
                <w:rFonts w:hint="eastAsia" w:ascii="仿宋_GB2312" w:hAnsi="仿宋_GB2312" w:eastAsia="仿宋_GB2312" w:cs="仿宋_GB2312"/>
                <w:snapToGrid w:val="0"/>
                <w:color w:val="000000"/>
                <w:spacing w:val="-1"/>
                <w:kern w:val="0"/>
                <w:sz w:val="22"/>
                <w:szCs w:val="22"/>
                <w:lang w:val="en-US" w:eastAsia="en-US" w:bidi="ar-SA"/>
              </w:rPr>
            </w:pPr>
            <w:r>
              <w:rPr>
                <w:rFonts w:hint="eastAsia" w:ascii="仿宋_GB2312" w:hAnsi="仿宋_GB2312" w:eastAsia="仿宋_GB2312" w:cs="仿宋_GB2312"/>
                <w:snapToGrid w:val="0"/>
                <w:color w:val="000000"/>
                <w:spacing w:val="-1"/>
                <w:kern w:val="0"/>
                <w:sz w:val="22"/>
                <w:szCs w:val="22"/>
                <w:lang w:val="en-US" w:eastAsia="en-US" w:bidi="ar-SA"/>
              </w:rPr>
              <w:t>指导性</w:t>
            </w:r>
          </w:p>
        </w:tc>
      </w:tr>
    </w:tbl>
    <w:p>
      <w:pPr>
        <w:pStyle w:val="5"/>
        <w:spacing w:before="126"/>
        <w:ind w:left="444"/>
        <w:outlineLvl w:val="1"/>
        <w:rPr>
          <w:rFonts w:ascii="Arial"/>
          <w:sz w:val="21"/>
        </w:rPr>
      </w:pPr>
      <w:r>
        <w:rPr>
          <w:rFonts w:hint="eastAsia" w:ascii="仿宋_GB2312" w:hAnsi="仿宋_GB2312" w:eastAsia="仿宋_GB2312" w:cs="仿宋_GB2312"/>
          <w:spacing w:val="-1"/>
          <w:sz w:val="22"/>
          <w:szCs w:val="22"/>
        </w:rPr>
        <w:t>注：医院床位含同级妇幼保健院和专科疾病防治院（所）床位。</w:t>
      </w:r>
    </w:p>
    <w:p>
      <w:pPr>
        <w:keepNext w:val="0"/>
        <w:keepLines w:val="0"/>
        <w:pageBreakBefore w:val="0"/>
        <w:widowControl w:val="0"/>
        <w:kinsoku/>
        <w:wordWrap/>
        <w:overflowPunct w:val="0"/>
        <w:topLinePunct w:val="0"/>
        <w:autoSpaceDE/>
        <w:autoSpaceDN/>
        <w:bidi w:val="0"/>
        <w:adjustRightInd w:val="0"/>
        <w:snapToGrid w:val="0"/>
        <w:spacing w:line="560" w:lineRule="exact"/>
        <w:ind w:left="0" w:firstLine="656" w:firstLineChars="200"/>
        <w:textAlignment w:val="baseline"/>
        <w:outlineLvl w:val="0"/>
        <w:rPr>
          <w:rFonts w:hint="eastAsia" w:ascii="楷体_GB2312" w:hAnsi="楷体_GB2312" w:eastAsia="楷体_GB2312" w:cs="楷体_GB2312"/>
          <w:sz w:val="32"/>
          <w:szCs w:val="32"/>
        </w:rPr>
      </w:pPr>
      <w:r>
        <w:rPr>
          <w:rFonts w:hint="eastAsia" w:ascii="楷体_GB2312" w:hAnsi="楷体_GB2312" w:eastAsia="楷体_GB2312" w:cs="楷体_GB2312"/>
          <w:spacing w:val="4"/>
          <w:sz w:val="32"/>
          <w:szCs w:val="32"/>
        </w:rPr>
        <w:t>（三）提</w:t>
      </w:r>
      <w:r>
        <w:rPr>
          <w:rFonts w:hint="eastAsia" w:ascii="楷体_GB2312" w:hAnsi="楷体_GB2312" w:eastAsia="楷体_GB2312" w:cs="楷体_GB2312"/>
          <w:spacing w:val="4"/>
          <w:sz w:val="32"/>
          <w:szCs w:val="32"/>
          <w:lang w:val="en-US" w:eastAsia="zh-CN"/>
        </w:rPr>
        <w:t>高</w:t>
      </w:r>
      <w:r>
        <w:rPr>
          <w:rFonts w:hint="eastAsia" w:ascii="楷体_GB2312" w:hAnsi="楷体_GB2312" w:eastAsia="楷体_GB2312" w:cs="楷体_GB2312"/>
          <w:spacing w:val="4"/>
          <w:sz w:val="32"/>
          <w:szCs w:val="32"/>
        </w:rPr>
        <w:t>资源整体规划与布局效能。</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firstLine="656" w:firstLineChars="200"/>
        <w:jc w:val="both"/>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spacing w:val="4"/>
          <w:sz w:val="32"/>
          <w:szCs w:val="32"/>
        </w:rPr>
        <w:t>坚持</w:t>
      </w:r>
      <w:r>
        <w:rPr>
          <w:rFonts w:hint="eastAsia" w:ascii="仿宋_GB2312" w:hAnsi="仿宋_GB2312" w:eastAsia="仿宋_GB2312" w:cs="仿宋_GB2312"/>
          <w:spacing w:val="4"/>
          <w:sz w:val="32"/>
          <w:szCs w:val="32"/>
          <w:lang w:eastAsia="zh-CN"/>
        </w:rPr>
        <w:t>全市</w:t>
      </w:r>
      <w:r>
        <w:rPr>
          <w:rFonts w:hint="eastAsia" w:ascii="仿宋_GB2312" w:hAnsi="仿宋_GB2312" w:eastAsia="仿宋_GB2312" w:cs="仿宋_GB2312"/>
          <w:spacing w:val="4"/>
          <w:sz w:val="32"/>
          <w:szCs w:val="32"/>
        </w:rPr>
        <w:t>统筹与分类指导相结合，以服务功能为核心、需求</w:t>
      </w:r>
      <w:r>
        <w:rPr>
          <w:rFonts w:hint="eastAsia" w:ascii="仿宋_GB2312" w:hAnsi="仿宋_GB2312" w:eastAsia="仿宋_GB2312" w:cs="仿宋_GB2312"/>
          <w:spacing w:val="-2"/>
          <w:sz w:val="32"/>
          <w:szCs w:val="32"/>
        </w:rPr>
        <w:t>为导向，推动一体化、差异化的资源规划与布局，</w:t>
      </w:r>
      <w:r>
        <w:rPr>
          <w:rFonts w:hint="eastAsia" w:ascii="仿宋_GB2312" w:hAnsi="仿宋_GB2312" w:eastAsia="仿宋_GB2312" w:cs="仿宋_GB2312"/>
          <w:spacing w:val="-3"/>
          <w:sz w:val="32"/>
          <w:szCs w:val="32"/>
        </w:rPr>
        <w:t>构建层次清晰、</w:t>
      </w:r>
      <w:r>
        <w:rPr>
          <w:rFonts w:hint="eastAsia" w:ascii="仿宋_GB2312" w:hAnsi="仿宋_GB2312" w:eastAsia="仿宋_GB2312" w:cs="仿宋_GB2312"/>
          <w:spacing w:val="-2"/>
          <w:sz w:val="32"/>
          <w:szCs w:val="32"/>
        </w:rPr>
        <w:t>功能互补、协同高效的医疗卫生服务体系。</w:t>
      </w:r>
      <w:r>
        <w:rPr>
          <w:rFonts w:hint="eastAsia" w:ascii="仿宋_GB2312" w:hAnsi="仿宋_GB2312" w:eastAsia="仿宋_GB2312" w:cs="仿宋_GB2312"/>
          <w:spacing w:val="9"/>
          <w:sz w:val="32"/>
          <w:szCs w:val="32"/>
        </w:rPr>
        <w:t>市域层面优化布局各级各类</w:t>
      </w:r>
      <w:r>
        <w:rPr>
          <w:rFonts w:hint="eastAsia" w:ascii="仿宋_GB2312" w:hAnsi="仿宋_GB2312" w:eastAsia="仿宋_GB2312" w:cs="仿宋_GB2312"/>
          <w:spacing w:val="8"/>
          <w:sz w:val="32"/>
          <w:szCs w:val="32"/>
        </w:rPr>
        <w:t>医疗卫生机构，</w:t>
      </w:r>
      <w:r>
        <w:rPr>
          <w:rFonts w:hint="eastAsia" w:ascii="仿宋_GB2312" w:hAnsi="仿宋_GB2312" w:eastAsia="仿宋_GB2312" w:cs="仿宋_GB2312"/>
          <w:spacing w:val="5"/>
          <w:sz w:val="32"/>
          <w:szCs w:val="32"/>
        </w:rPr>
        <w:t>推动综合医院、中医院、妇幼保健院、传染病院等公立医院差异化发展，实现市域内医疗机构服务协同、优势互补。县域层面可统筹、整合县域内综合医院、中医院、妇幼保健院，依据常住人</w:t>
      </w:r>
      <w:r>
        <w:rPr>
          <w:rFonts w:hint="eastAsia" w:ascii="仿宋_GB2312" w:hAnsi="仿宋_GB2312" w:eastAsia="仿宋_GB2312" w:cs="仿宋_GB2312"/>
          <w:spacing w:val="9"/>
          <w:sz w:val="32"/>
          <w:szCs w:val="32"/>
        </w:rPr>
        <w:t>口规模和服务半径分层施策，优化县乡医疗卫生</w:t>
      </w:r>
      <w:r>
        <w:rPr>
          <w:rFonts w:hint="eastAsia" w:ascii="仿宋_GB2312" w:hAnsi="仿宋_GB2312" w:eastAsia="仿宋_GB2312" w:cs="仿宋_GB2312"/>
          <w:spacing w:val="8"/>
          <w:sz w:val="32"/>
          <w:szCs w:val="32"/>
        </w:rPr>
        <w:t>资源配置格局，</w:t>
      </w:r>
      <w:r>
        <w:rPr>
          <w:rFonts w:hint="eastAsia" w:ascii="仿宋_GB2312" w:hAnsi="仿宋_GB2312" w:eastAsia="仿宋_GB2312" w:cs="仿宋_GB2312"/>
          <w:spacing w:val="7"/>
          <w:sz w:val="32"/>
          <w:szCs w:val="32"/>
        </w:rPr>
        <w:t>有效提高床位使用率。</w:t>
      </w:r>
    </w:p>
    <w:tbl>
      <w:tblPr>
        <w:tblStyle w:val="10"/>
        <w:tblW w:w="884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4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8849" w:type="dxa"/>
            <w:vAlign w:val="top"/>
          </w:tcPr>
          <w:p>
            <w:pPr>
              <w:spacing w:before="57" w:line="368" w:lineRule="exact"/>
              <w:ind w:left="2601"/>
              <w:rPr>
                <w:rFonts w:ascii="黑体" w:hAnsi="黑体" w:eastAsia="黑体" w:cs="黑体"/>
                <w:sz w:val="28"/>
                <w:szCs w:val="28"/>
              </w:rPr>
            </w:pPr>
            <w:r>
              <w:rPr>
                <w:rFonts w:ascii="黑体" w:hAnsi="黑体" w:eastAsia="黑体" w:cs="黑体"/>
                <w:spacing w:val="-7"/>
                <w:position w:val="1"/>
                <w:sz w:val="28"/>
                <w:szCs w:val="28"/>
              </w:rPr>
              <w:t>专栏</w:t>
            </w:r>
            <w:r>
              <w:rPr>
                <w:rFonts w:ascii="Times New Roman" w:hAnsi="Times New Roman" w:eastAsia="Times New Roman" w:cs="Times New Roman"/>
                <w:spacing w:val="-7"/>
                <w:position w:val="1"/>
                <w:sz w:val="28"/>
                <w:szCs w:val="28"/>
              </w:rPr>
              <w:t>3</w:t>
            </w:r>
            <w:r>
              <w:rPr>
                <w:rFonts w:ascii="Times New Roman" w:hAnsi="Times New Roman" w:eastAsia="Times New Roman" w:cs="Times New Roman"/>
                <w:spacing w:val="20"/>
                <w:position w:val="1"/>
                <w:sz w:val="28"/>
                <w:szCs w:val="28"/>
              </w:rPr>
              <w:t xml:space="preserve">   </w:t>
            </w:r>
            <w:r>
              <w:rPr>
                <w:rFonts w:ascii="黑体" w:hAnsi="黑体" w:eastAsia="黑体" w:cs="黑体"/>
                <w:spacing w:val="-7"/>
                <w:position w:val="1"/>
                <w:sz w:val="28"/>
                <w:szCs w:val="28"/>
              </w:rPr>
              <w:t>床位资源优化配置策略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8849" w:type="dxa"/>
            <w:tcBorders>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20" w:lineRule="exact"/>
              <w:ind w:left="132"/>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5"/>
                <w:position w:val="1"/>
                <w:sz w:val="21"/>
                <w:szCs w:val="21"/>
              </w:rPr>
              <w:t>1</w:t>
            </w:r>
            <w:r>
              <w:rPr>
                <w:rFonts w:hint="eastAsia" w:ascii="仿宋_GB2312" w:hAnsi="仿宋_GB2312" w:eastAsia="仿宋_GB2312" w:cs="仿宋_GB2312"/>
                <w:spacing w:val="8"/>
                <w:position w:val="1"/>
                <w:sz w:val="21"/>
                <w:szCs w:val="21"/>
              </w:rPr>
              <w:t xml:space="preserve">  </w:t>
            </w:r>
            <w:r>
              <w:rPr>
                <w:rFonts w:hint="eastAsia" w:ascii="仿宋_GB2312" w:hAnsi="仿宋_GB2312" w:eastAsia="仿宋_GB2312" w:cs="仿宋_GB2312"/>
                <w:spacing w:val="-5"/>
                <w:position w:val="1"/>
                <w:sz w:val="21"/>
                <w:szCs w:val="21"/>
              </w:rPr>
              <w:t>强化规划刚性约束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5" w:hRule="atLeast"/>
        </w:trPr>
        <w:tc>
          <w:tcPr>
            <w:tcW w:w="8849" w:type="dxa"/>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20" w:lineRule="exact"/>
              <w:ind w:left="420" w:leftChars="200" w:firstLine="0" w:firstLineChars="0"/>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强化规划对床位资源配置的引导和约束，将纳入规划作为医院设置、建设项目立项等前提条件。三级公立医院应强化单位总体规划和基本建设项目申报、论证和决策工作。禁止公立医院违规举债建设、装修和盲目扩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 w:hRule="atLeast"/>
        </w:trPr>
        <w:tc>
          <w:tcPr>
            <w:tcW w:w="8849" w:type="dxa"/>
            <w:tcBorders>
              <w:top w:val="nil"/>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320" w:lineRule="exact"/>
              <w:ind w:left="112"/>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position w:val="1"/>
                <w:sz w:val="21"/>
                <w:szCs w:val="21"/>
              </w:rPr>
              <w:t>2</w:t>
            </w:r>
            <w:r>
              <w:rPr>
                <w:rFonts w:hint="eastAsia" w:ascii="仿宋_GB2312" w:hAnsi="仿宋_GB2312" w:eastAsia="仿宋_GB2312" w:cs="仿宋_GB2312"/>
                <w:spacing w:val="7"/>
                <w:position w:val="1"/>
                <w:sz w:val="21"/>
                <w:szCs w:val="21"/>
              </w:rPr>
              <w:t xml:space="preserve"> </w:t>
            </w:r>
            <w:r>
              <w:rPr>
                <w:rFonts w:hint="eastAsia" w:ascii="仿宋_GB2312" w:hAnsi="仿宋_GB2312" w:eastAsia="仿宋_GB2312" w:cs="仿宋_GB2312"/>
                <w:spacing w:val="-2"/>
                <w:position w:val="1"/>
                <w:sz w:val="21"/>
                <w:szCs w:val="21"/>
              </w:rPr>
              <w:t>合理调控床位规模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9" w:hRule="atLeast"/>
        </w:trPr>
        <w:tc>
          <w:tcPr>
            <w:tcW w:w="8849" w:type="dxa"/>
            <w:tcBorders>
              <w:top w:val="nil"/>
              <w:bottom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320" w:lineRule="exact"/>
              <w:ind w:left="420" w:leftChars="200" w:firstLine="0" w:firstLineChars="0"/>
              <w:textAlignment w:val="baseline"/>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rPr>
              <w:t>严格控制公立医院单体（单个执业点）规模，县级医院床位规模原则上不超过800张；市办综合医院床位规模原则上不超过2500张；严格按照分院区设置条件进行分院区设置和审批，符合条件的公立医院举办分院区数量严格控制在3个以内。</w:t>
            </w:r>
          </w:p>
          <w:p>
            <w:pPr>
              <w:spacing w:before="164" w:line="274" w:lineRule="exact"/>
              <w:ind w:left="116"/>
              <w:rPr>
                <w:rFonts w:hint="eastAsia" w:ascii="仿宋_GB2312" w:hAnsi="仿宋_GB2312" w:eastAsia="仿宋_GB2312" w:cs="仿宋_GB2312"/>
                <w:sz w:val="21"/>
                <w:szCs w:val="21"/>
              </w:rPr>
            </w:pPr>
            <w:r>
              <w:rPr>
                <w:rFonts w:hint="eastAsia" w:ascii="仿宋_GB2312" w:hAnsi="仿宋_GB2312" w:eastAsia="仿宋_GB2312" w:cs="仿宋_GB2312"/>
                <w:spacing w:val="-2"/>
                <w:position w:val="1"/>
                <w:sz w:val="21"/>
                <w:szCs w:val="21"/>
              </w:rPr>
              <w:t>3</w:t>
            </w:r>
            <w:r>
              <w:rPr>
                <w:rFonts w:hint="eastAsia" w:ascii="仿宋_GB2312" w:hAnsi="仿宋_GB2312" w:eastAsia="仿宋_GB2312" w:cs="仿宋_GB2312"/>
                <w:spacing w:val="3"/>
                <w:position w:val="1"/>
                <w:sz w:val="21"/>
                <w:szCs w:val="21"/>
              </w:rPr>
              <w:t xml:space="preserve">  </w:t>
            </w:r>
            <w:r>
              <w:rPr>
                <w:rFonts w:hint="eastAsia" w:ascii="仿宋_GB2312" w:hAnsi="仿宋_GB2312" w:eastAsia="仿宋_GB2312" w:cs="仿宋_GB2312"/>
                <w:spacing w:val="-2"/>
                <w:position w:val="1"/>
                <w:sz w:val="21"/>
                <w:szCs w:val="21"/>
              </w:rPr>
              <w:t>提升床位使用效率</w:t>
            </w:r>
          </w:p>
          <w:p>
            <w:pPr>
              <w:keepNext w:val="0"/>
              <w:keepLines w:val="0"/>
              <w:pageBreakBefore w:val="0"/>
              <w:widowControl/>
              <w:kinsoku w:val="0"/>
              <w:wordWrap/>
              <w:overflowPunct/>
              <w:topLinePunct w:val="0"/>
              <w:autoSpaceDE w:val="0"/>
              <w:autoSpaceDN w:val="0"/>
              <w:bidi w:val="0"/>
              <w:adjustRightInd w:val="0"/>
              <w:snapToGrid w:val="0"/>
              <w:spacing w:line="320" w:lineRule="exact"/>
              <w:ind w:left="420" w:leftChars="200" w:firstLine="0" w:firstLineChars="0"/>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合理控制平均住院日，原则上三级甲等综合医院平均住院日控制在6.5天以内，其他三级医院平均住院日控制在7.5天以内。鼓励二级及以上公立医院设立住院服务中心，鼓励紧密型医联（共）体内牵头医院与成员单位之间构建“区域一张床”资源池。</w:t>
            </w:r>
          </w:p>
          <w:p>
            <w:pPr>
              <w:spacing w:before="13" w:line="274" w:lineRule="exact"/>
              <w:ind w:left="111"/>
              <w:rPr>
                <w:rFonts w:hint="eastAsia" w:ascii="仿宋_GB2312" w:hAnsi="仿宋_GB2312" w:eastAsia="仿宋_GB2312" w:cs="仿宋_GB2312"/>
                <w:spacing w:val="-2"/>
                <w:position w:val="1"/>
                <w:sz w:val="21"/>
                <w:szCs w:val="21"/>
              </w:rPr>
            </w:pPr>
          </w:p>
          <w:p>
            <w:pPr>
              <w:spacing w:before="13" w:line="274" w:lineRule="exact"/>
              <w:ind w:left="111"/>
              <w:rPr>
                <w:rFonts w:hint="eastAsia" w:ascii="仿宋_GB2312" w:hAnsi="仿宋_GB2312" w:eastAsia="仿宋_GB2312" w:cs="仿宋_GB2312"/>
                <w:sz w:val="21"/>
                <w:szCs w:val="21"/>
              </w:rPr>
            </w:pPr>
            <w:r>
              <w:rPr>
                <w:rFonts w:hint="eastAsia" w:ascii="仿宋_GB2312" w:hAnsi="仿宋_GB2312" w:eastAsia="仿宋_GB2312" w:cs="仿宋_GB2312"/>
                <w:spacing w:val="-2"/>
                <w:position w:val="1"/>
                <w:sz w:val="21"/>
                <w:szCs w:val="21"/>
              </w:rPr>
              <w:t>4</w:t>
            </w:r>
            <w:r>
              <w:rPr>
                <w:rFonts w:hint="eastAsia" w:ascii="仿宋_GB2312" w:hAnsi="仿宋_GB2312" w:eastAsia="仿宋_GB2312" w:cs="仿宋_GB2312"/>
                <w:spacing w:val="7"/>
                <w:position w:val="1"/>
                <w:sz w:val="21"/>
                <w:szCs w:val="21"/>
              </w:rPr>
              <w:t xml:space="preserve">  </w:t>
            </w:r>
            <w:r>
              <w:rPr>
                <w:rFonts w:hint="eastAsia" w:ascii="仿宋_GB2312" w:hAnsi="仿宋_GB2312" w:eastAsia="仿宋_GB2312" w:cs="仿宋_GB2312"/>
                <w:spacing w:val="-2"/>
                <w:position w:val="1"/>
                <w:sz w:val="21"/>
                <w:szCs w:val="21"/>
              </w:rPr>
              <w:t>调整优化床位结构</w:t>
            </w:r>
          </w:p>
          <w:p>
            <w:pPr>
              <w:keepNext w:val="0"/>
              <w:keepLines w:val="0"/>
              <w:pageBreakBefore w:val="0"/>
              <w:widowControl/>
              <w:kinsoku w:val="0"/>
              <w:wordWrap/>
              <w:overflowPunct/>
              <w:topLinePunct w:val="0"/>
              <w:autoSpaceDE w:val="0"/>
              <w:autoSpaceDN w:val="0"/>
              <w:bidi w:val="0"/>
              <w:adjustRightInd w:val="0"/>
              <w:snapToGrid w:val="0"/>
              <w:spacing w:line="320" w:lineRule="exact"/>
              <w:ind w:left="420" w:leftChars="200" w:firstLine="0" w:firstLineChars="0"/>
              <w:textAlignment w:val="baseline"/>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rPr>
              <w:t>研究建立医疗卫生机构床位按照急性治疗、康复护理、医养结合、安宁疗护、临床研究等类别进行分类管理的工作机制。新增政府办床位优先支持县办医院和基层医疗卫生机构的康复护理、安宁疗护等床位，以及精神卫生等资源短缺领域的专科床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8849" w:type="dxa"/>
            <w:tcBorders>
              <w:top w:val="nil"/>
            </w:tcBorders>
            <w:vAlign w:val="top"/>
          </w:tcPr>
          <w:p>
            <w:pPr>
              <w:spacing w:before="112" w:line="224" w:lineRule="auto"/>
              <w:rPr>
                <w:rFonts w:hint="eastAsia" w:ascii="仿宋_GB2312" w:hAnsi="仿宋_GB2312" w:eastAsia="仿宋_GB2312" w:cs="仿宋_GB2312"/>
                <w:sz w:val="21"/>
                <w:szCs w:val="21"/>
              </w:rPr>
            </w:pPr>
          </w:p>
        </w:tc>
      </w:tr>
    </w:tbl>
    <w:p>
      <w:pPr>
        <w:keepNext w:val="0"/>
        <w:keepLines w:val="0"/>
        <w:pageBreakBefore w:val="0"/>
        <w:widowControl w:val="0"/>
        <w:kinsoku/>
        <w:wordWrap/>
        <w:overflowPunct w:val="0"/>
        <w:topLinePunct w:val="0"/>
        <w:autoSpaceDE/>
        <w:autoSpaceDN/>
        <w:bidi w:val="0"/>
        <w:adjustRightInd w:val="0"/>
        <w:snapToGrid w:val="0"/>
        <w:jc w:val="both"/>
        <w:textAlignment w:val="baseline"/>
        <w:rPr>
          <w:rFonts w:ascii="黑体" w:hAnsi="黑体" w:eastAsia="黑体" w:cs="黑体"/>
          <w:spacing w:val="0"/>
          <w:position w:val="0"/>
          <w:sz w:val="31"/>
          <w:szCs w:val="31"/>
        </w:rPr>
      </w:pPr>
    </w:p>
    <w:p>
      <w:pPr>
        <w:keepNext w:val="0"/>
        <w:keepLines w:val="0"/>
        <w:pageBreakBefore w:val="0"/>
        <w:widowControl w:val="0"/>
        <w:kinsoku/>
        <w:wordWrap/>
        <w:overflowPunct w:val="0"/>
        <w:topLinePunct w:val="0"/>
        <w:autoSpaceDE/>
        <w:autoSpaceDN/>
        <w:bidi w:val="0"/>
        <w:adjustRightInd w:val="0"/>
        <w:snapToGrid w:val="0"/>
        <w:ind w:firstLine="620" w:firstLineChars="200"/>
        <w:jc w:val="both"/>
        <w:textAlignment w:val="baseline"/>
        <w:rPr>
          <w:rFonts w:ascii="黑体" w:hAnsi="黑体" w:eastAsia="黑体" w:cs="黑体"/>
          <w:spacing w:val="0"/>
          <w:position w:val="0"/>
          <w:sz w:val="31"/>
          <w:szCs w:val="31"/>
        </w:rPr>
      </w:pPr>
      <w:r>
        <w:rPr>
          <w:rFonts w:ascii="黑体" w:hAnsi="黑体" w:eastAsia="黑体" w:cs="黑体"/>
          <w:spacing w:val="0"/>
          <w:position w:val="0"/>
          <w:sz w:val="31"/>
          <w:szCs w:val="31"/>
        </w:rPr>
        <w:t>四、筑牢更具韧性的健康安全屏障</w:t>
      </w:r>
    </w:p>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outlineLvl w:val="1"/>
        <w:rPr>
          <w:rFonts w:hint="eastAsia" w:ascii="楷体_GB2312" w:hAnsi="楷体_GB2312" w:eastAsia="楷体_GB2312" w:cs="楷体_GB2312"/>
          <w:spacing w:val="0"/>
          <w:position w:val="0"/>
          <w:sz w:val="32"/>
          <w:szCs w:val="32"/>
        </w:rPr>
      </w:pPr>
      <w:r>
        <w:rPr>
          <w:rFonts w:hint="eastAsia" w:ascii="楷体_GB2312" w:hAnsi="楷体_GB2312" w:eastAsia="楷体_GB2312" w:cs="楷体_GB2312"/>
          <w:spacing w:val="0"/>
          <w:position w:val="0"/>
          <w:sz w:val="32"/>
          <w:szCs w:val="32"/>
        </w:rPr>
        <w:t>（一）深化疾病防控体系现代化治理能力建设。</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position w:val="0"/>
          <w:sz w:val="32"/>
          <w:szCs w:val="32"/>
        </w:rPr>
      </w:pPr>
      <w:r>
        <w:rPr>
          <w:rFonts w:hint="eastAsia" w:ascii="仿宋_GB2312" w:hAnsi="仿宋_GB2312" w:eastAsia="仿宋_GB2312" w:cs="仿宋_GB2312"/>
          <w:spacing w:val="0"/>
          <w:position w:val="0"/>
          <w:sz w:val="32"/>
          <w:szCs w:val="32"/>
        </w:rPr>
        <w:t>完善疾控机构职能设置，推进疾控与监督机构深度融合，健全联防联控工作机制，充分发挥村（居）公共卫生委员会作用。</w:t>
      </w:r>
      <w:r>
        <w:rPr>
          <w:rFonts w:hint="eastAsia" w:ascii="仿宋_GB2312" w:hAnsi="仿宋_GB2312" w:eastAsia="仿宋_GB2312" w:cs="仿宋_GB2312"/>
          <w:spacing w:val="0"/>
          <w:position w:val="0"/>
          <w:sz w:val="32"/>
          <w:szCs w:val="32"/>
          <w:lang w:eastAsia="zh-CN"/>
        </w:rPr>
        <w:t>推进</w:t>
      </w:r>
      <w:r>
        <w:rPr>
          <w:rFonts w:hint="eastAsia" w:ascii="仿宋_GB2312" w:hAnsi="仿宋_GB2312" w:eastAsia="仿宋_GB2312" w:cs="仿宋_GB2312"/>
          <w:spacing w:val="0"/>
          <w:position w:val="0"/>
          <w:sz w:val="32"/>
          <w:szCs w:val="32"/>
        </w:rPr>
        <w:t>疾控体系现代化建设，实施县级疾控机构核心能力强化行动。加强传染病智慧化多渠道监测体系和常态化预警机制建设，健全多部门信息共享机制。强化重点传染病多病共检、共防、共管。加强传染病医疗救治和物资保障体系建设。实施遏制与防治艾滋病行动，健全结核病防治服务体系，加强性病防治机构能力建设，实施防治病毒性肝炎行动计划，巩固血吸虫病、疟疾消除状态，提升地方病综合防治能力。</w:t>
      </w:r>
    </w:p>
    <w:p>
      <w:pPr>
        <w:keepNext w:val="0"/>
        <w:keepLines w:val="0"/>
        <w:pageBreakBefore w:val="0"/>
        <w:widowControl w:val="0"/>
        <w:kinsoku/>
        <w:wordWrap/>
        <w:overflowPunct w:val="0"/>
        <w:topLinePunct w:val="0"/>
        <w:autoSpaceDE/>
        <w:autoSpaceDN/>
        <w:bidi w:val="0"/>
        <w:adjustRightInd w:val="0"/>
        <w:snapToGrid w:val="0"/>
        <w:spacing w:line="520" w:lineRule="exact"/>
        <w:ind w:left="0" w:right="0" w:firstLine="640" w:firstLineChars="200"/>
        <w:jc w:val="both"/>
        <w:textAlignment w:val="baseline"/>
        <w:outlineLvl w:val="1"/>
        <w:rPr>
          <w:rFonts w:hint="eastAsia" w:ascii="楷体_GB2312" w:hAnsi="楷体_GB2312" w:eastAsia="楷体_GB2312" w:cs="楷体_GB2312"/>
          <w:spacing w:val="0"/>
          <w:position w:val="0"/>
          <w:sz w:val="32"/>
          <w:szCs w:val="32"/>
        </w:rPr>
      </w:pPr>
      <w:r>
        <w:rPr>
          <w:rFonts w:hint="eastAsia" w:ascii="楷体_GB2312" w:hAnsi="楷体_GB2312" w:eastAsia="楷体_GB2312" w:cs="楷体_GB2312"/>
          <w:spacing w:val="0"/>
          <w:position w:val="0"/>
          <w:sz w:val="32"/>
          <w:szCs w:val="32"/>
        </w:rPr>
        <w:t>（二）提升院前急救和紧急医学救援能力。</w:t>
      </w:r>
    </w:p>
    <w:p>
      <w:pPr>
        <w:pStyle w:val="5"/>
        <w:keepNext w:val="0"/>
        <w:keepLines w:val="0"/>
        <w:pageBreakBefore w:val="0"/>
        <w:widowControl w:val="0"/>
        <w:kinsoku/>
        <w:wordWrap/>
        <w:overflowPunct w:val="0"/>
        <w:topLinePunct w:val="0"/>
        <w:autoSpaceDE/>
        <w:autoSpaceDN/>
        <w:bidi w:val="0"/>
        <w:adjustRightInd w:val="0"/>
        <w:snapToGrid w:val="0"/>
        <w:spacing w:line="520" w:lineRule="exact"/>
        <w:ind w:left="0" w:right="0" w:firstLine="640" w:firstLineChars="200"/>
        <w:jc w:val="both"/>
        <w:textAlignment w:val="baseline"/>
        <w:rPr>
          <w:rFonts w:hint="eastAsia" w:ascii="仿宋_GB2312" w:hAnsi="仿宋_GB2312" w:eastAsia="仿宋_GB2312" w:cs="仿宋_GB2312"/>
          <w:spacing w:val="0"/>
          <w:position w:val="0"/>
          <w:sz w:val="32"/>
          <w:szCs w:val="32"/>
          <w:lang w:val="en-US" w:eastAsia="en-US"/>
        </w:rPr>
      </w:pPr>
      <w:r>
        <w:rPr>
          <w:rFonts w:hint="eastAsia" w:ascii="仿宋_GB2312" w:hAnsi="仿宋_GB2312" w:eastAsia="仿宋_GB2312" w:cs="仿宋_GB2312"/>
          <w:spacing w:val="0"/>
          <w:position w:val="0"/>
          <w:sz w:val="32"/>
          <w:szCs w:val="32"/>
          <w:lang w:val="en-US" w:eastAsia="en-US"/>
        </w:rPr>
        <w:t>健全以急救中心为主体、二级以上医院为支撑的院前急救体系，搭建县、中心乡镇、乡镇卫生院三级急救网络。推动市级120急救指挥调度平台升级改造，实现平台与县级急救分中心的信息系统对接，实现资源共享、智能调度，完善急救收费并纳入医保报销。推进县域“五大急诊急救中心</w:t>
      </w:r>
      <w:r>
        <w:rPr>
          <w:rFonts w:hint="eastAsia" w:ascii="仿宋_GB2312" w:hAnsi="仿宋_GB2312" w:eastAsia="仿宋_GB2312" w:cs="仿宋_GB2312"/>
          <w:spacing w:val="0"/>
          <w:position w:val="0"/>
          <w:sz w:val="32"/>
          <w:szCs w:val="32"/>
          <w:vertAlign w:val="superscript"/>
          <w:lang w:val="en-US" w:eastAsia="en-US"/>
        </w:rPr>
        <w:t>1</w:t>
      </w:r>
      <w:r>
        <w:rPr>
          <w:rFonts w:hint="eastAsia" w:ascii="仿宋_GB2312" w:hAnsi="仿宋_GB2312" w:eastAsia="仿宋_GB2312" w:cs="仿宋_GB2312"/>
          <w:spacing w:val="0"/>
          <w:position w:val="0"/>
          <w:sz w:val="32"/>
          <w:szCs w:val="32"/>
          <w:lang w:val="en-US" w:eastAsia="en-US"/>
        </w:rPr>
        <w:t>”建设，提供医疗救治绿色通道和一体化综合救治服务。积极争取省级紧急医学救援中心建设，打造“平战结合”可转换救治专区。推动基层医疗应急小分队建设。补齐立体救援短板，强化跨区域、多场景实战演练，探索低空医疗救援、物资转运等应用场景。</w:t>
      </w:r>
    </w:p>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outlineLvl w:val="1"/>
        <w:rPr>
          <w:rFonts w:hint="eastAsia" w:ascii="楷体_GB2312" w:hAnsi="楷体_GB2312" w:eastAsia="楷体_GB2312" w:cs="楷体_GB2312"/>
          <w:spacing w:val="0"/>
          <w:position w:val="0"/>
          <w:sz w:val="32"/>
          <w:szCs w:val="32"/>
        </w:rPr>
      </w:pPr>
      <w:r>
        <w:rPr>
          <w:rFonts w:hint="eastAsia" w:ascii="楷体_GB2312" w:hAnsi="楷体_GB2312" w:eastAsia="楷体_GB2312" w:cs="楷体_GB2312"/>
          <w:spacing w:val="0"/>
          <w:position w:val="0"/>
          <w:sz w:val="32"/>
          <w:szCs w:val="32"/>
        </w:rPr>
        <w:t>（三）提高血液安全和保障水平。</w:t>
      </w:r>
    </w:p>
    <w:p>
      <w:pPr>
        <w:pStyle w:val="5"/>
        <w:keepNext w:val="0"/>
        <w:keepLines w:val="0"/>
        <w:pageBreakBefore w:val="0"/>
        <w:widowControl w:val="0"/>
        <w:kinsoku/>
        <w:wordWrap/>
        <w:overflowPunct w:val="0"/>
        <w:topLinePunct w:val="0"/>
        <w:autoSpaceDE/>
        <w:autoSpaceDN/>
        <w:bidi w:val="0"/>
        <w:adjustRightInd w:val="0"/>
        <w:snapToGrid w:val="0"/>
        <w:spacing w:line="520" w:lineRule="exact"/>
        <w:ind w:left="0" w:right="0" w:firstLine="640" w:firstLineChars="200"/>
        <w:jc w:val="both"/>
        <w:textAlignment w:val="baseline"/>
        <w:rPr>
          <w:rFonts w:hint="eastAsia" w:ascii="仿宋_GB2312" w:hAnsi="仿宋_GB2312" w:eastAsia="仿宋_GB2312" w:cs="仿宋_GB2312"/>
          <w:position w:val="6"/>
          <w:sz w:val="11"/>
          <w:szCs w:val="11"/>
          <w:lang w:val="en-US" w:eastAsia="zh-CN"/>
        </w:rPr>
      </w:pPr>
      <w:r>
        <w:rPr>
          <w:rFonts w:hint="eastAsia" w:ascii="仿宋_GB2312" w:hAnsi="仿宋_GB2312" w:eastAsia="仿宋_GB2312" w:cs="仿宋_GB2312"/>
          <w:spacing w:val="0"/>
          <w:position w:val="0"/>
          <w:sz w:val="32"/>
          <w:szCs w:val="32"/>
        </w:rPr>
        <w:t>将无偿献血纳入市级议事协调机构职责。完善财政投入机制，保障血站运行经费，落实献血补贴政策。健全无偿献血绩</w:t>
      </w:r>
    </w:p>
    <w:p>
      <w:pPr>
        <w:pStyle w:val="5"/>
        <w:keepNext w:val="0"/>
        <w:keepLines w:val="0"/>
        <w:pageBreakBefore w:val="0"/>
        <w:widowControl w:val="0"/>
        <w:kinsoku/>
        <w:wordWrap/>
        <w:overflowPunct w:val="0"/>
        <w:topLinePunct w:val="0"/>
        <w:autoSpaceDE/>
        <w:autoSpaceDN/>
        <w:bidi w:val="0"/>
        <w:adjustRightInd w:val="0"/>
        <w:snapToGrid w:val="0"/>
        <w:spacing w:line="520" w:lineRule="exact"/>
        <w:ind w:left="0" w:right="0" w:firstLine="620" w:firstLineChars="200"/>
        <w:jc w:val="both"/>
        <w:textAlignment w:val="baseline"/>
        <w:rPr>
          <w:rFonts w:hint="eastAsia" w:ascii="仿宋_GB2312" w:hAnsi="仿宋_GB2312" w:eastAsia="仿宋_GB2312" w:cs="仿宋_GB2312"/>
          <w:position w:val="6"/>
          <w:sz w:val="11"/>
          <w:szCs w:val="11"/>
          <w:lang w:val="en-US" w:eastAsia="zh-CN"/>
        </w:rPr>
      </w:pPr>
      <w:r>
        <mc:AlternateContent>
          <mc:Choice Requires="wps">
            <w:drawing>
              <wp:anchor distT="0" distB="0" distL="114300" distR="114300" simplePos="0" relativeHeight="251661312" behindDoc="0" locked="0" layoutInCell="1" allowOverlap="1">
                <wp:simplePos x="0" y="0"/>
                <wp:positionH relativeFrom="column">
                  <wp:posOffset>19685</wp:posOffset>
                </wp:positionH>
                <wp:positionV relativeFrom="paragraph">
                  <wp:posOffset>244475</wp:posOffset>
                </wp:positionV>
                <wp:extent cx="1828800" cy="142875"/>
                <wp:effectExtent l="0" t="0" r="0" b="0"/>
                <wp:wrapNone/>
                <wp:docPr id="1" name="任意多边形 1"/>
                <wp:cNvGraphicFramePr/>
                <a:graphic xmlns:a="http://schemas.openxmlformats.org/drawingml/2006/main">
                  <a:graphicData uri="http://schemas.microsoft.com/office/word/2010/wordprocessingShape">
                    <wps:wsp>
                      <wps:cNvSpPr/>
                      <wps:spPr>
                        <a:xfrm flipV="1">
                          <a:off x="0" y="0"/>
                          <a:ext cx="1828800" cy="142875"/>
                        </a:xfrm>
                        <a:custGeom>
                          <a:avLst/>
                          <a:gdLst/>
                          <a:ahLst/>
                          <a:cxnLst/>
                          <a:pathLst>
                            <a:path w="2880">
                              <a:moveTo>
                                <a:pt x="0" y="0"/>
                              </a:moveTo>
                              <a:lnTo>
                                <a:pt x="2880" y="0"/>
                              </a:lnTo>
                            </a:path>
                          </a:pathLst>
                        </a:custGeom>
                        <a:noFill/>
                        <a:ln w="0" cap="sq"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flip:y;margin-left:1.55pt;margin-top:19.25pt;height:11.25pt;width:144pt;z-index:251661312;mso-width-relative:page;mso-height-relative:page;" filled="f" stroked="t" coordsize="2880,1" o:gfxdata="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Eji+bDWAAAABwEAAA8AAAAAAAAAAQAgAAAAIgAAAGRycy9kb3ducmV2Lnht&#10;bFBLAQIUABQAAAAIAIdO4kCbtqB8NAIAAJYEAAAOAAAAAAAAAAEAIAAAACUBAABkcnMvZTJvRG9j&#10;LnhtbFBLBQYAAAAABgAGAFkBAADLBQAAAAA=&#10;" path="m0,0l2880,0e">
                <v:fill on="f" focussize="0,0"/>
                <v:stroke weight="0pt" color="#000000" joinstyle="bevel" endcap="square"/>
                <v:imagedata o:title=""/>
                <o:lock v:ext="edit" aspectratio="f"/>
              </v:shape>
            </w:pict>
          </mc:Fallback>
        </mc:AlternateContent>
      </w:r>
    </w:p>
    <w:p>
      <w:pPr>
        <w:pStyle w:val="5"/>
        <w:keepNext w:val="0"/>
        <w:keepLines w:val="0"/>
        <w:pageBreakBefore w:val="0"/>
        <w:widowControl w:val="0"/>
        <w:kinsoku/>
        <w:wordWrap/>
        <w:overflowPunct w:val="0"/>
        <w:topLinePunct w:val="0"/>
        <w:autoSpaceDE/>
        <w:autoSpaceDN/>
        <w:bidi w:val="0"/>
        <w:adjustRightInd w:val="0"/>
        <w:snapToGrid w:val="0"/>
        <w:spacing w:line="520" w:lineRule="exact"/>
        <w:ind w:right="0"/>
        <w:jc w:val="both"/>
        <w:textAlignment w:val="baseline"/>
        <w:rPr>
          <w:rFonts w:hint="eastAsia" w:ascii="仿宋_GB2312" w:hAnsi="仿宋_GB2312" w:eastAsia="仿宋_GB2312" w:cs="仿宋_GB2312"/>
          <w:snapToGrid w:val="0"/>
          <w:color w:val="000000"/>
          <w:spacing w:val="0"/>
          <w:kern w:val="0"/>
          <w:position w:val="0"/>
          <w:sz w:val="32"/>
          <w:szCs w:val="32"/>
          <w:lang w:val="en-US" w:eastAsia="en-US" w:bidi="ar-SA"/>
        </w:rPr>
      </w:pPr>
      <w:r>
        <w:rPr>
          <w:rFonts w:hint="eastAsia" w:ascii="仿宋_GB2312" w:hAnsi="仿宋_GB2312" w:eastAsia="仿宋_GB2312" w:cs="仿宋_GB2312"/>
          <w:position w:val="6"/>
          <w:sz w:val="11"/>
          <w:szCs w:val="11"/>
          <w:lang w:val="en-US" w:eastAsia="zh-CN"/>
        </w:rPr>
        <w:t>1</w:t>
      </w:r>
      <w:r>
        <w:rPr>
          <w:rFonts w:hint="eastAsia" w:ascii="仿宋_GB2312" w:hAnsi="仿宋_GB2312" w:eastAsia="仿宋_GB2312" w:cs="仿宋_GB2312"/>
          <w:spacing w:val="6"/>
          <w:position w:val="6"/>
          <w:sz w:val="11"/>
          <w:szCs w:val="11"/>
        </w:rPr>
        <w:t xml:space="preserve">   </w:t>
      </w:r>
      <w:r>
        <w:rPr>
          <w:rFonts w:hint="eastAsia" w:ascii="仿宋_GB2312" w:hAnsi="仿宋_GB2312" w:eastAsia="仿宋_GB2312" w:cs="仿宋_GB2312"/>
          <w:spacing w:val="-12"/>
          <w:sz w:val="18"/>
          <w:szCs w:val="18"/>
        </w:rPr>
        <w:t>五大急诊急救中心指的是胸痛、卒中、创伤、危重孕产妇救治中心、危重新生儿和儿童救治中心。</w:t>
      </w:r>
    </w:p>
    <w:p>
      <w:pPr>
        <w:keepNext w:val="0"/>
        <w:keepLines w:val="0"/>
        <w:pageBreakBefore w:val="0"/>
        <w:widowControl w:val="0"/>
        <w:kinsoku/>
        <w:wordWrap/>
        <w:overflowPunct w:val="0"/>
        <w:topLinePunct w:val="0"/>
        <w:autoSpaceDE/>
        <w:autoSpaceDN/>
        <w:bidi w:val="0"/>
        <w:adjustRightInd w:val="0"/>
        <w:snapToGrid w:val="0"/>
        <w:spacing w:line="560" w:lineRule="exact"/>
        <w:ind w:right="0"/>
        <w:jc w:val="both"/>
        <w:textAlignment w:val="baseline"/>
        <w:outlineLvl w:val="1"/>
        <w:rPr>
          <w:rFonts w:hint="eastAsia" w:ascii="仿宋_GB2312" w:hAnsi="仿宋_GB2312" w:eastAsia="仿宋_GB2312" w:cs="仿宋_GB2312"/>
          <w:position w:val="6"/>
          <w:sz w:val="11"/>
          <w:szCs w:val="11"/>
          <w:lang w:val="en-US" w:eastAsia="zh-CN"/>
        </w:rPr>
      </w:pPr>
      <w:r>
        <w:rPr>
          <w:rFonts w:hint="eastAsia" w:ascii="仿宋_GB2312" w:hAnsi="仿宋_GB2312" w:eastAsia="仿宋_GB2312" w:cs="仿宋_GB2312"/>
          <w:spacing w:val="0"/>
          <w:position w:val="0"/>
          <w:sz w:val="32"/>
          <w:szCs w:val="32"/>
        </w:rPr>
        <w:t>效考核机制，将无偿献血工作纳入文明城市、健康城镇创建考核指标。推进血液信息联网，建立血液质量安全追溯系统，完善突</w:t>
      </w:r>
      <w:bookmarkStart w:id="7" w:name="bookmark4"/>
      <w:bookmarkEnd w:id="7"/>
      <w:r>
        <w:rPr>
          <w:rFonts w:hint="eastAsia" w:ascii="仿宋_GB2312" w:hAnsi="仿宋_GB2312" w:eastAsia="仿宋_GB2312" w:cs="仿宋_GB2312"/>
          <w:spacing w:val="0"/>
          <w:position w:val="0"/>
          <w:sz w:val="32"/>
          <w:szCs w:val="32"/>
        </w:rPr>
        <w:t>发公共卫生事件的血液应急保障预案。规范单采血浆站管理，优化升级现有站点。</w:t>
      </w:r>
    </w:p>
    <w:p>
      <w:pPr>
        <w:keepNext w:val="0"/>
        <w:keepLines w:val="0"/>
        <w:pageBreakBefore w:val="0"/>
        <w:widowControl w:val="0"/>
        <w:kinsoku/>
        <w:wordWrap/>
        <w:overflowPunct w:val="0"/>
        <w:topLinePunct w:val="0"/>
        <w:autoSpaceDE/>
        <w:autoSpaceDN/>
        <w:bidi w:val="0"/>
        <w:adjustRightInd w:val="0"/>
        <w:snapToGrid w:val="0"/>
        <w:spacing w:line="560" w:lineRule="exact"/>
        <w:ind w:right="0" w:firstLine="640" w:firstLineChars="200"/>
        <w:jc w:val="both"/>
        <w:textAlignment w:val="baseline"/>
        <w:outlineLvl w:val="1"/>
        <w:rPr>
          <w:rFonts w:hint="eastAsia" w:ascii="楷体_GB2312" w:hAnsi="楷体_GB2312" w:eastAsia="楷体_GB2312" w:cs="楷体_GB2312"/>
          <w:spacing w:val="0"/>
          <w:position w:val="0"/>
          <w:sz w:val="32"/>
          <w:szCs w:val="32"/>
        </w:rPr>
      </w:pPr>
      <w:r>
        <w:rPr>
          <w:rFonts w:hint="eastAsia" w:ascii="楷体_GB2312" w:hAnsi="楷体_GB2312" w:eastAsia="楷体_GB2312" w:cs="楷体_GB2312"/>
          <w:spacing w:val="0"/>
          <w:position w:val="0"/>
          <w:sz w:val="32"/>
          <w:szCs w:val="32"/>
        </w:rPr>
        <w:t>（四）强化生物安全和健康信息安全。</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ascii="Arial"/>
          <w:sz w:val="21"/>
        </w:rPr>
      </w:pPr>
      <w:r>
        <w:rPr>
          <w:rFonts w:hint="eastAsia" w:ascii="仿宋_GB2312" w:hAnsi="仿宋_GB2312" w:eastAsia="仿宋_GB2312" w:cs="仿宋_GB2312"/>
          <w:spacing w:val="0"/>
          <w:position w:val="0"/>
          <w:sz w:val="32"/>
          <w:szCs w:val="32"/>
        </w:rPr>
        <w:t>发挥好韶关市生物安全工作协调机制作用，织牢织密生物安全风险监测预警网络。完善重大传染病、生物资源和生物耐药性等重点风险领域监测网。加强病原微生物实验室管理，严格落实微生物生物实验室备案制度，开展从业人员培训项目，建立健全常态化、制度化、标准化的实验室自查、室间质控、行政部门抽查制度。加强生物技术研发应用协同管理，强化生物遗传资源对外提供和对外合作研究利用的管理和监督，落实好与境外机构科研合作、数据共享的严格审批备案制度。健全动态监测预警与应急处置体系，提升对医疗卫生系统网络攻击和患者信息数据泄漏事件的实时防御与协同处置能力。</w:t>
      </w:r>
    </w:p>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textAlignment w:val="baseline"/>
        <w:outlineLvl w:val="1"/>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（五）提升食品药品安全水平。</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eastAsia="zh-CN"/>
        </w:rPr>
        <w:t>落实和推广</w:t>
      </w:r>
      <w:r>
        <w:rPr>
          <w:rFonts w:hint="eastAsia" w:ascii="仿宋_GB2312" w:hAnsi="仿宋_GB2312" w:eastAsia="仿宋_GB2312" w:cs="仿宋_GB2312"/>
          <w:spacing w:val="0"/>
          <w:sz w:val="32"/>
          <w:szCs w:val="32"/>
        </w:rPr>
        <w:t>食品安全标准体系，</w:t>
      </w:r>
      <w:r>
        <w:rPr>
          <w:rFonts w:hint="eastAsia" w:ascii="仿宋_GB2312" w:hAnsi="仿宋_GB2312" w:eastAsia="仿宋_GB2312" w:cs="仿宋_GB2312"/>
          <w:spacing w:val="0"/>
          <w:sz w:val="32"/>
          <w:szCs w:val="32"/>
          <w:lang w:eastAsia="zh-CN"/>
        </w:rPr>
        <w:t>强化</w:t>
      </w:r>
      <w:r>
        <w:rPr>
          <w:rFonts w:hint="eastAsia" w:ascii="仿宋_GB2312" w:hAnsi="仿宋_GB2312" w:eastAsia="仿宋_GB2312" w:cs="仿宋_GB2312"/>
          <w:spacing w:val="0"/>
          <w:sz w:val="32"/>
          <w:szCs w:val="32"/>
        </w:rPr>
        <w:t>地方标准</w:t>
      </w:r>
      <w:r>
        <w:rPr>
          <w:rFonts w:hint="eastAsia" w:ascii="仿宋_GB2312" w:hAnsi="仿宋_GB2312" w:eastAsia="仿宋_GB2312" w:cs="仿宋_GB2312"/>
          <w:spacing w:val="0"/>
          <w:sz w:val="32"/>
          <w:szCs w:val="32"/>
          <w:lang w:eastAsia="zh-CN"/>
        </w:rPr>
        <w:t>的贯彻实施</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推动扩大</w:t>
      </w:r>
      <w:r>
        <w:rPr>
          <w:rFonts w:hint="eastAsia" w:ascii="仿宋_GB2312" w:hAnsi="仿宋_GB2312" w:eastAsia="仿宋_GB2312" w:cs="仿宋_GB2312"/>
          <w:spacing w:val="0"/>
          <w:sz w:val="32"/>
          <w:szCs w:val="32"/>
        </w:rPr>
        <w:t>数字标签食品应用覆盖</w:t>
      </w:r>
      <w:r>
        <w:rPr>
          <w:rFonts w:hint="eastAsia" w:ascii="仿宋_GB2312" w:hAnsi="仿宋_GB2312" w:eastAsia="仿宋_GB2312" w:cs="仿宋_GB2312"/>
          <w:spacing w:val="0"/>
          <w:sz w:val="32"/>
          <w:szCs w:val="32"/>
          <w:lang w:eastAsia="zh-CN"/>
        </w:rPr>
        <w:t>范围</w:t>
      </w:r>
      <w:r>
        <w:rPr>
          <w:rFonts w:hint="eastAsia" w:ascii="仿宋_GB2312" w:hAnsi="仿宋_GB2312" w:eastAsia="仿宋_GB2312" w:cs="仿宋_GB2312"/>
          <w:spacing w:val="0"/>
          <w:sz w:val="32"/>
          <w:szCs w:val="32"/>
        </w:rPr>
        <w:t>，优化企业标准备案。</w:t>
      </w:r>
      <w:r>
        <w:rPr>
          <w:rFonts w:hint="eastAsia" w:ascii="仿宋_GB2312" w:hAnsi="仿宋_GB2312" w:eastAsia="仿宋_GB2312" w:cs="仿宋_GB2312"/>
          <w:spacing w:val="0"/>
          <w:sz w:val="32"/>
          <w:szCs w:val="32"/>
          <w:lang w:eastAsia="zh-CN"/>
        </w:rPr>
        <w:t>织密</w:t>
      </w:r>
      <w:r>
        <w:rPr>
          <w:rFonts w:hint="eastAsia" w:ascii="仿宋_GB2312" w:hAnsi="仿宋_GB2312" w:eastAsia="仿宋_GB2312" w:cs="仿宋_GB2312"/>
          <w:spacing w:val="0"/>
          <w:sz w:val="32"/>
          <w:szCs w:val="32"/>
        </w:rPr>
        <w:t>全链条动态监测网络。</w:t>
      </w:r>
      <w:r>
        <w:rPr>
          <w:rFonts w:hint="eastAsia" w:ascii="仿宋_GB2312" w:hAnsi="仿宋_GB2312" w:eastAsia="仿宋_GB2312" w:cs="仿宋_GB2312"/>
          <w:spacing w:val="0"/>
          <w:sz w:val="32"/>
          <w:szCs w:val="32"/>
          <w:lang w:eastAsia="zh-CN"/>
        </w:rPr>
        <w:t>配合推进</w:t>
      </w:r>
      <w:r>
        <w:rPr>
          <w:rFonts w:hint="eastAsia" w:ascii="仿宋_GB2312" w:hAnsi="仿宋_GB2312" w:eastAsia="仿宋_GB2312" w:cs="仿宋_GB2312"/>
          <w:spacing w:val="0"/>
          <w:sz w:val="32"/>
          <w:szCs w:val="32"/>
        </w:rPr>
        <w:t>“岭南药食同源物质安全性评估”国家专项</w:t>
      </w:r>
      <w:r>
        <w:rPr>
          <w:rFonts w:hint="eastAsia" w:ascii="仿宋_GB2312" w:hAnsi="仿宋_GB2312" w:eastAsia="仿宋_GB2312" w:cs="仿宋_GB2312"/>
          <w:spacing w:val="0"/>
          <w:sz w:val="32"/>
          <w:szCs w:val="32"/>
          <w:lang w:eastAsia="zh-CN"/>
        </w:rPr>
        <w:t>实施</w:t>
      </w:r>
      <w:r>
        <w:rPr>
          <w:rFonts w:hint="eastAsia" w:ascii="仿宋_GB2312" w:hAnsi="仿宋_GB2312" w:eastAsia="仿宋_GB2312" w:cs="仿宋_GB2312"/>
          <w:spacing w:val="0"/>
          <w:sz w:val="32"/>
          <w:szCs w:val="32"/>
        </w:rPr>
        <w:t>，推动更多岭南特色食药物质纳入食药物质目录，促进营养健康技术成果转化应用。落实公立医疗机构优先配备使用国家基本药物政策，推进创新药入院工作。健全药品供应保障体系，优化公立医院用药结构，促进基本药物优先配备使用。畅通临床急需创新药进院渠道，强化短缺药品预警与供应，做好特殊人群用药保障。加强临床药师队伍建设和能力培养，推动药学服务转型发展。强化抗菌药物临床应用监测与细菌耐药评价，推进使用强度持续下降。深化药品使用监测与临床综合评价，规范处方审核点评，拓展药学门诊服务内涵，全面提升合理用药水平，切实维护群众用药安全。</w:t>
      </w:r>
    </w:p>
    <w:tbl>
      <w:tblPr>
        <w:tblStyle w:val="10"/>
        <w:tblW w:w="88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8"/>
        <w:gridCol w:w="852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8880" w:type="dxa"/>
            <w:gridSpan w:val="2"/>
            <w:vAlign w:val="top"/>
          </w:tcPr>
          <w:p>
            <w:pPr>
              <w:spacing w:before="92" w:line="224" w:lineRule="auto"/>
              <w:ind w:left="2456"/>
              <w:outlineLvl w:val="1"/>
              <w:rPr>
                <w:rFonts w:ascii="方正小标宋简体" w:hAnsi="方正小标宋简体" w:eastAsia="方正小标宋简体" w:cs="方正小标宋简体"/>
                <w:sz w:val="28"/>
                <w:szCs w:val="28"/>
              </w:rPr>
            </w:pPr>
            <w:r>
              <w:rPr>
                <w:rFonts w:ascii="方正小标宋简体" w:hAnsi="方正小标宋简体" w:eastAsia="方正小标宋简体" w:cs="方正小标宋简体"/>
                <w:spacing w:val="-10"/>
                <w:sz w:val="28"/>
                <w:szCs w:val="28"/>
              </w:rPr>
              <w:t xml:space="preserve">专栏 </w:t>
            </w:r>
            <w:r>
              <w:rPr>
                <w:rFonts w:ascii="Times New Roman" w:hAnsi="Times New Roman" w:eastAsia="Times New Roman" w:cs="Times New Roman"/>
                <w:spacing w:val="-10"/>
                <w:sz w:val="28"/>
                <w:szCs w:val="28"/>
              </w:rPr>
              <w:t>4</w:t>
            </w:r>
            <w:r>
              <w:rPr>
                <w:rFonts w:ascii="Times New Roman" w:hAnsi="Times New Roman" w:eastAsia="Times New Roman" w:cs="Times New Roman"/>
                <w:spacing w:val="16"/>
                <w:sz w:val="28"/>
                <w:szCs w:val="28"/>
              </w:rPr>
              <w:t xml:space="preserve">   </w:t>
            </w:r>
            <w:r>
              <w:rPr>
                <w:rFonts w:ascii="方正小标宋简体" w:hAnsi="方正小标宋简体" w:eastAsia="方正小标宋简体" w:cs="方正小标宋简体"/>
                <w:spacing w:val="-10"/>
                <w:sz w:val="28"/>
                <w:szCs w:val="28"/>
              </w:rPr>
              <w:t>高水平健康安全屏障项目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3" w:hRule="atLeast"/>
        </w:trPr>
        <w:tc>
          <w:tcPr>
            <w:tcW w:w="358" w:type="dxa"/>
            <w:tcBorders>
              <w:right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80" w:lineRule="exact"/>
              <w:ind w:left="132"/>
              <w:jc w:val="center"/>
              <w:textAlignment w:val="baseline"/>
              <w:rPr>
                <w:rFonts w:ascii="Times New Roman" w:hAnsi="Times New Roman" w:eastAsia="Times New Roman" w:cs="Times New Roman"/>
                <w:position w:val="1"/>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32"/>
              <w:jc w:val="center"/>
              <w:textAlignment w:val="baseline"/>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1</w:t>
            </w:r>
          </w:p>
          <w:p>
            <w:pPr>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2"/>
              <w:jc w:val="center"/>
              <w:textAlignment w:val="baseline"/>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2</w:t>
            </w:r>
          </w:p>
          <w:p>
            <w:pPr>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6"/>
              <w:jc w:val="center"/>
              <w:textAlignment w:val="baseline"/>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p>
            <w:pPr>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1"/>
              <w:jc w:val="center"/>
              <w:textAlignment w:val="baseline"/>
              <w:rPr>
                <w:rFonts w:ascii="Times New Roman" w:hAnsi="Times New Roman" w:eastAsia="Times New Roman" w:cs="Times New Roman"/>
                <w:sz w:val="20"/>
                <w:szCs w:val="20"/>
              </w:rPr>
            </w:pPr>
            <w:r>
              <w:rPr>
                <w:rFonts w:ascii="Times New Roman" w:hAnsi="Times New Roman" w:eastAsia="Times New Roman" w:cs="Times New Roman"/>
                <w:spacing w:val="1"/>
                <w:position w:val="1"/>
                <w:sz w:val="20"/>
                <w:szCs w:val="20"/>
              </w:rPr>
              <w:t>4</w:t>
            </w:r>
          </w:p>
          <w:p>
            <w:pPr>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8"/>
              <w:jc w:val="center"/>
              <w:textAlignment w:val="baseline"/>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p>
            <w:pPr>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6"/>
              <w:jc w:val="center"/>
              <w:textAlignment w:val="baseline"/>
              <w:rPr>
                <w:rFonts w:ascii="Times New Roman" w:hAnsi="Times New Roman" w:eastAsia="Times New Roman" w:cs="Times New Roman"/>
                <w:position w:val="2"/>
                <w:sz w:val="20"/>
                <w:szCs w:val="20"/>
              </w:rPr>
            </w:pPr>
            <w:r>
              <w:rPr>
                <w:rFonts w:ascii="Times New Roman" w:hAnsi="Times New Roman" w:eastAsia="Times New Roman" w:cs="Times New Roman"/>
                <w:position w:val="2"/>
                <w:sz w:val="20"/>
                <w:szCs w:val="20"/>
              </w:rPr>
              <w:t>6</w:t>
            </w:r>
          </w:p>
          <w:p>
            <w:pPr>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8"/>
              <w:jc w:val="center"/>
              <w:textAlignment w:val="baseline"/>
              <w:rPr>
                <w:rFonts w:ascii="Times New Roman" w:hAnsi="Times New Roman" w:eastAsia="Times New Roman" w:cs="Times New Roman"/>
                <w:sz w:val="20"/>
                <w:szCs w:val="20"/>
              </w:rPr>
            </w:pPr>
            <w:r>
              <w:rPr>
                <w:rFonts w:hint="eastAsia" w:ascii="Times New Roman" w:hAnsi="Times New Roman" w:eastAsia="Times New Roman" w:cs="Times New Roman"/>
                <w:sz w:val="20"/>
                <w:szCs w:val="20"/>
                <w:lang w:val="en-US" w:eastAsia="zh-CN"/>
              </w:rPr>
              <w:t>7</w:t>
            </w:r>
          </w:p>
          <w:p>
            <w:pPr>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6"/>
              <w:textAlignment w:val="baseline"/>
              <w:rPr>
                <w:rFonts w:ascii="Times New Roman" w:hAnsi="Times New Roman" w:eastAsia="Times New Roman" w:cs="Times New Roman"/>
                <w:position w:val="2"/>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6"/>
              <w:textAlignment w:val="baseline"/>
              <w:rPr>
                <w:rFonts w:ascii="Times New Roman" w:hAnsi="Times New Roman" w:eastAsia="Times New Roman" w:cs="Times New Roman"/>
                <w:position w:val="2"/>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hint="eastAsia" w:ascii="Times New Roman" w:hAnsi="Times New Roman" w:eastAsia="宋体" w:cs="Times New Roman"/>
                <w:position w:val="2"/>
                <w:sz w:val="20"/>
                <w:szCs w:val="20"/>
                <w:lang w:val="en-US" w:eastAsia="zh-CN"/>
              </w:rPr>
            </w:pPr>
          </w:p>
        </w:tc>
        <w:tc>
          <w:tcPr>
            <w:tcW w:w="8522" w:type="dxa"/>
            <w:tcBorders>
              <w:left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80" w:lineRule="exact"/>
              <w:ind w:left="179"/>
              <w:textAlignment w:val="baseline"/>
              <w:rPr>
                <w:rFonts w:ascii="黑体" w:hAnsi="黑体" w:eastAsia="黑体" w:cs="黑体"/>
                <w:spacing w:val="9"/>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79"/>
              <w:textAlignment w:val="baseline"/>
              <w:rPr>
                <w:rFonts w:ascii="黑体" w:hAnsi="黑体" w:eastAsia="黑体" w:cs="黑体"/>
                <w:sz w:val="20"/>
                <w:szCs w:val="20"/>
              </w:rPr>
            </w:pPr>
            <w:r>
              <w:rPr>
                <w:rFonts w:ascii="黑体" w:hAnsi="黑体" w:eastAsia="黑体" w:cs="黑体"/>
                <w:spacing w:val="9"/>
                <w:sz w:val="20"/>
                <w:szCs w:val="20"/>
              </w:rPr>
              <w:t>疾病预防控制体系现代化建设项目</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244" w:right="111" w:firstLine="13"/>
              <w:textAlignment w:val="baseline"/>
              <w:rPr>
                <w:rFonts w:ascii="仿宋" w:hAnsi="仿宋" w:eastAsia="仿宋" w:cs="仿宋"/>
                <w:sz w:val="20"/>
                <w:szCs w:val="20"/>
              </w:rPr>
            </w:pPr>
            <w:r>
              <w:rPr>
                <w:rFonts w:ascii="仿宋" w:hAnsi="仿宋" w:eastAsia="仿宋" w:cs="仿宋"/>
                <w:spacing w:val="8"/>
                <w:sz w:val="20"/>
                <w:szCs w:val="20"/>
              </w:rPr>
              <w:t>强化</w:t>
            </w:r>
            <w:r>
              <w:rPr>
                <w:rFonts w:ascii="仿宋" w:hAnsi="仿宋" w:eastAsia="仿宋" w:cs="仿宋"/>
                <w:spacing w:val="8"/>
                <w:sz w:val="20"/>
                <w:szCs w:val="20"/>
                <w:lang w:val="en"/>
              </w:rPr>
              <w:t>市</w:t>
            </w:r>
            <w:r>
              <w:rPr>
                <w:rFonts w:ascii="仿宋" w:hAnsi="仿宋" w:eastAsia="仿宋" w:cs="仿宋"/>
                <w:spacing w:val="8"/>
                <w:sz w:val="20"/>
                <w:szCs w:val="20"/>
              </w:rPr>
              <w:t>疾控中心移动防疫能力</w:t>
            </w:r>
            <w:r>
              <w:rPr>
                <w:rFonts w:hint="eastAsia" w:ascii="仿宋" w:hAnsi="仿宋" w:eastAsia="仿宋" w:cs="仿宋"/>
                <w:spacing w:val="8"/>
                <w:sz w:val="20"/>
                <w:szCs w:val="20"/>
                <w:lang w:eastAsia="zh-CN"/>
              </w:rPr>
              <w:t>，</w:t>
            </w:r>
            <w:r>
              <w:rPr>
                <w:rFonts w:ascii="仿宋" w:hAnsi="仿宋" w:eastAsia="仿宋" w:cs="仿宋"/>
                <w:spacing w:val="8"/>
                <w:sz w:val="20"/>
                <w:szCs w:val="20"/>
              </w:rPr>
              <w:t>推动</w:t>
            </w:r>
            <w:r>
              <w:rPr>
                <w:rFonts w:hint="eastAsia" w:ascii="仿宋" w:hAnsi="仿宋" w:eastAsia="仿宋" w:cs="仿宋"/>
                <w:spacing w:val="8"/>
                <w:sz w:val="20"/>
                <w:szCs w:val="20"/>
              </w:rPr>
              <w:t>市疾控中心基础建设。</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92"/>
              <w:textAlignment w:val="baseline"/>
              <w:rPr>
                <w:rFonts w:ascii="黑体" w:hAnsi="黑体" w:eastAsia="黑体" w:cs="黑体"/>
                <w:sz w:val="20"/>
                <w:szCs w:val="20"/>
              </w:rPr>
            </w:pPr>
            <w:r>
              <w:rPr>
                <w:rFonts w:ascii="黑体" w:hAnsi="黑体" w:eastAsia="黑体" w:cs="黑体"/>
                <w:spacing w:val="8"/>
                <w:sz w:val="20"/>
                <w:szCs w:val="20"/>
              </w:rPr>
              <w:t>紧急医学救援能力提升项目</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253" w:right="103" w:hanging="5"/>
              <w:textAlignment w:val="baseline"/>
              <w:rPr>
                <w:rFonts w:ascii="仿宋" w:hAnsi="仿宋" w:eastAsia="仿宋" w:cs="仿宋"/>
                <w:color w:val="auto"/>
                <w:sz w:val="20"/>
                <w:szCs w:val="20"/>
              </w:rPr>
            </w:pPr>
            <w:r>
              <w:rPr>
                <w:rFonts w:ascii="仿宋" w:hAnsi="仿宋" w:eastAsia="仿宋" w:cs="仿宋"/>
                <w:color w:val="auto"/>
                <w:spacing w:val="8"/>
                <w:sz w:val="20"/>
                <w:szCs w:val="20"/>
              </w:rPr>
              <w:t>力争省级紧急医学救援基地落户</w:t>
            </w:r>
            <w:r>
              <w:rPr>
                <w:rFonts w:hint="eastAsia" w:ascii="仿宋" w:hAnsi="仿宋" w:eastAsia="仿宋" w:cs="仿宋"/>
                <w:color w:val="auto"/>
                <w:spacing w:val="8"/>
                <w:sz w:val="20"/>
                <w:szCs w:val="20"/>
                <w:lang w:eastAsia="zh-CN"/>
              </w:rPr>
              <w:t>韶关</w:t>
            </w:r>
            <w:r>
              <w:rPr>
                <w:rFonts w:ascii="仿宋" w:hAnsi="仿宋" w:eastAsia="仿宋" w:cs="仿宋"/>
                <w:color w:val="auto"/>
                <w:spacing w:val="8"/>
                <w:sz w:val="20"/>
                <w:szCs w:val="20"/>
              </w:rPr>
              <w:t>。</w:t>
            </w:r>
            <w:r>
              <w:rPr>
                <w:rFonts w:hint="eastAsia" w:ascii="仿宋" w:hAnsi="仿宋" w:eastAsia="仿宋" w:cs="仿宋"/>
                <w:color w:val="auto"/>
                <w:spacing w:val="8"/>
                <w:sz w:val="20"/>
                <w:szCs w:val="20"/>
                <w:lang w:eastAsia="zh-CN"/>
              </w:rPr>
              <w:t>推动</w:t>
            </w:r>
            <w:r>
              <w:rPr>
                <w:rFonts w:ascii="仿宋" w:hAnsi="仿宋" w:eastAsia="仿宋" w:cs="仿宋"/>
                <w:color w:val="auto"/>
                <w:spacing w:val="8"/>
                <w:sz w:val="20"/>
                <w:szCs w:val="20"/>
              </w:rPr>
              <w:t>建设院前急救和突发</w:t>
            </w:r>
            <w:r>
              <w:rPr>
                <w:rFonts w:ascii="仿宋" w:hAnsi="仿宋" w:eastAsia="仿宋" w:cs="仿宋"/>
                <w:color w:val="auto"/>
                <w:spacing w:val="7"/>
                <w:sz w:val="20"/>
                <w:szCs w:val="20"/>
              </w:rPr>
              <w:t>事件医疗应急指挥调度信息化平</w:t>
            </w:r>
            <w:r>
              <w:rPr>
                <w:rFonts w:ascii="仿宋" w:hAnsi="仿宋" w:eastAsia="仿宋" w:cs="仿宋"/>
                <w:color w:val="auto"/>
                <w:spacing w:val="-5"/>
                <w:sz w:val="20"/>
                <w:szCs w:val="20"/>
              </w:rPr>
              <w:t>台。</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81"/>
              <w:textAlignment w:val="baseline"/>
              <w:rPr>
                <w:rFonts w:ascii="黑体" w:hAnsi="黑体" w:eastAsia="黑体" w:cs="黑体"/>
                <w:color w:val="auto"/>
                <w:sz w:val="20"/>
                <w:szCs w:val="20"/>
              </w:rPr>
            </w:pPr>
            <w:r>
              <w:rPr>
                <w:rFonts w:ascii="黑体" w:hAnsi="黑体" w:eastAsia="黑体" w:cs="黑体"/>
                <w:color w:val="auto"/>
                <w:spacing w:val="8"/>
                <w:sz w:val="20"/>
                <w:szCs w:val="20"/>
              </w:rPr>
              <w:t>血液保障能力提升项目</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245" w:right="105" w:firstLine="2"/>
              <w:textAlignment w:val="baseline"/>
              <w:rPr>
                <w:rFonts w:ascii="仿宋" w:hAnsi="仿宋" w:eastAsia="仿宋" w:cs="仿宋"/>
                <w:color w:val="auto"/>
                <w:spacing w:val="9"/>
                <w:sz w:val="20"/>
                <w:szCs w:val="20"/>
              </w:rPr>
            </w:pPr>
            <w:r>
              <w:rPr>
                <w:rFonts w:ascii="仿宋" w:hAnsi="仿宋" w:eastAsia="仿宋" w:cs="仿宋"/>
                <w:color w:val="auto"/>
                <w:spacing w:val="9"/>
                <w:sz w:val="20"/>
                <w:szCs w:val="20"/>
              </w:rPr>
              <w:t>力争建设</w:t>
            </w:r>
            <w:r>
              <w:rPr>
                <w:rFonts w:hint="eastAsia" w:ascii="仿宋" w:hAnsi="仿宋" w:eastAsia="仿宋" w:cs="仿宋"/>
                <w:color w:val="auto"/>
                <w:spacing w:val="9"/>
                <w:sz w:val="20"/>
                <w:szCs w:val="20"/>
                <w:lang w:eastAsia="zh-CN"/>
              </w:rPr>
              <w:t>粤北</w:t>
            </w:r>
            <w:r>
              <w:rPr>
                <w:rFonts w:ascii="仿宋" w:hAnsi="仿宋" w:eastAsia="仿宋" w:cs="仿宋"/>
                <w:color w:val="auto"/>
                <w:spacing w:val="9"/>
                <w:sz w:val="20"/>
                <w:szCs w:val="20"/>
              </w:rPr>
              <w:t>区域血液安全中心、临床用血安全质量控制中心。</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87"/>
              <w:textAlignment w:val="baseline"/>
              <w:rPr>
                <w:rFonts w:ascii="黑体" w:hAnsi="黑体" w:eastAsia="黑体" w:cs="黑体"/>
                <w:sz w:val="20"/>
                <w:szCs w:val="20"/>
              </w:rPr>
            </w:pPr>
            <w:r>
              <w:rPr>
                <w:rFonts w:ascii="黑体" w:hAnsi="黑体" w:eastAsia="黑体" w:cs="黑体"/>
                <w:spacing w:val="8"/>
                <w:sz w:val="20"/>
                <w:szCs w:val="20"/>
              </w:rPr>
              <w:t>实验室生物安全项目</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242"/>
              <w:textAlignment w:val="baseline"/>
              <w:rPr>
                <w:rFonts w:ascii="仿宋" w:hAnsi="仿宋" w:eastAsia="仿宋" w:cs="仿宋"/>
                <w:sz w:val="20"/>
                <w:szCs w:val="20"/>
              </w:rPr>
            </w:pPr>
            <w:r>
              <w:rPr>
                <w:rFonts w:hint="eastAsia" w:ascii="仿宋" w:hAnsi="仿宋" w:eastAsia="仿宋" w:cs="仿宋"/>
                <w:spacing w:val="9"/>
                <w:sz w:val="20"/>
                <w:szCs w:val="20"/>
              </w:rPr>
              <w:t>成立市级实验室生物安全培训基地。</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81"/>
              <w:textAlignment w:val="baseline"/>
              <w:rPr>
                <w:rFonts w:ascii="黑体" w:hAnsi="黑体" w:eastAsia="黑体" w:cs="黑体"/>
                <w:sz w:val="20"/>
                <w:szCs w:val="20"/>
              </w:rPr>
            </w:pPr>
            <w:r>
              <w:rPr>
                <w:rFonts w:ascii="黑体" w:hAnsi="黑体" w:eastAsia="黑体" w:cs="黑体"/>
                <w:spacing w:val="8"/>
                <w:sz w:val="20"/>
                <w:szCs w:val="20"/>
              </w:rPr>
              <w:t>食源性疾病监测评估项目</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80" w:right="951" w:firstLine="63"/>
              <w:textAlignment w:val="baseline"/>
              <w:rPr>
                <w:rFonts w:ascii="黑体" w:hAnsi="黑体" w:eastAsia="黑体" w:cs="黑体"/>
                <w:spacing w:val="9"/>
                <w:sz w:val="20"/>
                <w:szCs w:val="20"/>
              </w:rPr>
            </w:pPr>
            <w:r>
              <w:rPr>
                <w:rFonts w:hint="eastAsia" w:ascii="仿宋" w:hAnsi="仿宋" w:eastAsia="仿宋" w:cs="仿宋"/>
                <w:spacing w:val="8"/>
                <w:sz w:val="20"/>
                <w:szCs w:val="20"/>
              </w:rPr>
              <w:t>提升食源性疾病监测评估能力</w:t>
            </w:r>
            <w:r>
              <w:rPr>
                <w:rFonts w:ascii="仿宋" w:hAnsi="仿宋" w:eastAsia="仿宋" w:cs="仿宋"/>
                <w:spacing w:val="8"/>
                <w:sz w:val="20"/>
                <w:szCs w:val="20"/>
              </w:rPr>
              <w:t>，</w:t>
            </w:r>
            <w:r>
              <w:rPr>
                <w:rFonts w:ascii="仿宋" w:hAnsi="仿宋" w:eastAsia="仿宋" w:cs="仿宋"/>
                <w:spacing w:val="8"/>
                <w:sz w:val="20"/>
                <w:szCs w:val="20"/>
                <w:lang w:val="en"/>
              </w:rPr>
              <w:t>贯彻落实</w:t>
            </w:r>
            <w:r>
              <w:rPr>
                <w:rFonts w:ascii="仿宋" w:hAnsi="仿宋" w:eastAsia="仿宋" w:cs="仿宋"/>
                <w:spacing w:val="8"/>
                <w:sz w:val="20"/>
                <w:szCs w:val="20"/>
              </w:rPr>
              <w:t>市县两级食源性疾病应急处置能力清单</w:t>
            </w:r>
            <w:r>
              <w:rPr>
                <w:rFonts w:ascii="黑体" w:hAnsi="黑体" w:eastAsia="黑体" w:cs="黑体"/>
                <w:spacing w:val="9"/>
                <w:sz w:val="20"/>
                <w:szCs w:val="20"/>
              </w:rPr>
              <w:t>蚊媒传染病监测体系项目</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81" w:right="0" w:firstLine="62"/>
              <w:textAlignment w:val="baseline"/>
              <w:rPr>
                <w:rFonts w:ascii="仿宋" w:hAnsi="仿宋" w:eastAsia="仿宋" w:cs="仿宋"/>
                <w:sz w:val="20"/>
                <w:szCs w:val="20"/>
              </w:rPr>
            </w:pPr>
            <w:r>
              <w:rPr>
                <w:rFonts w:ascii="仿宋" w:hAnsi="仿宋" w:eastAsia="仿宋" w:cs="仿宋"/>
                <w:spacing w:val="8"/>
                <w:sz w:val="20"/>
                <w:szCs w:val="20"/>
              </w:rPr>
              <w:t>构建</w:t>
            </w:r>
            <w:r>
              <w:rPr>
                <w:rFonts w:ascii="Times New Roman" w:hAnsi="Times New Roman" w:eastAsia="Times New Roman" w:cs="Times New Roman"/>
                <w:spacing w:val="8"/>
                <w:sz w:val="20"/>
                <w:szCs w:val="20"/>
              </w:rPr>
              <w:t>“</w:t>
            </w:r>
            <w:r>
              <w:rPr>
                <w:rFonts w:ascii="Times New Roman" w:hAnsi="Times New Roman" w:eastAsia="Times New Roman" w:cs="Times New Roman"/>
                <w:spacing w:val="-23"/>
                <w:sz w:val="20"/>
                <w:szCs w:val="20"/>
              </w:rPr>
              <w:t xml:space="preserve"> </w:t>
            </w:r>
            <w:r>
              <w:rPr>
                <w:rFonts w:ascii="仿宋" w:hAnsi="仿宋" w:eastAsia="仿宋" w:cs="仿宋"/>
                <w:spacing w:val="8"/>
                <w:sz w:val="20"/>
                <w:szCs w:val="20"/>
              </w:rPr>
              <w:t>市、县、镇、村</w:t>
            </w:r>
            <w:r>
              <w:rPr>
                <w:rFonts w:ascii="Times New Roman" w:hAnsi="Times New Roman" w:eastAsia="Times New Roman" w:cs="Times New Roman"/>
                <w:spacing w:val="8"/>
                <w:sz w:val="20"/>
                <w:szCs w:val="20"/>
              </w:rPr>
              <w:t>”</w:t>
            </w:r>
            <w:r>
              <w:rPr>
                <w:rFonts w:ascii="Times New Roman" w:hAnsi="Times New Roman" w:eastAsia="Times New Roman" w:cs="Times New Roman"/>
                <w:spacing w:val="-34"/>
                <w:sz w:val="20"/>
                <w:szCs w:val="20"/>
              </w:rPr>
              <w:t xml:space="preserve"> </w:t>
            </w:r>
            <w:r>
              <w:rPr>
                <w:rFonts w:ascii="仿宋" w:hAnsi="仿宋" w:eastAsia="仿宋" w:cs="仿宋"/>
                <w:spacing w:val="8"/>
                <w:sz w:val="20"/>
                <w:szCs w:val="20"/>
              </w:rPr>
              <w:t>联动智能监测网络，推进智慧化开展风险精准识别和通报</w:t>
            </w:r>
            <w:r>
              <w:rPr>
                <w:rFonts w:ascii="仿宋" w:hAnsi="仿宋" w:eastAsia="仿宋" w:cs="仿宋"/>
                <w:sz w:val="20"/>
                <w:szCs w:val="20"/>
              </w:rPr>
              <w:t>预警。</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15"/>
              <w:textAlignment w:val="baseline"/>
              <w:rPr>
                <w:rFonts w:ascii="黑体" w:hAnsi="黑体" w:eastAsia="黑体" w:cs="黑体"/>
                <w:sz w:val="20"/>
                <w:szCs w:val="20"/>
              </w:rPr>
            </w:pPr>
            <w:r>
              <w:rPr>
                <w:rFonts w:hint="eastAsia" w:ascii="仿宋" w:hAnsi="仿宋" w:eastAsia="仿宋" w:cs="仿宋"/>
                <w:sz w:val="20"/>
                <w:szCs w:val="20"/>
                <w:lang w:val="en-US" w:eastAsia="zh-CN"/>
              </w:rPr>
              <w:t xml:space="preserve"> </w:t>
            </w:r>
            <w:r>
              <w:rPr>
                <w:rFonts w:ascii="黑体" w:hAnsi="黑体" w:eastAsia="黑体" w:cs="黑体"/>
                <w:spacing w:val="7"/>
                <w:sz w:val="20"/>
                <w:szCs w:val="20"/>
              </w:rPr>
              <w:t>公共卫生实验室能力提升项目</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244" w:right="111" w:firstLine="13"/>
              <w:textAlignment w:val="baseline"/>
              <w:rPr>
                <w:rFonts w:ascii="仿宋" w:hAnsi="仿宋" w:eastAsia="仿宋" w:cs="仿宋"/>
                <w:sz w:val="20"/>
                <w:szCs w:val="20"/>
              </w:rPr>
            </w:pPr>
            <w:r>
              <w:rPr>
                <w:rFonts w:hint="default" w:ascii="仿宋" w:hAnsi="仿宋" w:eastAsia="仿宋" w:cs="仿宋"/>
                <w:spacing w:val="8"/>
                <w:sz w:val="20"/>
                <w:szCs w:val="20"/>
                <w:lang w:val="en"/>
              </w:rPr>
              <w:t>推动设备更新升级和人才培训，</w:t>
            </w:r>
            <w:r>
              <w:rPr>
                <w:rFonts w:hint="eastAsia" w:ascii="仿宋" w:hAnsi="仿宋" w:eastAsia="仿宋" w:cs="仿宋"/>
                <w:spacing w:val="8"/>
                <w:sz w:val="20"/>
                <w:szCs w:val="20"/>
              </w:rPr>
              <w:t>强化市县两级疾控</w:t>
            </w:r>
            <w:r>
              <w:rPr>
                <w:rFonts w:hint="default" w:ascii="仿宋" w:hAnsi="仿宋" w:eastAsia="仿宋" w:cs="仿宋"/>
                <w:spacing w:val="8"/>
                <w:sz w:val="20"/>
                <w:szCs w:val="20"/>
                <w:lang w:val="en"/>
              </w:rPr>
              <w:t>中心公共卫生实验室</w:t>
            </w:r>
            <w:r>
              <w:rPr>
                <w:rFonts w:hint="eastAsia" w:ascii="仿宋" w:hAnsi="仿宋" w:eastAsia="仿宋" w:cs="仿宋"/>
                <w:spacing w:val="8"/>
                <w:sz w:val="20"/>
                <w:szCs w:val="20"/>
              </w:rPr>
              <w:t>检验检测能力</w:t>
            </w:r>
            <w:r>
              <w:rPr>
                <w:rFonts w:hint="default" w:ascii="仿宋" w:hAnsi="仿宋" w:eastAsia="仿宋" w:cs="仿宋"/>
                <w:spacing w:val="8"/>
                <w:sz w:val="20"/>
                <w:szCs w:val="20"/>
                <w:lang w:val="en"/>
              </w:rPr>
              <w:t>。</w:t>
            </w:r>
            <w:r>
              <w:rPr>
                <w:rFonts w:hint="eastAsia" w:ascii="仿宋" w:hAnsi="仿宋" w:eastAsia="仿宋" w:cs="仿宋"/>
                <w:spacing w:val="8"/>
                <w:sz w:val="20"/>
                <w:szCs w:val="20"/>
              </w:rPr>
              <w:t>严把监测数据质控关口，保障数据真实精准。</w:t>
            </w:r>
          </w:p>
        </w:tc>
      </w:tr>
    </w:tbl>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黑体" w:hAnsi="黑体" w:eastAsia="黑体" w:cs="黑体"/>
          <w:spacing w:val="0"/>
          <w:sz w:val="32"/>
          <w:szCs w:val="32"/>
        </w:rPr>
      </w:pPr>
    </w:p>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黑体" w:hAnsi="黑体" w:eastAsia="黑体" w:cs="黑体"/>
          <w:spacing w:val="0"/>
          <w:sz w:val="32"/>
          <w:szCs w:val="32"/>
        </w:rPr>
      </w:pPr>
      <w:r>
        <w:rPr>
          <w:rFonts w:hint="eastAsia" w:ascii="黑体" w:hAnsi="黑体" w:eastAsia="黑体" w:cs="黑体"/>
          <w:spacing w:val="0"/>
          <w:sz w:val="32"/>
          <w:szCs w:val="32"/>
        </w:rPr>
        <w:t>五、构筑优质高效均衡的医疗服务体系</w:t>
      </w:r>
    </w:p>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（一）提升基层医疗服务能力。</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结合卫生健康“百千万工程”，实施医疗卫生强基工程，推动县级医院和重点中心乡镇卫生院提档升级，提升基层医疗卫生机构诊疗量占比。进一步深化紧密型县域医共体内涵建设，</w:t>
      </w:r>
      <w:r>
        <w:rPr>
          <w:rFonts w:hint="eastAsia" w:ascii="仿宋_GB2312" w:hAnsi="仿宋_GB2312" w:eastAsia="仿宋_GB2312" w:cs="仿宋_GB2312"/>
          <w:spacing w:val="0"/>
          <w:sz w:val="32"/>
          <w:szCs w:val="32"/>
          <w:highlight w:val="none"/>
          <w:lang w:val="en-US" w:eastAsia="zh-CN"/>
        </w:rPr>
        <w:t>探索推广“三院一体化”运行模式，</w:t>
      </w:r>
      <w:r>
        <w:rPr>
          <w:rFonts w:hint="eastAsia" w:ascii="仿宋_GB2312" w:hAnsi="仿宋_GB2312" w:eastAsia="仿宋_GB2312" w:cs="仿宋_GB2312"/>
          <w:spacing w:val="0"/>
          <w:sz w:val="32"/>
          <w:szCs w:val="32"/>
        </w:rPr>
        <w:t>深化县域中心药房、审方中心建设，合理增加基层药品配备。加强乡镇卫生院、社区卫生服务中心特色科室建设。大力推进镇村一体化管理，继续开展“优质服务基层行”活动。</w:t>
      </w:r>
    </w:p>
    <w:p>
      <w:pPr>
        <w:keepNext w:val="0"/>
        <w:keepLines w:val="0"/>
        <w:pageBreakBefore w:val="0"/>
        <w:wordWrap/>
        <w:topLinePunct w:val="0"/>
        <w:bidi w:val="0"/>
        <w:adjustRightInd w:val="0"/>
        <w:snapToGrid w:val="0"/>
        <w:spacing w:line="560" w:lineRule="exact"/>
        <w:ind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（二）加快优质医疗资源扩容提质。</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强化高水平专科引领。支持粤北人民医院骨科完成国家临床重点专科验收，指导其肿瘤科、心脏大血管外科、心血管内科及市第一人民医院消化内科、康复医学科申报国家临床重点专科。发挥其技术辐射与管理输出作用，指导市、县医院对标提升，错位发展特色专科，积极申报省级重点临床专科及省市培育县级医院重点专科。</w:t>
      </w:r>
    </w:p>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（三）推动城乡医疗卫生均衡发展。</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健全“组团式”“一对一”、托管或深度帮扶、常态化巡回医疗、莞韶帮扶、“双百行动”等帮扶机制，完善激励与约束机制，精准提升县级医院服务能力和水平。推进肿瘤、心脑血管、眼科、呼吸、肾病科等常见病、紧缺专科优质医疗资源下沉县级医院，在基层医疗机构积极推广慢性病、儿科、精神、口腔、老年病等基层适宜技术。</w:t>
      </w:r>
    </w:p>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（四）提高医疗服务质量。</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建立健全市、县（市、区）两级医疗质量控制中心，完善三级医疗质量控制组织体系。加快推进全民健康信息平台和医疗质量统计分析模块建设，依托韶关大数据产业集群节点优势，常态化监测和分析各医疗机构质控指标，打造韶关医疗质量信息化管理新模式。完善医疗技术临床应用负面清单管理制度，加强临床路径应用管理，提高住院患者临床路径管理比例。积极推进优质护理专项行动，大力培育专科护士，优化护士执业环境和薪酬分配机制，积极扩容护士队伍。持续加强临床心理、麻醉镇痛、用药指导、营养指导等服务。积极推进免陪照护工作，扩充覆盖医疗机构和科室范围。</w:t>
      </w:r>
    </w:p>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（五）优化医疗服务模式。</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3"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sz w:val="32"/>
          <w:szCs w:val="32"/>
        </w:rPr>
        <w:t>1.强化系统连续医疗服务。</w:t>
      </w:r>
      <w:r>
        <w:rPr>
          <w:rFonts w:hint="eastAsia" w:ascii="仿宋_GB2312" w:hAnsi="仿宋_GB2312" w:eastAsia="仿宋_GB2312" w:cs="仿宋_GB2312"/>
          <w:spacing w:val="0"/>
          <w:sz w:val="32"/>
          <w:szCs w:val="32"/>
        </w:rPr>
        <w:t>建设市级会诊转诊管理中心，各二级及以上公立医院设置会诊转诊服务中心，规范会诊转诊流程，加强疑难杂症诊疗能力，提高市（县）域内就诊率，引导患者理性就医、分级诊疗，提高优质医疗资源服务可及性。以慢阻肺、高血压、</w:t>
      </w:r>
      <w:r>
        <w:rPr>
          <w:rFonts w:hint="eastAsia" w:ascii="仿宋_GB2312" w:hAnsi="仿宋_GB2312" w:eastAsia="仿宋_GB2312" w:cs="仿宋_GB2312"/>
          <w:spacing w:val="0"/>
          <w:sz w:val="32"/>
          <w:szCs w:val="32"/>
          <w:lang w:val="en-US" w:eastAsia="zh-CN"/>
        </w:rPr>
        <w:t>糖尿病</w:t>
      </w:r>
      <w:r>
        <w:rPr>
          <w:rFonts w:hint="eastAsia" w:ascii="仿宋_GB2312" w:hAnsi="仿宋_GB2312" w:eastAsia="仿宋_GB2312" w:cs="仿宋_GB2312"/>
          <w:spacing w:val="0"/>
          <w:sz w:val="32"/>
          <w:szCs w:val="32"/>
        </w:rPr>
        <w:t>等病种管理为切入口，整合打通防病治病各环节和信息互通共享，提供系统连续的防治康管全链条服务。二级以上医疗机构普遍设立癌症、疑难复杂疾病，多系统多器官疾病等多学科诊疗门诊（MDT门诊），完善首诊负责制和院间、诊间转诊机制，推进胸痛、卒中、创伤、肿瘤、呼吸等综合学科发展。支持二级以上公立医院设立健康管理和疾病管理中心，组建家庭医生服务团队，推行以家庭为单位，含体检、慢性病管理、营养指导、就医绿色通道等服务内容的购买健康服务包。提质扩面免陪照护服务，扩大延续性护理及“互联网+护理服务”覆盖面，将护理服务延伸至家庭。推广安宁疗护多学科协作模式。</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3"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sz w:val="32"/>
          <w:szCs w:val="32"/>
        </w:rPr>
        <w:t>2.增加接续性服务供给。</w:t>
      </w:r>
      <w:r>
        <w:rPr>
          <w:rFonts w:hint="eastAsia" w:ascii="仿宋_GB2312" w:hAnsi="仿宋_GB2312" w:eastAsia="仿宋_GB2312" w:cs="仿宋_GB2312"/>
          <w:spacing w:val="0"/>
          <w:sz w:val="32"/>
          <w:szCs w:val="32"/>
        </w:rPr>
        <w:t>实施康复护理扩容提升工程，组建韶关市康复专科联盟，健全以二级医院为主体，基层医疗卫生机构为网底，三级医院提供技术指导，社会办医、医养结合机构等共同参与的康复护理服务网络。大力发展精神、运动、老年病、孤独症、肿瘤等专科康复，推进各级医疗机构积极拓展康复护理功能，支持部分一级、二级医院、基层医疗机构调整为康复、护理等接续性医疗机构。</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3"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sz w:val="32"/>
          <w:szCs w:val="32"/>
        </w:rPr>
        <w:t>3.推动中西医协作。</w:t>
      </w:r>
      <w:r>
        <w:rPr>
          <w:rFonts w:hint="eastAsia" w:ascii="仿宋_GB2312" w:hAnsi="仿宋_GB2312" w:eastAsia="仿宋_GB2312" w:cs="仿宋_GB2312"/>
          <w:spacing w:val="0"/>
          <w:sz w:val="32"/>
          <w:szCs w:val="32"/>
        </w:rPr>
        <w:t>加强综合医院中医临床科室和中药房设置，持续扩大中医药在非中医医疗机构的临床应用。推动粤北人民医院中医科建设国家中西医协同“旗舰”科室。增强妇幼领域中医药服务能力，韶关市妇幼保健院开展妇幼领域全国名老中医药专家传承工作室建设</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right="0"/>
        <w:jc w:val="both"/>
        <w:textAlignment w:val="baseline"/>
        <w:rPr>
          <w:rFonts w:hint="eastAsia" w:ascii="仿宋_GB2312" w:hAnsi="仿宋_GB2312" w:eastAsia="仿宋_GB2312" w:cs="仿宋_GB2312"/>
          <w:spacing w:val="0"/>
          <w:sz w:val="32"/>
          <w:szCs w:val="32"/>
        </w:rPr>
      </w:pP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right="0"/>
        <w:jc w:val="both"/>
        <w:textAlignment w:val="baseline"/>
        <w:rPr>
          <w:rFonts w:hint="eastAsia" w:ascii="仿宋_GB2312" w:hAnsi="仿宋_GB2312" w:eastAsia="仿宋_GB2312" w:cs="仿宋_GB2312"/>
          <w:spacing w:val="0"/>
          <w:sz w:val="32"/>
          <w:szCs w:val="32"/>
        </w:rPr>
      </w:pPr>
    </w:p>
    <w:tbl>
      <w:tblPr>
        <w:tblStyle w:val="10"/>
        <w:tblW w:w="884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6"/>
        <w:gridCol w:w="849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8849" w:type="dxa"/>
            <w:gridSpan w:val="2"/>
            <w:vAlign w:val="top"/>
          </w:tcPr>
          <w:p>
            <w:pPr>
              <w:spacing w:before="84" w:line="204" w:lineRule="auto"/>
              <w:ind w:left="2220"/>
              <w:outlineLvl w:val="1"/>
              <w:rPr>
                <w:rFonts w:ascii="方正小标宋简体" w:hAnsi="方正小标宋简体" w:eastAsia="方正小标宋简体" w:cs="方正小标宋简体"/>
                <w:sz w:val="28"/>
                <w:szCs w:val="28"/>
              </w:rPr>
            </w:pPr>
            <w:r>
              <w:rPr>
                <w:rFonts w:ascii="方正小标宋简体" w:hAnsi="方正小标宋简体" w:eastAsia="方正小标宋简体" w:cs="方正小标宋简体"/>
                <w:spacing w:val="-1"/>
                <w:sz w:val="28"/>
                <w:szCs w:val="28"/>
              </w:rPr>
              <w:t xml:space="preserve">专栏 </w:t>
            </w:r>
            <w:r>
              <w:rPr>
                <w:rFonts w:ascii="Times New Roman" w:hAnsi="Times New Roman" w:eastAsia="Times New Roman" w:cs="Times New Roman"/>
                <w:spacing w:val="-1"/>
                <w:sz w:val="28"/>
                <w:szCs w:val="28"/>
              </w:rPr>
              <w:t xml:space="preserve">5    </w:t>
            </w:r>
            <w:r>
              <w:rPr>
                <w:rFonts w:ascii="方正小标宋简体" w:hAnsi="方正小标宋简体" w:eastAsia="方正小标宋简体" w:cs="方正小标宋简体"/>
                <w:spacing w:val="-1"/>
                <w:sz w:val="28"/>
                <w:szCs w:val="28"/>
              </w:rPr>
              <w:t>优质高效均衡医疗服务项目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8" w:hRule="atLeast"/>
        </w:trPr>
        <w:tc>
          <w:tcPr>
            <w:tcW w:w="356" w:type="dxa"/>
            <w:tcBorders>
              <w:right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80" w:lineRule="exact"/>
              <w:ind w:left="132"/>
              <w:textAlignment w:val="baseline"/>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1</w:t>
            </w:r>
          </w:p>
          <w:p>
            <w:pPr>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2"/>
              <w:textAlignment w:val="baseline"/>
              <w:rPr>
                <w:rFonts w:ascii="Times New Roman" w:hAnsi="Times New Roman" w:eastAsia="Times New Roman" w:cs="Times New Roman"/>
                <w:position w:val="1"/>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2"/>
              <w:textAlignment w:val="baseline"/>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2</w:t>
            </w:r>
          </w:p>
          <w:p>
            <w:pPr>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1"/>
              <w:textAlignment w:val="baseline"/>
              <w:rPr>
                <w:rFonts w:hint="eastAsia" w:ascii="Times New Roman" w:hAnsi="Times New Roman" w:eastAsia="宋体" w:cs="Times New Roman"/>
                <w:sz w:val="20"/>
                <w:szCs w:val="20"/>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1"/>
              <w:textAlignment w:val="baseline"/>
              <w:rPr>
                <w:rFonts w:hint="eastAsia"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3</w:t>
            </w:r>
          </w:p>
          <w:p>
            <w:pPr>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8"/>
              <w:textAlignment w:val="baseline"/>
              <w:rPr>
                <w:rFonts w:hint="eastAsia" w:ascii="Times New Roman" w:hAnsi="Times New Roman" w:eastAsia="宋体" w:cs="Times New Roman"/>
                <w:sz w:val="20"/>
                <w:szCs w:val="20"/>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8"/>
              <w:textAlignment w:val="baseline"/>
              <w:rPr>
                <w:rFonts w:hint="eastAsia"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4</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18"/>
              <w:textAlignment w:val="baseline"/>
              <w:rPr>
                <w:rFonts w:hint="eastAsia" w:ascii="Times New Roman" w:hAnsi="Times New Roman" w:eastAsia="宋体" w:cs="Times New Roman"/>
                <w:sz w:val="20"/>
                <w:szCs w:val="20"/>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8"/>
              <w:textAlignment w:val="baseline"/>
              <w:rPr>
                <w:rFonts w:hint="eastAsia" w:ascii="Times New Roman" w:hAnsi="Times New Roman" w:eastAsia="宋体" w:cs="Times New Roman"/>
                <w:sz w:val="20"/>
                <w:szCs w:val="20"/>
                <w:lang w:val="en-US" w:eastAsia="zh-CN"/>
              </w:rPr>
            </w:pPr>
          </w:p>
        </w:tc>
        <w:tc>
          <w:tcPr>
            <w:tcW w:w="8493" w:type="dxa"/>
            <w:tcBorders>
              <w:left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80" w:lineRule="exact"/>
              <w:ind w:left="180"/>
              <w:textAlignment w:val="baseline"/>
              <w:rPr>
                <w:rFonts w:ascii="黑体" w:hAnsi="黑体" w:eastAsia="黑体" w:cs="黑体"/>
                <w:sz w:val="20"/>
                <w:szCs w:val="20"/>
              </w:rPr>
            </w:pPr>
            <w:r>
              <w:rPr>
                <w:rFonts w:ascii="黑体" w:hAnsi="黑体" w:eastAsia="黑体" w:cs="黑体"/>
                <w:spacing w:val="9"/>
                <w:sz w:val="20"/>
                <w:szCs w:val="20"/>
              </w:rPr>
              <w:t>优质医疗资源扩容提质项目</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243" w:right="45" w:firstLine="6"/>
              <w:textAlignment w:val="baseline"/>
              <w:rPr>
                <w:rFonts w:ascii="仿宋" w:hAnsi="仿宋" w:eastAsia="仿宋" w:cs="仿宋"/>
                <w:sz w:val="20"/>
                <w:szCs w:val="20"/>
              </w:rPr>
            </w:pPr>
            <w:r>
              <w:rPr>
                <w:rFonts w:hint="eastAsia" w:ascii="仿宋" w:hAnsi="仿宋" w:eastAsia="仿宋" w:cs="仿宋"/>
                <w:sz w:val="20"/>
                <w:szCs w:val="20"/>
              </w:rPr>
              <w:t>支持粤北人民医院骨科完成国家临床重点专科验收，指导其肿瘤科、心脏大血管外科、心血管内科及市第一人民医院消化内科、康复医学科申报国家临床重点专科。发挥其技术辐射与管理输出作用，指导市、县医院对标提升，错位发展特色专科，积极申报省级重点临床专科及省市培育县级医院重点专科。</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80"/>
              <w:textAlignment w:val="baseline"/>
              <w:rPr>
                <w:rFonts w:ascii="黑体" w:hAnsi="黑体" w:eastAsia="黑体" w:cs="黑体"/>
                <w:spacing w:val="7"/>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80"/>
              <w:textAlignment w:val="baseline"/>
              <w:rPr>
                <w:rFonts w:ascii="黑体" w:hAnsi="黑体" w:eastAsia="黑体" w:cs="黑体"/>
                <w:sz w:val="20"/>
                <w:szCs w:val="20"/>
              </w:rPr>
            </w:pPr>
            <w:r>
              <w:rPr>
                <w:rFonts w:ascii="黑体" w:hAnsi="黑体" w:eastAsia="黑体" w:cs="黑体"/>
                <w:spacing w:val="7"/>
                <w:sz w:val="20"/>
                <w:szCs w:val="20"/>
              </w:rPr>
              <w:t>医疗卫生强基工程</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243" w:right="45" w:firstLine="6"/>
              <w:textAlignment w:val="baseline"/>
              <w:rPr>
                <w:rFonts w:hint="eastAsia" w:ascii="仿宋" w:hAnsi="仿宋" w:eastAsia="仿宋" w:cs="仿宋"/>
                <w:color w:val="auto"/>
                <w:spacing w:val="9"/>
                <w:sz w:val="20"/>
                <w:szCs w:val="20"/>
                <w:highlight w:val="none"/>
                <w:lang w:eastAsia="zh-CN"/>
              </w:rPr>
            </w:pPr>
            <w:r>
              <w:rPr>
                <w:rFonts w:hint="eastAsia" w:ascii="仿宋" w:hAnsi="仿宋" w:eastAsia="仿宋" w:cs="仿宋"/>
                <w:color w:val="auto"/>
                <w:spacing w:val="9"/>
                <w:sz w:val="20"/>
                <w:szCs w:val="20"/>
                <w:highlight w:val="none"/>
              </w:rPr>
              <w:t>推动更多紧密型县域医共体纳入医疗卫生强基工程建设项目。培育一批县域省级临床重点专科，在基层医疗卫生机构培育建设</w:t>
            </w:r>
            <w:r>
              <w:rPr>
                <w:rFonts w:hint="eastAsia" w:ascii="仿宋" w:hAnsi="仿宋" w:eastAsia="仿宋" w:cs="仿宋"/>
                <w:color w:val="auto"/>
                <w:spacing w:val="9"/>
                <w:sz w:val="20"/>
                <w:szCs w:val="20"/>
                <w:highlight w:val="none"/>
                <w:lang w:val="en-US" w:eastAsia="zh-CN"/>
              </w:rPr>
              <w:t>30</w:t>
            </w:r>
            <w:r>
              <w:rPr>
                <w:rFonts w:hint="eastAsia" w:ascii="仿宋" w:hAnsi="仿宋" w:eastAsia="仿宋" w:cs="仿宋"/>
                <w:color w:val="auto"/>
                <w:spacing w:val="9"/>
                <w:sz w:val="20"/>
                <w:szCs w:val="20"/>
                <w:highlight w:val="none"/>
              </w:rPr>
              <w:t>个临床特色专科。</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80"/>
              <w:textAlignment w:val="baseline"/>
              <w:rPr>
                <w:rFonts w:ascii="黑体" w:hAnsi="黑体" w:eastAsia="黑体" w:cs="黑体"/>
                <w:spacing w:val="9"/>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80"/>
              <w:textAlignment w:val="baseline"/>
              <w:rPr>
                <w:rFonts w:ascii="黑体" w:hAnsi="黑体" w:eastAsia="黑体" w:cs="黑体"/>
                <w:sz w:val="20"/>
                <w:szCs w:val="20"/>
              </w:rPr>
            </w:pPr>
            <w:r>
              <w:rPr>
                <w:rFonts w:ascii="黑体" w:hAnsi="黑体" w:eastAsia="黑体" w:cs="黑体"/>
                <w:spacing w:val="9"/>
                <w:sz w:val="20"/>
                <w:szCs w:val="20"/>
              </w:rPr>
              <w:t>康复护理扩容提升工程</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243" w:right="45" w:firstLine="6"/>
              <w:textAlignment w:val="baseline"/>
              <w:rPr>
                <w:rFonts w:ascii="仿宋" w:hAnsi="仿宋" w:eastAsia="仿宋" w:cs="仿宋"/>
                <w:sz w:val="20"/>
                <w:szCs w:val="20"/>
              </w:rPr>
            </w:pPr>
            <w:r>
              <w:rPr>
                <w:rFonts w:hint="eastAsia" w:ascii="仿宋" w:hAnsi="仿宋" w:eastAsia="仿宋" w:cs="仿宋"/>
                <w:spacing w:val="9"/>
                <w:sz w:val="20"/>
                <w:szCs w:val="20"/>
              </w:rPr>
              <w:t>组建韶关市康复专科联盟，健全以二级医院为主体，基层医疗卫生机构为网底，三级医院提供技术指导，社会办医、医养结合机构等共同参与的康复护理服务网络。</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80"/>
              <w:textAlignment w:val="baseline"/>
              <w:rPr>
                <w:rFonts w:ascii="黑体" w:hAnsi="黑体" w:eastAsia="黑体" w:cs="黑体"/>
                <w:spacing w:val="7"/>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80"/>
              <w:textAlignment w:val="baseline"/>
              <w:rPr>
                <w:rFonts w:hint="eastAsia" w:ascii="仿宋" w:hAnsi="仿宋" w:eastAsia="仿宋" w:cs="仿宋"/>
                <w:spacing w:val="0"/>
                <w:sz w:val="20"/>
                <w:szCs w:val="20"/>
              </w:rPr>
            </w:pPr>
            <w:r>
              <w:rPr>
                <w:rFonts w:ascii="黑体" w:hAnsi="黑体" w:eastAsia="黑体" w:cs="黑体"/>
                <w:spacing w:val="7"/>
                <w:sz w:val="20"/>
                <w:szCs w:val="20"/>
              </w:rPr>
              <w:t>中医医疗服务能力提升工程</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243" w:right="45" w:firstLine="6"/>
              <w:textAlignment w:val="baseline"/>
              <w:rPr>
                <w:rFonts w:ascii="仿宋" w:hAnsi="仿宋" w:eastAsia="仿宋" w:cs="仿宋"/>
                <w:spacing w:val="7"/>
                <w:sz w:val="20"/>
                <w:szCs w:val="20"/>
              </w:rPr>
            </w:pPr>
            <w:r>
              <w:rPr>
                <w:rFonts w:hint="eastAsia" w:ascii="仿宋" w:hAnsi="仿宋" w:eastAsia="仿宋" w:cs="仿宋"/>
                <w:spacing w:val="0"/>
                <w:sz w:val="20"/>
                <w:szCs w:val="20"/>
              </w:rPr>
              <w:t>实施</w:t>
            </w:r>
            <w:r>
              <w:rPr>
                <w:rFonts w:hint="eastAsia" w:ascii="仿宋" w:hAnsi="仿宋" w:eastAsia="仿宋" w:cs="仿宋"/>
                <w:spacing w:val="7"/>
                <w:sz w:val="20"/>
                <w:szCs w:val="20"/>
              </w:rPr>
              <w:t>基层医疗机构中医馆（阁）服务能力提升行动。发挥市级区域治未病指导中心和市治未病服务质量控制中心职能作用。</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255"/>
              <w:textAlignment w:val="baseline"/>
              <w:rPr>
                <w:rFonts w:ascii="仿宋" w:hAnsi="仿宋" w:eastAsia="仿宋" w:cs="仿宋"/>
                <w:spacing w:val="7"/>
                <w:sz w:val="20"/>
                <w:szCs w:val="20"/>
              </w:rPr>
            </w:pPr>
          </w:p>
        </w:tc>
      </w:tr>
    </w:tbl>
    <w:p>
      <w:pPr>
        <w:rPr>
          <w:rFonts w:hint="eastAsia" w:ascii="黑体" w:hAnsi="黑体" w:eastAsia="黑体" w:cs="黑体"/>
          <w:spacing w:val="0"/>
          <w:sz w:val="32"/>
          <w:szCs w:val="32"/>
        </w:rPr>
      </w:pPr>
    </w:p>
    <w:p>
      <w:pPr>
        <w:ind w:firstLine="640" w:firstLineChars="200"/>
        <w:rPr>
          <w:rFonts w:hint="eastAsia" w:ascii="黑体" w:hAnsi="黑体" w:eastAsia="黑体" w:cs="黑体"/>
          <w:spacing w:val="0"/>
          <w:sz w:val="32"/>
          <w:szCs w:val="32"/>
        </w:rPr>
      </w:pPr>
      <w:r>
        <w:rPr>
          <w:rFonts w:hint="eastAsia" w:ascii="黑体" w:hAnsi="黑体" w:eastAsia="黑体" w:cs="黑体"/>
          <w:spacing w:val="0"/>
          <w:sz w:val="32"/>
          <w:szCs w:val="32"/>
        </w:rPr>
        <w:t>六、打造全人群全生命周期健康服务</w:t>
      </w:r>
    </w:p>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（一）优化健康促进服务。</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建强健康教育专业机构，健全健康科普专家库。丰富健康科普资源供给，规范互联网健康科普行为。加强健康危险因素和重点疾病健康教育，实施健康生活方式行动，不断提升全市居民健康素养水平。深入实施国民营养计划，强化重点人群针对性营养干预。完善免疫规划政策，推动部分疫苗纳入地方免疫规划或免费接种项目。加强近视、肥胖等学生常见病及健康影响因素监测与干预。深入开展环境健康综合监测，推动环境健康风险评估。</w:t>
      </w:r>
    </w:p>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（二）强化慢性病综合防控。</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进一步完善慢性病监测与多部门协同机制，开展重大慢性病综合防控。完善慢性病监测网络，推进慢性病综合示范区常态化建设。强化基层医疗卫生机构慢病一体化管理中心建设，提升家庭医生签约服务管理成效。完善重大慢性病医防融合、多学科合作、覆盖院内外的“防、筛、治、管、康”全链条连续性健康管理服务，强化多病同防共管。</w:t>
      </w:r>
    </w:p>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（三）完善生育支持政策体系。</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坚持生育友好建设导向，健全生育激励配套机制，打造宜居宜育的生育友好型城市。筑牢全市人口动态监测预警体系，加强出生人口性别比综合治理。落实计划生育奖励扶助、婚育休假和育儿补贴制度。优化婚前、孕前保健</w:t>
      </w:r>
      <w:bookmarkStart w:id="8" w:name="OLE_LINK1"/>
      <w:r>
        <w:rPr>
          <w:rFonts w:hint="eastAsia" w:ascii="仿宋_GB2312" w:hAnsi="仿宋_GB2312" w:eastAsia="仿宋_GB2312" w:cs="仿宋_GB2312"/>
          <w:spacing w:val="0"/>
          <w:sz w:val="32"/>
          <w:szCs w:val="32"/>
        </w:rPr>
        <w:t>服务</w:t>
      </w:r>
      <w:bookmarkEnd w:id="8"/>
      <w:r>
        <w:rPr>
          <w:rFonts w:hint="eastAsia" w:ascii="仿宋_GB2312" w:hAnsi="仿宋_GB2312" w:eastAsia="仿宋_GB2312" w:cs="仿宋_GB2312"/>
          <w:spacing w:val="0"/>
          <w:sz w:val="32"/>
          <w:szCs w:val="32"/>
        </w:rPr>
        <w:t>，规范早孕门诊建设和服务，加快构建“1＋N”</w:t>
      </w:r>
      <w:r>
        <w:rPr>
          <w:rFonts w:hint="eastAsia" w:ascii="仿宋_GB2312" w:hAnsi="仿宋_GB2312" w:eastAsia="仿宋_GB2312" w:cs="仿宋_GB2312"/>
          <w:spacing w:val="0"/>
          <w:sz w:val="32"/>
          <w:szCs w:val="32"/>
          <w:vertAlign w:val="superscript"/>
          <w:lang w:val="en-US" w:eastAsia="zh-CN"/>
        </w:rPr>
        <w:t>2</w:t>
      </w:r>
      <w:r>
        <w:rPr>
          <w:rFonts w:hint="eastAsia" w:ascii="仿宋_GB2312" w:hAnsi="仿宋_GB2312" w:eastAsia="仿宋_GB2312" w:cs="仿宋_GB2312"/>
          <w:spacing w:val="0"/>
          <w:sz w:val="32"/>
          <w:szCs w:val="32"/>
        </w:rPr>
        <w:t>托育服</w:t>
      </w:r>
      <w:r>
        <w:rPr>
          <w:rFonts w:hint="eastAsia" w:ascii="仿宋_GB2312" w:hAnsi="仿宋_GB2312" w:eastAsia="仿宋_GB2312" w:cs="仿宋_GB2312"/>
          <w:spacing w:val="-3"/>
          <w:sz w:val="32"/>
          <w:szCs w:val="32"/>
        </w:rPr>
        <w:t>务体系</w:t>
      </w:r>
      <w:r>
        <w:rPr>
          <w:rFonts w:hint="eastAsia"/>
          <w:spacing w:val="6"/>
          <w:highlight w:val="none"/>
          <w:lang w:eastAsia="zh-CN"/>
        </w:rPr>
        <w:t>，</w:t>
      </w:r>
      <w:r>
        <w:rPr>
          <w:rFonts w:hint="eastAsia" w:ascii="仿宋_GB2312" w:hAnsi="仿宋_GB2312" w:eastAsia="仿宋_GB2312" w:cs="仿宋_GB2312"/>
          <w:spacing w:val="0"/>
          <w:sz w:val="32"/>
          <w:szCs w:val="32"/>
        </w:rPr>
        <w:t>因地制宜提高入托率</w:t>
      </w:r>
      <w:r>
        <w:rPr>
          <w:rFonts w:hint="eastAsia" w:ascii="仿宋_GB2312" w:hAnsi="仿宋_GB2312" w:eastAsia="仿宋_GB2312" w:cs="仿宋_GB2312"/>
          <w:spacing w:val="0"/>
          <w:sz w:val="32"/>
          <w:szCs w:val="32"/>
          <w:lang w:eastAsia="zh-CN"/>
        </w:rPr>
        <w:t>。探索建立适配我市城乡发展水平的产假补贴、托育服务机构补贴机制</w:t>
      </w:r>
      <w:r>
        <w:rPr>
          <w:rFonts w:hint="eastAsia" w:ascii="仿宋_GB2312" w:hAnsi="仿宋_GB2312" w:eastAsia="仿宋_GB2312" w:cs="仿宋_GB2312"/>
          <w:spacing w:val="0"/>
          <w:sz w:val="32"/>
          <w:szCs w:val="32"/>
        </w:rPr>
        <w:t>。</w:t>
      </w:r>
    </w:p>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textAlignment w:val="baseline"/>
        <w:rPr>
          <w:rFonts w:hint="eastAsia" w:ascii="楷体_GB2312" w:hAnsi="楷体_GB2312" w:eastAsia="楷体_GB2312" w:cs="楷体_GB2312"/>
          <w:spacing w:val="0"/>
          <w:position w:val="0"/>
          <w:sz w:val="32"/>
          <w:szCs w:val="32"/>
        </w:rPr>
      </w:pPr>
      <w:r>
        <w:rPr>
          <w:rFonts w:hint="eastAsia" w:ascii="楷体_GB2312" w:hAnsi="楷体_GB2312" w:eastAsia="楷体_GB2312" w:cs="楷体_GB2312"/>
          <w:spacing w:val="0"/>
          <w:position w:val="0"/>
          <w:sz w:val="32"/>
          <w:szCs w:val="32"/>
        </w:rPr>
        <w:t>（四）加强妇女与儿童青少年健康服务。</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position w:val="0"/>
          <w:sz w:val="32"/>
          <w:szCs w:val="32"/>
        </w:rPr>
      </w:pPr>
      <w:r>
        <w:rPr>
          <w:rFonts w:hint="eastAsia" w:ascii="仿宋_GB2312" w:hAnsi="仿宋_GB2312" w:eastAsia="仿宋_GB2312" w:cs="仿宋_GB2312"/>
          <w:spacing w:val="0"/>
          <w:position w:val="0"/>
          <w:sz w:val="32"/>
          <w:szCs w:val="32"/>
        </w:rPr>
        <w:t>加速落实消除宫颈癌行动计划，适龄妇女宫颈癌人群筛查率达到70%以上，宫颈癌患者治疗率达到90%以上，乳腺癌人群筛查率逐步提高。消除艾滋病、梅毒和乙肝母婴传播，强化儿童健康全过程管理。力争儿童友好医院、生育友好医院建成比例达到90%。实施儿童青少年“五健”</w:t>
      </w:r>
      <w:r>
        <w:rPr>
          <w:rFonts w:hint="eastAsia" w:ascii="仿宋_GB2312" w:hAnsi="仿宋_GB2312" w:eastAsia="仿宋_GB2312" w:cs="仿宋_GB2312"/>
          <w:spacing w:val="0"/>
          <w:position w:val="0"/>
          <w:sz w:val="32"/>
          <w:szCs w:val="32"/>
          <w:vertAlign w:val="superscript"/>
          <w:lang w:val="en-US" w:eastAsia="zh-CN"/>
        </w:rPr>
        <w:t>3</w:t>
      </w:r>
      <w:r>
        <w:rPr>
          <w:rFonts w:hint="eastAsia" w:ascii="仿宋_GB2312" w:hAnsi="仿宋_GB2312" w:eastAsia="仿宋_GB2312" w:cs="仿宋_GB2312"/>
          <w:spacing w:val="0"/>
          <w:position w:val="0"/>
          <w:sz w:val="32"/>
          <w:szCs w:val="32"/>
        </w:rPr>
        <w:t>促进行动。加强县域妇幼健康、危重症救治、妇幼专科能力建设，全面完成“两纲两规”</w:t>
      </w:r>
      <w:r>
        <w:rPr>
          <w:rFonts w:hint="eastAsia" w:ascii="仿宋_GB2312" w:hAnsi="仿宋_GB2312" w:eastAsia="仿宋_GB2312" w:cs="仿宋_GB2312"/>
          <w:spacing w:val="0"/>
          <w:position w:val="0"/>
          <w:sz w:val="32"/>
          <w:szCs w:val="32"/>
          <w:vertAlign w:val="superscript"/>
          <w:lang w:val="en-US" w:eastAsia="zh-CN"/>
        </w:rPr>
        <w:t>4</w:t>
      </w:r>
      <w:r>
        <w:rPr>
          <w:rFonts w:hint="eastAsia" w:ascii="仿宋_GB2312" w:hAnsi="仿宋_GB2312" w:eastAsia="仿宋_GB2312" w:cs="仿宋_GB2312"/>
          <w:spacing w:val="0"/>
          <w:position w:val="0"/>
          <w:sz w:val="32"/>
          <w:szCs w:val="32"/>
        </w:rPr>
        <w:t>妇女儿童健康目标要求。</w:t>
      </w:r>
    </w:p>
    <w:p>
      <w:pPr>
        <w:pStyle w:val="5"/>
        <w:keepNext w:val="0"/>
        <w:keepLines w:val="0"/>
        <w:pageBreakBefore w:val="0"/>
        <w:widowControl/>
        <w:kinsoku w:val="0"/>
        <w:wordWrap/>
        <w:overflowPunct/>
        <w:topLinePunct w:val="0"/>
        <w:autoSpaceDE w:val="0"/>
        <w:autoSpaceDN w:val="0"/>
        <w:bidi w:val="0"/>
        <w:adjustRightInd w:val="0"/>
        <w:snapToGrid w:val="0"/>
        <w:spacing w:line="200" w:lineRule="exact"/>
        <w:ind w:right="91" w:firstLine="616" w:firstLineChars="200"/>
        <w:jc w:val="both"/>
        <w:textAlignment w:val="baseline"/>
        <w:rPr>
          <w:rFonts w:hint="eastAsia" w:ascii="Times New Roman" w:hAnsi="Times New Roman" w:eastAsia="宋体" w:cs="Times New Roman"/>
          <w:spacing w:val="-6"/>
          <w:w w:val="100"/>
          <w:position w:val="0"/>
          <w:sz w:val="11"/>
          <w:szCs w:val="11"/>
          <w:lang w:val="en-US" w:eastAsia="zh-CN"/>
        </w:rPr>
      </w:pPr>
      <w:r>
        <w:rPr>
          <w:rFonts w:hint="eastAsia" w:ascii="仿宋_GB2312" w:hAnsi="仿宋_GB2312" w:eastAsia="仿宋_GB2312" w:cs="仿宋_GB2312"/>
          <w:spacing w:val="-6"/>
          <w:w w:val="100"/>
          <w:position w:val="0"/>
          <w:sz w:val="32"/>
          <w:szCs w:val="32"/>
        </w:rPr>
        <mc:AlternateContent>
          <mc:Choice Requires="wps">
            <w:drawing>
              <wp:anchor distT="0" distB="0" distL="114300" distR="114300" simplePos="0" relativeHeight="251662336" behindDoc="0" locked="0" layoutInCell="1" allowOverlap="1">
                <wp:simplePos x="0" y="0"/>
                <wp:positionH relativeFrom="column">
                  <wp:posOffset>135890</wp:posOffset>
                </wp:positionH>
                <wp:positionV relativeFrom="paragraph">
                  <wp:posOffset>59055</wp:posOffset>
                </wp:positionV>
                <wp:extent cx="1828800" cy="0"/>
                <wp:effectExtent l="0" t="0" r="0" b="0"/>
                <wp:wrapNone/>
                <wp:docPr id="3" name="任意多边形 3"/>
                <wp:cNvGraphicFramePr/>
                <a:graphic xmlns:a="http://schemas.openxmlformats.org/drawingml/2006/main">
                  <a:graphicData uri="http://schemas.microsoft.com/office/word/2010/wordprocessingShape">
                    <wps:wsp>
                      <wps:cNvSpPr/>
                      <wps:spPr>
                        <a:xfrm>
                          <a:off x="0" y="0"/>
                          <a:ext cx="1828800" cy="0"/>
                        </a:xfrm>
                        <a:custGeom>
                          <a:avLst/>
                          <a:gdLst/>
                          <a:ahLst/>
                          <a:cxnLst/>
                          <a:pathLst>
                            <a:path w="2880">
                              <a:moveTo>
                                <a:pt x="0" y="0"/>
                              </a:moveTo>
                              <a:lnTo>
                                <a:pt x="2880" y="0"/>
                              </a:lnTo>
                            </a:path>
                          </a:pathLst>
                        </a:custGeom>
                        <a:noFill/>
                        <a:ln w="0" cap="sq"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10.7pt;margin-top:4.65pt;height:0pt;width:144pt;z-index:251662336;mso-width-relative:page;mso-height-relative:page;" filled="f" stroked="t" coordsize="2880,1" o:gfxdata="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J0o+hHR&#10;AAAABgEAAA8AAAAAAAAAAQAgAAAAIgAAAGRycy9kb3ducmV2LnhtbFBLAQIUABQAAAAIAIdO4kDd&#10;4X3VJwIAAIcEAAAOAAAAAAAAAAEAIAAAACABAABkcnMvZTJvRG9jLnhtbFBLBQYAAAAABgAGAFkB&#10;AAC5BQAAAAA=&#10;" path="m0,0l2880,0e">
                <v:fill on="f" focussize="0,0"/>
                <v:stroke weight="0pt" color="#000000" joinstyle="bevel" endcap="square"/>
                <v:imagedata o:title=""/>
                <o:lock v:ext="edit" aspectratio="f"/>
              </v:shape>
            </w:pict>
          </mc:Fallback>
        </mc:AlternateContent>
      </w:r>
    </w:p>
    <w:p>
      <w:pPr>
        <w:pStyle w:val="5"/>
        <w:keepNext w:val="0"/>
        <w:keepLines w:val="0"/>
        <w:pageBreakBefore w:val="0"/>
        <w:widowControl/>
        <w:kinsoku w:val="0"/>
        <w:wordWrap/>
        <w:overflowPunct/>
        <w:topLinePunct w:val="0"/>
        <w:autoSpaceDE w:val="0"/>
        <w:autoSpaceDN w:val="0"/>
        <w:bidi w:val="0"/>
        <w:adjustRightInd w:val="0"/>
        <w:snapToGrid w:val="0"/>
        <w:spacing w:line="200" w:lineRule="exact"/>
        <w:ind w:right="91" w:firstLine="196" w:firstLineChars="200"/>
        <w:jc w:val="both"/>
        <w:textAlignment w:val="baseline"/>
        <w:rPr>
          <w:spacing w:val="-6"/>
          <w:w w:val="100"/>
          <w:position w:val="0"/>
          <w:sz w:val="18"/>
          <w:szCs w:val="18"/>
        </w:rPr>
      </w:pPr>
      <w:r>
        <w:rPr>
          <w:rFonts w:hint="eastAsia" w:ascii="Times New Roman" w:hAnsi="Times New Roman" w:eastAsia="宋体" w:cs="Times New Roman"/>
          <w:spacing w:val="-6"/>
          <w:w w:val="100"/>
          <w:position w:val="0"/>
          <w:sz w:val="11"/>
          <w:szCs w:val="11"/>
          <w:lang w:val="en-US" w:eastAsia="zh-CN"/>
        </w:rPr>
        <w:t>2</w:t>
      </w:r>
      <w:r>
        <w:rPr>
          <w:rFonts w:ascii="Times New Roman" w:hAnsi="Times New Roman" w:eastAsia="Times New Roman" w:cs="Times New Roman"/>
          <w:spacing w:val="-6"/>
          <w:w w:val="100"/>
          <w:position w:val="0"/>
          <w:sz w:val="11"/>
          <w:szCs w:val="11"/>
        </w:rPr>
        <w:t xml:space="preserve">   </w:t>
      </w:r>
      <w:r>
        <w:rPr>
          <w:spacing w:val="-6"/>
          <w:w w:val="100"/>
          <w:position w:val="0"/>
          <w:sz w:val="18"/>
          <w:szCs w:val="18"/>
        </w:rPr>
        <w:t>“1”是指托育综合服务中心，发挥示范引领、辐射带动作用，促进区域托育服务发展，“N”是指托育机构、社区嵌入式托育、幼儿园托班、用人单位办托、家庭托育点等</w:t>
      </w:r>
      <w:r>
        <w:rPr>
          <w:rFonts w:hint="eastAsia"/>
          <w:spacing w:val="-6"/>
          <w:w w:val="100"/>
          <w:position w:val="0"/>
          <w:sz w:val="18"/>
          <w:szCs w:val="18"/>
          <w:lang w:eastAsia="zh-CN"/>
        </w:rPr>
        <w:t>多种形式</w:t>
      </w:r>
      <w:r>
        <w:rPr>
          <w:spacing w:val="-6"/>
          <w:w w:val="100"/>
          <w:position w:val="0"/>
          <w:sz w:val="18"/>
          <w:szCs w:val="18"/>
        </w:rPr>
        <w:t>的托育服务机构，满足群众多层次多样化托育服务需求。</w:t>
      </w:r>
    </w:p>
    <w:p>
      <w:pPr>
        <w:pStyle w:val="5"/>
        <w:keepNext w:val="0"/>
        <w:keepLines w:val="0"/>
        <w:pageBreakBefore w:val="0"/>
        <w:widowControl/>
        <w:kinsoku w:val="0"/>
        <w:wordWrap/>
        <w:overflowPunct/>
        <w:topLinePunct w:val="0"/>
        <w:autoSpaceDE w:val="0"/>
        <w:autoSpaceDN w:val="0"/>
        <w:bidi w:val="0"/>
        <w:adjustRightInd w:val="0"/>
        <w:snapToGrid w:val="0"/>
        <w:spacing w:line="200" w:lineRule="exact"/>
        <w:ind w:right="91" w:firstLine="196" w:firstLineChars="200"/>
        <w:jc w:val="both"/>
        <w:textAlignment w:val="baseline"/>
        <w:rPr>
          <w:rFonts w:hint="eastAsia"/>
          <w:spacing w:val="-6"/>
          <w:w w:val="100"/>
          <w:position w:val="0"/>
          <w:sz w:val="18"/>
          <w:szCs w:val="18"/>
        </w:rPr>
      </w:pPr>
      <w:r>
        <w:rPr>
          <w:rFonts w:hint="eastAsia" w:ascii="Times New Roman" w:hAnsi="Times New Roman" w:eastAsia="宋体" w:cs="Times New Roman"/>
          <w:spacing w:val="-6"/>
          <w:w w:val="100"/>
          <w:position w:val="0"/>
          <w:sz w:val="11"/>
          <w:szCs w:val="11"/>
          <w:lang w:val="en-US" w:eastAsia="zh-CN"/>
        </w:rPr>
        <w:t xml:space="preserve">3   </w:t>
      </w:r>
      <w:r>
        <w:rPr>
          <w:rFonts w:hint="eastAsia"/>
          <w:spacing w:val="-6"/>
          <w:w w:val="100"/>
          <w:position w:val="0"/>
          <w:sz w:val="18"/>
          <w:szCs w:val="18"/>
        </w:rPr>
        <w:t>“五健”指的是体重、视力、心理、骨骼、口腔健康。</w:t>
      </w:r>
    </w:p>
    <w:p>
      <w:pPr>
        <w:pStyle w:val="5"/>
        <w:keepNext w:val="0"/>
        <w:keepLines w:val="0"/>
        <w:pageBreakBefore w:val="0"/>
        <w:widowControl/>
        <w:kinsoku w:val="0"/>
        <w:wordWrap/>
        <w:overflowPunct/>
        <w:topLinePunct w:val="0"/>
        <w:autoSpaceDE w:val="0"/>
        <w:autoSpaceDN w:val="0"/>
        <w:bidi w:val="0"/>
        <w:adjustRightInd w:val="0"/>
        <w:snapToGrid w:val="0"/>
        <w:spacing w:line="200" w:lineRule="exact"/>
        <w:ind w:right="91" w:firstLine="196" w:firstLineChars="200"/>
        <w:jc w:val="both"/>
        <w:textAlignment w:val="baseline"/>
        <w:rPr>
          <w:rFonts w:hint="eastAsia" w:ascii="楷体_GB2312" w:hAnsi="楷体_GB2312" w:eastAsia="楷体_GB2312" w:cs="楷体_GB2312"/>
          <w:spacing w:val="0"/>
          <w:position w:val="0"/>
          <w:sz w:val="32"/>
          <w:szCs w:val="32"/>
        </w:rPr>
      </w:pPr>
      <w:r>
        <w:rPr>
          <w:rFonts w:hint="eastAsia" w:ascii="Times New Roman" w:hAnsi="Times New Roman" w:eastAsia="宋体" w:cs="Times New Roman"/>
          <w:spacing w:val="-6"/>
          <w:w w:val="100"/>
          <w:position w:val="0"/>
          <w:sz w:val="11"/>
          <w:szCs w:val="11"/>
          <w:lang w:val="en-US" w:eastAsia="zh-CN"/>
        </w:rPr>
        <w:t xml:space="preserve">4    </w:t>
      </w:r>
      <w:r>
        <w:rPr>
          <w:rFonts w:hint="eastAsia"/>
          <w:spacing w:val="-6"/>
          <w:w w:val="100"/>
          <w:position w:val="0"/>
          <w:sz w:val="18"/>
          <w:szCs w:val="18"/>
        </w:rPr>
        <w:t>“两纲两规”指的是《中国妇女发展纲要（2021-2030年）》《中国儿童发展纲要（2021-2030年）》《韶关市妇女发展规划（2021-2030年）》《韶关市儿童发展规划（2021-2030年）》</w:t>
      </w:r>
    </w:p>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textAlignment w:val="baseline"/>
        <w:rPr>
          <w:rFonts w:hint="eastAsia" w:ascii="楷体_GB2312" w:hAnsi="楷体_GB2312" w:eastAsia="楷体_GB2312" w:cs="楷体_GB2312"/>
          <w:spacing w:val="0"/>
          <w:position w:val="0"/>
          <w:sz w:val="32"/>
          <w:szCs w:val="32"/>
        </w:rPr>
      </w:pPr>
      <w:r>
        <w:rPr>
          <w:rFonts w:hint="eastAsia" w:ascii="楷体_GB2312" w:hAnsi="楷体_GB2312" w:eastAsia="楷体_GB2312" w:cs="楷体_GB2312"/>
          <w:spacing w:val="0"/>
          <w:position w:val="0"/>
          <w:sz w:val="32"/>
          <w:szCs w:val="32"/>
        </w:rPr>
        <w:t>（五）促进健康老龄化。</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position w:val="0"/>
          <w:sz w:val="32"/>
          <w:szCs w:val="32"/>
        </w:rPr>
      </w:pPr>
      <w:r>
        <w:rPr>
          <w:rFonts w:hint="eastAsia" w:ascii="仿宋_GB2312" w:hAnsi="仿宋_GB2312" w:eastAsia="仿宋_GB2312" w:cs="仿宋_GB2312"/>
          <w:spacing w:val="0"/>
          <w:position w:val="0"/>
          <w:sz w:val="32"/>
          <w:szCs w:val="32"/>
        </w:rPr>
        <w:t>开展老年健康科普宣传，加强老年医学、安宁疗护等科室建设，推动医疗卫生机构适老化改造。提高老年人城乡社区规范健康管理服务率、中医药健康管理率，全面开展老年期痴呆初筛。推进医养结合服务提质扩容增效工作，推动拓展居家和社区医养结合服务，提升医养结合服务能力。探索应用智能监护、康复辅助、照护服务等技术设施设备。</w:t>
      </w:r>
    </w:p>
    <w:p>
      <w:pPr>
        <w:keepNext w:val="0"/>
        <w:keepLines w:val="0"/>
        <w:pageBreakBefore w:val="0"/>
        <w:wordWrap/>
        <w:topLinePunct w:val="0"/>
        <w:bidi w:val="0"/>
        <w:adjustRightInd w:val="0"/>
        <w:snapToGrid w:val="0"/>
        <w:spacing w:line="560" w:lineRule="exact"/>
        <w:ind w:firstLine="640" w:firstLineChars="200"/>
        <w:textAlignment w:val="baseline"/>
        <w:rPr>
          <w:rFonts w:hint="eastAsia" w:ascii="楷体_GB2312" w:hAnsi="楷体_GB2312" w:eastAsia="楷体_GB2312" w:cs="楷体_GB2312"/>
          <w:spacing w:val="0"/>
          <w:position w:val="0"/>
          <w:sz w:val="32"/>
          <w:szCs w:val="32"/>
        </w:rPr>
      </w:pPr>
      <w:r>
        <w:rPr>
          <w:rFonts w:hint="eastAsia" w:ascii="楷体_GB2312" w:hAnsi="楷体_GB2312" w:eastAsia="楷体_GB2312" w:cs="楷体_GB2312"/>
          <w:spacing w:val="0"/>
          <w:position w:val="0"/>
          <w:sz w:val="32"/>
          <w:szCs w:val="32"/>
        </w:rPr>
        <w:t>（六）加强职业人群健康保护。</w:t>
      </w:r>
    </w:p>
    <w:p>
      <w:pPr>
        <w:pStyle w:val="5"/>
        <w:keepNext w:val="0"/>
        <w:keepLines w:val="0"/>
        <w:pageBreakBefore w:val="0"/>
        <w:wordWrap/>
        <w:topLinePunct w:val="0"/>
        <w:bidi w:val="0"/>
        <w:adjustRightInd w:val="0"/>
        <w:snapToGrid w:val="0"/>
        <w:spacing w:line="560" w:lineRule="exact"/>
        <w:ind w:right="88" w:firstLine="640" w:firstLineChars="200"/>
        <w:textAlignment w:val="baseline"/>
        <w:rPr>
          <w:rFonts w:hint="eastAsia" w:ascii="仿宋_GB2312" w:hAnsi="仿宋_GB2312" w:eastAsia="仿宋_GB2312" w:cs="仿宋_GB2312"/>
          <w:spacing w:val="0"/>
          <w:position w:val="0"/>
          <w:sz w:val="32"/>
          <w:szCs w:val="32"/>
        </w:rPr>
      </w:pPr>
      <w:r>
        <w:rPr>
          <w:rFonts w:hint="eastAsia" w:ascii="仿宋_GB2312" w:hAnsi="仿宋_GB2312" w:eastAsia="仿宋_GB2312" w:cs="仿宋_GB2312"/>
          <w:spacing w:val="0"/>
          <w:position w:val="0"/>
          <w:sz w:val="32"/>
          <w:szCs w:val="32"/>
        </w:rPr>
        <w:t>健全职业病防治联防联控机制，压实部门监管与用人单位主体责任。聚焦重点区域、行业、企业危害专项治理，引导企业推广职业病防治新技术</w:t>
      </w:r>
      <w:r>
        <w:rPr>
          <w:rFonts w:hint="eastAsia" w:ascii="仿宋_GB2312" w:hAnsi="仿宋_GB2312" w:eastAsia="仿宋_GB2312" w:cs="仿宋_GB2312"/>
          <w:spacing w:val="0"/>
          <w:position w:val="0"/>
          <w:sz w:val="32"/>
          <w:szCs w:val="32"/>
          <w:lang w:eastAsia="zh-CN"/>
        </w:rPr>
        <w:t>、新</w:t>
      </w:r>
      <w:r>
        <w:rPr>
          <w:rFonts w:hint="eastAsia" w:ascii="仿宋_GB2312" w:hAnsi="仿宋_GB2312" w:eastAsia="仿宋_GB2312" w:cs="仿宋_GB2312"/>
          <w:spacing w:val="0"/>
          <w:position w:val="0"/>
          <w:sz w:val="32"/>
          <w:szCs w:val="32"/>
        </w:rPr>
        <w:t>工艺、设备与材料。实施职业健康服务项</w:t>
      </w:r>
      <w:bookmarkStart w:id="9" w:name="bookmark7"/>
      <w:bookmarkEnd w:id="9"/>
      <w:bookmarkStart w:id="10" w:name="bookmark6"/>
      <w:bookmarkEnd w:id="10"/>
      <w:r>
        <w:rPr>
          <w:rFonts w:hint="eastAsia" w:ascii="仿宋_GB2312" w:hAnsi="仿宋_GB2312" w:eastAsia="仿宋_GB2312" w:cs="仿宋_GB2312"/>
          <w:spacing w:val="0"/>
          <w:position w:val="0"/>
          <w:sz w:val="32"/>
          <w:szCs w:val="32"/>
        </w:rPr>
        <w:t>目，深化健康企业建设。健全职业病防治技术支撑和健康宣教体系，提升技术服务能力和全民职业健康素养。</w:t>
      </w:r>
    </w:p>
    <w:p>
      <w:pPr>
        <w:keepNext w:val="0"/>
        <w:keepLines w:val="0"/>
        <w:pageBreakBefore w:val="0"/>
        <w:widowControl w:val="0"/>
        <w:kinsoku/>
        <w:wordWrap/>
        <w:overflowPunct w:val="0"/>
        <w:topLinePunct w:val="0"/>
        <w:autoSpaceDE/>
        <w:autoSpaceDN/>
        <w:bidi w:val="0"/>
        <w:adjustRightInd w:val="0"/>
        <w:snapToGrid w:val="0"/>
        <w:spacing w:line="560" w:lineRule="exact"/>
        <w:ind w:left="0" w:firstLine="640" w:firstLineChars="200"/>
        <w:textAlignment w:val="baseline"/>
        <w:rPr>
          <w:rFonts w:hint="eastAsia" w:ascii="楷体_GB2312" w:hAnsi="楷体_GB2312" w:eastAsia="楷体_GB2312" w:cs="楷体_GB2312"/>
          <w:spacing w:val="0"/>
          <w:w w:val="100"/>
          <w:sz w:val="32"/>
          <w:szCs w:val="32"/>
        </w:rPr>
      </w:pPr>
      <w:bookmarkStart w:id="11" w:name="bookmark8"/>
      <w:bookmarkEnd w:id="11"/>
      <w:r>
        <w:rPr>
          <w:rFonts w:hint="eastAsia" w:ascii="楷体_GB2312" w:hAnsi="楷体_GB2312" w:eastAsia="楷体_GB2312" w:cs="楷体_GB2312"/>
          <w:spacing w:val="0"/>
          <w:w w:val="100"/>
          <w:sz w:val="32"/>
          <w:szCs w:val="32"/>
        </w:rPr>
        <w:t>（七）提升心理健康和精神卫生服务。</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firstLine="638"/>
        <w:jc w:val="both"/>
        <w:textAlignment w:val="baseline"/>
        <w:rPr>
          <w:rFonts w:hint="eastAsia" w:ascii="仿宋_GB2312" w:hAnsi="仿宋_GB2312" w:eastAsia="仿宋_GB2312" w:cs="仿宋_GB2312"/>
          <w:spacing w:val="0"/>
          <w:w w:val="100"/>
          <w:sz w:val="32"/>
          <w:szCs w:val="32"/>
        </w:rPr>
      </w:pPr>
      <w:r>
        <w:rPr>
          <w:rFonts w:hint="eastAsia" w:ascii="仿宋_GB2312" w:hAnsi="仿宋_GB2312" w:eastAsia="仿宋_GB2312" w:cs="仿宋_GB2312"/>
          <w:spacing w:val="0"/>
          <w:w w:val="100"/>
          <w:sz w:val="32"/>
          <w:szCs w:val="32"/>
        </w:rPr>
        <w:t>以提升精神心理健康服务可及性与规范性为目标，构建“市级引领、县域支撑、网络协同”的服务体系。一是支持粤北第三人民医院建强市级精神卫生与心理卫生中心。发挥技术指导、质量控制和人员培训的龙头作用。二是夯实县域服务网底。推动县级医院综合医院规范建设精神科、心理门诊、睡眠门诊及治疗区域。三是推动资源整合协同。组建以市级中心为龙头的精神卫生专科联盟，加强技术帮扶与同质化管理，建立远程会诊、人员进修、质控检查等常态化帮扶与协同机制。四是拓展创新服务模式。面向企事业单位职工、未成年人、孕产妇、孤寡老人等重点人群，提供个性化心理健康宣讲和咨询评估服务，从治疗延伸至预防、筛查、干预与康复全过程，提升公众心理健康水平。</w:t>
      </w:r>
    </w:p>
    <w:tbl>
      <w:tblPr>
        <w:tblStyle w:val="10"/>
        <w:tblpPr w:leftFromText="180" w:rightFromText="180" w:vertAnchor="text" w:horzAnchor="page" w:tblpX="1727" w:tblpY="199"/>
        <w:tblOverlap w:val="never"/>
        <w:tblW w:w="852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6"/>
        <w:gridCol w:w="81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526" w:type="dxa"/>
            <w:gridSpan w:val="2"/>
            <w:vAlign w:val="top"/>
          </w:tcPr>
          <w:p>
            <w:pPr>
              <w:spacing w:before="119" w:line="459" w:lineRule="exact"/>
              <w:ind w:left="1779"/>
              <w:outlineLvl w:val="1"/>
              <w:rPr>
                <w:rFonts w:ascii="方正小标宋简体" w:hAnsi="方正小标宋简体" w:eastAsia="方正小标宋简体" w:cs="方正小标宋简体"/>
                <w:sz w:val="28"/>
                <w:szCs w:val="28"/>
              </w:rPr>
            </w:pPr>
            <w:r>
              <w:rPr>
                <w:rFonts w:ascii="方正小标宋简体" w:hAnsi="方正小标宋简体" w:eastAsia="方正小标宋简体" w:cs="方正小标宋简体"/>
                <w:spacing w:val="3"/>
                <w:position w:val="4"/>
                <w:sz w:val="28"/>
                <w:szCs w:val="28"/>
              </w:rPr>
              <w:t>专栏</w:t>
            </w:r>
            <w:r>
              <w:rPr>
                <w:rFonts w:ascii="Times New Roman" w:hAnsi="Times New Roman" w:eastAsia="Times New Roman" w:cs="Times New Roman"/>
                <w:spacing w:val="3"/>
                <w:position w:val="4"/>
                <w:sz w:val="28"/>
                <w:szCs w:val="28"/>
              </w:rPr>
              <w:t xml:space="preserve">6    </w:t>
            </w:r>
            <w:r>
              <w:rPr>
                <w:rFonts w:ascii="方正小标宋简体" w:hAnsi="方正小标宋简体" w:eastAsia="方正小标宋简体" w:cs="方正小标宋简体"/>
                <w:spacing w:val="3"/>
                <w:position w:val="4"/>
                <w:sz w:val="28"/>
                <w:szCs w:val="28"/>
              </w:rPr>
              <w:t>全人群全生命周期健康服务项目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5" w:hRule="atLeast"/>
        </w:trPr>
        <w:tc>
          <w:tcPr>
            <w:tcW w:w="356" w:type="dxa"/>
            <w:tcBorders>
              <w:right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80" w:lineRule="exact"/>
              <w:ind w:left="132"/>
              <w:textAlignment w:val="baseline"/>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1</w:t>
            </w:r>
          </w:p>
          <w:p>
            <w:pPr>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2"/>
              <w:textAlignment w:val="baseline"/>
              <w:rPr>
                <w:rFonts w:ascii="Times New Roman" w:hAnsi="Times New Roman" w:eastAsia="Times New Roman" w:cs="Times New Roman"/>
                <w:position w:val="1"/>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2"/>
              <w:textAlignment w:val="baseline"/>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2</w:t>
            </w:r>
          </w:p>
          <w:p>
            <w:pPr>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6"/>
              <w:textAlignment w:val="baseline"/>
              <w:rPr>
                <w:rFonts w:ascii="Times New Roman" w:hAnsi="Times New Roman" w:eastAsia="Times New Roman" w:cs="Times New Roman"/>
                <w:position w:val="2"/>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6"/>
              <w:textAlignment w:val="baseline"/>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p>
            <w:pPr>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1"/>
              <w:textAlignment w:val="baseline"/>
              <w:rPr>
                <w:rFonts w:ascii="Times New Roman" w:hAnsi="Times New Roman" w:eastAsia="Times New Roman" w:cs="Times New Roman"/>
                <w:spacing w:val="1"/>
                <w:position w:val="1"/>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1"/>
              <w:textAlignment w:val="baseline"/>
              <w:rPr>
                <w:rFonts w:ascii="Times New Roman" w:hAnsi="Times New Roman" w:eastAsia="Times New Roman" w:cs="Times New Roman"/>
                <w:sz w:val="20"/>
                <w:szCs w:val="20"/>
              </w:rPr>
            </w:pPr>
            <w:r>
              <w:rPr>
                <w:rFonts w:ascii="Times New Roman" w:hAnsi="Times New Roman" w:eastAsia="Times New Roman" w:cs="Times New Roman"/>
                <w:spacing w:val="1"/>
                <w:position w:val="1"/>
                <w:sz w:val="20"/>
                <w:szCs w:val="20"/>
              </w:rPr>
              <w:t>4</w:t>
            </w:r>
          </w:p>
          <w:p>
            <w:pPr>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7"/>
              <w:textAlignment w:val="baseline"/>
              <w:rPr>
                <w:rFonts w:ascii="Times New Roman" w:hAnsi="Times New Roman" w:eastAsia="Times New Roman" w:cs="Times New Roman"/>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7"/>
              <w:textAlignment w:val="baseline"/>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p>
            <w:pPr>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6"/>
              <w:textAlignment w:val="baseline"/>
              <w:rPr>
                <w:rFonts w:ascii="Times New Roman" w:hAnsi="Times New Roman" w:eastAsia="Times New Roman" w:cs="Times New Roman"/>
                <w:position w:val="2"/>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6"/>
              <w:textAlignment w:val="baseline"/>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8170" w:type="dxa"/>
            <w:tcBorders>
              <w:left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80" w:lineRule="exact"/>
              <w:ind w:left="187"/>
              <w:textAlignment w:val="baseline"/>
              <w:rPr>
                <w:rFonts w:ascii="黑体" w:hAnsi="黑体" w:eastAsia="黑体" w:cs="黑体"/>
                <w:color w:val="auto"/>
                <w:sz w:val="20"/>
                <w:szCs w:val="20"/>
              </w:rPr>
            </w:pPr>
            <w:r>
              <w:rPr>
                <w:rFonts w:ascii="黑体" w:hAnsi="黑体" w:eastAsia="黑体" w:cs="黑体"/>
                <w:color w:val="auto"/>
                <w:spacing w:val="8"/>
                <w:sz w:val="20"/>
                <w:szCs w:val="20"/>
              </w:rPr>
              <w:t>重点人群医疗服务补短板项目</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243" w:right="106" w:firstLine="1"/>
              <w:textAlignment w:val="baseline"/>
              <w:rPr>
                <w:rFonts w:hint="eastAsia" w:ascii="仿宋" w:hAnsi="仿宋" w:eastAsia="仿宋" w:cs="仿宋"/>
                <w:color w:val="auto"/>
                <w:sz w:val="20"/>
                <w:szCs w:val="20"/>
                <w:lang w:eastAsia="zh-CN"/>
              </w:rPr>
            </w:pPr>
            <w:r>
              <w:rPr>
                <w:rFonts w:ascii="仿宋" w:hAnsi="仿宋" w:eastAsia="仿宋" w:cs="仿宋"/>
                <w:color w:val="auto"/>
                <w:spacing w:val="11"/>
                <w:sz w:val="20"/>
                <w:szCs w:val="20"/>
              </w:rPr>
              <w:t>推动省精神卫生中心建设，推进地级市精神专科医院、综合医院（儿童医院）精神科</w:t>
            </w:r>
            <w:r>
              <w:rPr>
                <w:rFonts w:ascii="仿宋" w:hAnsi="仿宋" w:eastAsia="仿宋" w:cs="仿宋"/>
                <w:color w:val="auto"/>
                <w:spacing w:val="8"/>
                <w:sz w:val="20"/>
                <w:szCs w:val="20"/>
              </w:rPr>
              <w:t>建设。公立医疗机构精神科床位占比逐年提升</w:t>
            </w:r>
            <w:r>
              <w:rPr>
                <w:rFonts w:ascii="Times New Roman" w:hAnsi="Times New Roman" w:eastAsia="Times New Roman" w:cs="Times New Roman"/>
                <w:color w:val="auto"/>
                <w:spacing w:val="8"/>
                <w:sz w:val="20"/>
                <w:szCs w:val="20"/>
              </w:rPr>
              <w:t>5</w:t>
            </w:r>
            <w:r>
              <w:rPr>
                <w:rFonts w:ascii="Times New Roman" w:hAnsi="Times New Roman" w:eastAsia="Times New Roman" w:cs="Times New Roman"/>
                <w:color w:val="auto"/>
                <w:spacing w:val="7"/>
                <w:sz w:val="20"/>
                <w:szCs w:val="20"/>
              </w:rPr>
              <w:t>%</w:t>
            </w:r>
            <w:r>
              <w:rPr>
                <w:rFonts w:ascii="仿宋" w:hAnsi="仿宋" w:eastAsia="仿宋" w:cs="仿宋"/>
                <w:color w:val="auto"/>
                <w:spacing w:val="7"/>
                <w:sz w:val="20"/>
                <w:szCs w:val="20"/>
              </w:rPr>
              <w:t>。</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84"/>
              <w:textAlignment w:val="baseline"/>
              <w:rPr>
                <w:rFonts w:ascii="黑体" w:hAnsi="黑体" w:eastAsia="黑体" w:cs="黑体"/>
                <w:spacing w:val="8"/>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84"/>
              <w:textAlignment w:val="baseline"/>
              <w:rPr>
                <w:rFonts w:ascii="黑体" w:hAnsi="黑体" w:eastAsia="黑体" w:cs="黑体"/>
                <w:sz w:val="20"/>
                <w:szCs w:val="20"/>
              </w:rPr>
            </w:pPr>
            <w:r>
              <w:rPr>
                <w:rFonts w:ascii="黑体" w:hAnsi="黑体" w:eastAsia="黑体" w:cs="黑体"/>
                <w:spacing w:val="8"/>
                <w:sz w:val="20"/>
                <w:szCs w:val="20"/>
              </w:rPr>
              <w:t>普惠托育扩容提质项目</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243" w:right="106" w:firstLine="1"/>
              <w:textAlignment w:val="baseline"/>
              <w:rPr>
                <w:rFonts w:ascii="仿宋" w:hAnsi="仿宋" w:eastAsia="仿宋" w:cs="仿宋"/>
                <w:sz w:val="20"/>
                <w:szCs w:val="20"/>
              </w:rPr>
            </w:pPr>
            <w:r>
              <w:rPr>
                <w:rFonts w:ascii="仿宋" w:hAnsi="仿宋" w:eastAsia="仿宋" w:cs="仿宋"/>
                <w:spacing w:val="9"/>
                <w:sz w:val="20"/>
                <w:szCs w:val="20"/>
              </w:rPr>
              <w:t>实现市县两级托育服务中心全覆盖，实施托育服务质量提</w:t>
            </w:r>
            <w:r>
              <w:rPr>
                <w:rFonts w:ascii="仿宋" w:hAnsi="仿宋" w:eastAsia="仿宋" w:cs="仿宋"/>
                <w:spacing w:val="8"/>
                <w:sz w:val="20"/>
                <w:szCs w:val="20"/>
              </w:rPr>
              <w:t>升行动。</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287"/>
              <w:textAlignment w:val="baseline"/>
              <w:rPr>
                <w:rFonts w:ascii="黑体" w:hAnsi="黑体" w:eastAsia="黑体" w:cs="黑体"/>
                <w:spacing w:val="9"/>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287"/>
              <w:textAlignment w:val="baseline"/>
              <w:rPr>
                <w:rFonts w:ascii="黑体" w:hAnsi="黑体" w:eastAsia="黑体" w:cs="黑体"/>
                <w:color w:val="auto"/>
                <w:sz w:val="20"/>
                <w:szCs w:val="20"/>
              </w:rPr>
            </w:pPr>
            <w:bookmarkStart w:id="12" w:name="OLE_LINK3"/>
            <w:r>
              <w:rPr>
                <w:rFonts w:ascii="黑体" w:hAnsi="黑体" w:eastAsia="黑体" w:cs="黑体"/>
                <w:color w:val="auto"/>
                <w:spacing w:val="9"/>
                <w:sz w:val="20"/>
                <w:szCs w:val="20"/>
              </w:rPr>
              <w:t>新生儿疾病筛诊治网络项目</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243" w:right="106" w:firstLine="1"/>
              <w:textAlignment w:val="baseline"/>
              <w:rPr>
                <w:rFonts w:ascii="仿宋" w:hAnsi="仿宋" w:eastAsia="仿宋" w:cs="仿宋"/>
                <w:color w:val="auto"/>
                <w:sz w:val="20"/>
                <w:szCs w:val="20"/>
              </w:rPr>
            </w:pPr>
            <w:r>
              <w:rPr>
                <w:rFonts w:hint="eastAsia" w:ascii="仿宋" w:hAnsi="仿宋" w:eastAsia="仿宋" w:cs="仿宋"/>
                <w:color w:val="auto"/>
                <w:spacing w:val="10"/>
                <w:sz w:val="20"/>
                <w:szCs w:val="20"/>
              </w:rPr>
              <w:t>建设至少1家市级新生儿遗传代谢病、听力障碍和先天性心脏病筛查中心</w:t>
            </w:r>
            <w:r>
              <w:rPr>
                <w:rFonts w:ascii="仿宋" w:hAnsi="仿宋" w:eastAsia="仿宋" w:cs="仿宋"/>
                <w:color w:val="auto"/>
                <w:spacing w:val="5"/>
                <w:sz w:val="20"/>
                <w:szCs w:val="20"/>
              </w:rPr>
              <w:t>。</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80"/>
              <w:textAlignment w:val="baseline"/>
              <w:rPr>
                <w:rFonts w:ascii="黑体" w:hAnsi="黑体" w:eastAsia="黑体" w:cs="黑体"/>
                <w:color w:val="FF0000"/>
                <w:spacing w:val="9"/>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80"/>
              <w:textAlignment w:val="baseline"/>
              <w:rPr>
                <w:rFonts w:ascii="黑体" w:hAnsi="黑体" w:eastAsia="黑体" w:cs="黑体"/>
                <w:color w:val="auto"/>
                <w:sz w:val="20"/>
                <w:szCs w:val="20"/>
              </w:rPr>
            </w:pPr>
            <w:bookmarkStart w:id="13" w:name="OLE_LINK2"/>
            <w:r>
              <w:rPr>
                <w:rFonts w:ascii="黑体" w:hAnsi="黑体" w:eastAsia="黑体" w:cs="黑体"/>
                <w:color w:val="auto"/>
                <w:spacing w:val="9"/>
                <w:sz w:val="20"/>
                <w:szCs w:val="20"/>
              </w:rPr>
              <w:t>产前筛查、诊断机构能力提升项目</w:t>
            </w:r>
          </w:p>
          <w:bookmarkEnd w:id="12"/>
          <w:bookmarkEnd w:id="13"/>
          <w:p>
            <w:pPr>
              <w:keepNext w:val="0"/>
              <w:keepLines w:val="0"/>
              <w:pageBreakBefore w:val="0"/>
              <w:widowControl/>
              <w:kinsoku w:val="0"/>
              <w:wordWrap/>
              <w:overflowPunct/>
              <w:topLinePunct w:val="0"/>
              <w:autoSpaceDE w:val="0"/>
              <w:autoSpaceDN w:val="0"/>
              <w:bidi w:val="0"/>
              <w:adjustRightInd w:val="0"/>
              <w:snapToGrid w:val="0"/>
              <w:spacing w:line="280" w:lineRule="exact"/>
              <w:ind w:left="181"/>
              <w:textAlignment w:val="baseline"/>
              <w:rPr>
                <w:rFonts w:ascii="黑体" w:hAnsi="黑体" w:eastAsia="黑体" w:cs="黑体"/>
                <w:color w:val="auto"/>
                <w:spacing w:val="9"/>
                <w:sz w:val="20"/>
                <w:szCs w:val="20"/>
              </w:rPr>
            </w:pPr>
            <w:r>
              <w:rPr>
                <w:rFonts w:hint="eastAsia" w:ascii="仿宋" w:hAnsi="仿宋" w:eastAsia="仿宋" w:cs="仿宋"/>
                <w:color w:val="auto"/>
                <w:spacing w:val="10"/>
                <w:sz w:val="20"/>
                <w:szCs w:val="20"/>
              </w:rPr>
              <w:t>全市至少有1所公立医院开展产前诊断服务，每个县（市、区）均至少有1所县级公立医院开展产前筛查服务。</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81"/>
              <w:textAlignment w:val="baseline"/>
              <w:rPr>
                <w:rFonts w:ascii="黑体" w:hAnsi="黑体" w:eastAsia="黑体" w:cs="黑体"/>
                <w:spacing w:val="9"/>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81"/>
              <w:textAlignment w:val="baseline"/>
              <w:rPr>
                <w:rFonts w:ascii="黑体" w:hAnsi="黑体" w:eastAsia="黑体" w:cs="黑体"/>
                <w:sz w:val="20"/>
                <w:szCs w:val="20"/>
              </w:rPr>
            </w:pPr>
            <w:r>
              <w:rPr>
                <w:rFonts w:ascii="黑体" w:hAnsi="黑体" w:eastAsia="黑体" w:cs="黑体"/>
                <w:spacing w:val="9"/>
                <w:sz w:val="20"/>
                <w:szCs w:val="20"/>
              </w:rPr>
              <w:t>健康老龄化能力提升项目</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243" w:right="106" w:firstLine="1"/>
              <w:textAlignment w:val="baseline"/>
              <w:rPr>
                <w:rFonts w:ascii="仿宋" w:hAnsi="仿宋" w:eastAsia="仿宋" w:cs="仿宋"/>
                <w:sz w:val="20"/>
                <w:szCs w:val="20"/>
              </w:rPr>
            </w:pPr>
            <w:r>
              <w:rPr>
                <w:rFonts w:hint="eastAsia" w:ascii="仿宋" w:hAnsi="仿宋" w:eastAsia="仿宋" w:cs="仿宋"/>
                <w:sz w:val="20"/>
                <w:szCs w:val="20"/>
              </w:rPr>
              <w:t>建设1家市级老年医学质量控制中心，每个县（市、区）至少有1家县区级、1家基层医疗卫生机构拓展医养结合服务。</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82"/>
              <w:textAlignment w:val="baseline"/>
              <w:rPr>
                <w:rFonts w:ascii="黑体" w:hAnsi="黑体" w:eastAsia="黑体" w:cs="黑体"/>
                <w:spacing w:val="8"/>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82"/>
              <w:textAlignment w:val="baseline"/>
              <w:rPr>
                <w:rFonts w:ascii="黑体" w:hAnsi="黑体" w:eastAsia="黑体" w:cs="黑体"/>
                <w:sz w:val="20"/>
                <w:szCs w:val="20"/>
              </w:rPr>
            </w:pPr>
            <w:r>
              <w:rPr>
                <w:rFonts w:ascii="黑体" w:hAnsi="黑体" w:eastAsia="黑体" w:cs="黑体"/>
                <w:spacing w:val="8"/>
                <w:sz w:val="20"/>
                <w:szCs w:val="20"/>
              </w:rPr>
              <w:t>职业病健康提升项目</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243" w:right="106" w:firstLine="1"/>
              <w:textAlignment w:val="baseline"/>
              <w:rPr>
                <w:rFonts w:ascii="仿宋" w:hAnsi="仿宋" w:eastAsia="仿宋" w:cs="仿宋"/>
                <w:sz w:val="20"/>
                <w:szCs w:val="20"/>
              </w:rPr>
            </w:pPr>
            <w:r>
              <w:rPr>
                <w:rFonts w:hint="eastAsia" w:ascii="仿宋" w:hAnsi="仿宋" w:eastAsia="仿宋" w:cs="仿宋"/>
                <w:spacing w:val="8"/>
                <w:sz w:val="20"/>
                <w:szCs w:val="20"/>
              </w:rPr>
              <w:t>加快建设广东省区域职业病防治中心（韶关），加强市县两级技术服务能力建设</w:t>
            </w:r>
            <w:r>
              <w:rPr>
                <w:rFonts w:hint="eastAsia" w:ascii="仿宋" w:hAnsi="仿宋" w:eastAsia="仿宋" w:cs="仿宋"/>
                <w:spacing w:val="8"/>
                <w:sz w:val="20"/>
                <w:szCs w:val="20"/>
                <w:lang w:eastAsia="zh-CN"/>
              </w:rPr>
              <w:t>。</w:t>
            </w:r>
          </w:p>
        </w:tc>
      </w:tr>
    </w:tbl>
    <w:p>
      <w:pPr>
        <w:spacing w:before="0"/>
        <w:ind w:firstLine="640" w:firstLineChars="200"/>
        <w:rPr>
          <w:rFonts w:hint="eastAsia" w:ascii="黑体" w:hAnsi="黑体" w:eastAsia="黑体" w:cs="黑体"/>
          <w:spacing w:val="0"/>
          <w:sz w:val="32"/>
          <w:szCs w:val="32"/>
        </w:rPr>
      </w:pPr>
      <w:r>
        <w:rPr>
          <w:rFonts w:hint="eastAsia" w:ascii="黑体" w:hAnsi="黑体" w:eastAsia="黑体" w:cs="黑体"/>
          <w:spacing w:val="0"/>
          <w:sz w:val="32"/>
          <w:szCs w:val="32"/>
        </w:rPr>
        <w:t>七、培育壮大卫生健康高质量发展动能</w:t>
      </w:r>
    </w:p>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楷体_GB2312" w:hAnsi="楷体_GB2312" w:eastAsia="楷体_GB2312" w:cs="楷体_GB2312"/>
          <w:color w:val="auto"/>
          <w:spacing w:val="0"/>
          <w:sz w:val="32"/>
          <w:szCs w:val="32"/>
        </w:rPr>
      </w:pPr>
      <w:r>
        <w:rPr>
          <w:rFonts w:hint="eastAsia" w:ascii="楷体_GB2312" w:hAnsi="楷体_GB2312" w:eastAsia="楷体_GB2312" w:cs="楷体_GB2312"/>
          <w:color w:val="auto"/>
          <w:spacing w:val="0"/>
          <w:sz w:val="32"/>
          <w:szCs w:val="32"/>
        </w:rPr>
        <w:t>（一）实施全民健康数智化工程。</w:t>
      </w:r>
    </w:p>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积极配合省卫生健康委加快卫生健康信息化新型基础设施升级，推动本市卫生健康网络升级改造，确保接入省级五级互联互通卫生健康专网，实现市、县、乡、村四级全覆盖。健全本市数据质量管控机制，严格遵循省级数据标准与质控规范，配合省级卫生健康可信数据空间建设，强化数据使用、追溯与权责管理，在省级制度框架下积极探索本市医疗健康数据授权运营模式，推动数据安全有序服务于医学科研、智能模型训练等创新工作。依托韶关算力集群资源搭建市级医学人工智能中台并主动对接省级医学人工智能公共服务平台，积极参与智能应用试点示范，推动本市临床场景与人工智能技术深度融合，加快智能模型本地化应用与临床转化。持续完善本市全生命周期智慧健康服务体系，建成本地健康服务门户，推动市级医学影像云平台建设并接入省级影像云与区块链平台，落实全市检查检验结果互认共享。</w:t>
      </w:r>
    </w:p>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（二）加快卫生健康科技创新。</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完善临床研究质量管理和风险控制体系，强化全流程信息化监管与科研诚信建设。围绕粤北多发病、常见病开展基层适宜技术推广，推动区域临床研究能力协同提升。深化产学研医融合，加强技术转移人才培育。依托韶关数据中心集群优势，推动健康医疗大数据与人工智能辅助诊疗技术融合应用。加大中药院内制剂研发力度，加快中药新药创制与产业化进程。</w:t>
      </w:r>
    </w:p>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（三）建强医疗卫生人才队伍。</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eastAsia="zh-CN"/>
        </w:rPr>
        <w:t>发挥编制抓手，用好急需紧缺专业人才目录，深化“县管镇用、乡聘村用”，强化各类医疗人才引进和培养。</w:t>
      </w:r>
      <w:r>
        <w:rPr>
          <w:rFonts w:hint="eastAsia" w:ascii="仿宋_GB2312" w:hAnsi="仿宋_GB2312" w:eastAsia="仿宋_GB2312" w:cs="仿宋_GB2312"/>
          <w:spacing w:val="0"/>
          <w:sz w:val="32"/>
          <w:szCs w:val="32"/>
        </w:rPr>
        <w:t>组织实施</w:t>
      </w:r>
      <w:r>
        <w:rPr>
          <w:rFonts w:hint="eastAsia" w:ascii="仿宋_GB2312" w:hAnsi="仿宋_GB2312" w:eastAsia="仿宋_GB2312" w:cs="仿宋_GB2312"/>
          <w:spacing w:val="0"/>
          <w:sz w:val="32"/>
          <w:szCs w:val="32"/>
          <w:lang w:eastAsia="zh-CN"/>
        </w:rPr>
        <w:t>国家和省</w:t>
      </w:r>
      <w:r>
        <w:rPr>
          <w:rFonts w:hint="eastAsia" w:ascii="仿宋_GB2312" w:hAnsi="仿宋_GB2312" w:eastAsia="仿宋_GB2312" w:cs="仿宋_GB2312"/>
          <w:spacing w:val="0"/>
          <w:sz w:val="32"/>
          <w:szCs w:val="32"/>
        </w:rPr>
        <w:t>医疗卫生人才项目，培养一批医疗卫生拔尖人才。落实中医药人才高质量发展若干措施，壮大岭南中医高层次人才队伍。优化公共卫生人才队伍结构，完善人才评价体系，打造公共卫生人才高地。加大全科医生培养力度，实施基层全科医生转岗培训。持续开展农村订单定向医学生免费培养项目，强化履约管理和职业发展保障。提升住院医师规范化培训内涵质量，推进培训基地动态评估与分层递进培养模式改革，强化过程考核与出口同质化把控。深化医教协同机制改革，推动医学院校与医疗机构共建临床教学基地，促进课程体系与执业需求有效衔接。健全毕业后教育和继续医学教育制度，着力打造一支数量充足、结构合理、扎根基层的医疗卫生人才队伍。</w:t>
      </w:r>
    </w:p>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pacing w:val="0"/>
          <w:sz w:val="32"/>
          <w:szCs w:val="32"/>
          <w:lang w:val="en-US" w:eastAsia="zh-CN"/>
        </w:rPr>
        <w:t>四</w:t>
      </w:r>
      <w:r>
        <w:rPr>
          <w:rFonts w:hint="eastAsia" w:ascii="楷体_GB2312" w:hAnsi="楷体_GB2312" w:eastAsia="楷体_GB2312" w:cs="楷体_GB2312"/>
          <w:spacing w:val="0"/>
          <w:sz w:val="32"/>
          <w:szCs w:val="32"/>
        </w:rPr>
        <w:t>）发展更具活力的健康产业。</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3"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sz w:val="32"/>
          <w:szCs w:val="32"/>
        </w:rPr>
        <w:t>1.拓展国际医疗服务。</w:t>
      </w:r>
      <w:r>
        <w:rPr>
          <w:rFonts w:hint="eastAsia" w:ascii="仿宋_GB2312" w:hAnsi="仿宋_GB2312" w:eastAsia="仿宋_GB2312" w:cs="仿宋_GB2312"/>
          <w:spacing w:val="0"/>
          <w:sz w:val="32"/>
          <w:szCs w:val="32"/>
        </w:rPr>
        <w:t>推动市直各三甲医院积极申报国际医疗服务试点，利用我市旅游资源、中医药资源，培育中医、康养、肿瘤等特色医疗旅游品牌，发挥我市医疗资源价廉质优的优势，吸引更多港澳台同胞及外国人士来韶旅居、康养和看病就医。积极探索与保险公司、旅游公司合作，构建高水平对外开放的“医疗+保险+旅游”构建跨境医疗服务体系。</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3"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sz w:val="32"/>
          <w:szCs w:val="32"/>
        </w:rPr>
        <w:t>2.推动健康服务业扩能提质。</w:t>
      </w:r>
      <w:r>
        <w:rPr>
          <w:rFonts w:hint="eastAsia" w:ascii="仿宋_GB2312" w:hAnsi="仿宋_GB2312" w:eastAsia="仿宋_GB2312" w:cs="仿宋_GB2312"/>
          <w:spacing w:val="0"/>
          <w:sz w:val="32"/>
          <w:szCs w:val="32"/>
        </w:rPr>
        <w:t>支持面向老年人的健康管理、养生保健、健身休闲等业态深度融合，促进慢性病管理、生活照护等智慧养老服务产品研发应用。发展康复辅助器具产业，发展健康体检、健康咨询、健康管理等新型服务业态。推动医疗卫生服务延伸至家庭，满足特殊人群个性化需求。推进中医药服务消费和服务贸易融合发展试点。鼓励保险公司开发不同人群的普惠型健康保险及针对慢性病等特定疾病的专项保险产品。</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3"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sz w:val="32"/>
          <w:szCs w:val="32"/>
        </w:rPr>
        <w:t>3.引导规范社会办医发展。</w:t>
      </w:r>
      <w:r>
        <w:rPr>
          <w:rFonts w:hint="eastAsia" w:ascii="仿宋_GB2312" w:hAnsi="仿宋_GB2312" w:eastAsia="仿宋_GB2312" w:cs="仿宋_GB2312"/>
          <w:spacing w:val="0"/>
          <w:sz w:val="32"/>
          <w:szCs w:val="32"/>
        </w:rPr>
        <w:t>鼓励社会力量在康复、护理等领域举办非营利性医疗机构。引导民营医院特需化、专科化、品牌化、连锁化发展，与公立医院错位发展，支持民营医院立足多元需求，拓展除精神、血透等专科外的特色化专科医疗服务。探索建立民营医院规范发展综合评价体系，有序引导评价不合格、不符合执业条件、运营困难的民营医院转变经营方向或退出。</w:t>
      </w:r>
    </w:p>
    <w:p>
      <w:pPr>
        <w:spacing w:before="40"/>
      </w:pPr>
    </w:p>
    <w:tbl>
      <w:tblPr>
        <w:tblStyle w:val="10"/>
        <w:tblW w:w="88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3"/>
        <w:gridCol w:w="84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8800" w:type="dxa"/>
            <w:gridSpan w:val="2"/>
            <w:vAlign w:val="top"/>
          </w:tcPr>
          <w:p>
            <w:pPr>
              <w:spacing w:before="212" w:line="192" w:lineRule="auto"/>
              <w:ind w:left="2012"/>
              <w:outlineLvl w:val="1"/>
              <w:rPr>
                <w:rFonts w:ascii="方正小标宋简体" w:hAnsi="方正小标宋简体" w:eastAsia="方正小标宋简体" w:cs="方正小标宋简体"/>
                <w:sz w:val="28"/>
                <w:szCs w:val="28"/>
              </w:rPr>
            </w:pPr>
            <w:r>
              <w:rPr>
                <w:rFonts w:ascii="方正小标宋简体" w:hAnsi="方正小标宋简体" w:eastAsia="方正小标宋简体" w:cs="方正小标宋简体"/>
                <w:spacing w:val="-7"/>
                <w:sz w:val="28"/>
                <w:szCs w:val="28"/>
              </w:rPr>
              <w:t xml:space="preserve">专栏 </w:t>
            </w:r>
            <w:r>
              <w:rPr>
                <w:rFonts w:ascii="Times New Roman" w:hAnsi="Times New Roman" w:eastAsia="Times New Roman" w:cs="Times New Roman"/>
                <w:spacing w:val="-7"/>
                <w:sz w:val="28"/>
                <w:szCs w:val="28"/>
              </w:rPr>
              <w:t xml:space="preserve">7    </w:t>
            </w:r>
            <w:r>
              <w:rPr>
                <w:rFonts w:ascii="方正小标宋简体" w:hAnsi="方正小标宋简体" w:eastAsia="方正小标宋简体" w:cs="方正小标宋简体"/>
                <w:spacing w:val="-7"/>
                <w:sz w:val="28"/>
                <w:szCs w:val="28"/>
              </w:rPr>
              <w:t>卫生健康高质量发展新动能项目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5" w:hRule="atLeast"/>
        </w:trPr>
        <w:tc>
          <w:tcPr>
            <w:tcW w:w="353" w:type="dxa"/>
            <w:tcBorders>
              <w:right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80" w:lineRule="exact"/>
              <w:ind w:left="132"/>
              <w:textAlignment w:val="baseline"/>
              <w:rPr>
                <w:rFonts w:ascii="Times New Roman" w:hAnsi="Times New Roman" w:eastAsia="Times New Roman" w:cs="Times New Roman"/>
                <w:position w:val="1"/>
                <w:sz w:val="20"/>
                <w:szCs w:val="20"/>
              </w:rPr>
            </w:pPr>
            <w:bookmarkStart w:id="14" w:name="OLE_LINK5" w:colFirst="0" w:colLast="1"/>
          </w:p>
          <w:p>
            <w:pPr>
              <w:keepNext w:val="0"/>
              <w:keepLines w:val="0"/>
              <w:pageBreakBefore w:val="0"/>
              <w:widowControl/>
              <w:kinsoku w:val="0"/>
              <w:wordWrap/>
              <w:overflowPunct/>
              <w:topLinePunct w:val="0"/>
              <w:autoSpaceDE w:val="0"/>
              <w:autoSpaceDN w:val="0"/>
              <w:bidi w:val="0"/>
              <w:adjustRightInd w:val="0"/>
              <w:snapToGrid w:val="0"/>
              <w:spacing w:line="280" w:lineRule="exact"/>
              <w:ind w:left="132"/>
              <w:textAlignment w:val="baseline"/>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1</w:t>
            </w:r>
          </w:p>
          <w:p>
            <w:pPr>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2"/>
              <w:textAlignment w:val="baseline"/>
              <w:rPr>
                <w:rFonts w:ascii="Times New Roman" w:hAnsi="Times New Roman" w:eastAsia="Times New Roman" w:cs="Times New Roman"/>
                <w:position w:val="1"/>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2"/>
              <w:textAlignment w:val="baseline"/>
              <w:rPr>
                <w:rFonts w:ascii="Times New Roman" w:hAnsi="Times New Roman" w:eastAsia="Times New Roman" w:cs="Times New Roman"/>
                <w:position w:val="1"/>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2"/>
              <w:textAlignment w:val="baseline"/>
              <w:rPr>
                <w:rFonts w:ascii="Times New Roman" w:hAnsi="Times New Roman" w:eastAsia="Times New Roman" w:cs="Times New Roman"/>
                <w:position w:val="1"/>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2"/>
              <w:textAlignment w:val="baseline"/>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2</w:t>
            </w:r>
          </w:p>
          <w:p>
            <w:pPr>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6"/>
              <w:textAlignment w:val="baseline"/>
              <w:rPr>
                <w:rFonts w:ascii="Times New Roman" w:hAnsi="Times New Roman" w:eastAsia="Times New Roman" w:cs="Times New Roman"/>
                <w:position w:val="2"/>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6"/>
              <w:textAlignment w:val="baseline"/>
              <w:rPr>
                <w:rFonts w:ascii="Times New Roman" w:hAnsi="Times New Roman" w:eastAsia="Times New Roman" w:cs="Times New Roman"/>
                <w:position w:val="2"/>
                <w:sz w:val="20"/>
                <w:szCs w:val="20"/>
              </w:rPr>
            </w:pPr>
            <w:r>
              <w:rPr>
                <w:rFonts w:ascii="Times New Roman" w:hAnsi="Times New Roman" w:eastAsia="Times New Roman" w:cs="Times New Roman"/>
                <w:position w:val="2"/>
                <w:sz w:val="20"/>
                <w:szCs w:val="20"/>
              </w:rPr>
              <w:t>3</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16"/>
              <w:textAlignment w:val="baseline"/>
              <w:rPr>
                <w:rFonts w:ascii="Times New Roman" w:hAnsi="Times New Roman" w:eastAsia="Times New Roman" w:cs="Times New Roman"/>
                <w:position w:val="2"/>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6"/>
              <w:textAlignment w:val="baseline"/>
              <w:rPr>
                <w:rFonts w:ascii="Times New Roman" w:hAnsi="Times New Roman" w:eastAsia="Times New Roman" w:cs="Times New Roman"/>
                <w:position w:val="2"/>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6"/>
              <w:textAlignment w:val="baseline"/>
              <w:rPr>
                <w:rFonts w:hint="eastAsia" w:ascii="Times New Roman" w:hAnsi="Times New Roman" w:eastAsia="宋体" w:cs="Times New Roman"/>
                <w:position w:val="2"/>
                <w:sz w:val="20"/>
                <w:szCs w:val="20"/>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6"/>
              <w:textAlignment w:val="baseline"/>
              <w:rPr>
                <w:rFonts w:hint="eastAsia" w:ascii="Times New Roman" w:hAnsi="Times New Roman" w:eastAsia="宋体" w:cs="Times New Roman"/>
                <w:position w:val="2"/>
                <w:sz w:val="20"/>
                <w:szCs w:val="20"/>
                <w:lang w:val="en-US" w:eastAsia="zh-CN"/>
              </w:rPr>
            </w:pPr>
            <w:r>
              <w:rPr>
                <w:rFonts w:hint="eastAsia" w:ascii="Times New Roman" w:hAnsi="Times New Roman" w:eastAsia="宋体" w:cs="Times New Roman"/>
                <w:position w:val="2"/>
                <w:sz w:val="20"/>
                <w:szCs w:val="20"/>
                <w:lang w:val="en-US" w:eastAsia="zh-CN"/>
              </w:rPr>
              <w:t>4</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16"/>
              <w:textAlignment w:val="baseline"/>
              <w:rPr>
                <w:rFonts w:hint="eastAsia" w:ascii="Times New Roman" w:hAnsi="Times New Roman" w:eastAsia="宋体" w:cs="Times New Roman"/>
                <w:position w:val="2"/>
                <w:sz w:val="20"/>
                <w:szCs w:val="20"/>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6"/>
              <w:textAlignment w:val="baseline"/>
              <w:rPr>
                <w:rFonts w:hint="eastAsia" w:ascii="Times New Roman" w:hAnsi="Times New Roman" w:eastAsia="宋体" w:cs="Times New Roman"/>
                <w:position w:val="2"/>
                <w:sz w:val="20"/>
                <w:szCs w:val="20"/>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6"/>
              <w:textAlignment w:val="baseline"/>
              <w:rPr>
                <w:rFonts w:hint="eastAsia" w:ascii="Times New Roman" w:hAnsi="Times New Roman" w:eastAsia="宋体" w:cs="Times New Roman"/>
                <w:position w:val="2"/>
                <w:sz w:val="20"/>
                <w:szCs w:val="20"/>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6"/>
              <w:textAlignment w:val="baseline"/>
              <w:rPr>
                <w:rFonts w:hint="default" w:ascii="Times New Roman" w:hAnsi="Times New Roman" w:eastAsia="宋体" w:cs="Times New Roman"/>
                <w:position w:val="2"/>
                <w:sz w:val="20"/>
                <w:szCs w:val="20"/>
                <w:lang w:val="en-US" w:eastAsia="zh-CN"/>
              </w:rPr>
            </w:pPr>
            <w:r>
              <w:rPr>
                <w:rFonts w:hint="eastAsia" w:ascii="Times New Roman" w:hAnsi="Times New Roman" w:eastAsia="宋体" w:cs="Times New Roman"/>
                <w:position w:val="2"/>
                <w:sz w:val="20"/>
                <w:szCs w:val="20"/>
                <w:lang w:val="en-US" w:eastAsia="zh-CN"/>
              </w:rPr>
              <w:t>5</w:t>
            </w:r>
          </w:p>
        </w:tc>
        <w:tc>
          <w:tcPr>
            <w:tcW w:w="8447" w:type="dxa"/>
            <w:tcBorders>
              <w:left w:val="nil"/>
            </w:tcBorders>
            <w:vAlign w:val="top"/>
          </w:tcPr>
          <w:p>
            <w:pPr>
              <w:keepNext w:val="0"/>
              <w:keepLines w:val="0"/>
              <w:pageBreakBefore w:val="0"/>
              <w:widowControl/>
              <w:kinsoku w:val="0"/>
              <w:wordWrap/>
              <w:overflowPunct/>
              <w:topLinePunct w:val="0"/>
              <w:autoSpaceDE w:val="0"/>
              <w:autoSpaceDN w:val="0"/>
              <w:bidi w:val="0"/>
              <w:adjustRightInd w:val="0"/>
              <w:snapToGrid w:val="0"/>
              <w:spacing w:line="280" w:lineRule="exact"/>
              <w:ind w:firstLine="216" w:firstLineChars="100"/>
              <w:textAlignment w:val="baseline"/>
              <w:rPr>
                <w:rFonts w:ascii="黑体" w:hAnsi="黑体" w:eastAsia="黑体" w:cs="黑体"/>
                <w:spacing w:val="8"/>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firstLine="216" w:firstLineChars="100"/>
              <w:textAlignment w:val="baseline"/>
              <w:rPr>
                <w:rFonts w:ascii="黑体" w:hAnsi="黑体" w:eastAsia="黑体" w:cs="黑体"/>
                <w:sz w:val="20"/>
                <w:szCs w:val="20"/>
              </w:rPr>
            </w:pPr>
            <w:r>
              <w:rPr>
                <w:rFonts w:ascii="黑体" w:hAnsi="黑体" w:eastAsia="黑体" w:cs="黑体"/>
                <w:spacing w:val="8"/>
                <w:sz w:val="20"/>
                <w:szCs w:val="20"/>
              </w:rPr>
              <w:t>全民健康数智化项目</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82"/>
              <w:textAlignment w:val="baseline"/>
              <w:rPr>
                <w:rFonts w:ascii="黑体" w:hAnsi="黑体" w:eastAsia="黑体" w:cs="黑体"/>
                <w:spacing w:val="8"/>
                <w:sz w:val="20"/>
                <w:szCs w:val="20"/>
              </w:rPr>
            </w:pPr>
            <w:r>
              <w:rPr>
                <w:rFonts w:hint="eastAsia" w:ascii="仿宋" w:hAnsi="仿宋" w:eastAsia="仿宋" w:cs="仿宋"/>
                <w:spacing w:val="9"/>
                <w:sz w:val="20"/>
                <w:szCs w:val="20"/>
              </w:rPr>
              <w:t>紧紧围绕省“全民健康数智化项目”总体部署，配合省卫生健康委做好省（市）统一数字数据采集工作，全面推进我市卫生健康领域数智化转型。推动建设县域医共体信息系统。到2030年，基本建成互联互通、协同高效、安全可控的市域全民健康数智化体系，县域医共体信息系统实现全覆盖，高质量数据集建设取得显著成效，数智化健康工作支撑能力大幅提升。强化市级数智化健康工作支撑机构建设，充实专业技术力量，提升数据治理、系统运维、安全保障等核心能力。</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82"/>
              <w:textAlignment w:val="baseline"/>
              <w:rPr>
                <w:rFonts w:ascii="黑体" w:hAnsi="黑体" w:eastAsia="黑体" w:cs="黑体"/>
                <w:color w:val="auto"/>
                <w:spacing w:val="8"/>
                <w:sz w:val="20"/>
                <w:szCs w:val="20"/>
              </w:rPr>
            </w:pPr>
            <w:bookmarkStart w:id="15" w:name="OLE_LINK4"/>
          </w:p>
          <w:p>
            <w:pPr>
              <w:keepNext w:val="0"/>
              <w:keepLines w:val="0"/>
              <w:pageBreakBefore w:val="0"/>
              <w:widowControl/>
              <w:kinsoku w:val="0"/>
              <w:wordWrap/>
              <w:overflowPunct/>
              <w:topLinePunct w:val="0"/>
              <w:autoSpaceDE w:val="0"/>
              <w:autoSpaceDN w:val="0"/>
              <w:bidi w:val="0"/>
              <w:adjustRightInd w:val="0"/>
              <w:snapToGrid w:val="0"/>
              <w:spacing w:line="280" w:lineRule="exact"/>
              <w:ind w:left="182"/>
              <w:textAlignment w:val="baseline"/>
              <w:rPr>
                <w:rFonts w:ascii="黑体" w:hAnsi="黑体" w:eastAsia="黑体" w:cs="黑体"/>
                <w:color w:val="auto"/>
                <w:sz w:val="20"/>
                <w:szCs w:val="20"/>
              </w:rPr>
            </w:pPr>
            <w:r>
              <w:rPr>
                <w:rFonts w:ascii="黑体" w:hAnsi="黑体" w:eastAsia="黑体" w:cs="黑体"/>
                <w:color w:val="auto"/>
                <w:spacing w:val="8"/>
                <w:sz w:val="20"/>
                <w:szCs w:val="20"/>
              </w:rPr>
              <w:t>卫生健康科技创新项目</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82" w:right="107"/>
              <w:textAlignment w:val="baseline"/>
              <w:rPr>
                <w:rFonts w:ascii="仿宋" w:hAnsi="仿宋" w:eastAsia="仿宋" w:cs="仿宋"/>
                <w:color w:val="auto"/>
                <w:sz w:val="20"/>
                <w:szCs w:val="20"/>
              </w:rPr>
            </w:pPr>
            <w:r>
              <w:rPr>
                <w:rFonts w:hint="eastAsia" w:ascii="仿宋" w:hAnsi="仿宋" w:eastAsia="仿宋" w:cs="仿宋"/>
                <w:color w:val="auto"/>
                <w:spacing w:val="8"/>
                <w:sz w:val="20"/>
                <w:szCs w:val="20"/>
              </w:rPr>
              <w:t>加强粤北人民医院、韶关市第一人民医院和韶关学院医学院、南方医科大学等院校校地合作，通过人才培养、学科共建和医教研融合提升科技创新水平，推动科研成果落地见效。</w:t>
            </w:r>
          </w:p>
          <w:bookmarkEnd w:id="15"/>
          <w:p>
            <w:pPr>
              <w:keepNext w:val="0"/>
              <w:keepLines w:val="0"/>
              <w:pageBreakBefore w:val="0"/>
              <w:widowControl/>
              <w:kinsoku w:val="0"/>
              <w:wordWrap/>
              <w:overflowPunct/>
              <w:topLinePunct w:val="0"/>
              <w:autoSpaceDE w:val="0"/>
              <w:autoSpaceDN w:val="0"/>
              <w:bidi w:val="0"/>
              <w:adjustRightInd w:val="0"/>
              <w:snapToGrid w:val="0"/>
              <w:spacing w:line="280" w:lineRule="exact"/>
              <w:ind w:left="198"/>
              <w:textAlignment w:val="baseline"/>
              <w:rPr>
                <w:rFonts w:ascii="黑体" w:hAnsi="黑体" w:eastAsia="黑体" w:cs="黑体"/>
                <w:spacing w:val="6"/>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98"/>
              <w:textAlignment w:val="baseline"/>
              <w:rPr>
                <w:rFonts w:ascii="黑体" w:hAnsi="黑体" w:eastAsia="黑体" w:cs="黑体"/>
                <w:spacing w:val="6"/>
                <w:sz w:val="20"/>
                <w:szCs w:val="20"/>
              </w:rPr>
            </w:pPr>
            <w:r>
              <w:rPr>
                <w:rFonts w:ascii="黑体" w:hAnsi="黑体" w:eastAsia="黑体" w:cs="黑体"/>
                <w:spacing w:val="6"/>
                <w:sz w:val="20"/>
                <w:szCs w:val="20"/>
              </w:rPr>
              <w:t>中医药传承创新项目</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82" w:right="107"/>
              <w:textAlignment w:val="baseline"/>
              <w:rPr>
                <w:rFonts w:ascii="仿宋" w:hAnsi="仿宋" w:eastAsia="仿宋" w:cs="仿宋"/>
                <w:spacing w:val="10"/>
                <w:sz w:val="20"/>
                <w:szCs w:val="20"/>
              </w:rPr>
            </w:pPr>
            <w:r>
              <w:rPr>
                <w:rFonts w:hint="default" w:ascii="仿宋" w:hAnsi="仿宋" w:eastAsia="仿宋" w:cs="仿宋"/>
                <w:spacing w:val="10"/>
                <w:sz w:val="20"/>
                <w:szCs w:val="20"/>
              </w:rPr>
              <w:t>培育1个国家优势专科，建设3个省级中医药临床重点专科、6个中医药临床特色专科，推进1个中西医协同“旗舰”科室建设。</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98"/>
              <w:textAlignment w:val="baseline"/>
              <w:rPr>
                <w:rFonts w:ascii="黑体" w:hAnsi="黑体" w:eastAsia="黑体" w:cs="黑体"/>
                <w:spacing w:val="6"/>
                <w:position w:val="1"/>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98"/>
              <w:textAlignment w:val="baseline"/>
              <w:rPr>
                <w:rFonts w:ascii="黑体" w:hAnsi="黑体" w:eastAsia="黑体" w:cs="黑体"/>
                <w:sz w:val="20"/>
                <w:szCs w:val="20"/>
              </w:rPr>
            </w:pPr>
            <w:r>
              <w:rPr>
                <w:rFonts w:ascii="黑体" w:hAnsi="黑体" w:eastAsia="黑体" w:cs="黑体"/>
                <w:spacing w:val="6"/>
                <w:position w:val="1"/>
                <w:sz w:val="20"/>
                <w:szCs w:val="20"/>
              </w:rPr>
              <w:t>高层次人才培养项目</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98"/>
              <w:textAlignment w:val="baseline"/>
              <w:rPr>
                <w:rFonts w:hint="eastAsia" w:ascii="黑体" w:hAnsi="黑体" w:eastAsia="仿宋" w:cs="黑体"/>
                <w:color w:val="auto"/>
                <w:spacing w:val="6"/>
                <w:sz w:val="20"/>
                <w:szCs w:val="20"/>
                <w:lang w:eastAsia="zh-CN"/>
              </w:rPr>
            </w:pPr>
            <w:r>
              <w:rPr>
                <w:rFonts w:hint="eastAsia" w:ascii="仿宋" w:hAnsi="仿宋" w:eastAsia="仿宋" w:cs="仿宋"/>
                <w:color w:val="auto"/>
                <w:spacing w:val="9"/>
                <w:sz w:val="20"/>
                <w:szCs w:val="20"/>
              </w:rPr>
              <w:t>落实“广东特支计划”等人才项目。实施名师高徒等人才培训计划，培养一批骨干人才</w:t>
            </w:r>
            <w:r>
              <w:rPr>
                <w:rFonts w:hint="eastAsia" w:ascii="仿宋" w:hAnsi="仿宋" w:eastAsia="仿宋" w:cs="仿宋"/>
                <w:color w:val="auto"/>
                <w:spacing w:val="9"/>
                <w:sz w:val="20"/>
                <w:szCs w:val="20"/>
                <w:lang w:eastAsia="zh-CN"/>
              </w:rPr>
              <w:t>。</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98"/>
              <w:textAlignment w:val="baseline"/>
              <w:rPr>
                <w:rFonts w:ascii="黑体" w:hAnsi="黑体" w:eastAsia="黑体" w:cs="黑体"/>
                <w:sz w:val="20"/>
                <w:szCs w:val="20"/>
              </w:rPr>
            </w:pPr>
            <w:r>
              <w:rPr>
                <w:rFonts w:ascii="黑体" w:hAnsi="黑体" w:eastAsia="黑体" w:cs="黑体"/>
                <w:spacing w:val="6"/>
                <w:sz w:val="20"/>
                <w:szCs w:val="20"/>
              </w:rPr>
              <w:t>医疗卫生人才帮扶项目</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82" w:right="107" w:firstLine="0"/>
              <w:textAlignment w:val="baseline"/>
              <w:rPr>
                <w:rFonts w:hint="eastAsia" w:ascii="黑体" w:hAnsi="黑体" w:eastAsia="黑体" w:cs="黑体"/>
                <w:spacing w:val="6"/>
                <w:sz w:val="20"/>
                <w:szCs w:val="20"/>
                <w:lang w:eastAsia="zh-CN"/>
              </w:rPr>
            </w:pPr>
            <w:r>
              <w:rPr>
                <w:rFonts w:ascii="仿宋" w:hAnsi="仿宋" w:eastAsia="仿宋" w:cs="仿宋"/>
                <w:spacing w:val="10"/>
                <w:sz w:val="20"/>
                <w:szCs w:val="20"/>
              </w:rPr>
              <w:t>实施</w:t>
            </w:r>
            <w:r>
              <w:rPr>
                <w:rFonts w:ascii="仿宋" w:hAnsi="仿宋" w:eastAsia="仿宋" w:cs="仿宋"/>
                <w:spacing w:val="8"/>
                <w:sz w:val="20"/>
                <w:szCs w:val="20"/>
              </w:rPr>
              <w:t>新一轮</w:t>
            </w:r>
            <w:r>
              <w:rPr>
                <w:rFonts w:hint="eastAsia" w:ascii="仿宋" w:hAnsi="仿宋" w:eastAsia="仿宋" w:cs="仿宋"/>
                <w:spacing w:val="8"/>
                <w:sz w:val="20"/>
                <w:szCs w:val="20"/>
                <w:lang w:val="en-US" w:eastAsia="zh-CN"/>
              </w:rPr>
              <w:t>广东省</w:t>
            </w:r>
            <w:r>
              <w:rPr>
                <w:rFonts w:ascii="仿宋" w:hAnsi="仿宋" w:eastAsia="仿宋" w:cs="仿宋"/>
                <w:spacing w:val="8"/>
                <w:sz w:val="20"/>
                <w:szCs w:val="20"/>
              </w:rPr>
              <w:t>医疗卫生人才</w:t>
            </w:r>
            <w:r>
              <w:rPr>
                <w:rFonts w:ascii="Times New Roman" w:hAnsi="Times New Roman" w:eastAsia="Times New Roman" w:cs="Times New Roman"/>
                <w:spacing w:val="8"/>
                <w:sz w:val="20"/>
                <w:szCs w:val="20"/>
              </w:rPr>
              <w:t>“</w:t>
            </w:r>
            <w:r>
              <w:rPr>
                <w:rFonts w:ascii="仿宋" w:hAnsi="仿宋" w:eastAsia="仿宋" w:cs="仿宋"/>
                <w:spacing w:val="8"/>
                <w:sz w:val="20"/>
                <w:szCs w:val="20"/>
              </w:rPr>
              <w:t>组团式</w:t>
            </w:r>
            <w:r>
              <w:rPr>
                <w:rFonts w:ascii="Times New Roman" w:hAnsi="Times New Roman" w:eastAsia="Times New Roman" w:cs="Times New Roman"/>
                <w:spacing w:val="8"/>
                <w:sz w:val="20"/>
                <w:szCs w:val="20"/>
              </w:rPr>
              <w:t>”</w:t>
            </w:r>
            <w:r>
              <w:rPr>
                <w:rFonts w:ascii="仿宋" w:hAnsi="仿宋" w:eastAsia="仿宋" w:cs="仿宋"/>
                <w:spacing w:val="7"/>
                <w:sz w:val="20"/>
                <w:szCs w:val="20"/>
              </w:rPr>
              <w:t>紧密型帮扶工作。实施银龄医师人才项目，继续</w:t>
            </w:r>
            <w:r>
              <w:rPr>
                <w:rFonts w:ascii="仿宋" w:hAnsi="仿宋" w:eastAsia="仿宋" w:cs="仿宋"/>
                <w:spacing w:val="6"/>
                <w:sz w:val="20"/>
                <w:szCs w:val="20"/>
              </w:rPr>
              <w:t>开展</w:t>
            </w:r>
            <w:r>
              <w:rPr>
                <w:rFonts w:ascii="Times New Roman" w:hAnsi="Times New Roman" w:eastAsia="Times New Roman" w:cs="Times New Roman"/>
                <w:spacing w:val="6"/>
                <w:sz w:val="20"/>
                <w:szCs w:val="20"/>
              </w:rPr>
              <w:t>“</w:t>
            </w:r>
            <w:r>
              <w:rPr>
                <w:rFonts w:ascii="仿宋" w:hAnsi="仿宋" w:eastAsia="仿宋" w:cs="仿宋"/>
                <w:spacing w:val="6"/>
                <w:sz w:val="20"/>
                <w:szCs w:val="20"/>
              </w:rPr>
              <w:t>百名卫生首席专家下基层</w:t>
            </w:r>
            <w:r>
              <w:rPr>
                <w:rFonts w:ascii="Times New Roman" w:hAnsi="Times New Roman" w:eastAsia="Times New Roman" w:cs="Times New Roman"/>
                <w:spacing w:val="6"/>
                <w:sz w:val="20"/>
                <w:szCs w:val="20"/>
              </w:rPr>
              <w:t>”</w:t>
            </w:r>
            <w:r>
              <w:rPr>
                <w:rFonts w:ascii="仿宋" w:hAnsi="仿宋" w:eastAsia="仿宋" w:cs="仿宋"/>
                <w:spacing w:val="6"/>
                <w:sz w:val="20"/>
                <w:szCs w:val="20"/>
              </w:rPr>
              <w:t>计划。</w:t>
            </w:r>
          </w:p>
        </w:tc>
      </w:tr>
      <w:bookmarkEnd w:id="14"/>
    </w:tbl>
    <w:p>
      <w:pPr>
        <w:spacing w:before="32"/>
        <w:rPr>
          <w:rFonts w:hint="default" w:eastAsia="宋体"/>
          <w:lang w:val="en-US" w:eastAsia="zh-CN"/>
        </w:rPr>
      </w:pPr>
      <w:r>
        <w:rPr>
          <w:rFonts w:hint="eastAsia" w:eastAsia="宋体"/>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40" w:lineRule="exact"/>
        <w:ind w:right="0" w:rightChars="0" w:firstLine="640" w:firstLineChars="200"/>
        <w:jc w:val="both"/>
        <w:textAlignment w:val="baseline"/>
        <w:rPr>
          <w:rFonts w:hint="eastAsia" w:ascii="黑体" w:hAnsi="黑体" w:eastAsia="黑体" w:cs="黑体"/>
          <w:spacing w:val="0"/>
          <w:w w:val="100"/>
          <w:position w:val="0"/>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40" w:lineRule="exact"/>
        <w:ind w:right="0" w:rightChars="0" w:firstLine="640" w:firstLineChars="200"/>
        <w:jc w:val="both"/>
        <w:textAlignment w:val="baseline"/>
        <w:rPr>
          <w:rFonts w:hint="eastAsia" w:ascii="黑体" w:hAnsi="黑体" w:eastAsia="黑体" w:cs="黑体"/>
          <w:spacing w:val="0"/>
          <w:w w:val="100"/>
          <w:position w:val="0"/>
          <w:sz w:val="32"/>
          <w:szCs w:val="32"/>
        </w:rPr>
      </w:pPr>
      <w:r>
        <w:rPr>
          <w:rFonts w:hint="eastAsia" w:ascii="黑体" w:hAnsi="黑体" w:eastAsia="黑体" w:cs="黑体"/>
          <w:spacing w:val="0"/>
          <w:w w:val="100"/>
          <w:position w:val="0"/>
          <w:sz w:val="32"/>
          <w:szCs w:val="32"/>
          <w:lang w:val="en-US" w:eastAsia="zh-CN"/>
        </w:rPr>
        <w:t>八、</w:t>
      </w:r>
      <w:r>
        <w:rPr>
          <w:rFonts w:hint="eastAsia" w:ascii="黑体" w:hAnsi="黑体" w:eastAsia="黑体" w:cs="黑体"/>
          <w:spacing w:val="0"/>
          <w:w w:val="100"/>
          <w:position w:val="0"/>
          <w:sz w:val="32"/>
          <w:szCs w:val="32"/>
        </w:rPr>
        <w:t>推进更高效能的健康治理</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40" w:lineRule="exact"/>
        <w:ind w:right="0" w:rightChars="0" w:firstLine="640" w:firstLineChars="200"/>
        <w:jc w:val="both"/>
        <w:textAlignment w:val="baseline"/>
        <w:rPr>
          <w:rFonts w:hint="eastAsia" w:ascii="楷体_GB2312" w:hAnsi="楷体_GB2312" w:eastAsia="楷体_GB2312" w:cs="楷体_GB2312"/>
          <w:spacing w:val="0"/>
          <w:w w:val="100"/>
          <w:position w:val="0"/>
          <w:sz w:val="32"/>
          <w:szCs w:val="32"/>
        </w:rPr>
      </w:pPr>
      <w:bookmarkStart w:id="16" w:name="OLE_LINK7"/>
      <w:r>
        <w:rPr>
          <w:rFonts w:hint="eastAsia" w:ascii="楷体_GB2312" w:hAnsi="楷体_GB2312" w:eastAsia="楷体_GB2312" w:cs="楷体_GB2312"/>
          <w:spacing w:val="0"/>
          <w:w w:val="100"/>
          <w:position w:val="0"/>
          <w:sz w:val="32"/>
          <w:szCs w:val="32"/>
        </w:rPr>
        <w:t>（一）促进医疗、医保、医药协同发展和治理。</w:t>
      </w:r>
    </w:p>
    <w:bookmarkEnd w:id="16"/>
    <w:p>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_GB2312" w:hAnsi="仿宋_GB2312" w:eastAsia="仿宋_GB2312" w:cs="仿宋_GB2312"/>
          <w:snapToGrid w:val="0"/>
          <w:color w:val="000000"/>
          <w:spacing w:val="0"/>
          <w:w w:val="100"/>
          <w:kern w:val="0"/>
          <w:position w:val="0"/>
          <w:sz w:val="32"/>
          <w:szCs w:val="32"/>
          <w:lang w:val="en-US" w:eastAsia="en-US" w:bidi="ar-SA"/>
        </w:rPr>
      </w:pPr>
      <w:r>
        <w:rPr>
          <w:rFonts w:hint="eastAsia" w:ascii="仿宋_GB2312" w:hAnsi="仿宋_GB2312" w:eastAsia="仿宋_GB2312" w:cs="仿宋_GB2312"/>
          <w:snapToGrid w:val="0"/>
          <w:color w:val="000000"/>
          <w:spacing w:val="0"/>
          <w:w w:val="100"/>
          <w:kern w:val="0"/>
          <w:position w:val="0"/>
          <w:sz w:val="32"/>
          <w:szCs w:val="32"/>
          <w:lang w:val="en-US" w:eastAsia="zh-CN" w:bidi="ar-SA"/>
        </w:rPr>
        <w:t>进一步</w:t>
      </w:r>
      <w:r>
        <w:rPr>
          <w:rFonts w:hint="eastAsia" w:ascii="仿宋_GB2312" w:hAnsi="仿宋_GB2312" w:eastAsia="仿宋_GB2312" w:cs="仿宋_GB2312"/>
          <w:snapToGrid w:val="0"/>
          <w:color w:val="000000"/>
          <w:spacing w:val="0"/>
          <w:w w:val="100"/>
          <w:kern w:val="0"/>
          <w:position w:val="0"/>
          <w:sz w:val="32"/>
          <w:szCs w:val="32"/>
          <w:lang w:val="en-US" w:eastAsia="en-US" w:bidi="ar-SA"/>
        </w:rPr>
        <w:t>深化“三医联动”改革，完善跨部门定期会商、政策协同和信息共享机制，强化改革系统集成和政策落地效能。推进全民基本医疗保障制度优化，稳步扩大按病种、按床日、按人头等多元复合式支付方式改革覆盖范围，重点落实医疗康复、慢性精神疾病等长期住院按床日付费政策，提升医保基金使用效率和医疗服务精准性。支持医疗机构加强临床路径管理和成本控制，引导医药产业高质量发展，形成医疗提质、医保增效、医药协同的良性发展格局，为建设健康韶关和卫生强市提供坚实支撑。</w:t>
      </w:r>
    </w:p>
    <w:p>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楷体_GB2312" w:hAnsi="楷体_GB2312" w:eastAsia="楷体_GB2312" w:cs="楷体_GB2312"/>
          <w:spacing w:val="0"/>
          <w:w w:val="100"/>
          <w:position w:val="0"/>
          <w:sz w:val="32"/>
          <w:szCs w:val="32"/>
        </w:rPr>
      </w:pPr>
      <w:r>
        <w:rPr>
          <w:rFonts w:hint="eastAsia" w:ascii="楷体_GB2312" w:hAnsi="楷体_GB2312" w:eastAsia="楷体_GB2312" w:cs="楷体_GB2312"/>
          <w:spacing w:val="0"/>
          <w:w w:val="100"/>
          <w:position w:val="0"/>
          <w:sz w:val="32"/>
          <w:szCs w:val="32"/>
        </w:rPr>
        <w:t>（二）深化以公益性为导向的公立医院综合改革。</w:t>
      </w:r>
    </w:p>
    <w:p>
      <w:pPr>
        <w:pStyle w:val="5"/>
        <w:keepNext w:val="0"/>
        <w:keepLines w:val="0"/>
        <w:pageBreakBefore w:val="0"/>
        <w:widowControl/>
        <w:kinsoku w:val="0"/>
        <w:wordWrap/>
        <w:overflowPunct/>
        <w:topLinePunct w:val="0"/>
        <w:autoSpaceDE w:val="0"/>
        <w:autoSpaceDN w:val="0"/>
        <w:bidi w:val="0"/>
        <w:adjustRightInd w:val="0"/>
        <w:snapToGrid w:val="0"/>
        <w:spacing w:line="540" w:lineRule="exact"/>
        <w:ind w:left="9" w:firstLine="640" w:firstLineChars="200"/>
        <w:textAlignment w:val="baseline"/>
        <w:rPr>
          <w:rFonts w:hint="eastAsia" w:ascii="仿宋_GB2312" w:hAnsi="仿宋_GB2312" w:eastAsia="仿宋_GB2312" w:cs="仿宋_GB2312"/>
          <w:snapToGrid w:val="0"/>
          <w:color w:val="000000"/>
          <w:spacing w:val="0"/>
          <w:w w:val="100"/>
          <w:kern w:val="0"/>
          <w:position w:val="0"/>
          <w:sz w:val="32"/>
          <w:szCs w:val="32"/>
          <w:lang w:val="en-US" w:eastAsia="en-US" w:bidi="ar-SA"/>
        </w:rPr>
      </w:pPr>
      <w:r>
        <w:rPr>
          <w:rFonts w:hint="eastAsia" w:ascii="仿宋_GB2312" w:hAnsi="仿宋_GB2312" w:eastAsia="仿宋_GB2312" w:cs="仿宋_GB2312"/>
          <w:snapToGrid w:val="0"/>
          <w:color w:val="000000"/>
          <w:spacing w:val="0"/>
          <w:w w:val="100"/>
          <w:kern w:val="0"/>
          <w:position w:val="0"/>
          <w:sz w:val="32"/>
          <w:szCs w:val="32"/>
          <w:lang w:val="en-US" w:eastAsia="en-US" w:bidi="ar-SA"/>
        </w:rPr>
        <w:t>推进“4＋1”</w:t>
      </w:r>
      <w:r>
        <w:rPr>
          <w:rFonts w:hint="eastAsia" w:ascii="仿宋_GB2312" w:hAnsi="仿宋_GB2312" w:eastAsia="仿宋_GB2312" w:cs="仿宋_GB2312"/>
          <w:snapToGrid w:val="0"/>
          <w:color w:val="000000"/>
          <w:spacing w:val="0"/>
          <w:w w:val="100"/>
          <w:kern w:val="0"/>
          <w:position w:val="0"/>
          <w:sz w:val="32"/>
          <w:szCs w:val="32"/>
          <w:vertAlign w:val="superscript"/>
          <w:lang w:val="en-US" w:eastAsia="zh-CN" w:bidi="ar-SA"/>
        </w:rPr>
        <w:t>5</w:t>
      </w:r>
      <w:r>
        <w:rPr>
          <w:rFonts w:hint="eastAsia" w:ascii="仿宋_GB2312" w:hAnsi="仿宋_GB2312" w:eastAsia="仿宋_GB2312" w:cs="仿宋_GB2312"/>
          <w:snapToGrid w:val="0"/>
          <w:color w:val="000000"/>
          <w:spacing w:val="0"/>
          <w:w w:val="100"/>
          <w:kern w:val="0"/>
          <w:position w:val="0"/>
          <w:sz w:val="32"/>
          <w:szCs w:val="32"/>
          <w:lang w:val="en-US" w:eastAsia="en-US" w:bidi="ar-SA"/>
        </w:rPr>
        <w:t>改革任务，推动地方政府有效落实对符合区域卫生规划的公立医院“六项投入”</w:t>
      </w:r>
      <w:r>
        <w:rPr>
          <w:rFonts w:hint="eastAsia" w:ascii="仿宋_GB2312" w:hAnsi="仿宋_GB2312" w:eastAsia="仿宋_GB2312" w:cs="仿宋_GB2312"/>
          <w:snapToGrid w:val="0"/>
          <w:color w:val="000000"/>
          <w:spacing w:val="0"/>
          <w:w w:val="100"/>
          <w:kern w:val="0"/>
          <w:position w:val="0"/>
          <w:sz w:val="32"/>
          <w:szCs w:val="32"/>
          <w:vertAlign w:val="superscript"/>
          <w:lang w:val="en-US" w:eastAsia="zh-CN" w:bidi="ar-SA"/>
        </w:rPr>
        <w:t>6</w:t>
      </w:r>
      <w:r>
        <w:rPr>
          <w:rFonts w:hint="eastAsia" w:ascii="仿宋_GB2312" w:hAnsi="仿宋_GB2312" w:eastAsia="仿宋_GB2312" w:cs="仿宋_GB2312"/>
          <w:snapToGrid w:val="0"/>
          <w:color w:val="000000"/>
          <w:spacing w:val="0"/>
          <w:w w:val="100"/>
          <w:kern w:val="0"/>
          <w:position w:val="0"/>
          <w:sz w:val="32"/>
          <w:szCs w:val="32"/>
          <w:lang w:val="en-US" w:eastAsia="en-US" w:bidi="ar-SA"/>
        </w:rPr>
        <w:t>政策，积极稳妥推进化解公立医院符合规定的长期债务风险。建立编制动态调整机制，探索实施人员总量管理。动态缩小收入差距，动态提升固定部分薪酬所占比重，力争</w:t>
      </w:r>
      <w:r>
        <w:rPr>
          <w:rFonts w:hint="eastAsia" w:ascii="仿宋_GB2312" w:hAnsi="仿宋_GB2312" w:eastAsia="仿宋_GB2312" w:cs="仿宋_GB2312"/>
          <w:snapToGrid w:val="0"/>
          <w:color w:val="000000"/>
          <w:spacing w:val="0"/>
          <w:w w:val="100"/>
          <w:kern w:val="0"/>
          <w:position w:val="0"/>
          <w:sz w:val="32"/>
          <w:szCs w:val="32"/>
          <w:lang w:val="en-US" w:eastAsia="zh-CN" w:bidi="ar-SA"/>
        </w:rPr>
        <w:t>全市</w:t>
      </w:r>
      <w:r>
        <w:rPr>
          <w:rFonts w:hint="eastAsia" w:ascii="仿宋_GB2312" w:hAnsi="仿宋_GB2312" w:eastAsia="仿宋_GB2312" w:cs="仿宋_GB2312"/>
          <w:snapToGrid w:val="0"/>
          <w:color w:val="000000"/>
          <w:spacing w:val="0"/>
          <w:w w:val="100"/>
          <w:kern w:val="0"/>
          <w:position w:val="0"/>
          <w:sz w:val="32"/>
          <w:szCs w:val="32"/>
          <w:lang w:val="en-US" w:eastAsia="en-US" w:bidi="ar-SA"/>
        </w:rPr>
        <w:t>公立医院人员支出占比提升至50％左右。落实医疗服务</w:t>
      </w:r>
      <w:bookmarkStart w:id="17" w:name="bookmark10"/>
      <w:bookmarkEnd w:id="17"/>
      <w:bookmarkStart w:id="18" w:name="bookmark11"/>
      <w:bookmarkEnd w:id="18"/>
      <w:r>
        <w:rPr>
          <w:rFonts w:hint="eastAsia" w:ascii="仿宋_GB2312" w:hAnsi="仿宋_GB2312" w:eastAsia="仿宋_GB2312" w:cs="仿宋_GB2312"/>
          <w:snapToGrid w:val="0"/>
          <w:color w:val="000000"/>
          <w:spacing w:val="0"/>
          <w:w w:val="100"/>
          <w:kern w:val="0"/>
          <w:position w:val="0"/>
          <w:sz w:val="32"/>
          <w:szCs w:val="32"/>
          <w:lang w:val="en-US" w:eastAsia="en-US" w:bidi="ar-SA"/>
        </w:rPr>
        <w:t>价格动态调整机制，各地市每年完成1次医疗服务价格调整评估，坚持将价格构成中技术劳务占比60％以上的项目优先纳入调价范围，数量和金额均达到调价总数和总金额的60％以上，逐步提升医疗服务收入占比。</w:t>
      </w:r>
    </w:p>
    <w:p>
      <w:pPr>
        <w:pStyle w:val="5"/>
        <w:spacing w:before="58" w:line="239" w:lineRule="auto"/>
        <w:rPr>
          <w:rFonts w:hint="eastAsia" w:ascii="Times New Roman" w:hAnsi="Times New Roman" w:eastAsia="宋体" w:cs="Times New Roman"/>
          <w:spacing w:val="-2"/>
          <w:position w:val="5"/>
          <w:sz w:val="11"/>
          <w:szCs w:val="11"/>
          <w:lang w:val="en-US" w:eastAsia="zh-CN"/>
        </w:rPr>
      </w:pPr>
    </w:p>
    <w:p>
      <w:pPr>
        <w:pStyle w:val="5"/>
        <w:spacing w:before="58" w:line="239" w:lineRule="auto"/>
        <w:ind w:left="9"/>
        <w:rPr>
          <w:rFonts w:hint="eastAsia" w:ascii="Times New Roman" w:hAnsi="Times New Roman" w:eastAsia="宋体" w:cs="Times New Roman"/>
          <w:spacing w:val="-2"/>
          <w:position w:val="5"/>
          <w:sz w:val="11"/>
          <w:szCs w:val="11"/>
          <w:lang w:val="en-US" w:eastAsia="zh-CN"/>
        </w:rPr>
      </w:pPr>
    </w:p>
    <w:p>
      <w:pPr>
        <w:pStyle w:val="5"/>
        <w:spacing w:before="58" w:line="239" w:lineRule="auto"/>
        <w:ind w:left="9"/>
        <w:rPr>
          <w:rFonts w:hint="eastAsia" w:ascii="Times New Roman" w:hAnsi="Times New Roman" w:eastAsia="宋体" w:cs="Times New Roman"/>
          <w:spacing w:val="-2"/>
          <w:position w:val="5"/>
          <w:sz w:val="11"/>
          <w:szCs w:val="11"/>
          <w:lang w:val="en-US" w:eastAsia="zh-CN"/>
        </w:rPr>
      </w:pPr>
      <w: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66675</wp:posOffset>
                </wp:positionV>
                <wp:extent cx="1828800" cy="0"/>
                <wp:effectExtent l="0" t="0" r="0" b="0"/>
                <wp:wrapNone/>
                <wp:docPr id="5" name="任意多边形 5"/>
                <wp:cNvGraphicFramePr/>
                <a:graphic xmlns:a="http://schemas.openxmlformats.org/drawingml/2006/main">
                  <a:graphicData uri="http://schemas.microsoft.com/office/word/2010/wordprocessingShape">
                    <wps:wsp>
                      <wps:cNvSpPr/>
                      <wps:spPr>
                        <a:xfrm>
                          <a:off x="0" y="0"/>
                          <a:ext cx="1828800" cy="0"/>
                        </a:xfrm>
                        <a:custGeom>
                          <a:avLst/>
                          <a:gdLst/>
                          <a:ahLst/>
                          <a:cxnLst/>
                          <a:pathLst>
                            <a:path w="2880">
                              <a:moveTo>
                                <a:pt x="0" y="0"/>
                              </a:moveTo>
                              <a:lnTo>
                                <a:pt x="2880" y="0"/>
                              </a:lnTo>
                            </a:path>
                          </a:pathLst>
                        </a:custGeom>
                        <a:noFill/>
                        <a:ln w="0" cap="sq"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0.45pt;margin-top:5.25pt;height:0pt;width:144pt;z-index:251660288;mso-width-relative:page;mso-height-relative:page;" filled="f" stroked="t" coordsize="2880,1" o:gfxdata="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msuF&#10;h9MAAAAHAQAADwAAAAAAAAABACAAAAAiAAAAZHJzL2Rvd25yZXYueG1sUEsBAhQAFAAAAAgAh07i&#10;QD3AFq4nAgAAhwQAAA4AAAAAAAAAAQAgAAAAIgEAAGRycy9lMm9Eb2MueG1sUEsFBgAAAAAGAAYA&#10;WQEAALsFAAAAAA==&#10;" path="m0,0l2880,0e">
                <v:fill on="f" focussize="0,0"/>
                <v:stroke weight="0pt" color="#000000" joinstyle="bevel" endcap="square"/>
                <v:imagedata o:title=""/>
                <o:lock v:ext="edit" aspectratio="f"/>
              </v:shape>
            </w:pict>
          </mc:Fallback>
        </mc:AlternateContent>
      </w:r>
    </w:p>
    <w:p>
      <w:pPr>
        <w:pStyle w:val="5"/>
        <w:spacing w:before="58" w:line="239" w:lineRule="auto"/>
        <w:ind w:left="9"/>
        <w:rPr>
          <w:sz w:val="18"/>
          <w:szCs w:val="18"/>
        </w:rPr>
      </w:pPr>
      <w:r>
        <w:rPr>
          <w:rFonts w:hint="eastAsia" w:ascii="Times New Roman" w:hAnsi="Times New Roman" w:eastAsia="宋体" w:cs="Times New Roman"/>
          <w:spacing w:val="-2"/>
          <w:position w:val="5"/>
          <w:sz w:val="11"/>
          <w:szCs w:val="11"/>
          <w:lang w:val="en-US" w:eastAsia="zh-CN"/>
        </w:rPr>
        <w:t>5</w:t>
      </w:r>
      <w:r>
        <w:rPr>
          <w:rFonts w:ascii="Times New Roman" w:hAnsi="Times New Roman" w:eastAsia="Times New Roman" w:cs="Times New Roman"/>
          <w:spacing w:val="-2"/>
          <w:position w:val="5"/>
          <w:sz w:val="11"/>
          <w:szCs w:val="11"/>
        </w:rPr>
        <w:t xml:space="preserve">    </w:t>
      </w:r>
      <w:r>
        <w:rPr>
          <w:spacing w:val="-12"/>
          <w:sz w:val="18"/>
          <w:szCs w:val="18"/>
        </w:rPr>
        <w:t>“4+1”是指财政、编制、薪酬、价格以及监管。</w:t>
      </w:r>
    </w:p>
    <w:p>
      <w:pPr>
        <w:pStyle w:val="5"/>
        <w:keepNext w:val="0"/>
        <w:keepLines w:val="0"/>
        <w:pageBreakBefore w:val="0"/>
        <w:widowControl/>
        <w:kinsoku/>
        <w:wordWrap/>
        <w:overflowPunct w:val="0"/>
        <w:topLinePunct w:val="0"/>
        <w:autoSpaceDE w:val="0"/>
        <w:autoSpaceDN w:val="0"/>
        <w:bidi w:val="0"/>
        <w:adjustRightInd w:val="0"/>
        <w:snapToGrid w:val="0"/>
        <w:spacing w:before="24" w:line="240" w:lineRule="auto"/>
        <w:ind w:left="17" w:right="34" w:hanging="6"/>
        <w:textAlignment w:val="baseline"/>
        <w:rPr>
          <w:rFonts w:hint="eastAsia" w:ascii="楷体_GB2312" w:hAnsi="楷体_GB2312" w:eastAsia="楷体_GB2312" w:cs="楷体_GB2312"/>
          <w:color w:val="auto"/>
          <w:spacing w:val="0"/>
          <w:sz w:val="32"/>
          <w:szCs w:val="32"/>
        </w:rPr>
      </w:pPr>
      <w:bookmarkStart w:id="19" w:name="bookmark13"/>
      <w:bookmarkEnd w:id="19"/>
      <w:r>
        <w:rPr>
          <w:rFonts w:hint="eastAsia" w:ascii="Times New Roman" w:hAnsi="Times New Roman" w:eastAsia="宋体" w:cs="Times New Roman"/>
          <w:spacing w:val="-2"/>
          <w:position w:val="6"/>
          <w:sz w:val="11"/>
          <w:szCs w:val="11"/>
          <w:lang w:val="en-US" w:eastAsia="zh-CN"/>
        </w:rPr>
        <w:t>6</w:t>
      </w:r>
      <w:r>
        <w:rPr>
          <w:rFonts w:ascii="Times New Roman" w:hAnsi="Times New Roman" w:eastAsia="Times New Roman" w:cs="Times New Roman"/>
          <w:spacing w:val="7"/>
          <w:w w:val="101"/>
          <w:position w:val="6"/>
          <w:sz w:val="11"/>
          <w:szCs w:val="11"/>
        </w:rPr>
        <w:t xml:space="preserve">   </w:t>
      </w:r>
      <w:r>
        <w:rPr>
          <w:spacing w:val="-13"/>
          <w:sz w:val="18"/>
          <w:szCs w:val="18"/>
        </w:rPr>
        <w:t>公立医院的“六项”投入政策是指符合区域卫生发展规划的公立医院基本建设及设备购置、重点学科发展、人才培养、</w:t>
      </w:r>
      <w:r>
        <w:rPr>
          <w:spacing w:val="-12"/>
          <w:sz w:val="18"/>
          <w:szCs w:val="18"/>
        </w:rPr>
        <w:t>符合国家规定的离退休人员费用、政策性亏损、承担公共卫生任务等经费纳入财政预算。</w:t>
      </w:r>
    </w:p>
    <w:p>
      <w:pPr>
        <w:keepNext w:val="0"/>
        <w:keepLines w:val="0"/>
        <w:pageBreakBefore w:val="0"/>
        <w:widowControl w:val="0"/>
        <w:kinsoku/>
        <w:wordWrap/>
        <w:overflowPunct w:val="0"/>
        <w:topLinePunct w:val="0"/>
        <w:autoSpaceDE/>
        <w:autoSpaceDN/>
        <w:bidi w:val="0"/>
        <w:adjustRightInd w:val="0"/>
        <w:snapToGrid w:val="0"/>
        <w:spacing w:line="560" w:lineRule="exact"/>
        <w:ind w:right="0" w:firstLine="640" w:firstLineChars="200"/>
        <w:jc w:val="both"/>
        <w:textAlignment w:val="baseline"/>
        <w:rPr>
          <w:rFonts w:hint="eastAsia" w:ascii="楷体_GB2312" w:hAnsi="楷体_GB2312" w:eastAsia="楷体_GB2312" w:cs="楷体_GB2312"/>
          <w:color w:val="auto"/>
          <w:spacing w:val="0"/>
          <w:sz w:val="32"/>
          <w:szCs w:val="32"/>
        </w:rPr>
      </w:pPr>
      <w:r>
        <w:rPr>
          <w:rFonts w:hint="eastAsia" w:ascii="楷体_GB2312" w:hAnsi="楷体_GB2312" w:eastAsia="楷体_GB2312" w:cs="楷体_GB2312"/>
          <w:color w:val="auto"/>
          <w:spacing w:val="0"/>
          <w:sz w:val="32"/>
          <w:szCs w:val="32"/>
        </w:rPr>
        <w:t>（三）加强卫生健康综合监管。</w:t>
      </w:r>
    </w:p>
    <w:p>
      <w:pPr>
        <w:pStyle w:val="5"/>
        <w:keepNext w:val="0"/>
        <w:keepLines w:val="0"/>
        <w:pageBreakBefore w:val="0"/>
        <w:wordWrap/>
        <w:topLinePunct w:val="0"/>
        <w:bidi w:val="0"/>
        <w:adjustRightInd w:val="0"/>
        <w:snapToGrid w:val="0"/>
        <w:spacing w:line="560" w:lineRule="exact"/>
        <w:ind w:left="9" w:firstLine="640" w:firstLineChars="200"/>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持续健全医疗卫生行业多元化综合监管体系，创新医疗卫生监管手段，建立健全医疗机构依法执业质量控制机制，强化事前事中行政管理与事后监督执法衔接。健全完善医疗机构疾控监督员制度，持续推进传染病防治分类监督综合评价。完善公共卫生执法事项清单，深化公共场所卫生量化分级管理。推动监督监测深度协同，建立分级分类监督执法模式，健全精准抽查机制。</w:t>
      </w:r>
    </w:p>
    <w:p>
      <w:pPr>
        <w:keepNext w:val="0"/>
        <w:keepLines w:val="0"/>
        <w:pageBreakBefore w:val="0"/>
        <w:wordWrap/>
        <w:topLinePunct w:val="0"/>
        <w:bidi w:val="0"/>
        <w:adjustRightInd w:val="0"/>
        <w:snapToGrid w:val="0"/>
        <w:spacing w:line="560" w:lineRule="exact"/>
        <w:ind w:firstLine="640" w:firstLineChars="200"/>
        <w:textAlignment w:val="baseline"/>
        <w:rPr>
          <w:rFonts w:hint="eastAsia" w:ascii="楷体_GB2312" w:hAnsi="楷体_GB2312" w:eastAsia="楷体_GB2312" w:cs="楷体_GB2312"/>
          <w:color w:val="auto"/>
          <w:spacing w:val="0"/>
          <w:sz w:val="32"/>
          <w:szCs w:val="32"/>
        </w:rPr>
      </w:pPr>
      <w:bookmarkStart w:id="20" w:name="bookmark12"/>
      <w:bookmarkEnd w:id="20"/>
      <w:r>
        <w:rPr>
          <w:rFonts w:hint="eastAsia" w:ascii="楷体_GB2312" w:hAnsi="楷体_GB2312" w:eastAsia="楷体_GB2312" w:cs="楷体_GB2312"/>
          <w:color w:val="auto"/>
          <w:spacing w:val="0"/>
          <w:sz w:val="32"/>
          <w:szCs w:val="32"/>
        </w:rPr>
        <w:t>（四）深入开展爱国卫生运动。</w:t>
      </w:r>
    </w:p>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深化党委领导、政府主导、跨部门协作、全社会动员的爱国卫生运动工作模式。落实“三个一”环境卫生整治制度，推进镇街、村居常态化蚊媒孳生地清理、环境卫生巡查治理及健康宣传，推进城乡病媒生物防制基础设施建设和防制措施落实。强化监测评估。大力推进健康城镇创建工作，践行文明健康、绿色环保的生活方式</w:t>
      </w:r>
    </w:p>
    <w:p>
      <w:pPr>
        <w:keepNext w:val="0"/>
        <w:keepLines w:val="0"/>
        <w:pageBreakBefore w:val="0"/>
        <w:widowControl w:val="0"/>
        <w:numPr>
          <w:ilvl w:val="0"/>
          <w:numId w:val="1"/>
        </w:numPr>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楷体_GB2312" w:hAnsi="楷体_GB2312" w:eastAsia="楷体_GB2312" w:cs="楷体_GB2312"/>
          <w:color w:val="auto"/>
          <w:spacing w:val="0"/>
          <w:sz w:val="32"/>
          <w:szCs w:val="32"/>
        </w:rPr>
      </w:pPr>
      <w:r>
        <w:rPr>
          <w:rFonts w:hint="eastAsia" w:ascii="楷体_GB2312" w:hAnsi="楷体_GB2312" w:eastAsia="楷体_GB2312" w:cs="楷体_GB2312"/>
          <w:color w:val="auto"/>
          <w:spacing w:val="0"/>
          <w:sz w:val="32"/>
          <w:szCs w:val="32"/>
        </w:rPr>
        <w:t>强化卫生健康依法治理和队伍作风建设</w:t>
      </w:r>
    </w:p>
    <w:p>
      <w:pPr>
        <w:keepNext w:val="0"/>
        <w:keepLines w:val="0"/>
        <w:pageBreakBefore w:val="0"/>
        <w:wordWrap/>
        <w:topLinePunct w:val="0"/>
        <w:bidi w:val="0"/>
        <w:adjustRightInd w:val="0"/>
        <w:snapToGrid w:val="0"/>
        <w:spacing w:line="560" w:lineRule="exact"/>
        <w:ind w:firstLine="640" w:firstLineChars="200"/>
        <w:textAlignment w:val="baseline"/>
        <w:outlineLvl w:val="1"/>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常态化开展普法宣传教育</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完善涉法涉诉应对、信访投诉举报闭环处置机制，严格落实重大事项事前法律论证、规范性文件合法性审查、公平竞争审查机制，加强公立医院</w:t>
      </w:r>
      <w:r>
        <w:rPr>
          <w:rFonts w:hint="eastAsia" w:ascii="仿宋_GB2312" w:hAnsi="仿宋_GB2312" w:eastAsia="仿宋_GB2312" w:cs="仿宋_GB2312"/>
          <w:color w:val="auto"/>
          <w:spacing w:val="0"/>
          <w:sz w:val="32"/>
          <w:szCs w:val="32"/>
          <w:lang w:eastAsia="zh-CN"/>
        </w:rPr>
        <w:t>法治建设</w:t>
      </w:r>
      <w:r>
        <w:rPr>
          <w:rFonts w:hint="eastAsia" w:ascii="仿宋_GB2312" w:hAnsi="仿宋_GB2312" w:eastAsia="仿宋_GB2312" w:cs="仿宋_GB2312"/>
          <w:color w:val="auto"/>
          <w:spacing w:val="0"/>
          <w:sz w:val="32"/>
          <w:szCs w:val="32"/>
        </w:rPr>
        <w:t>，深化“放管服”改革，动态调整政务服务系统事项。健全医疗机构行风管理工作体系，深化医德医风教育，挖掘宣传粤北基层医务先进典型，发挥示范引领作用，强化医德考评结果运用。</w:t>
      </w:r>
    </w:p>
    <w:tbl>
      <w:tblPr>
        <w:tblStyle w:val="10"/>
        <w:tblW w:w="87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9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8791" w:type="dxa"/>
            <w:vAlign w:val="top"/>
          </w:tcPr>
          <w:p>
            <w:pPr>
              <w:spacing w:before="97" w:line="228" w:lineRule="auto"/>
              <w:jc w:val="center"/>
              <w:outlineLvl w:val="1"/>
              <w:rPr>
                <w:rFonts w:ascii="方正小标宋简体" w:hAnsi="方正小标宋简体" w:eastAsia="方正小标宋简体" w:cs="方正小标宋简体"/>
                <w:sz w:val="28"/>
                <w:szCs w:val="28"/>
              </w:rPr>
            </w:pPr>
            <w:r>
              <w:rPr>
                <w:rFonts w:ascii="方正小标宋简体" w:hAnsi="方正小标宋简体" w:eastAsia="方正小标宋简体" w:cs="方正小标宋简体"/>
                <w:spacing w:val="-1"/>
                <w:sz w:val="28"/>
                <w:szCs w:val="28"/>
              </w:rPr>
              <w:t xml:space="preserve">专栏 </w:t>
            </w:r>
            <w:r>
              <w:rPr>
                <w:rFonts w:ascii="Times New Roman" w:hAnsi="Times New Roman" w:eastAsia="Times New Roman" w:cs="Times New Roman"/>
                <w:spacing w:val="-1"/>
                <w:sz w:val="28"/>
                <w:szCs w:val="28"/>
              </w:rPr>
              <w:t xml:space="preserve">8  </w:t>
            </w:r>
            <w:r>
              <w:rPr>
                <w:rFonts w:ascii="方正小标宋简体" w:hAnsi="方正小标宋简体" w:eastAsia="方正小标宋简体" w:cs="方正小标宋简体"/>
                <w:spacing w:val="-1"/>
                <w:sz w:val="28"/>
                <w:szCs w:val="28"/>
              </w:rPr>
              <w:t>卫生健康高效能治理项目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5" w:hRule="atLeast"/>
        </w:trPr>
        <w:tc>
          <w:tcPr>
            <w:tcW w:w="8791" w:type="dxa"/>
            <w:vAlign w:val="top"/>
          </w:tcPr>
          <w:p>
            <w:pPr>
              <w:keepNext w:val="0"/>
              <w:keepLines w:val="0"/>
              <w:pageBreakBefore w:val="0"/>
              <w:widowControl/>
              <w:kinsoku w:val="0"/>
              <w:wordWrap/>
              <w:overflowPunct/>
              <w:topLinePunct w:val="0"/>
              <w:autoSpaceDE w:val="0"/>
              <w:autoSpaceDN w:val="0"/>
              <w:bidi w:val="0"/>
              <w:adjustRightInd w:val="0"/>
              <w:snapToGrid w:val="0"/>
              <w:spacing w:line="280" w:lineRule="exact"/>
              <w:ind w:left="132"/>
              <w:textAlignment w:val="baseline"/>
              <w:rPr>
                <w:rFonts w:ascii="黑体" w:hAnsi="黑体" w:eastAsia="黑体" w:cs="黑体"/>
                <w:sz w:val="20"/>
                <w:szCs w:val="20"/>
              </w:rPr>
            </w:pPr>
            <w:r>
              <w:rPr>
                <w:rFonts w:ascii="Times New Roman" w:hAnsi="Times New Roman" w:eastAsia="Times New Roman" w:cs="Times New Roman"/>
                <w:spacing w:val="7"/>
                <w:position w:val="1"/>
                <w:sz w:val="20"/>
                <w:szCs w:val="20"/>
              </w:rPr>
              <w:t xml:space="preserve">1      </w:t>
            </w:r>
            <w:r>
              <w:rPr>
                <w:rFonts w:ascii="黑体" w:hAnsi="黑体" w:eastAsia="黑体" w:cs="黑体"/>
                <w:spacing w:val="7"/>
                <w:position w:val="1"/>
                <w:sz w:val="20"/>
                <w:szCs w:val="20"/>
              </w:rPr>
              <w:t>公立医院改革与高质量发展示范（提升）项目</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617"/>
              <w:textAlignment w:val="baseline"/>
              <w:rPr>
                <w:rFonts w:ascii="仿宋" w:hAnsi="仿宋" w:eastAsia="仿宋" w:cs="仿宋"/>
                <w:sz w:val="20"/>
                <w:szCs w:val="20"/>
              </w:rPr>
            </w:pPr>
            <w:r>
              <w:rPr>
                <w:rFonts w:hint="eastAsia" w:ascii="仿宋" w:hAnsi="仿宋" w:eastAsia="仿宋" w:cs="仿宋"/>
                <w:spacing w:val="7"/>
                <w:position w:val="1"/>
                <w:sz w:val="20"/>
                <w:szCs w:val="20"/>
                <w:lang w:val="en-US" w:eastAsia="zh-CN"/>
              </w:rPr>
              <w:t>全面</w:t>
            </w:r>
            <w:r>
              <w:rPr>
                <w:rFonts w:ascii="仿宋" w:hAnsi="仿宋" w:eastAsia="仿宋" w:cs="仿宋"/>
                <w:spacing w:val="7"/>
                <w:position w:val="1"/>
                <w:sz w:val="20"/>
                <w:szCs w:val="20"/>
              </w:rPr>
              <w:t>实施公立医院改革与高质量发展示范（提升）</w:t>
            </w:r>
            <w:r>
              <w:rPr>
                <w:rFonts w:hint="eastAsia" w:ascii="仿宋" w:hAnsi="仿宋" w:eastAsia="仿宋" w:cs="仿宋"/>
                <w:spacing w:val="7"/>
                <w:position w:val="1"/>
                <w:sz w:val="20"/>
                <w:szCs w:val="20"/>
                <w:lang w:val="en-US" w:eastAsia="zh-CN"/>
              </w:rPr>
              <w:t>涉及的7个子项目</w:t>
            </w:r>
            <w:r>
              <w:rPr>
                <w:rFonts w:ascii="仿宋" w:hAnsi="仿宋" w:eastAsia="仿宋" w:cs="仿宋"/>
                <w:spacing w:val="7"/>
                <w:position w:val="1"/>
                <w:sz w:val="20"/>
                <w:szCs w:val="20"/>
              </w:rPr>
              <w:t>。</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12"/>
              <w:textAlignment w:val="baseline"/>
              <w:rPr>
                <w:rFonts w:ascii="Times New Roman" w:hAnsi="Times New Roman" w:eastAsia="Times New Roman" w:cs="Times New Roman"/>
                <w:spacing w:val="7"/>
                <w:position w:val="1"/>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2"/>
              <w:textAlignment w:val="baseline"/>
              <w:rPr>
                <w:rFonts w:ascii="黑体" w:hAnsi="黑体" w:eastAsia="黑体" w:cs="黑体"/>
                <w:color w:val="auto"/>
                <w:sz w:val="20"/>
                <w:szCs w:val="20"/>
              </w:rPr>
            </w:pPr>
            <w:r>
              <w:rPr>
                <w:rFonts w:ascii="Times New Roman" w:hAnsi="Times New Roman" w:eastAsia="Times New Roman" w:cs="Times New Roman"/>
                <w:color w:val="auto"/>
                <w:spacing w:val="7"/>
                <w:position w:val="1"/>
                <w:sz w:val="20"/>
                <w:szCs w:val="20"/>
              </w:rPr>
              <w:t xml:space="preserve">2      </w:t>
            </w:r>
            <w:r>
              <w:rPr>
                <w:rFonts w:ascii="黑体" w:hAnsi="黑体" w:eastAsia="黑体" w:cs="黑体"/>
                <w:color w:val="auto"/>
                <w:spacing w:val="7"/>
                <w:position w:val="1"/>
                <w:sz w:val="20"/>
                <w:szCs w:val="20"/>
              </w:rPr>
              <w:t>卫生监督执法能力提升项目</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612"/>
              <w:textAlignment w:val="baseline"/>
              <w:rPr>
                <w:rFonts w:hint="eastAsia" w:ascii="仿宋" w:hAnsi="仿宋" w:eastAsia="仿宋" w:cs="仿宋"/>
                <w:color w:val="auto"/>
                <w:sz w:val="20"/>
                <w:szCs w:val="20"/>
                <w:lang w:eastAsia="zh-CN"/>
              </w:rPr>
            </w:pPr>
            <w:r>
              <w:rPr>
                <w:rFonts w:hint="eastAsia" w:ascii="仿宋" w:hAnsi="仿宋" w:eastAsia="仿宋" w:cs="仿宋"/>
                <w:color w:val="auto"/>
                <w:spacing w:val="8"/>
                <w:position w:val="1"/>
                <w:sz w:val="20"/>
                <w:szCs w:val="20"/>
                <w:lang w:eastAsia="zh-CN"/>
              </w:rPr>
              <w:t>推进我市省级放射卫生监督实训基地优化升级，同步推进智慧卫监建设。</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16"/>
              <w:textAlignment w:val="baseline"/>
              <w:rPr>
                <w:rFonts w:ascii="Times New Roman" w:hAnsi="Times New Roman" w:eastAsia="Times New Roman" w:cs="Times New Roman"/>
                <w:spacing w:val="8"/>
                <w:position w:val="1"/>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6"/>
              <w:textAlignment w:val="baseline"/>
              <w:rPr>
                <w:rFonts w:ascii="黑体" w:hAnsi="黑体" w:eastAsia="黑体" w:cs="黑体"/>
                <w:sz w:val="20"/>
                <w:szCs w:val="20"/>
              </w:rPr>
            </w:pPr>
            <w:r>
              <w:rPr>
                <w:rFonts w:ascii="Times New Roman" w:hAnsi="Times New Roman" w:eastAsia="Times New Roman" w:cs="Times New Roman"/>
                <w:spacing w:val="8"/>
                <w:position w:val="1"/>
                <w:sz w:val="20"/>
                <w:szCs w:val="20"/>
              </w:rPr>
              <w:t>3</w:t>
            </w:r>
            <w:r>
              <w:rPr>
                <w:rFonts w:ascii="Times New Roman" w:hAnsi="Times New Roman" w:eastAsia="Times New Roman" w:cs="Times New Roman"/>
                <w:spacing w:val="3"/>
                <w:position w:val="1"/>
                <w:sz w:val="20"/>
                <w:szCs w:val="20"/>
              </w:rPr>
              <w:t xml:space="preserve">      </w:t>
            </w:r>
            <w:r>
              <w:rPr>
                <w:rFonts w:ascii="Times New Roman" w:hAnsi="Times New Roman" w:eastAsia="Times New Roman" w:cs="Times New Roman"/>
                <w:position w:val="1"/>
                <w:sz w:val="20"/>
                <w:szCs w:val="20"/>
              </w:rPr>
              <w:t>AI</w:t>
            </w:r>
            <w:r>
              <w:rPr>
                <w:rFonts w:ascii="黑体" w:hAnsi="黑体" w:eastAsia="黑体" w:cs="黑体"/>
                <w:spacing w:val="8"/>
                <w:position w:val="1"/>
                <w:sz w:val="20"/>
                <w:szCs w:val="20"/>
              </w:rPr>
              <w:t>赋能</w:t>
            </w:r>
            <w:r>
              <w:rPr>
                <w:rFonts w:ascii="Times New Roman" w:hAnsi="Times New Roman" w:eastAsia="Times New Roman" w:cs="Times New Roman"/>
                <w:spacing w:val="8"/>
                <w:position w:val="1"/>
                <w:sz w:val="20"/>
                <w:szCs w:val="20"/>
              </w:rPr>
              <w:t>“</w:t>
            </w:r>
            <w:r>
              <w:rPr>
                <w:rFonts w:ascii="黑体" w:hAnsi="黑体" w:eastAsia="黑体" w:cs="黑体"/>
                <w:spacing w:val="8"/>
                <w:position w:val="1"/>
                <w:sz w:val="20"/>
                <w:szCs w:val="20"/>
              </w:rPr>
              <w:t>三医</w:t>
            </w:r>
            <w:r>
              <w:rPr>
                <w:rFonts w:ascii="Times New Roman" w:hAnsi="Times New Roman" w:eastAsia="Times New Roman" w:cs="Times New Roman"/>
                <w:spacing w:val="8"/>
                <w:position w:val="1"/>
                <w:sz w:val="20"/>
                <w:szCs w:val="20"/>
              </w:rPr>
              <w:t>”</w:t>
            </w:r>
            <w:r>
              <w:rPr>
                <w:rFonts w:ascii="黑体" w:hAnsi="黑体" w:eastAsia="黑体" w:cs="黑体"/>
                <w:spacing w:val="8"/>
                <w:position w:val="1"/>
                <w:sz w:val="20"/>
                <w:szCs w:val="20"/>
              </w:rPr>
              <w:t>协同发展和治理信息应用项目</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612" w:right="107"/>
              <w:textAlignment w:val="baseline"/>
              <w:rPr>
                <w:rFonts w:ascii="仿宋" w:hAnsi="仿宋" w:eastAsia="仿宋" w:cs="仿宋"/>
                <w:sz w:val="20"/>
                <w:szCs w:val="20"/>
              </w:rPr>
            </w:pPr>
            <w:r>
              <w:rPr>
                <w:rFonts w:hint="default" w:ascii="仿宋" w:hAnsi="仿宋" w:eastAsia="仿宋" w:cs="仿宋"/>
                <w:spacing w:val="9"/>
                <w:sz w:val="20"/>
                <w:szCs w:val="20"/>
              </w:rPr>
              <w:t>实施“韶关健康云网”智算赋能工程</w:t>
            </w:r>
            <w:r>
              <w:rPr>
                <w:rFonts w:hint="default" w:ascii="仿宋" w:hAnsi="仿宋" w:eastAsia="仿宋" w:cs="仿宋"/>
                <w:spacing w:val="9"/>
                <w:sz w:val="20"/>
                <w:szCs w:val="20"/>
                <w:lang w:eastAsia="zh-CN"/>
              </w:rPr>
              <w:t>，</w:t>
            </w:r>
            <w:r>
              <w:rPr>
                <w:rFonts w:hint="default" w:ascii="仿宋" w:hAnsi="仿宋" w:eastAsia="仿宋" w:cs="仿宋"/>
                <w:spacing w:val="9"/>
                <w:sz w:val="20"/>
                <w:szCs w:val="20"/>
              </w:rPr>
              <w:t>建设“韶关健康云网”基础底座，完成基础健康数据归集，汇集全市个人全生命周期健康数据，</w:t>
            </w:r>
            <w:r>
              <w:rPr>
                <w:rFonts w:hint="default" w:ascii="仿宋" w:hAnsi="仿宋" w:eastAsia="仿宋" w:cs="仿宋"/>
                <w:spacing w:val="9"/>
                <w:sz w:val="20"/>
                <w:szCs w:val="20"/>
                <w:lang w:val="en-US" w:eastAsia="zh-CN"/>
              </w:rPr>
              <w:t>启动县域医共体管理平台和</w:t>
            </w:r>
            <w:r>
              <w:rPr>
                <w:rFonts w:hint="default" w:ascii="仿宋" w:hAnsi="仿宋" w:eastAsia="仿宋" w:cs="仿宋"/>
                <w:spacing w:val="9"/>
                <w:sz w:val="20"/>
                <w:szCs w:val="20"/>
              </w:rPr>
              <w:t>“医疗影像云”</w:t>
            </w:r>
            <w:r>
              <w:rPr>
                <w:rFonts w:hint="eastAsia" w:ascii="仿宋" w:hAnsi="仿宋" w:eastAsia="仿宋" w:cs="仿宋"/>
                <w:spacing w:val="9"/>
                <w:sz w:val="20"/>
                <w:szCs w:val="20"/>
                <w:lang w:val="en-US" w:eastAsia="zh-CN"/>
              </w:rPr>
              <w:t>建设</w:t>
            </w:r>
            <w:r>
              <w:rPr>
                <w:rFonts w:ascii="仿宋" w:hAnsi="仿宋" w:eastAsia="仿宋" w:cs="仿宋"/>
                <w:spacing w:val="9"/>
                <w:sz w:val="20"/>
                <w:szCs w:val="20"/>
              </w:rPr>
              <w:t>，</w:t>
            </w:r>
            <w:r>
              <w:rPr>
                <w:rFonts w:ascii="仿宋" w:hAnsi="仿宋" w:eastAsia="仿宋" w:cs="仿宋"/>
                <w:spacing w:val="10"/>
                <w:sz w:val="20"/>
                <w:szCs w:val="20"/>
              </w:rPr>
              <w:t>整合医</w:t>
            </w:r>
            <w:r>
              <w:rPr>
                <w:rFonts w:ascii="仿宋" w:hAnsi="仿宋" w:eastAsia="仿宋" w:cs="仿宋"/>
                <w:spacing w:val="9"/>
                <w:sz w:val="20"/>
                <w:szCs w:val="20"/>
              </w:rPr>
              <w:t>疗、医保、医药及相关</w:t>
            </w:r>
            <w:r>
              <w:rPr>
                <w:rFonts w:ascii="仿宋" w:hAnsi="仿宋" w:eastAsia="仿宋" w:cs="仿宋"/>
                <w:spacing w:val="5"/>
                <w:sz w:val="20"/>
                <w:szCs w:val="20"/>
              </w:rPr>
              <w:t>部门数据。</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11"/>
              <w:textAlignment w:val="baseline"/>
              <w:rPr>
                <w:rFonts w:ascii="Times New Roman" w:hAnsi="Times New Roman" w:eastAsia="Times New Roman" w:cs="Times New Roman"/>
                <w:spacing w:val="7"/>
                <w:position w:val="1"/>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1"/>
              <w:textAlignment w:val="baseline"/>
              <w:rPr>
                <w:rFonts w:ascii="黑体" w:hAnsi="黑体" w:eastAsia="黑体" w:cs="黑体"/>
                <w:sz w:val="20"/>
                <w:szCs w:val="20"/>
              </w:rPr>
            </w:pPr>
            <w:r>
              <w:rPr>
                <w:rFonts w:ascii="Times New Roman" w:hAnsi="Times New Roman" w:eastAsia="Times New Roman" w:cs="Times New Roman"/>
                <w:spacing w:val="7"/>
                <w:position w:val="1"/>
                <w:sz w:val="20"/>
                <w:szCs w:val="20"/>
              </w:rPr>
              <w:t xml:space="preserve">4      </w:t>
            </w:r>
            <w:r>
              <w:rPr>
                <w:rFonts w:ascii="黑体" w:hAnsi="黑体" w:eastAsia="黑体" w:cs="黑体"/>
                <w:spacing w:val="7"/>
                <w:position w:val="1"/>
                <w:sz w:val="20"/>
                <w:szCs w:val="20"/>
              </w:rPr>
              <w:t>化解公立医院债务专项行动</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619"/>
              <w:textAlignment w:val="baseline"/>
              <w:rPr>
                <w:rFonts w:ascii="仿宋" w:hAnsi="仿宋" w:eastAsia="仿宋" w:cs="仿宋"/>
                <w:sz w:val="20"/>
                <w:szCs w:val="20"/>
              </w:rPr>
            </w:pPr>
            <w:r>
              <w:rPr>
                <w:rFonts w:ascii="仿宋" w:hAnsi="仿宋" w:eastAsia="仿宋" w:cs="仿宋"/>
                <w:spacing w:val="9"/>
                <w:sz w:val="20"/>
                <w:szCs w:val="20"/>
              </w:rPr>
              <w:t>维护医疗卫生公益性，落实政府对公立医院的补助</w:t>
            </w:r>
            <w:r>
              <w:rPr>
                <w:rFonts w:ascii="仿宋" w:hAnsi="仿宋" w:eastAsia="仿宋" w:cs="仿宋"/>
                <w:spacing w:val="8"/>
                <w:sz w:val="20"/>
                <w:szCs w:val="20"/>
              </w:rPr>
              <w:t>政策。</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18"/>
              <w:textAlignment w:val="baseline"/>
              <w:rPr>
                <w:rFonts w:ascii="Times New Roman" w:hAnsi="Times New Roman" w:eastAsia="Times New Roman" w:cs="Times New Roman"/>
                <w:spacing w:val="5"/>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8"/>
              <w:textAlignment w:val="baseline"/>
              <w:rPr>
                <w:rFonts w:ascii="黑体" w:hAnsi="黑体" w:eastAsia="黑体" w:cs="黑体"/>
                <w:color w:val="auto"/>
                <w:sz w:val="20"/>
                <w:szCs w:val="20"/>
              </w:rPr>
            </w:pPr>
            <w:r>
              <w:rPr>
                <w:rFonts w:ascii="Times New Roman" w:hAnsi="Times New Roman" w:eastAsia="Times New Roman" w:cs="Times New Roman"/>
                <w:color w:val="auto"/>
                <w:spacing w:val="5"/>
                <w:sz w:val="20"/>
                <w:szCs w:val="20"/>
              </w:rPr>
              <w:t xml:space="preserve">5      </w:t>
            </w:r>
            <w:r>
              <w:rPr>
                <w:rFonts w:ascii="黑体" w:hAnsi="黑体" w:eastAsia="黑体" w:cs="黑体"/>
                <w:color w:val="auto"/>
                <w:spacing w:val="5"/>
                <w:sz w:val="20"/>
                <w:szCs w:val="20"/>
              </w:rPr>
              <w:t>健康城镇建设项目</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612" w:right="107"/>
              <w:textAlignment w:val="baseline"/>
              <w:rPr>
                <w:rFonts w:hint="default" w:ascii="仿宋" w:hAnsi="仿宋" w:eastAsia="仿宋" w:cs="仿宋"/>
                <w:color w:val="auto"/>
                <w:spacing w:val="9"/>
                <w:sz w:val="20"/>
                <w:szCs w:val="20"/>
              </w:rPr>
            </w:pPr>
            <w:r>
              <w:rPr>
                <w:rFonts w:hint="eastAsia" w:ascii="仿宋" w:hAnsi="仿宋" w:eastAsia="仿宋" w:cs="仿宋"/>
                <w:color w:val="auto"/>
                <w:spacing w:val="9"/>
                <w:sz w:val="20"/>
                <w:szCs w:val="20"/>
              </w:rPr>
              <w:t>加强业务培训指导，推进健康城镇创建工作，力争申报创建全国健康城镇1个。</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16"/>
              <w:textAlignment w:val="baseline"/>
              <w:rPr>
                <w:rFonts w:ascii="Times New Roman" w:hAnsi="Times New Roman" w:eastAsia="Times New Roman" w:cs="Times New Roman"/>
                <w:color w:val="auto"/>
                <w:spacing w:val="5"/>
                <w:position w:val="1"/>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6"/>
              <w:textAlignment w:val="baseline"/>
              <w:rPr>
                <w:rFonts w:ascii="黑体" w:hAnsi="黑体" w:eastAsia="黑体" w:cs="黑体"/>
                <w:color w:val="auto"/>
                <w:sz w:val="20"/>
                <w:szCs w:val="20"/>
              </w:rPr>
            </w:pPr>
            <w:r>
              <w:rPr>
                <w:rFonts w:ascii="Times New Roman" w:hAnsi="Times New Roman" w:eastAsia="Times New Roman" w:cs="Times New Roman"/>
                <w:color w:val="auto"/>
                <w:spacing w:val="5"/>
                <w:position w:val="1"/>
                <w:sz w:val="20"/>
                <w:szCs w:val="20"/>
              </w:rPr>
              <w:t xml:space="preserve">6      </w:t>
            </w:r>
            <w:r>
              <w:rPr>
                <w:rFonts w:ascii="黑体" w:hAnsi="黑体" w:eastAsia="黑体" w:cs="黑体"/>
                <w:color w:val="auto"/>
                <w:spacing w:val="5"/>
                <w:position w:val="1"/>
                <w:sz w:val="20"/>
                <w:szCs w:val="20"/>
              </w:rPr>
              <w:t>健康</w:t>
            </w:r>
            <w:r>
              <w:rPr>
                <w:rFonts w:hint="eastAsia" w:ascii="黑体" w:hAnsi="黑体" w:eastAsia="黑体" w:cs="黑体"/>
                <w:color w:val="auto"/>
                <w:spacing w:val="5"/>
                <w:position w:val="1"/>
                <w:sz w:val="20"/>
                <w:szCs w:val="20"/>
                <w:lang w:val="en-US" w:eastAsia="zh-CN"/>
              </w:rPr>
              <w:t>韶关</w:t>
            </w:r>
            <w:r>
              <w:rPr>
                <w:rFonts w:ascii="黑体" w:hAnsi="黑体" w:eastAsia="黑体" w:cs="黑体"/>
                <w:color w:val="auto"/>
                <w:spacing w:val="5"/>
                <w:position w:val="1"/>
                <w:sz w:val="20"/>
                <w:szCs w:val="20"/>
              </w:rPr>
              <w:t>行动</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612" w:right="107"/>
              <w:textAlignment w:val="baseline"/>
              <w:rPr>
                <w:rFonts w:hint="default" w:ascii="仿宋" w:hAnsi="仿宋" w:eastAsia="仿宋" w:cs="仿宋"/>
                <w:color w:val="auto"/>
                <w:spacing w:val="9"/>
                <w:sz w:val="20"/>
                <w:szCs w:val="20"/>
              </w:rPr>
            </w:pPr>
            <w:r>
              <w:rPr>
                <w:rFonts w:hint="default" w:ascii="仿宋" w:hAnsi="仿宋" w:eastAsia="仿宋" w:cs="仿宋"/>
                <w:color w:val="auto"/>
                <w:spacing w:val="9"/>
                <w:sz w:val="20"/>
                <w:szCs w:val="20"/>
              </w:rPr>
              <w:t>统筹推进</w:t>
            </w:r>
            <w:r>
              <w:rPr>
                <w:rFonts w:hint="eastAsia" w:ascii="仿宋" w:hAnsi="仿宋" w:eastAsia="仿宋" w:cs="仿宋"/>
                <w:color w:val="auto"/>
                <w:spacing w:val="9"/>
                <w:sz w:val="20"/>
                <w:szCs w:val="20"/>
                <w:lang w:val="en-US" w:eastAsia="zh-CN"/>
              </w:rPr>
              <w:t>20</w:t>
            </w:r>
            <w:r>
              <w:rPr>
                <w:rFonts w:hint="default" w:ascii="仿宋" w:hAnsi="仿宋" w:eastAsia="仿宋" w:cs="仿宋"/>
                <w:color w:val="auto"/>
                <w:spacing w:val="9"/>
                <w:sz w:val="20"/>
                <w:szCs w:val="20"/>
              </w:rPr>
              <w:t>个健康</w:t>
            </w:r>
            <w:r>
              <w:rPr>
                <w:rFonts w:hint="eastAsia" w:ascii="仿宋" w:hAnsi="仿宋" w:eastAsia="仿宋" w:cs="仿宋"/>
                <w:color w:val="auto"/>
                <w:spacing w:val="9"/>
                <w:sz w:val="20"/>
                <w:szCs w:val="20"/>
                <w:lang w:val="en-US" w:eastAsia="zh-CN"/>
              </w:rPr>
              <w:t>韶关</w:t>
            </w:r>
            <w:r>
              <w:rPr>
                <w:rFonts w:hint="default" w:ascii="仿宋" w:hAnsi="仿宋" w:eastAsia="仿宋" w:cs="仿宋"/>
                <w:color w:val="auto"/>
                <w:spacing w:val="9"/>
                <w:sz w:val="20"/>
                <w:szCs w:val="20"/>
              </w:rPr>
              <w:t>专项行动。</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115"/>
              <w:textAlignment w:val="baseline"/>
              <w:rPr>
                <w:rFonts w:ascii="Times New Roman" w:hAnsi="Times New Roman" w:eastAsia="Times New Roman" w:cs="Times New Roman"/>
                <w:color w:val="auto"/>
                <w:spacing w:val="7"/>
                <w:sz w:val="20"/>
                <w:szCs w:val="20"/>
              </w:rPr>
            </w:pPr>
          </w:p>
          <w:p>
            <w:pPr>
              <w:keepNext w:val="0"/>
              <w:keepLines w:val="0"/>
              <w:pageBreakBefore w:val="0"/>
              <w:widowControl/>
              <w:kinsoku w:val="0"/>
              <w:wordWrap/>
              <w:overflowPunct/>
              <w:topLinePunct w:val="0"/>
              <w:autoSpaceDE w:val="0"/>
              <w:autoSpaceDN w:val="0"/>
              <w:bidi w:val="0"/>
              <w:adjustRightInd w:val="0"/>
              <w:snapToGrid w:val="0"/>
              <w:spacing w:line="280" w:lineRule="exact"/>
              <w:ind w:left="115"/>
              <w:textAlignment w:val="baseline"/>
              <w:rPr>
                <w:rFonts w:ascii="黑体" w:hAnsi="黑体" w:eastAsia="黑体" w:cs="黑体"/>
                <w:color w:val="auto"/>
                <w:sz w:val="20"/>
                <w:szCs w:val="20"/>
              </w:rPr>
            </w:pPr>
            <w:r>
              <w:rPr>
                <w:rFonts w:ascii="Times New Roman" w:hAnsi="Times New Roman" w:eastAsia="Times New Roman" w:cs="Times New Roman"/>
                <w:color w:val="auto"/>
                <w:spacing w:val="7"/>
                <w:sz w:val="20"/>
                <w:szCs w:val="20"/>
              </w:rPr>
              <w:t xml:space="preserve">7      </w:t>
            </w:r>
            <w:r>
              <w:rPr>
                <w:rFonts w:ascii="黑体" w:hAnsi="黑体" w:eastAsia="黑体" w:cs="黑体"/>
                <w:color w:val="auto"/>
                <w:spacing w:val="7"/>
                <w:sz w:val="20"/>
                <w:szCs w:val="20"/>
              </w:rPr>
              <w:t>烟草流行监测和控烟干预行动</w:t>
            </w:r>
          </w:p>
          <w:p>
            <w:pPr>
              <w:keepNext w:val="0"/>
              <w:keepLines w:val="0"/>
              <w:pageBreakBefore w:val="0"/>
              <w:widowControl/>
              <w:kinsoku w:val="0"/>
              <w:wordWrap/>
              <w:overflowPunct/>
              <w:topLinePunct w:val="0"/>
              <w:autoSpaceDE w:val="0"/>
              <w:autoSpaceDN w:val="0"/>
              <w:bidi w:val="0"/>
              <w:adjustRightInd w:val="0"/>
              <w:snapToGrid w:val="0"/>
              <w:spacing w:line="280" w:lineRule="exact"/>
              <w:ind w:left="619" w:right="107" w:firstLine="6"/>
              <w:textAlignment w:val="baseline"/>
              <w:rPr>
                <w:rFonts w:ascii="仿宋" w:hAnsi="仿宋" w:eastAsia="仿宋" w:cs="仿宋"/>
                <w:sz w:val="20"/>
                <w:szCs w:val="20"/>
              </w:rPr>
            </w:pPr>
            <w:r>
              <w:rPr>
                <w:rFonts w:hint="eastAsia" w:ascii="仿宋" w:hAnsi="仿宋" w:eastAsia="仿宋" w:cs="仿宋"/>
                <w:color w:val="auto"/>
                <w:spacing w:val="9"/>
                <w:sz w:val="20"/>
                <w:szCs w:val="20"/>
              </w:rPr>
              <w:t>加强控烟宣传，持续提高无烟环境建设水平，到2030年15岁以上人群吸烟率下降到20%以内。</w:t>
            </w:r>
          </w:p>
        </w:tc>
      </w:tr>
    </w:tbl>
    <w:p>
      <w:pPr>
        <w:ind w:firstLine="640" w:firstLineChars="200"/>
        <w:rPr>
          <w:rFonts w:ascii="黑体" w:hAnsi="黑体" w:eastAsia="黑体" w:cs="黑体"/>
          <w:spacing w:val="0"/>
          <w:sz w:val="32"/>
          <w:szCs w:val="32"/>
        </w:rPr>
      </w:pPr>
      <w:r>
        <w:rPr>
          <w:rFonts w:ascii="黑体" w:hAnsi="黑体" w:eastAsia="黑体" w:cs="黑体"/>
          <w:spacing w:val="0"/>
          <w:sz w:val="32"/>
          <w:szCs w:val="32"/>
        </w:rPr>
        <w:t>九、完善规划实施保障机制</w:t>
      </w:r>
    </w:p>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（一）加强组织领导。</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坚持党对卫生健康事业发展工作的领导，切实强化政府责任，把实施省卫生健康事业发展规划列入政府工作目标任务。充分发挥工会、共青团、妇联、残联、金融协会等群团组织，</w:t>
      </w:r>
      <w:r>
        <w:rPr>
          <w:rFonts w:hint="eastAsia" w:ascii="仿宋_GB2312" w:hAnsi="仿宋_GB2312" w:eastAsia="仿宋_GB2312" w:cs="仿宋_GB2312"/>
          <w:spacing w:val="-6"/>
          <w:sz w:val="32"/>
          <w:szCs w:val="32"/>
        </w:rPr>
        <w:t>动员企事业单位、学校、社区（村）等基层力量参与健康促进工作，形成政府主导、社会协同、公众参与的健康治理新格</w:t>
      </w:r>
      <w:r>
        <w:rPr>
          <w:rFonts w:hint="eastAsia" w:ascii="仿宋_GB2312" w:hAnsi="仿宋_GB2312" w:eastAsia="仿宋_GB2312" w:cs="仿宋_GB2312"/>
          <w:spacing w:val="0"/>
          <w:sz w:val="32"/>
          <w:szCs w:val="32"/>
        </w:rPr>
        <w:t>局。</w:t>
      </w:r>
    </w:p>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（二）完善投入支撑保障。</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健全完善与</w:t>
      </w:r>
      <w:r>
        <w:rPr>
          <w:rFonts w:hint="eastAsia" w:ascii="仿宋_GB2312" w:hAnsi="仿宋_GB2312" w:eastAsia="仿宋_GB2312" w:cs="仿宋_GB2312"/>
          <w:spacing w:val="0"/>
          <w:sz w:val="32"/>
          <w:szCs w:val="32"/>
          <w:lang w:val="en-US" w:eastAsia="zh-CN"/>
        </w:rPr>
        <w:t>韶关</w:t>
      </w:r>
      <w:r>
        <w:rPr>
          <w:rFonts w:hint="eastAsia" w:ascii="仿宋_GB2312" w:hAnsi="仿宋_GB2312" w:eastAsia="仿宋_GB2312" w:cs="仿宋_GB2312"/>
          <w:spacing w:val="0"/>
          <w:sz w:val="32"/>
          <w:szCs w:val="32"/>
        </w:rPr>
        <w:t>经济社会发展水平和健康优先战略相适应、长期稳定的卫生健康投入机制，落实县区、基层医疗机构运行保障。加大对重大疾病防治和“一老一小”等重点人群倾斜支持力度。完善多元卫生健康筹资体系，鼓励社会资本参与健康广东建设。</w:t>
      </w:r>
    </w:p>
    <w:p>
      <w:pPr>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（三）健全监测评估机制。</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推动将主要指标和重点任务纳入年度重点工作。健全规划监测评估体系，开展年度监测、中期评估和总结评估，确保规划目标任务落地见效。</w:t>
      </w:r>
    </w:p>
    <w:p>
      <w:pPr>
        <w:pStyle w:val="5"/>
        <w:keepNext w:val="0"/>
        <w:keepLines w:val="0"/>
        <w:pageBreakBefore w:val="0"/>
        <w:widowControl w:val="0"/>
        <w:kinsoku/>
        <w:wordWrap/>
        <w:overflowPunct w:val="0"/>
        <w:topLinePunct w:val="0"/>
        <w:autoSpaceDE/>
        <w:autoSpaceDN/>
        <w:bidi w:val="0"/>
        <w:adjustRightInd w:val="0"/>
        <w:snapToGrid w:val="0"/>
        <w:spacing w:line="560" w:lineRule="exact"/>
        <w:ind w:left="0" w:right="0" w:firstLine="640" w:firstLineChars="200"/>
        <w:jc w:val="both"/>
        <w:textAlignment w:val="baseline"/>
        <w:rPr>
          <w:rFonts w:hint="eastAsia" w:ascii="仿宋_GB2312" w:hAnsi="仿宋_GB2312" w:eastAsia="仿宋_GB2312" w:cs="仿宋_GB2312"/>
          <w:spacing w:val="0"/>
          <w:sz w:val="32"/>
          <w:szCs w:val="32"/>
        </w:rPr>
      </w:pPr>
    </w:p>
    <w:sectPr>
      <w:headerReference r:id="rId5" w:type="default"/>
      <w:footerReference r:id="rId6" w:type="default"/>
      <w:pgSz w:w="11906" w:h="16839"/>
      <w:pgMar w:top="2098" w:right="1474" w:bottom="1921" w:left="1587" w:header="0" w:footer="1022"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1B52367-D357-4583-AF42-DD08046C2179}"/>
  </w:font>
  <w:font w:name="黑体">
    <w:panose1 w:val="02010609060101010101"/>
    <w:charset w:val="86"/>
    <w:family w:val="auto"/>
    <w:pitch w:val="default"/>
    <w:sig w:usb0="800002BF" w:usb1="38CF7CFA" w:usb2="00000016" w:usb3="00000000" w:csb0="00040001" w:csb1="00000000"/>
    <w:embedRegular r:id="rId2" w:fontKey="{5FE57C3B-1171-45AA-BA92-4BBE3BE2503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33D0422F-EF29-4743-9CE5-76EE6E41C057}"/>
  </w:font>
  <w:font w:name="方正小标宋简体">
    <w:panose1 w:val="02000000000000000000"/>
    <w:charset w:val="86"/>
    <w:family w:val="auto"/>
    <w:pitch w:val="default"/>
    <w:sig w:usb0="A00002BF" w:usb1="184F6CFA" w:usb2="00000012" w:usb3="00000000" w:csb0="00040001" w:csb1="00000000"/>
    <w:embedRegular r:id="rId4" w:fontKey="{22BF3313-C3BF-457D-BA1C-B8D0BE4B8924}"/>
  </w:font>
  <w:font w:name="仿宋_GB2312">
    <w:panose1 w:val="02010609030101010101"/>
    <w:charset w:val="86"/>
    <w:family w:val="auto"/>
    <w:pitch w:val="default"/>
    <w:sig w:usb0="00000001" w:usb1="080E0000" w:usb2="00000000" w:usb3="00000000" w:csb0="00040000" w:csb1="00000000"/>
    <w:embedRegular r:id="rId5" w:fontKey="{790E89BF-0557-4CE4-A07E-F862AEDAA2C1}"/>
  </w:font>
  <w:font w:name="楷体">
    <w:panose1 w:val="02010609060101010101"/>
    <w:charset w:val="86"/>
    <w:family w:val="auto"/>
    <w:pitch w:val="default"/>
    <w:sig w:usb0="800002BF" w:usb1="38CF7CFA" w:usb2="00000016" w:usb3="00000000" w:csb0="00040001" w:csb1="00000000"/>
    <w:embedRegular r:id="rId6" w:fontKey="{2371B43A-0B49-4076-8357-29AD56ACDAF9}"/>
  </w:font>
  <w:font w:name="楷体_GB2312">
    <w:panose1 w:val="02010609030101010101"/>
    <w:charset w:val="86"/>
    <w:family w:val="auto"/>
    <w:pitch w:val="default"/>
    <w:sig w:usb0="00000001" w:usb1="080E0000" w:usb2="00000000" w:usb3="00000000" w:csb0="00040000" w:csb1="00000000"/>
    <w:embedRegular r:id="rId7" w:fontKey="{20957726-C24C-410A-B292-BB6FF567E88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47D1C4"/>
    <w:multiLevelType w:val="singleLevel"/>
    <w:tmpl w:val="DE47D1C4"/>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02601CB"/>
    <w:rsid w:val="003861E3"/>
    <w:rsid w:val="019C5254"/>
    <w:rsid w:val="021712E4"/>
    <w:rsid w:val="02343D0E"/>
    <w:rsid w:val="034B6875"/>
    <w:rsid w:val="06434355"/>
    <w:rsid w:val="07291C3F"/>
    <w:rsid w:val="080A5EBF"/>
    <w:rsid w:val="08870EC5"/>
    <w:rsid w:val="08FB201A"/>
    <w:rsid w:val="0A4B186A"/>
    <w:rsid w:val="0A685708"/>
    <w:rsid w:val="0CB91F1A"/>
    <w:rsid w:val="0D4F7655"/>
    <w:rsid w:val="11142CAF"/>
    <w:rsid w:val="11494B62"/>
    <w:rsid w:val="117D295C"/>
    <w:rsid w:val="11AB3E0C"/>
    <w:rsid w:val="11C33594"/>
    <w:rsid w:val="126301FF"/>
    <w:rsid w:val="129A7CAE"/>
    <w:rsid w:val="13EC7DA1"/>
    <w:rsid w:val="13F33135"/>
    <w:rsid w:val="14FA1EFE"/>
    <w:rsid w:val="1589154B"/>
    <w:rsid w:val="1784760E"/>
    <w:rsid w:val="178B49BF"/>
    <w:rsid w:val="182826AC"/>
    <w:rsid w:val="183D4CF0"/>
    <w:rsid w:val="1964069F"/>
    <w:rsid w:val="19FA7C71"/>
    <w:rsid w:val="1B9536F9"/>
    <w:rsid w:val="1BE02751"/>
    <w:rsid w:val="1C2224F4"/>
    <w:rsid w:val="1E221E0B"/>
    <w:rsid w:val="1E290DAB"/>
    <w:rsid w:val="1FA90DC9"/>
    <w:rsid w:val="2072655E"/>
    <w:rsid w:val="20AF12C8"/>
    <w:rsid w:val="21674E89"/>
    <w:rsid w:val="21FB192E"/>
    <w:rsid w:val="239A66C7"/>
    <w:rsid w:val="23C2284B"/>
    <w:rsid w:val="23C60E74"/>
    <w:rsid w:val="25647C5C"/>
    <w:rsid w:val="25ED5C53"/>
    <w:rsid w:val="270564A2"/>
    <w:rsid w:val="271D11EF"/>
    <w:rsid w:val="289C4456"/>
    <w:rsid w:val="29091A0A"/>
    <w:rsid w:val="291E0799"/>
    <w:rsid w:val="2A181DC2"/>
    <w:rsid w:val="2AB21700"/>
    <w:rsid w:val="2BA61692"/>
    <w:rsid w:val="2BFB0131"/>
    <w:rsid w:val="2CBF7A81"/>
    <w:rsid w:val="2D97487A"/>
    <w:rsid w:val="2DB1548D"/>
    <w:rsid w:val="2DB27EAD"/>
    <w:rsid w:val="2E410EF0"/>
    <w:rsid w:val="2EF169D0"/>
    <w:rsid w:val="33FC30C8"/>
    <w:rsid w:val="347F41E6"/>
    <w:rsid w:val="36B2213D"/>
    <w:rsid w:val="378A3589"/>
    <w:rsid w:val="382C195F"/>
    <w:rsid w:val="3843477E"/>
    <w:rsid w:val="395B3E15"/>
    <w:rsid w:val="39A94F91"/>
    <w:rsid w:val="39BC1544"/>
    <w:rsid w:val="3A09701F"/>
    <w:rsid w:val="3AF41CE4"/>
    <w:rsid w:val="3AF55109"/>
    <w:rsid w:val="3B347CEB"/>
    <w:rsid w:val="3C413397"/>
    <w:rsid w:val="3C4A1903"/>
    <w:rsid w:val="3CB215A2"/>
    <w:rsid w:val="3CB31E33"/>
    <w:rsid w:val="3CD11232"/>
    <w:rsid w:val="3D485717"/>
    <w:rsid w:val="3D5304F9"/>
    <w:rsid w:val="3D7E4FD9"/>
    <w:rsid w:val="3E573E64"/>
    <w:rsid w:val="3E921F8F"/>
    <w:rsid w:val="3EB623A9"/>
    <w:rsid w:val="3EE94590"/>
    <w:rsid w:val="3EED6576"/>
    <w:rsid w:val="3F651CF8"/>
    <w:rsid w:val="40423539"/>
    <w:rsid w:val="405717A4"/>
    <w:rsid w:val="407A3945"/>
    <w:rsid w:val="424A3792"/>
    <w:rsid w:val="43356E10"/>
    <w:rsid w:val="43CB1CC4"/>
    <w:rsid w:val="440A484D"/>
    <w:rsid w:val="44DF2E05"/>
    <w:rsid w:val="47B658DC"/>
    <w:rsid w:val="47E62FD0"/>
    <w:rsid w:val="494A4B2C"/>
    <w:rsid w:val="49CF169A"/>
    <w:rsid w:val="4A2F59C1"/>
    <w:rsid w:val="4BD547A8"/>
    <w:rsid w:val="4C846F1E"/>
    <w:rsid w:val="4DF33489"/>
    <w:rsid w:val="4E396482"/>
    <w:rsid w:val="4EDE728C"/>
    <w:rsid w:val="51F675F8"/>
    <w:rsid w:val="520D488E"/>
    <w:rsid w:val="52586AA6"/>
    <w:rsid w:val="54831478"/>
    <w:rsid w:val="54C10A14"/>
    <w:rsid w:val="55BD2663"/>
    <w:rsid w:val="56462FEC"/>
    <w:rsid w:val="571915F2"/>
    <w:rsid w:val="5774299B"/>
    <w:rsid w:val="58951A68"/>
    <w:rsid w:val="59D708D6"/>
    <w:rsid w:val="5AAD75A5"/>
    <w:rsid w:val="5B9609A1"/>
    <w:rsid w:val="5BDB5AC2"/>
    <w:rsid w:val="5DEB495C"/>
    <w:rsid w:val="5DF04D4E"/>
    <w:rsid w:val="5F983F52"/>
    <w:rsid w:val="5FB2044C"/>
    <w:rsid w:val="60F12B9F"/>
    <w:rsid w:val="60FA6355"/>
    <w:rsid w:val="619D5782"/>
    <w:rsid w:val="61EC3B6C"/>
    <w:rsid w:val="630F445E"/>
    <w:rsid w:val="64A26A83"/>
    <w:rsid w:val="64B82A56"/>
    <w:rsid w:val="65471F32"/>
    <w:rsid w:val="65CA506A"/>
    <w:rsid w:val="66107099"/>
    <w:rsid w:val="66C22023"/>
    <w:rsid w:val="66F06812"/>
    <w:rsid w:val="67446219"/>
    <w:rsid w:val="680D7780"/>
    <w:rsid w:val="683E618B"/>
    <w:rsid w:val="6936532B"/>
    <w:rsid w:val="6A5B2C07"/>
    <w:rsid w:val="6CA76A2C"/>
    <w:rsid w:val="6D75164E"/>
    <w:rsid w:val="6E3D6414"/>
    <w:rsid w:val="6FA666E9"/>
    <w:rsid w:val="6FC25AC8"/>
    <w:rsid w:val="715B2C51"/>
    <w:rsid w:val="716C5346"/>
    <w:rsid w:val="739940D5"/>
    <w:rsid w:val="73DB0AB8"/>
    <w:rsid w:val="75C82B2D"/>
    <w:rsid w:val="771A1C17"/>
    <w:rsid w:val="791A150E"/>
    <w:rsid w:val="791C64EF"/>
    <w:rsid w:val="7A5C2BB1"/>
    <w:rsid w:val="7A8F3840"/>
    <w:rsid w:val="7AE5572F"/>
    <w:rsid w:val="7AEF7788"/>
    <w:rsid w:val="7CA0464C"/>
    <w:rsid w:val="7D2C572C"/>
    <w:rsid w:val="7D626A91"/>
    <w:rsid w:val="7E263216"/>
    <w:rsid w:val="7E381D20"/>
    <w:rsid w:val="7F2B7DEA"/>
    <w:rsid w:val="7FC561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正文缩进1"/>
    <w:basedOn w:val="3"/>
    <w:qFormat/>
    <w:uiPriority w:val="0"/>
    <w:pPr>
      <w:widowControl/>
      <w:ind w:firstLine="420"/>
      <w:jc w:val="left"/>
    </w:pPr>
    <w:rPr>
      <w:kern w:val="0"/>
      <w:szCs w:val="20"/>
    </w:r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annotation text"/>
    <w:basedOn w:val="1"/>
    <w:qFormat/>
    <w:uiPriority w:val="0"/>
    <w:pPr>
      <w:jc w:val="left"/>
    </w:pPr>
  </w:style>
  <w:style w:type="paragraph" w:styleId="5">
    <w:name w:val="Body Text"/>
    <w:basedOn w:val="1"/>
    <w:semiHidden/>
    <w:qFormat/>
    <w:uiPriority w:val="0"/>
    <w:rPr>
      <w:rFonts w:ascii="仿宋" w:hAnsi="仿宋" w:eastAsia="仿宋" w:cs="仿宋"/>
      <w:sz w:val="31"/>
      <w:szCs w:val="31"/>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宋体" w:hAnsi="宋体" w:eastAsia="宋体" w:cs="宋体"/>
      <w:sz w:val="22"/>
      <w:szCs w:val="22"/>
      <w:lang w:val="en-US" w:eastAsia="en-US" w:bidi="ar-SA"/>
    </w:rPr>
  </w:style>
  <w:style w:type="paragraph" w:customStyle="1" w:styleId="12">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
    <w:name w:val="_Style 5"/>
    <w:basedOn w:val="1"/>
    <w:qFormat/>
    <w:uiPriority w:val="0"/>
    <w:pPr>
      <w:ind w:firstLine="200" w:firstLineChars="200"/>
    </w:pPr>
    <w:rPr>
      <w:rFonts w:eastAsia="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f835e221-ca1c-4921-ba42-7efb8a27e94b</errorID>
      <errorWord>&gt;</errorWord>
      <group>L1_Punc</group>
      <groupName>标点问题</groupName>
      <ability>L2_Punc_CN</ability>
      <abilityName>标点符号问题</abilityName>
      <candidateList/>
      <explain/>
      <paraID>5B3AA77C</paraID>
      <start>0</start>
      <end>1</end>
      <status>ignored</status>
      <modifiedWord/>
      <trackRevisions>false</trackRevisions>
    </reviewItem>
    <reviewItem>
      <errorID>e73c4f98-ac36-4126-85e4-c779787332ba</errorID>
      <errorWord>&gt;</errorWord>
      <group>L1_Punc</group>
      <groupName>标点问题</groupName>
      <ability>L2_Punc_CN</ability>
      <abilityName>标点符号问题</abilityName>
      <candidateList/>
      <explain/>
      <paraID>43069437</paraID>
      <start>0</start>
      <end>1</end>
      <status>ignored</status>
      <modifiedWord/>
      <trackRevisions>false</trackRevisions>
    </reviewItem>
    <reviewItem>
      <errorID>06e18871-c89b-42da-a372-f7d209a98a41</errorID>
      <errorWord>服</errorWord>
      <group>L1_Word</group>
      <groupName>字词问题</groupName>
      <ability>L2_Typo</ability>
      <abilityName>字词错误</abilityName>
      <candidateList>
        <item>服务</item>
      </candidateList>
      <explain/>
      <paraID>3791761A</paraID>
      <start>12</start>
      <end>13</end>
      <status>ignored</status>
      <modifiedWord/>
      <trackRevisions>false</trackRevisions>
    </reviewItem>
    <reviewItem>
      <errorID>df408626-3439-4de7-a576-47f2fdfed90c</errorID>
      <errorWord>、</errorWord>
      <group>L1_Word</group>
      <groupName>字词问题</groupName>
      <ability>L2_Typo</ability>
      <abilityName>字词错误</abilityName>
      <candidateList>
        <item>、以</item>
      </candidateList>
      <explain/>
      <paraID>635BA2D0</paraID>
      <start>23</start>
      <end>24</end>
      <status>ignored</status>
      <modifiedWord/>
      <trackRevisions>false</trackRevisions>
    </reviewItem>
    <reviewItem>
      <errorID>feb52002-4c81-4d38-b208-ac8274a887ed</errorID>
      <errorWord>数据产业集群</errorWord>
      <group>L1_Political</group>
      <groupName>政治性问题</groupName>
      <ability>L2_Keyword</ability>
      <abilityName>固定表述</abilityName>
      <candidateList>
        <item>数字产业集群</item>
      </candidateList>
      <explain>词汇“数字产业集群”在特定场景下为固定表述形式，请确认此处的“数据产业集群”是否存在不当。</explain>
      <paraID>6801CD2C</paraID>
      <start>69</start>
      <end>75</end>
      <status>ignored</status>
      <modifiedWord/>
      <trackRevisions>false</trackRevisions>
    </reviewItem>
    <reviewItem>
      <errorID>313a7ab4-9c78-4f79-8752-711a1973d1ca</errorID>
      <errorWord>《中国妇女发展纲要（2021-2030年）》</errorWord>
      <group>L1_Word</group>
      <groupName>字词问题</groupName>
      <ability>L2_Typo</ability>
      <abilityName>字词错误</abilityName>
      <candidateList>
        <item>《中国妇女发展纲要（2021—2030年）》</item>
      </candidateList>
      <explain/>
      <paraID> A39B366</paraID>
      <start>14</start>
      <end>36</end>
      <status>ignored</status>
      <modifiedWord/>
      <trackRevisions>false</trackRevisions>
    </reviewItem>
    <reviewItem>
      <errorID>5b0bf6d7-63bb-44f1-a7a5-e876e14c093f</errorID>
      <errorWord>《中国儿童发展纲要（2021-2030年）》</errorWord>
      <group>L1_Word</group>
      <groupName>字词问题</groupName>
      <ability>L2_Typo</ability>
      <abilityName>字词错误</abilityName>
      <candidateList>
        <item>《中国儿童发展纲要（2021—2030年）》</item>
      </candidateList>
      <explain/>
      <paraID> A39B366</paraID>
      <start>36</start>
      <end>58</end>
      <status>ignored</status>
      <modifiedWord/>
      <trackRevisions>false</trackRevisions>
    </reviewItem>
    <reviewItem>
      <errorID>4af07896-e5df-488d-9996-6f7aed5f2fa6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A39B366</paraID>
      <start>73</start>
      <end>74</end>
      <status>ignored</status>
      <modifiedWord/>
      <trackRevisions>false</trackRevisions>
    </reviewItem>
    <reviewItem>
      <errorID>7bb441be-8583-4bd4-8072-3e25807f873f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A39B366</paraID>
      <start>96</start>
      <end>97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791871-c799-4a54-9b99-82ef28c6cd4d}">
  <ds:schemaRefs/>
</ds:datastoreItem>
</file>

<file path=docProps/app.xml><?xml version="1.0" encoding="utf-8"?>
<Properties xmlns="http://schemas.openxmlformats.org/officeDocument/2006/extended-properties" xmlns:vt="http://schemas.openxmlformats.org/officeDocument/2006/docPropsVTypes">
  <Pages>24</Pages>
  <Words>10346</Words>
  <Characters>10670</Characters>
  <TotalTime>37</TotalTime>
  <ScaleCrop>false</ScaleCrop>
  <LinksUpToDate>false</LinksUpToDate>
  <CharactersWithSpaces>10767</CharactersWithSpaces>
  <Application>WPS Office_11.8.2.11718_F1E327BC-269C-435d-A152-05C5408002CA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2026-06-23T09:21:00Z</dcterms:created>
  <dc:creator>张婉玲</dc:creator>
  <cp:lastModifiedBy>吴雯雨</cp:lastModifiedBy>
  <cp:lastPrinted>2026-08-26T02:20:00Z</cp:lastPrinted>
  <dcterms:modified xsi:type="dcterms:W3CDTF">2026-08-26T09:35:28Z</dcterms:modified>
  <dc:title>正文</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2026-06-23T11:04:47Z</vt:filetime>
  </property>
  <property fmtid="{D5CDD505-2E9C-101B-9397-08002B2CF9AE}" pid="4" name="KSOProductBuildVer">
    <vt:lpwstr>2052-11.8.2.11718</vt:lpwstr>
  </property>
  <property fmtid="{D5CDD505-2E9C-101B-9397-08002B2CF9AE}" pid="5" name="ICV">
    <vt:lpwstr>DCF2A888F5F34332A4C4ABCBBFB969A7</vt:lpwstr>
  </property>
  <property fmtid="{D5CDD505-2E9C-101B-9397-08002B2CF9AE}" pid="6" name="KSOTemplateDocerSaveRecord">
    <vt:lpwstr>eyJoZGlkIjoiY2ViMjlhYjQ5MzVlOTEwNTBlYmQ1YWM0MTg0N2MwNzQiLCJ1c2VySWQiOiIzMzkwMTU1MTQifQ==</vt:lpwstr>
  </property>
</Properties>
</file>