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 w:val="0"/>
          <w:bCs w:val="0"/>
          <w:color w:val="000000" w:themeColor="text1"/>
          <w:sz w:val="44"/>
          <w:szCs w:val="44"/>
          <w14:textFill>
            <w14:solidFill>
              <w14:schemeClr w14:val="tx1"/>
            </w14:solidFill>
          </w14:textFill>
        </w:rPr>
      </w:pPr>
      <w:bookmarkStart w:id="0" w:name="OLE_LINK1"/>
      <w:r>
        <w:rPr>
          <w:rFonts w:hint="eastAsia" w:ascii="方正小标宋简体" w:hAnsi="方正小标宋简体" w:eastAsia="方正小标宋简体" w:cs="方正小标宋简体"/>
          <w:b w:val="0"/>
          <w:bCs w:val="0"/>
          <w:color w:val="000000" w:themeColor="text1"/>
          <w:sz w:val="44"/>
          <w:szCs w:val="44"/>
          <w14:textFill>
            <w14:solidFill>
              <w14:schemeClr w14:val="tx1"/>
            </w14:solidFill>
          </w14:textFill>
        </w:rPr>
        <w:t>广东省知识产权公共服务机构能力提升项目</w:t>
      </w:r>
    </w:p>
    <w:bookmarkEnd w:id="0"/>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14:textFill>
            <w14:solidFill>
              <w14:schemeClr w14:val="tx1"/>
            </w14:solidFill>
          </w14:textFill>
        </w:rPr>
        <w:t>申报指南</w:t>
      </w:r>
    </w:p>
    <w:p>
      <w:pPr>
        <w:keepNext w:val="0"/>
        <w:keepLines w:val="0"/>
        <w:pageBreakBefore w:val="0"/>
        <w:widowControl w:val="0"/>
        <w:numPr>
          <w:ilvl w:val="0"/>
          <w:numId w:val="0"/>
        </w:numPr>
        <w:tabs>
          <w:tab w:val="left" w:pos="0"/>
        </w:tabs>
        <w:kinsoku/>
        <w:wordWrap w:val="0"/>
        <w:overflowPunct/>
        <w:topLinePunct w:val="0"/>
        <w:autoSpaceDE/>
        <w:autoSpaceDN/>
        <w:bidi w:val="0"/>
        <w:adjustRightInd w:val="0"/>
        <w:snapToGrid w:val="0"/>
        <w:spacing w:beforeAutospacing="0" w:afterAutospacing="0" w:line="240" w:lineRule="auto"/>
        <w:jc w:val="both"/>
        <w:textAlignment w:val="auto"/>
        <w:rPr>
          <w:rFonts w:hint="eastAsia" w:ascii="仿宋_GB2312" w:hAnsi="仿宋_GB2312" w:eastAsia="仿宋_GB2312" w:cs="仿宋_GB2312"/>
          <w:spacing w:val="-6"/>
          <w:kern w:val="0"/>
          <w:sz w:val="32"/>
          <w:szCs w:val="32"/>
          <w:lang w:val="en-US" w:eastAsia="zh-CN" w:bidi="ar-SA"/>
        </w:rPr>
      </w:pPr>
    </w:p>
    <w:p>
      <w:pPr>
        <w:keepNext w:val="0"/>
        <w:keepLines w:val="0"/>
        <w:pageBreakBefore w:val="0"/>
        <w:widowControl w:val="0"/>
        <w:numPr>
          <w:ilvl w:val="0"/>
          <w:numId w:val="0"/>
        </w:numPr>
        <w:tabs>
          <w:tab w:val="left" w:pos="0"/>
        </w:tabs>
        <w:kinsoku/>
        <w:wordWrap w:val="0"/>
        <w:overflowPunct/>
        <w:topLinePunct w:val="0"/>
        <w:autoSpaceDE/>
        <w:autoSpaceDN/>
        <w:bidi w:val="0"/>
        <w:adjustRightInd w:val="0"/>
        <w:snapToGrid w:val="0"/>
        <w:spacing w:beforeAutospacing="0" w:afterAutospacing="0" w:line="240" w:lineRule="auto"/>
        <w:ind w:firstLine="616" w:firstLineChars="200"/>
        <w:jc w:val="both"/>
        <w:textAlignment w:val="auto"/>
        <w:rPr>
          <w:rFonts w:hint="eastAsia" w:ascii="黑体" w:hAnsi="黑体" w:eastAsia="黑体" w:cs="黑体"/>
          <w:spacing w:val="-6"/>
          <w:kern w:val="0"/>
          <w:sz w:val="32"/>
          <w:szCs w:val="32"/>
          <w:lang w:val="en-US" w:eastAsia="zh-CN" w:bidi="ar-SA"/>
        </w:rPr>
      </w:pPr>
      <w:r>
        <w:rPr>
          <w:rFonts w:hint="eastAsia" w:ascii="黑体" w:hAnsi="黑体" w:eastAsia="黑体" w:cs="黑体"/>
          <w:spacing w:val="-6"/>
          <w:kern w:val="0"/>
          <w:sz w:val="32"/>
          <w:szCs w:val="32"/>
          <w:lang w:val="en-US" w:eastAsia="zh-CN" w:bidi="ar-SA"/>
        </w:rPr>
        <w:t>一、项目名称</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广东省知识产权公共服务机构能力提升项目</w:t>
      </w:r>
    </w:p>
    <w:p>
      <w:pPr>
        <w:keepNext w:val="0"/>
        <w:keepLines w:val="0"/>
        <w:pageBreakBefore w:val="0"/>
        <w:widowControl w:val="0"/>
        <w:numPr>
          <w:ilvl w:val="0"/>
          <w:numId w:val="0"/>
        </w:numPr>
        <w:tabs>
          <w:tab w:val="left" w:pos="0"/>
        </w:tabs>
        <w:kinsoku/>
        <w:wordWrap w:val="0"/>
        <w:overflowPunct/>
        <w:topLinePunct w:val="0"/>
        <w:autoSpaceDE/>
        <w:autoSpaceDN/>
        <w:bidi w:val="0"/>
        <w:adjustRightInd w:val="0"/>
        <w:snapToGrid w:val="0"/>
        <w:spacing w:beforeAutospacing="0" w:afterAutospacing="0" w:line="240" w:lineRule="auto"/>
        <w:ind w:firstLine="616" w:firstLineChars="200"/>
        <w:jc w:val="both"/>
        <w:textAlignment w:val="auto"/>
        <w:rPr>
          <w:rFonts w:hint="eastAsia" w:ascii="黑体" w:hAnsi="黑体" w:eastAsia="黑体" w:cs="黑体"/>
          <w:spacing w:val="-6"/>
          <w:kern w:val="0"/>
          <w:sz w:val="32"/>
          <w:szCs w:val="32"/>
          <w:lang w:val="en-US" w:eastAsia="zh-CN" w:bidi="ar-SA"/>
        </w:rPr>
      </w:pPr>
      <w:r>
        <w:rPr>
          <w:rFonts w:hint="eastAsia" w:ascii="黑体" w:hAnsi="黑体" w:eastAsia="黑体" w:cs="黑体"/>
          <w:spacing w:val="-6"/>
          <w:kern w:val="0"/>
          <w:sz w:val="32"/>
          <w:szCs w:val="32"/>
          <w:lang w:val="en-US" w:eastAsia="zh-CN" w:bidi="ar-SA"/>
        </w:rPr>
        <w:t>二、项目目标</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落实《广东省市场监督管理局关于全面提升知识产权公共服务效能支持全面创新的行动计划（2024—2026年）》《广东省市场监督管理局 广东省工业和信息化厅关于做好2026年中小企业知识产权公共服务专项行动的通知》工作部署，</w:t>
      </w:r>
      <w:r>
        <w:rPr>
          <w:rFonts w:hint="default" w:ascii="仿宋_GB2312" w:hAnsi="仿宋_GB2312" w:eastAsia="仿宋_GB2312" w:cs="仿宋_GB2312"/>
          <w:kern w:val="2"/>
          <w:sz w:val="32"/>
          <w:szCs w:val="32"/>
          <w:lang w:val="en-US" w:eastAsia="zh-CN"/>
        </w:rPr>
        <w:t>扎实推进知识产权公共服务普惠工程，完善知识产权公共服务体系</w:t>
      </w:r>
      <w:r>
        <w:rPr>
          <w:rFonts w:hint="eastAsia" w:ascii="仿宋_GB2312" w:hAnsi="仿宋_GB2312" w:eastAsia="仿宋_GB2312" w:cs="仿宋_GB2312"/>
          <w:kern w:val="2"/>
          <w:sz w:val="32"/>
          <w:szCs w:val="32"/>
          <w:lang w:val="en-US" w:eastAsia="zh-CN"/>
        </w:rPr>
        <w:t>。</w:t>
      </w:r>
      <w:r>
        <w:rPr>
          <w:rFonts w:hint="default" w:ascii="仿宋_GB2312" w:hAnsi="仿宋_GB2312" w:eastAsia="仿宋_GB2312" w:cs="仿宋_GB2312"/>
          <w:kern w:val="2"/>
          <w:sz w:val="32"/>
          <w:szCs w:val="32"/>
          <w:lang w:val="en-US" w:eastAsia="zh-CN"/>
        </w:rPr>
        <w:t>以市场主体、创新主体实际需求为导向，常态化开展企业知识产权精准帮扶、公益宣传培训、风险预警维权等公共服务，持续做强商标受理窗口政务服务能力</w:t>
      </w:r>
      <w:r>
        <w:rPr>
          <w:rFonts w:hint="eastAsia" w:ascii="仿宋_GB2312" w:hAnsi="仿宋_GB2312" w:eastAsia="仿宋_GB2312" w:cs="仿宋_GB2312"/>
          <w:kern w:val="2"/>
          <w:sz w:val="32"/>
          <w:szCs w:val="32"/>
          <w:lang w:val="en-US" w:eastAsia="zh-CN"/>
        </w:rPr>
        <w:t>，</w:t>
      </w:r>
      <w:r>
        <w:rPr>
          <w:rFonts w:hint="default" w:ascii="仿宋_GB2312" w:hAnsi="仿宋_GB2312" w:eastAsia="仿宋_GB2312" w:cs="仿宋_GB2312"/>
          <w:kern w:val="2"/>
          <w:sz w:val="32"/>
          <w:szCs w:val="32"/>
          <w:lang w:val="en-US" w:eastAsia="zh-CN"/>
        </w:rPr>
        <w:t>补齐基层公共服务短板，为区域科技创新与产业高质量发展提供坚实知识产权公共服务支撑。</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right="0" w:rightChars="0" w:firstLine="640" w:firstLineChars="200"/>
        <w:textAlignment w:val="auto"/>
        <w:rPr>
          <w:rFonts w:hint="eastAsia" w:ascii="仿宋_GB2312" w:hAnsi="仿宋_GB2312" w:eastAsia="仿宋_GB2312" w:cs="仿宋_GB2312"/>
          <w:kern w:val="2"/>
          <w:sz w:val="32"/>
          <w:szCs w:val="32"/>
          <w:lang w:val="en-US" w:eastAsia="zh-CN"/>
        </w:rPr>
      </w:pPr>
      <w:r>
        <w:rPr>
          <w:rFonts w:hint="eastAsia" w:ascii="黑体" w:hAnsi="黑体" w:eastAsia="黑体" w:cs="宋体"/>
          <w:color w:val="000000"/>
          <w:kern w:val="0"/>
          <w:sz w:val="32"/>
          <w:szCs w:val="36"/>
          <w:lang w:val="en" w:eastAsia="zh-CN"/>
        </w:rPr>
        <w:t>三、项目任务</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1.组织本地知识产权公共服务机构，面向企业提供知识产权实务咨询、产业导航、技术转化、侵权预警、海外维权、标准贯彻、标准必要专利指引、专利和商标申报等等企业需要的其他形式的知识产权服务。每个服务机构服务的企业数量不少于3个，以服务报告为绩效成果，全市服务报告不少于30件。</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2.通过展览、讲座、论坛、宣传活动等形式，面向创新主体开展公益性知识产权培训和宣传活动不少于3场。</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3.培育或申报推荐不少于1家国家级或省级知识产权公共服务网点。</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4.提升知识产权业务受理窗口服务能力，商标业务受理窗口业务受理量每季度不低于50件，窗口工作人员全年参加商标局业务培训不少于10个学时。</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5.完善知识产权信息公共服务平台，知识产权信息公共服务网站访问量稳步提高访，问量不少于1000人次。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right="0" w:rightChars="0" w:firstLine="640" w:firstLineChars="200"/>
        <w:textAlignment w:val="auto"/>
        <w:rPr>
          <w:rFonts w:hint="eastAsia" w:ascii="黑体" w:hAnsi="黑体" w:eastAsia="黑体" w:cs="黑体"/>
          <w:b w:val="0"/>
          <w:bCs w:val="0"/>
          <w:color w:val="000000" w:themeColor="text1"/>
          <w:sz w:val="32"/>
          <w:szCs w:val="32"/>
          <w:lang w:eastAsia="zh-CN"/>
          <w14:textFill>
            <w14:solidFill>
              <w14:schemeClr w14:val="tx1"/>
            </w14:solidFill>
          </w14:textFill>
        </w:rPr>
      </w:pPr>
      <w:r>
        <w:rPr>
          <w:rFonts w:hint="eastAsia" w:ascii="黑体" w:hAnsi="黑体" w:eastAsia="黑体" w:cs="黑体"/>
          <w:b w:val="0"/>
          <w:bCs w:val="0"/>
          <w:color w:val="000000" w:themeColor="text1"/>
          <w:sz w:val="32"/>
          <w:szCs w:val="32"/>
          <w:lang w:eastAsia="zh-CN"/>
          <w14:textFill>
            <w14:solidFill>
              <w14:schemeClr w14:val="tx1"/>
            </w14:solidFill>
          </w14:textFill>
        </w:rPr>
        <w:t>三、</w:t>
      </w:r>
      <w:r>
        <w:rPr>
          <w:rFonts w:hint="eastAsia" w:ascii="黑体" w:hAnsi="黑体" w:eastAsia="黑体" w:cs="黑体"/>
          <w:b w:val="0"/>
          <w:bCs w:val="0"/>
          <w:color w:val="000000" w:themeColor="text1"/>
          <w:sz w:val="32"/>
          <w:szCs w:val="32"/>
          <w14:textFill>
            <w14:solidFill>
              <w14:schemeClr w14:val="tx1"/>
            </w14:solidFill>
          </w14:textFill>
        </w:rPr>
        <w:t>申报主体</w:t>
      </w:r>
      <w:r>
        <w:rPr>
          <w:rFonts w:hint="eastAsia" w:ascii="黑体" w:hAnsi="黑体" w:eastAsia="黑体" w:cs="黑体"/>
          <w:b w:val="0"/>
          <w:bCs w:val="0"/>
          <w:color w:val="000000" w:themeColor="text1"/>
          <w:sz w:val="32"/>
          <w:szCs w:val="32"/>
          <w:lang w:eastAsia="zh-CN"/>
          <w14:textFill>
            <w14:solidFill>
              <w14:schemeClr w14:val="tx1"/>
            </w14:solidFill>
          </w14:textFill>
        </w:rPr>
        <w:t>和条件</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楷体_GB2312" w:hAnsi="楷体_GB2312" w:eastAsia="楷体_GB2312" w:cs="楷体_GB2312"/>
          <w:kern w:val="2"/>
          <w:sz w:val="32"/>
          <w:szCs w:val="32"/>
          <w:lang w:val="en-US" w:eastAsia="zh-CN"/>
        </w:rPr>
      </w:pPr>
      <w:r>
        <w:rPr>
          <w:rFonts w:hint="eastAsia" w:ascii="楷体_GB2312" w:hAnsi="楷体_GB2312" w:eastAsia="楷体_GB2312" w:cs="楷体_GB2312"/>
          <w:kern w:val="2"/>
          <w:sz w:val="32"/>
          <w:szCs w:val="32"/>
          <w:lang w:val="en-US" w:eastAsia="zh-CN"/>
        </w:rPr>
        <w:t>（一）申报主体</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1.已设立的地市级、县级综合性知识产权公共服务机构。</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2.国家级知识产权公共服务网点（含国家知识产权信息公共服务网点、TISC机构、高校国家知识产权信息服务中心）</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3.省级知识产权公共服务备案网点</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4.重点园区知识产权协同运营中心</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5.在培育中的知识产权公共服务网点</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6.知识产权业务受理窗口</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7.其他类型的可以提供知识产权公共服务的机构。</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楷体_GB2312" w:hAnsi="楷体_GB2312" w:eastAsia="楷体_GB2312" w:cs="楷体_GB2312"/>
          <w:kern w:val="2"/>
          <w:sz w:val="32"/>
          <w:szCs w:val="32"/>
          <w:lang w:val="en-US" w:eastAsia="zh-CN"/>
        </w:rPr>
      </w:pPr>
      <w:r>
        <w:rPr>
          <w:rFonts w:hint="eastAsia" w:ascii="楷体_GB2312" w:hAnsi="楷体_GB2312" w:eastAsia="楷体_GB2312" w:cs="楷体_GB2312"/>
          <w:kern w:val="2"/>
          <w:sz w:val="32"/>
          <w:szCs w:val="32"/>
          <w:lang w:val="en-US" w:eastAsia="zh-CN"/>
        </w:rPr>
        <w:t>（二）申报条件</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1.申报主体应具有良好的信用记录和健全的管理制度，在经营活动中没有重大违法记录。</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2.具有知识产权领域调查研究分析及服务规范制定工作经验，具备知识产权相关领域数据库及数据分析能力。</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3.有固定场所，有专人负责，具有丰富的承担项目工作经验，承担过相同或相类似工作。</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4.遵守专项资金管理有关规定，能按时、保质保量完成项目任务。</w:t>
      </w:r>
    </w:p>
    <w:p>
      <w:pPr>
        <w:pStyle w:val="8"/>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eastAsia="黑体"/>
          <w:color w:val="000000"/>
          <w:sz w:val="32"/>
          <w:szCs w:val="32"/>
          <w:highlight w:val="none"/>
          <w:lang w:val="en" w:eastAsia="zh-CN"/>
        </w:rPr>
      </w:pPr>
      <w:r>
        <w:rPr>
          <w:rFonts w:hint="eastAsia" w:eastAsia="黑体"/>
          <w:color w:val="000000"/>
          <w:sz w:val="32"/>
          <w:szCs w:val="32"/>
          <w:highlight w:val="none"/>
          <w:lang w:val="en" w:eastAsia="zh-CN"/>
        </w:rPr>
        <w:t>五、</w:t>
      </w:r>
      <w:r>
        <w:rPr>
          <w:rFonts w:hint="eastAsia" w:eastAsia="黑体"/>
          <w:color w:val="000000"/>
          <w:sz w:val="32"/>
          <w:szCs w:val="32"/>
          <w:highlight w:val="none"/>
          <w:lang w:val="en-US" w:eastAsia="zh-CN"/>
        </w:rPr>
        <w:t>项目数量及实施周期</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立项1项，40万/项目。列入2027年省级财政知识产权专项资金储备项目；如省市场监管局和省财政厅同意实施本项目，项目实施周期1年。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right="0" w:rightChars="0" w:firstLine="640" w:firstLineChars="200"/>
        <w:textAlignment w:val="auto"/>
        <w:rPr>
          <w:rFonts w:hint="eastAsia" w:ascii="黑体" w:hAnsi="黑体" w:eastAsia="黑体" w:cs="黑体"/>
          <w:b w:val="0"/>
          <w:bCs w:val="0"/>
          <w:color w:val="000000" w:themeColor="text1"/>
          <w:sz w:val="32"/>
          <w:szCs w:val="32"/>
          <w14:textFill>
            <w14:solidFill>
              <w14:schemeClr w14:val="tx1"/>
            </w14:solidFill>
          </w14:textFill>
        </w:rPr>
      </w:pPr>
      <w:r>
        <w:rPr>
          <w:rFonts w:hint="eastAsia" w:ascii="黑体" w:hAnsi="黑体" w:eastAsia="黑体" w:cs="黑体"/>
          <w:b w:val="0"/>
          <w:bCs w:val="0"/>
          <w:color w:val="000000" w:themeColor="text1"/>
          <w:sz w:val="32"/>
          <w:szCs w:val="32"/>
          <w14:textFill>
            <w14:solidFill>
              <w14:schemeClr w14:val="tx1"/>
            </w14:solidFill>
          </w14:textFill>
        </w:rPr>
        <w:t>四、申报材料</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（一）《广东省知识产权公共服务机构能力提升项目申报书》；</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（二）营业执照复印件；</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（三）近两年的财务报表；</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（四）承担过相同或相类似工作证明；</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（五）资金测算明细申报表；</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（六）其他证明符合申报条件的材料。</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color w:val="auto"/>
          <w:sz w:val="32"/>
          <w:lang w:eastAsia="zh-CN"/>
        </w:rPr>
      </w:pPr>
      <w:r>
        <w:rPr>
          <w:rFonts w:hint="eastAsia" w:ascii="仿宋_GB2312" w:hAnsi="仿宋_GB2312" w:eastAsia="仿宋_GB2312" w:cs="仿宋_GB2312"/>
          <w:kern w:val="2"/>
          <w:sz w:val="32"/>
          <w:szCs w:val="32"/>
          <w:lang w:val="en-US" w:eastAsia="zh-CN"/>
        </w:rPr>
        <w:t>上述材料均需加盖公章。</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right="0" w:rightChars="0" w:firstLine="640" w:firstLineChars="200"/>
        <w:textAlignment w:val="auto"/>
        <w:outlineLvl w:val="9"/>
        <w:rPr>
          <w:rFonts w:hint="eastAsia" w:ascii="黑体" w:hAnsi="黑体" w:eastAsia="黑体" w:cs="宋体"/>
          <w:b w:val="0"/>
          <w:bCs w:val="0"/>
          <w:color w:val="000000" w:themeColor="text1"/>
          <w:sz w:val="32"/>
          <w:szCs w:val="32"/>
          <w14:textFill>
            <w14:solidFill>
              <w14:schemeClr w14:val="tx1"/>
            </w14:solidFill>
          </w14:textFill>
        </w:rPr>
      </w:pPr>
      <w:r>
        <w:rPr>
          <w:rFonts w:hint="eastAsia" w:ascii="黑体" w:hAnsi="黑体" w:eastAsia="黑体" w:cs="宋体"/>
          <w:b w:val="0"/>
          <w:bCs w:val="0"/>
          <w:color w:val="000000" w:themeColor="text1"/>
          <w:sz w:val="32"/>
          <w:szCs w:val="32"/>
          <w:lang w:eastAsia="zh-CN"/>
          <w14:textFill>
            <w14:solidFill>
              <w14:schemeClr w14:val="tx1"/>
            </w14:solidFill>
          </w14:textFill>
        </w:rPr>
        <w:t>五</w:t>
      </w:r>
      <w:r>
        <w:rPr>
          <w:rFonts w:hint="eastAsia" w:ascii="黑体" w:hAnsi="黑体" w:eastAsia="黑体" w:cs="宋体"/>
          <w:b w:val="0"/>
          <w:bCs w:val="0"/>
          <w:color w:val="000000" w:themeColor="text1"/>
          <w:sz w:val="32"/>
          <w:szCs w:val="32"/>
          <w14:textFill>
            <w14:solidFill>
              <w14:schemeClr w14:val="tx1"/>
            </w14:solidFill>
          </w14:textFill>
        </w:rPr>
        <w:t>、其他事项</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一）本次申报及评审结果将作为确定我市2027年省级财政知识产权专项资金储备项目入库名单的重要依据。我局将依据2027年省局下达的知识产权专项资金文件、实际到位资金额度及相关规定，统筹研究确定具体立项事宜，并按程序组织实施。</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二）对申报书相关内容填写要求：申报单位在填写目标任务及工作内容部分时，可在我局对此项目任务的总体要求基础上，充分发挥主观能动性，创新谋划一些能体现对此项目任务总体要求的具体工作；在计划进度部分，统一按2027年1月起至2027年11月止；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等要明确，要按“标准×数量”的格式列出。</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（三）合同管理：项目立项后，市市场监管局与承担单位签署项目合同书，作为项目管理的重要依据。</w:t>
      </w:r>
    </w:p>
    <w:p>
      <w:pPr>
        <w:keepNext w:val="0"/>
        <w:keepLines w:val="0"/>
        <w:pageBreakBefore w:val="0"/>
        <w:widowControl w:val="0"/>
        <w:kinsoku/>
        <w:overflowPunct/>
        <w:topLinePunct w:val="0"/>
        <w:autoSpaceDE/>
        <w:autoSpaceDN/>
        <w:bidi w:val="0"/>
        <w:spacing w:line="240" w:lineRule="auto"/>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四）项目检查验收：市市场监管局对项目实施情况进行不定期监督检查，项目承担单位应按照检查要求提供项目实施进展及资金使用情况材料，配合开展实地检查。项目完成后，项目承担单位应及时总结并申请验收，向市市场监管局报送工作成果，由市市场监管局组织专家验收，验收通过后，方可结项。</w:t>
      </w:r>
    </w:p>
    <w:p>
      <w:pPr>
        <w:keepNext w:val="0"/>
        <w:keepLines w:val="0"/>
        <w:pageBreakBefore w:val="0"/>
        <w:widowControl w:val="0"/>
        <w:kinsoku/>
        <w:wordWrap/>
        <w:overflowPunct/>
        <w:topLinePunct w:val="0"/>
        <w:autoSpaceDE/>
        <w:bidi w:val="0"/>
        <w:adjustRightInd w:val="0"/>
        <w:snapToGrid w:val="0"/>
        <w:spacing w:line="600" w:lineRule="exact"/>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ageBreakBefore w:val="0"/>
        <w:widowControl w:val="0"/>
        <w:kinsoku/>
        <w:overflowPunct/>
        <w:topLinePunct w:val="0"/>
        <w:autoSpaceDE/>
        <w:autoSpaceDN/>
        <w:bidi w:val="0"/>
        <w:spacing w:line="580" w:lineRule="exact"/>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附件：广东省知识产权公共服务机构能力提升项目申报书</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广东省知识产权公共服务体系建设项目</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(韶关市知识产权公共服务网点</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建设项目）申报书</w:t>
      </w:r>
    </w:p>
    <w:p>
      <w:pPr>
        <w:jc w:val="center"/>
        <w:rPr>
          <w:rFonts w:hint="eastAsia" w:ascii="黑体" w:hAnsi="黑体" w:eastAsia="黑体" w:cs="黑体"/>
          <w:color w:val="000000" w:themeColor="text1"/>
          <w:sz w:val="44"/>
          <w:szCs w:val="44"/>
          <w14:textFill>
            <w14:solidFill>
              <w14:schemeClr w14:val="tx1"/>
            </w14:solidFill>
          </w14:textFill>
        </w:rPr>
      </w:pPr>
    </w:p>
    <w:p>
      <w:pPr>
        <w:rPr>
          <w:rFonts w:ascii="Times New Roman" w:hAnsi="Times New Roman" w:eastAsia="仿宋_GB2312" w:cs="Times New Roman"/>
          <w:sz w:val="32"/>
          <w:szCs w:val="32"/>
        </w:rPr>
      </w:pPr>
    </w:p>
    <w:tbl>
      <w:tblPr>
        <w:tblStyle w:val="9"/>
        <w:tblW w:w="8705" w:type="dxa"/>
        <w:jc w:val="center"/>
        <w:tblLayout w:type="fixed"/>
        <w:tblCellMar>
          <w:top w:w="0" w:type="dxa"/>
          <w:left w:w="108" w:type="dxa"/>
          <w:bottom w:w="0" w:type="dxa"/>
          <w:right w:w="108" w:type="dxa"/>
        </w:tblCellMar>
      </w:tblPr>
      <w:tblGrid>
        <w:gridCol w:w="2000"/>
        <w:gridCol w:w="6705"/>
      </w:tblGrid>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项目名称：</w:t>
            </w:r>
          </w:p>
        </w:tc>
        <w:tc>
          <w:tcPr>
            <w:tcW w:w="6705" w:type="dxa"/>
            <w:vAlign w:val="top"/>
          </w:tcPr>
          <w:p>
            <w:pPr>
              <w:adjustRightInd w:val="0"/>
              <w:snapToGrid w:val="0"/>
              <w:spacing w:line="360" w:lineRule="auto"/>
              <w:rPr>
                <w:rFonts w:hint="eastAsia" w:ascii="Times New Roman" w:hAnsi="Times New Roman" w:eastAsia="宋体" w:cs="Times New Roman"/>
                <w:sz w:val="32"/>
                <w:szCs w:val="32"/>
                <w:u w:val="single"/>
                <w:lang w:eastAsia="zh-CN"/>
              </w:rPr>
            </w:pPr>
          </w:p>
        </w:tc>
      </w:tr>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tc>
        <w:tc>
          <w:tcPr>
            <w:tcW w:w="6705" w:type="dxa"/>
            <w:vAlign w:val="center"/>
          </w:tcPr>
          <w:p>
            <w:pPr>
              <w:adjustRightInd w:val="0"/>
              <w:snapToGrid w:val="0"/>
              <w:spacing w:line="600" w:lineRule="exact"/>
              <w:ind w:firstLine="320" w:firstLineChars="100"/>
              <w:jc w:val="left"/>
              <w:rPr>
                <w:rFonts w:ascii="Times New Roman" w:hAnsi="Times New Roman" w:eastAsia="仿宋_GB2312" w:cs="Times New Roman"/>
                <w:sz w:val="32"/>
                <w:szCs w:val="32"/>
              </w:rPr>
            </w:pPr>
            <w:r>
              <w:rPr>
                <w:rFonts w:hint="eastAsia" w:cs="Times New Roman"/>
                <w:sz w:val="32"/>
                <w:szCs w:val="32"/>
                <w:u w:val="single"/>
                <w:lang w:val="en-US" w:eastAsia="zh-CN"/>
              </w:rPr>
              <w:t xml:space="preserve">                              </w:t>
            </w:r>
            <w:r>
              <w:rPr>
                <w:rFonts w:ascii="Times New Roman" w:hAnsi="Times New Roman" w:cs="Times New Roman"/>
                <w:sz w:val="32"/>
                <w:szCs w:val="32"/>
                <w:u w:val="single"/>
              </w:rPr>
              <w:t>（签章）</w:t>
            </w:r>
          </w:p>
        </w:tc>
      </w:tr>
      <w:tr>
        <w:tblPrEx>
          <w:tblCellMar>
            <w:top w:w="0" w:type="dxa"/>
            <w:left w:w="108" w:type="dxa"/>
            <w:bottom w:w="0" w:type="dxa"/>
            <w:right w:w="108" w:type="dxa"/>
          </w:tblCellMar>
        </w:tblPrEx>
        <w:trPr>
          <w:trHeight w:val="660" w:hRule="atLeast"/>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项目联系人：</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单位及职务：</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工作电话：</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手机号码：</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电子邮箱：</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bl>
    <w:p>
      <w:pPr>
        <w:rPr>
          <w:rFonts w:ascii="Times New Roman" w:hAnsi="Times New Roman" w:eastAsia="仿宋_GB2312" w:cs="Times New Roman"/>
          <w:sz w:val="32"/>
          <w:szCs w:val="32"/>
        </w:rPr>
      </w:pPr>
    </w:p>
    <w:p>
      <w:pPr>
        <w:pStyle w:val="7"/>
        <w:ind w:left="0" w:leftChars="0" w:firstLine="0" w:firstLineChars="0"/>
        <w:rPr>
          <w:rFonts w:ascii="Times New Roman" w:hAnsi="Times New Roman" w:cs="Times New Roman"/>
        </w:rPr>
      </w:pPr>
    </w:p>
    <w:p>
      <w:pPr>
        <w:spacing w:line="600" w:lineRule="exact"/>
        <w:jc w:val="center"/>
        <w:rPr>
          <w:rFonts w:ascii="Times New Roman" w:hAnsi="Times New Roman" w:eastAsia="楷体_GB2312" w:cs="Times New Roman"/>
          <w:bCs/>
          <w:sz w:val="32"/>
          <w:szCs w:val="32"/>
        </w:rPr>
      </w:pPr>
      <w:r>
        <w:rPr>
          <w:rFonts w:hint="eastAsia" w:eastAsia="楷体_GB2312" w:cs="Times New Roman"/>
          <w:bCs/>
          <w:sz w:val="32"/>
          <w:szCs w:val="32"/>
          <w:lang w:eastAsia="zh-CN"/>
        </w:rPr>
        <w:t>韶关市</w:t>
      </w:r>
      <w:r>
        <w:rPr>
          <w:rFonts w:ascii="Times New Roman" w:hAnsi="Times New Roman" w:eastAsia="楷体_GB2312" w:cs="Times New Roman"/>
          <w:bCs/>
          <w:sz w:val="32"/>
          <w:szCs w:val="32"/>
        </w:rPr>
        <w:t>市场监督管理局（知识产权局）编制</w:t>
      </w:r>
    </w:p>
    <w:p>
      <w:pPr>
        <w:spacing w:line="600" w:lineRule="exact"/>
        <w:jc w:val="center"/>
        <w:rPr>
          <w:rFonts w:ascii="Times New Roman" w:hAnsi="Times New Roman" w:eastAsia="楷体_GB2312" w:cs="Times New Roman"/>
          <w:bCs/>
          <w:sz w:val="32"/>
          <w:szCs w:val="32"/>
        </w:rPr>
      </w:pPr>
      <w:r>
        <w:rPr>
          <w:rFonts w:ascii="Times New Roman" w:hAnsi="Times New Roman" w:eastAsia="楷体_GB2312" w:cs="Times New Roman"/>
          <w:bCs/>
          <w:sz w:val="32"/>
          <w:szCs w:val="32"/>
        </w:rPr>
        <w:t>202</w:t>
      </w:r>
      <w:r>
        <w:rPr>
          <w:rFonts w:hint="eastAsia" w:eastAsia="楷体_GB2312" w:cs="Times New Roman"/>
          <w:bCs/>
          <w:sz w:val="32"/>
          <w:szCs w:val="32"/>
          <w:lang w:val="en-US" w:eastAsia="zh-CN"/>
        </w:rPr>
        <w:t>6</w:t>
      </w:r>
      <w:r>
        <w:rPr>
          <w:rFonts w:ascii="Times New Roman" w:hAnsi="Times New Roman" w:eastAsia="楷体_GB2312" w:cs="Times New Roman"/>
          <w:bCs/>
          <w:sz w:val="32"/>
          <w:szCs w:val="32"/>
        </w:rPr>
        <w:t>年</w:t>
      </w:r>
    </w:p>
    <w:p>
      <w:pPr>
        <w:pStyle w:val="2"/>
      </w:pPr>
    </w:p>
    <w:p/>
    <w:p>
      <w:pPr>
        <w:spacing w:line="66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填表说明</w:t>
      </w:r>
    </w:p>
    <w:p>
      <w:pPr>
        <w:adjustRightInd w:val="0"/>
        <w:snapToGrid w:val="0"/>
        <w:rPr>
          <w:rFonts w:ascii="Times New Roman" w:hAnsi="Times New Roman" w:cs="Times New Roman"/>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一、本申请书适用于2027年广东省知识产权专项经费的申报工作。</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二、申报单位对本申请材料以及所附材料的合法性、真实性、准确性负责。</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三、申请书规格为A4纸，各栏不够填写时，请自行加页。申报书宜双面打印，并于左侧装订成册，一式5份（加盖公章）。</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bookmarkStart w:id="1" w:name="_GoBack"/>
      <w:bookmarkEnd w:id="1"/>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Style w:val="2"/>
        <w:rPr>
          <w:rFonts w:hint="eastAsia"/>
          <w:lang w:val="en-US" w:eastAsia="zh-CN"/>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pStyle w:val="2"/>
        <w:rPr>
          <w:rFonts w:ascii="Times New Roman" w:hAnsi="Times New Roman" w:cs="Times New Roman"/>
          <w:sz w:val="32"/>
          <w:szCs w:val="32"/>
        </w:rPr>
      </w:pPr>
    </w:p>
    <w:p/>
    <w:p>
      <w:pPr>
        <w:spacing w:line="560" w:lineRule="exact"/>
        <w:ind w:firstLine="640" w:firstLineChars="200"/>
        <w:rPr>
          <w:rFonts w:ascii="Times New Roman" w:hAnsi="Times New Roman" w:cs="Times New Roman"/>
          <w:sz w:val="32"/>
          <w:szCs w:val="32"/>
        </w:rPr>
      </w:pPr>
      <w:r>
        <w:rPr>
          <w:rFonts w:ascii="Times New Roman" w:hAnsi="Times New Roman" w:eastAsia="黑体" w:cs="Times New Roman"/>
          <w:sz w:val="32"/>
          <w:szCs w:val="32"/>
        </w:rPr>
        <w:t>一、申报单位基本信息</w:t>
      </w:r>
    </w:p>
    <w:tbl>
      <w:tblPr>
        <w:tblStyle w:val="9"/>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462"/>
        <w:gridCol w:w="2610"/>
        <w:gridCol w:w="730"/>
        <w:gridCol w:w="1279"/>
        <w:gridCol w:w="2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单位名称</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注册地址</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注册时间</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注册登记证</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注册登记号</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法定代表人</w:t>
            </w:r>
          </w:p>
        </w:tc>
        <w:tc>
          <w:tcPr>
            <w:tcW w:w="2610" w:type="dxa"/>
            <w:vAlign w:val="center"/>
          </w:tcPr>
          <w:p>
            <w:pPr>
              <w:spacing w:line="600" w:lineRule="exact"/>
              <w:ind w:left="-71" w:leftChars="-34" w:firstLine="134" w:firstLineChars="42"/>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电话</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开户银行</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开户名称</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银行账号</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地址邮编</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负</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责</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人</w:t>
            </w: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姓名</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联</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系</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人</w:t>
            </w: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姓名</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continue"/>
            <w:vAlign w:val="center"/>
          </w:tcPr>
          <w:p>
            <w:pPr>
              <w:spacing w:line="600" w:lineRule="exact"/>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87" w:type="dxa"/>
            <w:vMerge w:val="continue"/>
            <w:vAlign w:val="center"/>
          </w:tcPr>
          <w:p>
            <w:pPr>
              <w:widowControl/>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电邮</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电邮</w:t>
            </w:r>
          </w:p>
        </w:tc>
        <w:tc>
          <w:tcPr>
            <w:tcW w:w="2791" w:type="dxa"/>
            <w:vAlign w:val="center"/>
          </w:tcPr>
          <w:p>
            <w:pPr>
              <w:spacing w:line="600" w:lineRule="exact"/>
              <w:rPr>
                <w:rFonts w:ascii="Times New Roman" w:hAnsi="Times New Roman" w:eastAsia="仿宋_GB2312" w:cs="Times New Roman"/>
                <w:bCs/>
                <w:spacing w:val="-20"/>
                <w:sz w:val="32"/>
                <w:szCs w:val="32"/>
              </w:rPr>
            </w:pPr>
          </w:p>
        </w:tc>
      </w:tr>
    </w:tbl>
    <w:p>
      <w:pPr>
        <w:ind w:firstLine="560" w:firstLineChars="200"/>
        <w:rPr>
          <w:rFonts w:ascii="Times New Roman" w:hAnsi="Times New Roman" w:eastAsia="黑体" w:cs="Times New Roman"/>
          <w:sz w:val="28"/>
          <w:szCs w:val="28"/>
        </w:rPr>
      </w:pPr>
    </w:p>
    <w:p>
      <w:pPr>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二、项目工作方案</w:t>
      </w:r>
    </w:p>
    <w:tbl>
      <w:tblPr>
        <w:tblStyle w:val="9"/>
        <w:tblW w:w="9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4170"/>
        <w:gridCol w:w="32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5" w:hRule="atLeast"/>
          <w:jc w:val="center"/>
        </w:trPr>
        <w:tc>
          <w:tcPr>
            <w:tcW w:w="1980" w:type="dxa"/>
            <w:vMerge w:val="restart"/>
            <w:tcBorders>
              <w:top w:val="single" w:color="000000" w:sz="6" w:space="0"/>
              <w:left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eastAsia="仿宋_GB2312" w:cs="Times New Roman"/>
                <w:bCs/>
                <w:sz w:val="32"/>
                <w:szCs w:val="32"/>
              </w:rPr>
              <w:t>任务与资金</w:t>
            </w:r>
          </w:p>
        </w:tc>
        <w:tc>
          <w:tcPr>
            <w:tcW w:w="417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目标任务及工作内容</w:t>
            </w:r>
          </w:p>
        </w:tc>
        <w:tc>
          <w:tcPr>
            <w:tcW w:w="3231"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46" w:hRule="atLeast"/>
          <w:jc w:val="center"/>
        </w:trPr>
        <w:tc>
          <w:tcPr>
            <w:tcW w:w="1980" w:type="dxa"/>
            <w:vMerge w:val="continue"/>
            <w:tcBorders>
              <w:left w:val="single" w:color="000000" w:sz="6" w:space="0"/>
              <w:bottom w:val="single" w:color="000000" w:sz="6" w:space="0"/>
              <w:right w:val="single" w:color="000000" w:sz="6" w:space="0"/>
            </w:tcBorders>
            <w:vAlign w:val="center"/>
          </w:tcPr>
          <w:p>
            <w:pPr>
              <w:rPr>
                <w:rFonts w:ascii="Times New Roman" w:hAnsi="Times New Roman" w:cs="Times New Roman"/>
              </w:rPr>
            </w:pPr>
          </w:p>
        </w:tc>
        <w:tc>
          <w:tcPr>
            <w:tcW w:w="4170"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Cs w:val="30"/>
              </w:rPr>
              <w:t>（介绍项目的目标任务、工作内容，推进措施及实施方式等。可另附页，下同。）</w:t>
            </w:r>
          </w:p>
        </w:tc>
        <w:tc>
          <w:tcPr>
            <w:tcW w:w="3231"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 w:val="30"/>
                <w:szCs w:val="30"/>
              </w:rPr>
              <w:t>（</w:t>
            </w:r>
            <w:r>
              <w:rPr>
                <w:rFonts w:ascii="Times New Roman" w:hAnsi="Times New Roman" w:eastAsia="楷体_GB2312" w:cs="Times New Roman"/>
                <w:szCs w:val="30"/>
              </w:rPr>
              <w:t>按照工作量和支出标准形式，逐个任务做好资金测算</w:t>
            </w:r>
            <w:r>
              <w:rPr>
                <w:rFonts w:hint="eastAsia" w:ascii="Times New Roman" w:hAnsi="Times New Roman" w:eastAsia="楷体_GB2312" w:cs="Times New Roman"/>
                <w:szCs w:val="30"/>
              </w:rPr>
              <w:t>，下同</w:t>
            </w:r>
            <w:r>
              <w:rPr>
                <w:rFonts w:ascii="Times New Roman" w:hAnsi="Times New Roman" w:eastAsia="楷体_GB2312" w:cs="Times New Roman"/>
                <w:sz w:val="30"/>
                <w:szCs w:val="3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工作基础及</w:t>
            </w:r>
          </w:p>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保障措施</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cs="Times New Roman"/>
              </w:rPr>
            </w:pPr>
            <w:r>
              <w:rPr>
                <w:rFonts w:ascii="Times New Roman" w:hAnsi="Times New Roman" w:eastAsia="楷体_GB2312" w:cs="Times New Roman"/>
                <w:szCs w:val="30"/>
              </w:rPr>
              <w:t>（介绍申请本项目所具备的工作基础、制度规范，相关经验和优势资源，项目团队、智力支持、信息化设施等相关条件，推进项目顺利实施的保障性举措等。）</w:t>
            </w:r>
          </w:p>
          <w:p>
            <w:pPr>
              <w:rPr>
                <w:rFonts w:ascii="Times New Roman" w:hAnsi="Times New Roman" w:cs="Times New Roman"/>
              </w:rPr>
            </w:pPr>
          </w:p>
          <w:p>
            <w:pPr>
              <w:rPr>
                <w:rFonts w:ascii="Times New Roman" w:hAnsi="Times New Roman" w:cs="Times New Roman"/>
              </w:rPr>
            </w:pPr>
          </w:p>
          <w:p>
            <w:pPr>
              <w:spacing w:line="500" w:lineRule="exact"/>
              <w:rPr>
                <w:rFonts w:ascii="Times New Roman" w:hAnsi="Times New Roman" w:cs="Times New Roman"/>
              </w:rPr>
            </w:pPr>
          </w:p>
          <w:p>
            <w:pPr>
              <w:pStyle w:val="7"/>
              <w:rPr>
                <w:rFonts w:ascii="Times New Roman" w:hAnsi="Times New Roman" w:cs="Times New Roman"/>
              </w:rPr>
            </w:pPr>
          </w:p>
          <w:p>
            <w:pPr>
              <w:rPr>
                <w:rFonts w:ascii="Times New Roman" w:hAnsi="Times New Roman" w:cs="Times New Roman"/>
              </w:rPr>
            </w:pPr>
          </w:p>
          <w:p>
            <w:pPr>
              <w:pStyle w:val="7"/>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11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计划进度</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（工作总体进度时间安排、项目各阶段工作任务与阶段性目标，确保项目按时形成成果、提交项目总结报告。）</w:t>
            </w:r>
          </w:p>
          <w:p>
            <w:pPr>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69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预期成果及</w:t>
            </w:r>
          </w:p>
          <w:p>
            <w:pPr>
              <w:spacing w:line="500" w:lineRule="exact"/>
              <w:jc w:val="center"/>
              <w:rPr>
                <w:rFonts w:ascii="Times New Roman" w:hAnsi="Times New Roman" w:cs="Times New Roman"/>
                <w:b/>
                <w:sz w:val="32"/>
                <w:szCs w:val="32"/>
              </w:rPr>
            </w:pPr>
            <w:r>
              <w:rPr>
                <w:rFonts w:ascii="Times New Roman" w:hAnsi="Times New Roman" w:cs="Times New Roman"/>
                <w:bCs/>
                <w:sz w:val="32"/>
                <w:szCs w:val="32"/>
              </w:rPr>
              <w:t>考核指标</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（项目实施的预期成果形式、可考核指标等。）</w:t>
            </w: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tc>
      </w:tr>
    </w:tbl>
    <w:p>
      <w:pPr>
        <w:ind w:firstLine="640" w:firstLineChars="200"/>
        <w:rPr>
          <w:rFonts w:ascii="Times New Roman" w:hAnsi="Times New Roman" w:cs="Times New Roman"/>
          <w:sz w:val="32"/>
          <w:szCs w:val="32"/>
        </w:rPr>
      </w:pPr>
      <w:r>
        <w:rPr>
          <w:rFonts w:ascii="Times New Roman" w:hAnsi="Times New Roman" w:eastAsia="黑体" w:cs="Times New Roman"/>
          <w:sz w:val="32"/>
          <w:szCs w:val="32"/>
        </w:rPr>
        <w:t>三、项目工作团队</w:t>
      </w:r>
      <w:r>
        <w:rPr>
          <w:rFonts w:ascii="Times New Roman" w:hAnsi="Times New Roman" w:cs="Times New Roman"/>
          <w:sz w:val="32"/>
          <w:szCs w:val="32"/>
        </w:rPr>
        <w:t>（可据工作需求而增加空格）</w:t>
      </w:r>
    </w:p>
    <w:tbl>
      <w:tblPr>
        <w:tblStyle w:val="9"/>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915"/>
        <w:gridCol w:w="1035"/>
        <w:gridCol w:w="1335"/>
        <w:gridCol w:w="1064"/>
        <w:gridCol w:w="1222"/>
        <w:gridCol w:w="963"/>
        <w:gridCol w:w="1001"/>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专业</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及学历</w:t>
            </w: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left w:val="single" w:color="auto" w:sz="4" w:space="0"/>
              <w:bottom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restart"/>
            <w:tcBorders>
              <w:top w:val="single" w:color="auto" w:sz="4" w:space="0"/>
              <w:left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bl>
    <w:p>
      <w:pPr>
        <w:ind w:firstLine="640" w:firstLineChars="200"/>
        <w:rPr>
          <w:rFonts w:hint="default" w:ascii="Times New Roman" w:hAnsi="Times New Roman" w:eastAsia="黑体" w:cs="Times New Roman"/>
          <w:sz w:val="32"/>
          <w:szCs w:val="32"/>
        </w:rPr>
      </w:pPr>
    </w:p>
    <w:p>
      <w:pPr>
        <w:ind w:firstLine="640" w:firstLineChars="200"/>
        <w:rPr>
          <w:rFonts w:hint="eastAsia" w:ascii="Times New Roman" w:hAnsi="Times New Roman" w:eastAsia="黑体" w:cs="Times New Roman"/>
          <w:sz w:val="32"/>
          <w:szCs w:val="32"/>
          <w:lang w:eastAsia="zh-CN"/>
        </w:rPr>
      </w:pPr>
      <w:r>
        <w:rPr>
          <w:rFonts w:hint="default" w:ascii="Times New Roman" w:hAnsi="Times New Roman" w:eastAsia="黑体" w:cs="Times New Roman"/>
          <w:sz w:val="32"/>
          <w:szCs w:val="32"/>
        </w:rPr>
        <w:t>四</w:t>
      </w:r>
      <w:r>
        <w:rPr>
          <w:rFonts w:ascii="Times New Roman" w:hAnsi="Times New Roman" w:eastAsia="黑体" w:cs="Times New Roman"/>
          <w:sz w:val="32"/>
          <w:szCs w:val="32"/>
        </w:rPr>
        <w:t>、单位意见</w:t>
      </w:r>
    </w:p>
    <w:tbl>
      <w:tblPr>
        <w:tblStyle w:val="9"/>
        <w:tblW w:w="95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6"/>
        <w:gridCol w:w="75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90" w:hRule="atLeast"/>
          <w:jc w:val="center"/>
        </w:trPr>
        <w:tc>
          <w:tcPr>
            <w:tcW w:w="2096"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意见</w:t>
            </w:r>
          </w:p>
        </w:tc>
        <w:tc>
          <w:tcPr>
            <w:tcW w:w="7503"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单位盖章：</w:t>
            </w: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年</w:t>
            </w:r>
            <w:r>
              <w:rPr>
                <w:rFonts w:hint="eastAsia" w:eastAsia="仿宋_GB2312" w:cs="Times New Roman"/>
                <w:sz w:val="32"/>
                <w:szCs w:val="32"/>
                <w:lang w:val="en-US" w:eastAsia="zh-CN"/>
              </w:rPr>
              <w:t xml:space="preserve"> </w:t>
            </w:r>
            <w:r>
              <w:rPr>
                <w:rFonts w:ascii="Times New Roman" w:hAnsi="Times New Roman" w:eastAsia="仿宋_GB2312" w:cs="Times New Roman"/>
                <w:sz w:val="32"/>
                <w:szCs w:val="32"/>
              </w:rPr>
              <w:t>月</w:t>
            </w:r>
            <w:r>
              <w:rPr>
                <w:rFonts w:hint="eastAsia" w:eastAsia="仿宋_GB2312" w:cs="Times New Roman"/>
                <w:sz w:val="32"/>
                <w:szCs w:val="32"/>
                <w:lang w:val="en-US" w:eastAsia="zh-CN"/>
              </w:rPr>
              <w:t xml:space="preserve"> </w:t>
            </w:r>
            <w:r>
              <w:rPr>
                <w:rFonts w:ascii="Times New Roman" w:hAnsi="Times New Roman" w:eastAsia="仿宋_GB2312" w:cs="Times New Roman"/>
                <w:sz w:val="32"/>
                <w:szCs w:val="32"/>
              </w:rPr>
              <w:t>日</w:t>
            </w:r>
          </w:p>
        </w:tc>
      </w:tr>
    </w:tbl>
    <w:p>
      <w:pPr>
        <w:rPr>
          <w:rFonts w:ascii="Times New Roman" w:hAnsi="Times New Roman" w:eastAsia="黑体" w:cs="Times New Roman"/>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sectPr>
      <w:footerReference r:id="rId3" w:type="default"/>
      <w:pgSz w:w="11906" w:h="16838"/>
      <w:pgMar w:top="2098" w:right="1474" w:bottom="1984" w:left="1587" w:header="851" w:footer="1474" w:gutter="0"/>
      <w:pgNumType w:fmt="decimal"/>
      <w:cols w:space="0" w:num="1"/>
      <w:rtlGutter w:val="0"/>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r>
                            <w:rPr>
                              <w:rFonts w:hint="eastAsia" w:ascii="仿宋_GB2312" w:hAnsi="仿宋_GB2312" w:eastAsia="仿宋_GB2312" w:cs="仿宋_GB2312"/>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r>
                      <w:rPr>
                        <w:rFonts w:hint="eastAsia" w:ascii="仿宋_GB2312" w:hAnsi="仿宋_GB2312" w:eastAsia="仿宋_GB2312" w:cs="仿宋_GB2312"/>
                        <w:sz w:val="28"/>
                        <w:szCs w:val="28"/>
                        <w:lang w:val="en-US" w:eastAsia="zh-CN"/>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34B06"/>
    <w:multiLevelType w:val="multilevel"/>
    <w:tmpl w:val="7D434B06"/>
    <w:lvl w:ilvl="0" w:tentative="0">
      <w:start w:val="1"/>
      <w:numFmt w:val="ideographDigital"/>
      <w:pStyle w:val="3"/>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51D0877"/>
    <w:rsid w:val="071F3F86"/>
    <w:rsid w:val="07EE270F"/>
    <w:rsid w:val="0B025C20"/>
    <w:rsid w:val="10796311"/>
    <w:rsid w:val="126053E1"/>
    <w:rsid w:val="13F63ACB"/>
    <w:rsid w:val="146B1786"/>
    <w:rsid w:val="15A66219"/>
    <w:rsid w:val="15F14E59"/>
    <w:rsid w:val="18675C3E"/>
    <w:rsid w:val="1BB57490"/>
    <w:rsid w:val="1F2348BB"/>
    <w:rsid w:val="22BA49F7"/>
    <w:rsid w:val="24586DC7"/>
    <w:rsid w:val="26616E22"/>
    <w:rsid w:val="29F47144"/>
    <w:rsid w:val="2A3B1D89"/>
    <w:rsid w:val="2A3F419A"/>
    <w:rsid w:val="2A78601C"/>
    <w:rsid w:val="2CD22195"/>
    <w:rsid w:val="2D0E325F"/>
    <w:rsid w:val="30063270"/>
    <w:rsid w:val="30382874"/>
    <w:rsid w:val="31941F58"/>
    <w:rsid w:val="346073B1"/>
    <w:rsid w:val="369A5BF9"/>
    <w:rsid w:val="37090E4A"/>
    <w:rsid w:val="377B6F02"/>
    <w:rsid w:val="392465D7"/>
    <w:rsid w:val="397D3D3E"/>
    <w:rsid w:val="3F6121C6"/>
    <w:rsid w:val="3F874DFC"/>
    <w:rsid w:val="3FBA428D"/>
    <w:rsid w:val="42646E49"/>
    <w:rsid w:val="451E4659"/>
    <w:rsid w:val="4703431A"/>
    <w:rsid w:val="48E95579"/>
    <w:rsid w:val="4C0D5DBF"/>
    <w:rsid w:val="4C9A5E97"/>
    <w:rsid w:val="4D2B06DF"/>
    <w:rsid w:val="4F4F0CC6"/>
    <w:rsid w:val="5197762D"/>
    <w:rsid w:val="5243479C"/>
    <w:rsid w:val="52A410C7"/>
    <w:rsid w:val="532C6AA9"/>
    <w:rsid w:val="561B6D75"/>
    <w:rsid w:val="57361937"/>
    <w:rsid w:val="57846930"/>
    <w:rsid w:val="594E4995"/>
    <w:rsid w:val="5B473BEF"/>
    <w:rsid w:val="5F37055E"/>
    <w:rsid w:val="5F41149B"/>
    <w:rsid w:val="5F810F27"/>
    <w:rsid w:val="60755732"/>
    <w:rsid w:val="612835BA"/>
    <w:rsid w:val="61BD2AAB"/>
    <w:rsid w:val="65035DEB"/>
    <w:rsid w:val="69F74E26"/>
    <w:rsid w:val="6A5304F4"/>
    <w:rsid w:val="71620D76"/>
    <w:rsid w:val="72EE3B86"/>
    <w:rsid w:val="747C797D"/>
    <w:rsid w:val="75087337"/>
    <w:rsid w:val="7B6303DA"/>
    <w:rsid w:val="7BE434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semiHidden/>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after="12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2"/>
    <w:basedOn w:val="1"/>
    <w:next w:val="1"/>
    <w:qFormat/>
    <w:uiPriority w:val="0"/>
    <w:pPr>
      <w:ind w:firstLine="630"/>
    </w:pPr>
    <w:rPr>
      <w:rFonts w:ascii="黑体" w:hAnsi="黑体" w:eastAsia="黑体"/>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正文 New"/>
    <w:qFormat/>
    <w:uiPriority w:val="0"/>
    <w:pPr>
      <w:widowControl w:val="0"/>
      <w:jc w:val="both"/>
    </w:pPr>
    <w:rPr>
      <w:rFonts w:ascii="Times New Roman" w:hAnsi="Times New Roman" w:eastAsia="宋体" w:cstheme="minorBidi"/>
      <w:kern w:val="2"/>
      <w:sz w:val="21"/>
      <w:szCs w:val="24"/>
      <w:lang w:val="en-US" w:eastAsia="zh-CN" w:bidi="ar-SA"/>
    </w:rPr>
  </w:style>
  <w:style w:type="paragraph" w:customStyle="1" w:styleId="13">
    <w:name w:val="正文 New New"/>
    <w:qFormat/>
    <w:uiPriority w:val="0"/>
    <w:pPr>
      <w:widowControl w:val="0"/>
      <w:jc w:val="both"/>
    </w:pPr>
    <w:rPr>
      <w:rFonts w:ascii="Times New Roman" w:hAnsi="Times New Roman" w:eastAsia="宋体" w:cs="Times New Roman"/>
      <w:kern w:val="2"/>
      <w:sz w:val="21"/>
      <w:lang w:val="en-US" w:eastAsia="zh-CN"/>
    </w:rPr>
  </w:style>
  <w:style w:type="paragraph" w:customStyle="1" w:styleId="14">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省工商行政管理局</Company>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2022-02-09T04:49:00Z</dcterms:created>
  <dc:creator>蔡美华</dc:creator>
  <cp:lastModifiedBy>杨志鹏</cp:lastModifiedBy>
  <dcterms:modified xsi:type="dcterms:W3CDTF">2026-08-19T03:54:34Z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ribbonExt">
    <vt:lpwstr>{"WPSExtOfficeTab":{"OnGetEnabled":false,"OnGetVisible":false}}</vt:lpwstr>
  </property>
  <property fmtid="{D5CDD505-2E9C-101B-9397-08002B2CF9AE}" pid="4" name="ICV">
    <vt:lpwstr>1ECBAEC0CE7246DE83DDF9414566F710</vt:lpwstr>
  </property>
</Properties>
</file>