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w w:val="98"/>
          <w:sz w:val="44"/>
          <w:szCs w:val="44"/>
          <w:highlight w:val="none"/>
          <w:shd w:val="clear" w:color="auto" w:fill="FFFFFF"/>
          <w:lang w:eastAsia="zh-CN"/>
        </w:rPr>
      </w:pPr>
      <w:r>
        <w:rPr>
          <w:rFonts w:hint="eastAsia" w:ascii="方正小标宋简体" w:hAnsi="方正小标宋简体" w:eastAsia="方正小标宋简体" w:cs="方正小标宋简体"/>
          <w:w w:val="98"/>
          <w:sz w:val="44"/>
          <w:szCs w:val="44"/>
          <w:highlight w:val="none"/>
          <w:shd w:val="clear" w:color="auto" w:fill="FFFFFF"/>
          <w:lang w:eastAsia="zh-CN"/>
        </w:rPr>
        <w:t>广东省商标品牌指导站建设项目</w:t>
      </w:r>
    </w:p>
    <w:p>
      <w:pPr>
        <w:spacing w:line="560" w:lineRule="exact"/>
        <w:jc w:val="center"/>
        <w:rPr>
          <w:rFonts w:hint="eastAsia" w:ascii="方正小标宋简体" w:hAnsi="方正小标宋简体" w:eastAsia="方正小标宋简体" w:cs="方正小标宋简体"/>
          <w:w w:val="98"/>
          <w:sz w:val="44"/>
          <w:szCs w:val="44"/>
          <w:highlight w:val="none"/>
          <w:shd w:val="clear" w:color="auto" w:fill="FFFFFF"/>
          <w:lang w:eastAsia="zh-CN"/>
        </w:rPr>
      </w:pPr>
      <w:r>
        <w:rPr>
          <w:rFonts w:hint="eastAsia" w:ascii="方正小标宋简体" w:hAnsi="方正小标宋简体" w:eastAsia="方正小标宋简体" w:cs="方正小标宋简体"/>
          <w:w w:val="98"/>
          <w:sz w:val="44"/>
          <w:szCs w:val="44"/>
          <w:highlight w:val="none"/>
          <w:shd w:val="clear" w:color="auto" w:fill="FFFFFF"/>
          <w:lang w:eastAsia="zh-CN"/>
        </w:rPr>
        <w:t>申报指南</w:t>
      </w:r>
    </w:p>
    <w:p>
      <w:pPr>
        <w:pStyle w:val="6"/>
        <w:numPr>
          <w:ilvl w:val="0"/>
          <w:numId w:val="0"/>
        </w:numPr>
        <w:tabs>
          <w:tab w:val="left" w:pos="0"/>
        </w:tabs>
        <w:wordWrap w:val="0"/>
        <w:adjustRightInd w:val="0"/>
        <w:snapToGrid w:val="0"/>
        <w:spacing w:beforeAutospacing="0" w:afterAutospacing="0" w:line="580" w:lineRule="exact"/>
        <w:ind w:left="620" w:leftChars="0"/>
        <w:jc w:val="both"/>
        <w:rPr>
          <w:rFonts w:hint="eastAsia" w:eastAsia="黑体"/>
          <w:spacing w:val="-6"/>
          <w:sz w:val="32"/>
          <w:szCs w:val="32"/>
          <w:lang w:eastAsia="zh-CN"/>
        </w:rPr>
      </w:pPr>
    </w:p>
    <w:p>
      <w:pPr>
        <w:pStyle w:val="6"/>
        <w:numPr>
          <w:ilvl w:val="0"/>
          <w:numId w:val="0"/>
        </w:numPr>
        <w:tabs>
          <w:tab w:val="left" w:pos="0"/>
        </w:tabs>
        <w:wordWrap w:val="0"/>
        <w:adjustRightInd w:val="0"/>
        <w:snapToGrid w:val="0"/>
        <w:spacing w:beforeAutospacing="0" w:afterAutospacing="0" w:line="580" w:lineRule="exact"/>
        <w:ind w:left="620" w:leftChars="0"/>
        <w:jc w:val="both"/>
        <w:rPr>
          <w:rFonts w:eastAsia="黑体"/>
          <w:spacing w:val="-6"/>
          <w:sz w:val="32"/>
          <w:szCs w:val="32"/>
        </w:rPr>
      </w:pPr>
      <w:r>
        <w:rPr>
          <w:rFonts w:hint="eastAsia" w:eastAsia="黑体"/>
          <w:spacing w:val="-6"/>
          <w:sz w:val="32"/>
          <w:szCs w:val="32"/>
          <w:lang w:eastAsia="zh-CN"/>
        </w:rPr>
        <w:t>一、</w:t>
      </w:r>
      <w:r>
        <w:rPr>
          <w:rFonts w:eastAsia="黑体"/>
          <w:spacing w:val="-6"/>
          <w:sz w:val="32"/>
          <w:szCs w:val="32"/>
        </w:rPr>
        <w:t>项目名称</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广东省商标品牌指导站建设项目</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16" w:firstLineChars="200"/>
        <w:jc w:val="both"/>
        <w:textAlignment w:val="auto"/>
        <w:rPr>
          <w:rFonts w:hint="eastAsia" w:ascii="方正小标宋简体" w:hAnsi="方正小标宋简体" w:eastAsia="方正小标宋简体" w:cs="方正小标宋简体"/>
          <w:b w:val="0"/>
          <w:bCs w:val="0"/>
          <w:color w:val="auto"/>
          <w:kern w:val="44"/>
          <w:sz w:val="44"/>
          <w:szCs w:val="44"/>
          <w:shd w:val="clear" w:color="auto" w:fill="FFFFFF"/>
        </w:rPr>
      </w:pPr>
      <w:r>
        <w:rPr>
          <w:rFonts w:hint="eastAsia" w:eastAsia="黑体"/>
          <w:spacing w:val="-6"/>
          <w:sz w:val="32"/>
          <w:szCs w:val="32"/>
          <w:lang w:eastAsia="zh-CN"/>
        </w:rPr>
        <w:t>二、</w:t>
      </w:r>
      <w:r>
        <w:rPr>
          <w:rFonts w:eastAsia="黑体"/>
          <w:spacing w:val="-6"/>
          <w:sz w:val="32"/>
          <w:szCs w:val="32"/>
        </w:rPr>
        <w:t>工作目标</w:t>
      </w:r>
    </w:p>
    <w:p>
      <w:pPr>
        <w:pStyle w:val="6"/>
        <w:wordWrap w:val="0"/>
        <w:spacing w:before="0" w:beforeAutospacing="0" w:after="0" w:afterAutospacing="0" w:line="560" w:lineRule="exact"/>
        <w:ind w:firstLine="620"/>
        <w:jc w:val="both"/>
        <w:rPr>
          <w:rFonts w:hint="eastAsia" w:ascii="Times New Roman" w:hAnsi="Times New Roman" w:eastAsia="仿宋_GB2312" w:cs="Times New Roman"/>
          <w:spacing w:val="-6"/>
          <w:kern w:val="2"/>
          <w:sz w:val="32"/>
          <w:szCs w:val="32"/>
          <w:lang w:val="en-US" w:eastAsia="zh-CN" w:bidi="ar-SA"/>
        </w:rPr>
      </w:pPr>
      <w:r>
        <w:rPr>
          <w:rFonts w:hint="eastAsia" w:ascii="仿宋_GB2312" w:hAnsi="仿宋_GB2312" w:eastAsia="仿宋_GB2312" w:cs="仿宋_GB2312"/>
          <w:kern w:val="2"/>
          <w:sz w:val="32"/>
          <w:szCs w:val="32"/>
          <w:lang w:val="en-US" w:eastAsia="zh-CN"/>
        </w:rPr>
        <w:t>按照《国家知识产权局关于进一步加强商标品牌指导站建设的通知》（国知发运字〔2021〕24号），</w:t>
      </w:r>
      <w:r>
        <w:rPr>
          <w:rFonts w:hint="eastAsia" w:ascii="仿宋_GB2312" w:hAnsi="仿宋_GB2312" w:cs="仿宋_GB2312"/>
          <w:kern w:val="2"/>
          <w:sz w:val="32"/>
          <w:szCs w:val="32"/>
          <w:lang w:val="en-US" w:eastAsia="zh-CN"/>
        </w:rPr>
        <w:t>对</w:t>
      </w:r>
      <w:r>
        <w:rPr>
          <w:rFonts w:hint="eastAsia" w:ascii="仿宋_GB2312" w:hAnsi="仿宋_GB2312" w:eastAsia="仿宋_GB2312" w:cs="仿宋_GB2312"/>
          <w:kern w:val="2"/>
          <w:sz w:val="32"/>
          <w:szCs w:val="32"/>
          <w:lang w:val="en-US" w:eastAsia="zh-CN"/>
        </w:rPr>
        <w:t>现有商标品牌指导站进行升级完善</w:t>
      </w:r>
      <w:r>
        <w:rPr>
          <w:rFonts w:hint="eastAsia" w:ascii="仿宋_GB2312" w:hAnsi="仿宋_GB2312" w:cs="仿宋_GB2312"/>
          <w:kern w:val="2"/>
          <w:sz w:val="32"/>
          <w:szCs w:val="32"/>
          <w:lang w:val="en-US" w:eastAsia="zh-CN"/>
        </w:rPr>
        <w:t>，面向企业、产业、基层，提供便利化、高质量的商标品牌建设指导和服务，助推我省商标品牌战略实施</w:t>
      </w:r>
      <w:r>
        <w:rPr>
          <w:rFonts w:hint="eastAsia" w:ascii="仿宋_GB2312" w:hAnsi="仿宋_GB2312" w:eastAsia="仿宋_GB2312" w:cs="仿宋_GB2312"/>
          <w:kern w:val="2"/>
          <w:sz w:val="32"/>
          <w:szCs w:val="32"/>
          <w:lang w:val="en-US" w:eastAsia="zh-CN"/>
        </w:rPr>
        <w:t>；提升企业商标管理体系管理水平，</w:t>
      </w:r>
      <w:r>
        <w:rPr>
          <w:rFonts w:hint="eastAsia" w:ascii="Times New Roman" w:hAnsi="Times New Roman" w:eastAsia="仿宋_GB2312" w:cs="Times New Roman"/>
          <w:spacing w:val="-6"/>
          <w:kern w:val="2"/>
          <w:sz w:val="32"/>
          <w:szCs w:val="32"/>
          <w:lang w:val="en-US" w:eastAsia="zh-CN" w:bidi="ar-SA"/>
        </w:rPr>
        <w:t>指导开展集体商标、证明商标的管理运用保护和推广，赋能区域品牌经济发展；组织实施商标品牌培训计划，提升企业商标品牌建设能力。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lang w:eastAsia="zh-CN"/>
        </w:rPr>
        <w:t>三</w:t>
      </w:r>
      <w:r>
        <w:rPr>
          <w:rFonts w:hint="eastAsia" w:ascii="黑体" w:hAnsi="黑体" w:eastAsia="黑体" w:cs="黑体"/>
          <w:b/>
          <w:bCs/>
          <w:color w:val="auto"/>
          <w:sz w:val="32"/>
          <w:szCs w:val="32"/>
        </w:rPr>
        <w:t>、项目任务</w:t>
      </w:r>
    </w:p>
    <w:p>
      <w:pPr>
        <w:pStyle w:val="6"/>
        <w:wordWrap w:val="0"/>
        <w:spacing w:before="0" w:beforeAutospacing="0" w:after="0" w:afterAutospacing="0" w:line="560" w:lineRule="exact"/>
        <w:ind w:firstLine="62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（一）制定优化商标品牌培育指导站工作规范，建立商标运用指引，提供便利化、高质量的商标品牌建设指导和服务；</w:t>
      </w:r>
    </w:p>
    <w:p>
      <w:pPr>
        <w:pStyle w:val="6"/>
        <w:wordWrap w:val="0"/>
        <w:spacing w:before="0" w:beforeAutospacing="0" w:after="0" w:afterAutospacing="0" w:line="560" w:lineRule="exact"/>
        <w:ind w:firstLine="62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（二）开展商标品牌宣贯培训活动不少于2场，每场活动参加单位不少于20家，人数不少于40人；            </w:t>
      </w:r>
    </w:p>
    <w:p>
      <w:pPr>
        <w:pStyle w:val="6"/>
        <w:wordWrap w:val="0"/>
        <w:spacing w:before="0" w:beforeAutospacing="0" w:after="0" w:afterAutospacing="0" w:line="560" w:lineRule="exact"/>
        <w:ind w:firstLine="62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（三）为不少于30家企业提供商标国内和国际注册法律咨询，商标规范使用提示、自主品牌培育、商标运用指引等服务；</w:t>
      </w:r>
    </w:p>
    <w:p>
      <w:pPr>
        <w:pStyle w:val="6"/>
        <w:wordWrap w:val="0"/>
        <w:spacing w:before="0" w:beforeAutospacing="0" w:after="0" w:afterAutospacing="0" w:line="560" w:lineRule="exact"/>
        <w:ind w:firstLine="62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（四）协助组织不少于10家企业参加粤港澳大湾区（广东）高价值知识产权培育大赛、粤东西北知识产权创新创业大赛等赛事展会，宣传推动本区域商标品牌；</w:t>
      </w:r>
    </w:p>
    <w:p>
      <w:pPr>
        <w:pStyle w:val="6"/>
        <w:wordWrap w:val="0"/>
        <w:spacing w:before="0" w:beforeAutospacing="0" w:after="0" w:afterAutospacing="0" w:line="560" w:lineRule="exact"/>
        <w:ind w:firstLine="62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（五）协助1件地理标志商标申请；</w:t>
      </w:r>
    </w:p>
    <w:p>
      <w:pPr>
        <w:pStyle w:val="6"/>
        <w:wordWrap w:val="0"/>
        <w:spacing w:before="0" w:beforeAutospacing="0" w:after="0" w:afterAutospacing="0" w:line="560" w:lineRule="exact"/>
        <w:ind w:firstLine="62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（六）形成不少于1个商标品牌建设典型案例。</w:t>
      </w:r>
    </w:p>
    <w:p>
      <w:pPr>
        <w:keepNext w:val="0"/>
        <w:keepLines w:val="0"/>
        <w:pageBreakBefore w:val="0"/>
        <w:widowControl w:val="0"/>
        <w:kinsoku/>
        <w:wordWrap/>
        <w:overflowPunct/>
        <w:topLinePunct w:val="0"/>
        <w:bidi w:val="0"/>
        <w:adjustRightInd w:val="0"/>
        <w:spacing w:before="0" w:beforeLines="0" w:after="0" w:afterLines="0" w:line="560" w:lineRule="exact"/>
        <w:ind w:right="0" w:rightChars="0" w:firstLine="640" w:firstLineChars="200"/>
        <w:jc w:val="both"/>
        <w:textAlignment w:val="auto"/>
        <w:rPr>
          <w:rFonts w:hint="eastAsia" w:ascii="黑体" w:hAnsi="黑体" w:eastAsia="黑体" w:cs="宋体"/>
          <w:color w:val="000000"/>
          <w:kern w:val="0"/>
          <w:sz w:val="32"/>
          <w:szCs w:val="36"/>
          <w:lang w:val="en" w:eastAsia="zh-CN"/>
        </w:rPr>
      </w:pPr>
      <w:r>
        <w:rPr>
          <w:rFonts w:hint="eastAsia" w:ascii="黑体" w:hAnsi="黑体" w:eastAsia="黑体" w:cs="宋体"/>
          <w:color w:val="000000"/>
          <w:kern w:val="0"/>
          <w:sz w:val="32"/>
          <w:szCs w:val="36"/>
          <w:lang w:val="en" w:eastAsia="zh-CN"/>
        </w:rPr>
        <w:t>四、申报主体及条件</w:t>
      </w:r>
    </w:p>
    <w:p>
      <w:pPr>
        <w:keepNext/>
        <w:keepLines w:val="0"/>
        <w:pageBreakBefore w:val="0"/>
        <w:widowControl w:val="0"/>
        <w:numPr>
          <w:ilvl w:val="0"/>
          <w:numId w:val="0"/>
        </w:numPr>
        <w:kinsoku/>
        <w:wordWrap/>
        <w:overflowPunct w:val="0"/>
        <w:topLinePunct w:val="0"/>
        <w:bidi w:val="0"/>
        <w:spacing w:before="0" w:after="0" w:line="240" w:lineRule="auto"/>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现已建成商标品牌指导站。</w:t>
      </w:r>
    </w:p>
    <w:p>
      <w:pPr>
        <w:keepNext/>
        <w:keepLines w:val="0"/>
        <w:pageBreakBefore w:val="0"/>
        <w:widowControl w:val="0"/>
        <w:numPr>
          <w:ilvl w:val="0"/>
          <w:numId w:val="0"/>
        </w:numPr>
        <w:kinsoku/>
        <w:wordWrap/>
        <w:overflowPunct w:val="0"/>
        <w:topLinePunct w:val="0"/>
        <w:bidi w:val="0"/>
        <w:spacing w:before="0" w:after="0" w:line="240" w:lineRule="auto"/>
        <w:ind w:left="0" w:leftChars="0" w:right="0" w:rightChars="0" w:firstLine="640" w:firstLineChars="200"/>
        <w:jc w:val="both"/>
        <w:textAlignment w:val="auto"/>
        <w:rPr>
          <w:rFonts w:hint="eastAsia" w:ascii="黑体" w:hAnsi="黑体" w:eastAsia="黑体" w:cs="宋体"/>
          <w:color w:val="000000" w:themeColor="text1"/>
          <w:kern w:val="0"/>
          <w:sz w:val="32"/>
          <w:szCs w:val="36"/>
          <w:lang w:val="en" w:eastAsia="zh-CN"/>
          <w14:textFill>
            <w14:solidFill>
              <w14:schemeClr w14:val="tx1"/>
            </w14:solidFill>
          </w14:textFill>
        </w:rPr>
      </w:pPr>
      <w:r>
        <w:rPr>
          <w:rFonts w:hint="eastAsia" w:ascii="黑体" w:hAnsi="黑体" w:eastAsia="黑体" w:cs="宋体"/>
          <w:color w:val="000000" w:themeColor="text1"/>
          <w:kern w:val="0"/>
          <w:sz w:val="32"/>
          <w:szCs w:val="36"/>
          <w:lang w:val="en" w:eastAsia="zh-CN"/>
          <w14:textFill>
            <w14:solidFill>
              <w14:schemeClr w14:val="tx1"/>
            </w14:solidFill>
          </w14:textFill>
        </w:rPr>
        <w:t>五、</w:t>
      </w:r>
      <w:r>
        <w:rPr>
          <w:rFonts w:hint="eastAsia" w:ascii="黑体" w:hAnsi="黑体" w:eastAsia="黑体"/>
          <w:color w:val="000000" w:themeColor="text1"/>
          <w:sz w:val="32"/>
          <w:szCs w:val="32"/>
          <w:highlight w:val="none"/>
          <w14:textFill>
            <w14:solidFill>
              <w14:schemeClr w14:val="tx1"/>
            </w14:solidFill>
          </w14:textFill>
        </w:rPr>
        <w:t>项目数量及实施周期</w:t>
      </w:r>
    </w:p>
    <w:p>
      <w:pPr>
        <w:keepNext/>
        <w:keepLines w:val="0"/>
        <w:pageBreakBefore w:val="0"/>
        <w:widowControl w:val="0"/>
        <w:numPr>
          <w:ilvl w:val="0"/>
          <w:numId w:val="0"/>
        </w:numPr>
        <w:kinsoku/>
        <w:wordWrap/>
        <w:overflowPunct w:val="0"/>
        <w:topLinePunct w:val="0"/>
        <w:bidi w:val="0"/>
        <w:spacing w:before="0" w:after="0" w:line="580" w:lineRule="exact"/>
        <w:ind w:left="0" w:leftChars="0" w:right="0" w:rightChars="0"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立项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20万/项。列入2027年省级财政知识产权专项资金储备项目；如省市场监管局和省财政厅同意实施本项目，</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项目实施周期</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1年。</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六</w:t>
      </w:r>
      <w:r>
        <w:rPr>
          <w:rFonts w:hint="eastAsia" w:ascii="黑体" w:hAnsi="黑体" w:eastAsia="黑体" w:cs="黑体"/>
          <w:b w:val="0"/>
          <w:bCs w:val="0"/>
          <w:color w:val="auto"/>
          <w:sz w:val="32"/>
          <w:szCs w:val="32"/>
        </w:rPr>
        <w:t>、申报材料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lang w:eastAsia="zh-CN"/>
        </w:rPr>
        <w:t>（一）</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szCs w:val="32"/>
          <w:lang w:eastAsia="zh-CN"/>
        </w:rPr>
        <w:t>广东省商标品牌指导站建设</w:t>
      </w:r>
      <w:r>
        <w:rPr>
          <w:rFonts w:hint="eastAsia" w:ascii="仿宋_GB2312" w:hAnsi="仿宋_GB2312" w:eastAsia="仿宋_GB2312" w:cs="仿宋_GB2312"/>
          <w:color w:val="auto"/>
          <w:spacing w:val="-11"/>
          <w:sz w:val="32"/>
          <w:szCs w:val="32"/>
        </w:rPr>
        <w:t>项目</w:t>
      </w:r>
      <w:r>
        <w:rPr>
          <w:rFonts w:hint="eastAsia" w:ascii="仿宋_GB2312" w:hAnsi="仿宋_GB2312" w:eastAsia="仿宋_GB2312" w:cs="仿宋_GB2312"/>
          <w:color w:val="auto"/>
          <w:sz w:val="32"/>
          <w:szCs w:val="32"/>
        </w:rPr>
        <w:t>申报书》；</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（二）营业执照复印件；</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（三）近两年的财务报表；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（四）承担过相同或相类似工作证明；</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（五）资金测算明细申报表；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六</w:t>
      </w:r>
      <w:r>
        <w:rPr>
          <w:rFonts w:ascii="Times New Roman" w:hAnsi="Times New Roman" w:eastAsia="仿宋_GB2312" w:cs="Times New Roman"/>
          <w:color w:val="000000" w:themeColor="text1"/>
          <w:sz w:val="32"/>
          <w:szCs w:val="32"/>
          <w14:textFill>
            <w14:solidFill>
              <w14:schemeClr w14:val="tx1"/>
            </w14:solidFill>
          </w14:textFill>
        </w:rPr>
        <w:t>）其他证明符合申报条件的材料。</w:t>
      </w:r>
    </w:p>
    <w:p>
      <w:pPr>
        <w:pStyle w:val="3"/>
        <w:numPr>
          <w:ilvl w:val="0"/>
          <w:numId w:val="0"/>
        </w:numPr>
        <w:ind w:leftChars="0" w:firstLine="620" w:firstLineChars="200"/>
        <w:rPr>
          <w:rFonts w:hint="eastAsia" w:ascii="仿宋_GB2312" w:hAnsi="仿宋_GB2312" w:eastAsia="仿宋_GB2312" w:cs="仿宋_GB2312"/>
          <w:color w:val="auto"/>
          <w:sz w:val="32"/>
          <w:lang w:eastAsia="zh-CN"/>
        </w:rPr>
      </w:pPr>
      <w:r>
        <w:rPr>
          <w:rFonts w:ascii="仿宋_GB2312" w:hAnsi="仿宋_GB2312" w:eastAsia="仿宋_GB2312" w:cs="仿宋_GB2312"/>
          <w:b w:val="0"/>
          <w:color w:val="000000"/>
          <w:sz w:val="31"/>
          <w:szCs w:val="31"/>
        </w:rPr>
        <w:t>上述材料均需加盖公章</w:t>
      </w:r>
      <w:r>
        <w:rPr>
          <w:rFonts w:hint="eastAsia" w:ascii="仿宋_GB2312" w:hAnsi="仿宋_GB2312" w:eastAsia="仿宋_GB2312" w:cs="仿宋_GB2312"/>
          <w:color w:val="auto"/>
          <w:sz w:val="32"/>
          <w:lang w:eastAsia="zh-CN"/>
        </w:rPr>
        <w:t>。</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七</w:t>
      </w:r>
      <w:r>
        <w:rPr>
          <w:rFonts w:ascii="Times New Roman" w:hAnsi="Times New Roman" w:eastAsia="黑体" w:cs="Times New Roman"/>
          <w:color w:val="000000" w:themeColor="text1"/>
          <w:sz w:val="32"/>
          <w:szCs w:val="32"/>
          <w:highlight w:val="none"/>
          <w14:textFill>
            <w14:solidFill>
              <w14:schemeClr w14:val="tx1"/>
            </w14:solidFill>
          </w14:textFill>
        </w:rPr>
        <w:t>、其他事项</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（一）本次申报及评审结果将作为确定我市2027年省级财政知识产权专项资金储备项目入库名单的重要依据。我局将依据2027年省局下达的知识产权专项资</w:t>
      </w:r>
      <w:bookmarkStart w:id="0" w:name="_GoBack"/>
      <w:bookmarkEnd w:id="0"/>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金文件、实际到位资金额度及相关规定，统筹研究确定具体立项事宜，并按程序组织实施。</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二）对申报书相关内容填写要求：申报单位在填写目标任务及工作内容部分时，可在我局对此项目任务的总体要求基础上，充分发挥主观能动性，创新谋划一些能体现对此项目任务总体要求的具体工作；在计划进度部分，统一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月起至202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月止</w:t>
      </w:r>
      <w:r>
        <w:rPr>
          <w:rFonts w:hint="eastAsia" w:ascii="Times New Roman" w:hAnsi="Times New Roman" w:eastAsia="仿宋_GB2312" w:cs="Times New Roman"/>
          <w:color w:val="000000" w:themeColor="text1"/>
          <w:sz w:val="32"/>
          <w:szCs w:val="32"/>
          <w14:textFill>
            <w14:solidFill>
              <w14:schemeClr w14:val="tx1"/>
            </w14:solidFill>
          </w14:textFill>
        </w:rPr>
        <w:t>；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等要明确，要按“标准×数量”的格式列出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（三）合同管理：项目立项后，市市场监管局与承担单位签署项目合同书，作为项目管理的重要依据。</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项目检查验收：市市场监管局对项目实施情况进行不定期监督检查，项目承担单位应按照检查要求提供项目实施进展及资金使用情况材料，配合开展实地检查。项目完成后，项目承担单位应及时总结并申请验收，向市市场监管局报送工作成果，由市市场监管局组织专家验收，验收通过后，方可结项。</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p>
    <w:p>
      <w:pPr>
        <w:keepNext/>
        <w:keepLines w:val="0"/>
        <w:pageBreakBefore w:val="0"/>
        <w:widowControl w:val="0"/>
        <w:kinsoku/>
        <w:wordWrap/>
        <w:overflowPunct w:val="0"/>
        <w:topLinePunct w:val="0"/>
        <w:bidi w:val="0"/>
        <w:spacing w:line="240" w:lineRule="auto"/>
        <w:ind w:left="0" w:leftChars="0" w:firstLine="640" w:firstLineChars="200"/>
        <w:textAlignment w:val="auto"/>
        <w:rPr>
          <w:rFonts w:hint="eastAsia" w:ascii="仿宋_GB2312" w:hAnsi="仿宋_GB2312" w:eastAsia="仿宋_GB2312" w:cs="仿宋_GB2312"/>
          <w:color w:val="000000" w:themeColor="text1"/>
          <w:spacing w:val="-1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附件：</w:t>
      </w:r>
      <w:r>
        <w:rPr>
          <w:rFonts w:hint="eastAsia" w:ascii="仿宋_GB2312" w:hAnsi="仿宋_GB2312" w:eastAsia="仿宋_GB2312" w:cs="仿宋_GB2312"/>
          <w:color w:val="auto"/>
          <w:sz w:val="32"/>
          <w:szCs w:val="32"/>
          <w:lang w:eastAsia="zh-CN"/>
        </w:rPr>
        <w:t>广东省商标品牌指导站建设项目</w:t>
      </w:r>
      <w:r>
        <w:rPr>
          <w:rFonts w:hint="eastAsia" w:ascii="仿宋_GB2312" w:hAnsi="仿宋_GB2312" w:eastAsia="仿宋_GB2312" w:cs="仿宋_GB2312"/>
          <w:color w:val="000000" w:themeColor="text1"/>
          <w:spacing w:val="-11"/>
          <w:kern w:val="0"/>
          <w:sz w:val="32"/>
          <w:szCs w:val="32"/>
          <w:highlight w:val="none"/>
          <w14:textFill>
            <w14:solidFill>
              <w14:schemeClr w14:val="tx1"/>
            </w14:solidFill>
          </w14:textFill>
        </w:rPr>
        <w:t>申报书</w:t>
      </w: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kern w:val="44"/>
          <w:sz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rPr>
        <w:t>广东省商标品牌指导站建设</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rPr>
        <w:t>项目申报书</w:t>
      </w:r>
    </w:p>
    <w:p>
      <w:pPr>
        <w:pStyle w:val="3"/>
        <w:numPr>
          <w:ilvl w:val="0"/>
          <w:numId w:val="0"/>
        </w:numPr>
        <w:ind w:left="960" w:leftChars="0"/>
      </w:pPr>
    </w:p>
    <w:tbl>
      <w:tblPr>
        <w:tblStyle w:val="7"/>
        <w:tblW w:w="8705" w:type="dxa"/>
        <w:jc w:val="center"/>
        <w:tblLayout w:type="fixed"/>
        <w:tblCellMar>
          <w:top w:w="0" w:type="dxa"/>
          <w:left w:w="108" w:type="dxa"/>
          <w:bottom w:w="0" w:type="dxa"/>
          <w:right w:w="108" w:type="dxa"/>
        </w:tblCellMar>
      </w:tblPr>
      <w:tblGrid>
        <w:gridCol w:w="2000"/>
        <w:gridCol w:w="6705"/>
      </w:tblGrid>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tc>
        <w:tc>
          <w:tcPr>
            <w:tcW w:w="6705" w:type="dxa"/>
            <w:vAlign w:val="top"/>
          </w:tcPr>
          <w:p>
            <w:pPr>
              <w:adjustRightInd w:val="0"/>
              <w:snapToGrid w:val="0"/>
              <w:spacing w:line="360" w:lineRule="auto"/>
              <w:rPr>
                <w:rFonts w:ascii="Times New Roman" w:hAnsi="Times New Roman" w:eastAsia="仿宋_GB2312" w:cs="Times New Roman"/>
                <w:sz w:val="32"/>
                <w:szCs w:val="32"/>
                <w:u w:val="single"/>
              </w:rPr>
            </w:pPr>
            <w:r>
              <w:rPr>
                <w:rFonts w:ascii="Times New Roman" w:hAnsi="Times New Roman" w:cs="Times New Roman"/>
                <w:spacing w:val="-5"/>
                <w:sz w:val="32"/>
                <w:szCs w:val="32"/>
                <w:u w:val="single"/>
                <w:shd w:val="clear" w:color="auto" w:fill="FFFFFF"/>
              </w:rPr>
              <w:t xml:space="preserve">                                        </w:t>
            </w:r>
          </w:p>
        </w:tc>
      </w:tr>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r>
              <w:rPr>
                <w:rFonts w:ascii="Times New Roman" w:hAnsi="Times New Roman" w:cs="Times New Roman"/>
                <w:sz w:val="32"/>
                <w:szCs w:val="32"/>
                <w:u w:val="single"/>
              </w:rPr>
              <w:t xml:space="preserve">                          （签章）</w:t>
            </w:r>
          </w:p>
        </w:tc>
      </w:tr>
      <w:tr>
        <w:tblPrEx>
          <w:tblCellMar>
            <w:top w:w="0" w:type="dxa"/>
            <w:left w:w="108" w:type="dxa"/>
            <w:bottom w:w="0" w:type="dxa"/>
            <w:right w:w="108" w:type="dxa"/>
          </w:tblCellMar>
        </w:tblPrEx>
        <w:trPr>
          <w:trHeight w:val="660" w:hRule="atLeast"/>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项目联系人：</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单位及职务：</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工作电话：</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手机号码：</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bl>
    <w:p>
      <w:pPr>
        <w:rPr>
          <w:rFonts w:ascii="Times New Roman" w:hAnsi="Times New Roman" w:eastAsia="仿宋_GB2312" w:cs="Times New Roman"/>
          <w:sz w:val="32"/>
          <w:szCs w:val="32"/>
        </w:rPr>
      </w:pPr>
    </w:p>
    <w:p>
      <w:pPr>
        <w:jc w:val="center"/>
        <w:rPr>
          <w:rFonts w:ascii="Times New Roman" w:hAnsi="Times New Roman" w:eastAsia="仿宋_GB2312" w:cs="Times New Roman"/>
          <w:bCs/>
          <w:sz w:val="32"/>
          <w:szCs w:val="32"/>
        </w:rPr>
      </w:pPr>
    </w:p>
    <w:p>
      <w:pPr>
        <w:jc w:val="center"/>
        <w:rPr>
          <w:rFonts w:ascii="Times New Roman" w:hAnsi="Times New Roman" w:eastAsia="仿宋_GB2312" w:cs="Times New Roman"/>
          <w:bCs/>
          <w:sz w:val="32"/>
          <w:szCs w:val="32"/>
        </w:rPr>
      </w:pPr>
    </w:p>
    <w:p>
      <w:pPr>
        <w:spacing w:line="600" w:lineRule="exact"/>
        <w:jc w:val="center"/>
        <w:rPr>
          <w:rFonts w:ascii="Times New Roman" w:hAnsi="Times New Roman" w:eastAsia="方正楷体_GB2312" w:cs="Times New Roman"/>
          <w:bCs/>
          <w:sz w:val="32"/>
          <w:szCs w:val="32"/>
        </w:rPr>
      </w:pPr>
    </w:p>
    <w:p>
      <w:pPr>
        <w:pStyle w:val="5"/>
        <w:ind w:left="0" w:leftChars="0" w:firstLine="0" w:firstLineChars="0"/>
        <w:rPr>
          <w:rFonts w:ascii="Times New Roman" w:hAnsi="Times New Roman" w:cs="Times New Roman"/>
        </w:rPr>
      </w:pPr>
    </w:p>
    <w:p>
      <w:pPr>
        <w:spacing w:line="600" w:lineRule="exact"/>
        <w:jc w:val="center"/>
        <w:rPr>
          <w:rFonts w:ascii="Times New Roman" w:hAnsi="Times New Roman" w:eastAsia="方正楷体_GB2312" w:cs="Times New Roman"/>
          <w:bCs/>
          <w:sz w:val="32"/>
          <w:szCs w:val="32"/>
        </w:rPr>
      </w:pPr>
      <w:r>
        <w:rPr>
          <w:rFonts w:hint="eastAsia" w:eastAsia="方正楷体_GB2312" w:cs="Times New Roman"/>
          <w:bCs/>
          <w:sz w:val="32"/>
          <w:szCs w:val="32"/>
          <w:lang w:eastAsia="zh-CN"/>
        </w:rPr>
        <w:t>韶关市</w:t>
      </w:r>
      <w:r>
        <w:rPr>
          <w:rFonts w:ascii="Times New Roman" w:hAnsi="Times New Roman" w:eastAsia="方正楷体_GB2312" w:cs="Times New Roman"/>
          <w:bCs/>
          <w:sz w:val="32"/>
          <w:szCs w:val="32"/>
        </w:rPr>
        <w:t>市场监督管理局（知识产权局）编制</w:t>
      </w:r>
    </w:p>
    <w:p>
      <w:pPr>
        <w:spacing w:line="600" w:lineRule="exact"/>
        <w:jc w:val="center"/>
        <w:rPr>
          <w:rFonts w:ascii="Times New Roman" w:hAnsi="Times New Roman" w:eastAsia="方正楷体_GB2312" w:cs="Times New Roman"/>
          <w:bCs/>
          <w:sz w:val="32"/>
          <w:szCs w:val="32"/>
        </w:rPr>
      </w:pPr>
      <w:r>
        <w:rPr>
          <w:rFonts w:ascii="Times New Roman" w:hAnsi="Times New Roman" w:eastAsia="方正楷体_GB2312" w:cs="Times New Roman"/>
          <w:bCs/>
          <w:sz w:val="32"/>
          <w:szCs w:val="32"/>
        </w:rPr>
        <w:t>202</w:t>
      </w:r>
      <w:r>
        <w:rPr>
          <w:rFonts w:hint="eastAsia" w:eastAsia="方正楷体_GB2312" w:cs="Times New Roman"/>
          <w:bCs/>
          <w:sz w:val="32"/>
          <w:szCs w:val="32"/>
          <w:lang w:val="en-US" w:eastAsia="zh-CN"/>
        </w:rPr>
        <w:t>6</w:t>
      </w:r>
      <w:r>
        <w:rPr>
          <w:rFonts w:ascii="Times New Roman" w:hAnsi="Times New Roman" w:eastAsia="方正楷体_GB2312" w:cs="Times New Roman"/>
          <w:bCs/>
          <w:sz w:val="32"/>
          <w:szCs w:val="32"/>
        </w:rPr>
        <w:t>年</w:t>
      </w: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填表说明</w:t>
      </w:r>
    </w:p>
    <w:p>
      <w:pPr>
        <w:adjustRightInd w:val="0"/>
        <w:snapToGrid w:val="0"/>
        <w:rPr>
          <w:rFonts w:ascii="Times New Roman" w:hAnsi="Times New Roman" w:cs="Times New Roman"/>
        </w:rPr>
      </w:pP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一、本申请书适用于202</w:t>
      </w:r>
      <w:r>
        <w:rPr>
          <w:rFonts w:hint="eastAsia" w:cs="Times New Roman"/>
          <w:sz w:val="32"/>
          <w:szCs w:val="32"/>
          <w:lang w:val="en-US" w:eastAsia="zh-CN"/>
        </w:rPr>
        <w:t>7</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韶关</w:t>
      </w:r>
      <w:r>
        <w:rPr>
          <w:rFonts w:hint="eastAsia" w:ascii="Times New Roman" w:hAnsi="Times New Roman" w:eastAsia="仿宋_GB2312" w:cs="Times New Roman"/>
          <w:sz w:val="32"/>
          <w:szCs w:val="32"/>
        </w:rPr>
        <w:t>市知识产权专项经费的申报工作。</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二、申报单位对本申请材料以及所附材料的合法性、真实性、准确性负责。</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三、申请书规格为A4纸，各栏不够填写时，请自行加页。申报书宜双面打印，并于左侧装订成册，一式五份（加盖公章）。提交同时，须同时提交电子件（可编辑版word及盖章扫描PDF版）。</w:t>
      </w:r>
    </w:p>
    <w:p>
      <w:pPr>
        <w:spacing w:line="560" w:lineRule="exact"/>
        <w:rPr>
          <w:rFonts w:ascii="Times New Roman" w:hAnsi="Times New Roman" w:cs="Times New Roman"/>
          <w:sz w:val="32"/>
          <w:szCs w:val="32"/>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pStyle w:val="2"/>
      </w:pPr>
    </w:p>
    <w:p/>
    <w:p/>
    <w:p>
      <w:pPr>
        <w:numPr>
          <w:ilvl w:val="0"/>
          <w:numId w:val="0"/>
        </w:numPr>
        <w:spacing w:line="560" w:lineRule="exact"/>
        <w:rPr>
          <w:rFonts w:ascii="Times New Roman" w:hAnsi="Times New Roman" w:eastAsia="黑体" w:cs="Times New Roman"/>
          <w:sz w:val="32"/>
          <w:szCs w:val="32"/>
        </w:rPr>
      </w:pPr>
    </w:p>
    <w:p>
      <w:pPr>
        <w:numPr>
          <w:ilvl w:val="0"/>
          <w:numId w:val="2"/>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申报单位基本信息</w:t>
      </w:r>
    </w:p>
    <w:p>
      <w:pPr>
        <w:pStyle w:val="3"/>
        <w:numPr>
          <w:ilvl w:val="0"/>
          <w:numId w:val="0"/>
        </w:numPr>
        <w:ind w:leftChars="0"/>
      </w:pPr>
    </w:p>
    <w:tbl>
      <w:tblPr>
        <w:tblStyle w:val="7"/>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462"/>
        <w:gridCol w:w="2610"/>
        <w:gridCol w:w="730"/>
        <w:gridCol w:w="1279"/>
        <w:gridCol w:w="2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单位名称</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注册地址</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注册时间</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注册登记证</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注册登记号</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法定代表人</w:t>
            </w:r>
          </w:p>
        </w:tc>
        <w:tc>
          <w:tcPr>
            <w:tcW w:w="2610" w:type="dxa"/>
            <w:vAlign w:val="center"/>
          </w:tcPr>
          <w:p>
            <w:pPr>
              <w:spacing w:line="600" w:lineRule="exact"/>
              <w:ind w:left="-71" w:leftChars="-34" w:firstLine="134" w:firstLineChars="42"/>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电话</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开户银行</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开户名称</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银行账号</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地址邮编</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负</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责</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人</w:t>
            </w: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 名</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联</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系</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人</w:t>
            </w: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 名</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continue"/>
            <w:vAlign w:val="center"/>
          </w:tcPr>
          <w:p>
            <w:pPr>
              <w:spacing w:line="600" w:lineRule="exact"/>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87" w:type="dxa"/>
            <w:vMerge w:val="continue"/>
            <w:vAlign w:val="center"/>
          </w:tcPr>
          <w:p>
            <w:pPr>
              <w:widowControl/>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 邮</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 邮</w:t>
            </w:r>
          </w:p>
        </w:tc>
        <w:tc>
          <w:tcPr>
            <w:tcW w:w="2791" w:type="dxa"/>
            <w:vAlign w:val="center"/>
          </w:tcPr>
          <w:p>
            <w:pPr>
              <w:spacing w:line="600" w:lineRule="exact"/>
              <w:rPr>
                <w:rFonts w:ascii="Times New Roman" w:hAnsi="Times New Roman" w:eastAsia="仿宋_GB2312" w:cs="Times New Roman"/>
                <w:bCs/>
                <w:spacing w:val="-20"/>
                <w:sz w:val="32"/>
                <w:szCs w:val="32"/>
              </w:rPr>
            </w:pPr>
          </w:p>
        </w:tc>
      </w:tr>
    </w:tbl>
    <w:p>
      <w:pPr>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7"/>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980"/>
        <w:gridCol w:w="4170"/>
        <w:gridCol w:w="32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198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eastAsia="仿宋_GB2312" w:cs="Times New Roman"/>
                <w:bCs/>
                <w:sz w:val="32"/>
                <w:szCs w:val="32"/>
              </w:rPr>
              <w:t>任务与资金</w:t>
            </w:r>
          </w:p>
        </w:tc>
        <w:tc>
          <w:tcPr>
            <w:tcW w:w="4170"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231"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46" w:hRule="atLeast"/>
          <w:jc w:val="center"/>
        </w:trPr>
        <w:tc>
          <w:tcPr>
            <w:tcW w:w="1980" w:type="dxa"/>
            <w:vMerge w:val="continue"/>
            <w:tcBorders>
              <w:left w:val="single" w:color="000000" w:sz="6" w:space="0"/>
              <w:bottom w:val="single" w:color="000000" w:sz="6" w:space="0"/>
              <w:right w:val="single" w:color="000000" w:sz="6" w:space="0"/>
            </w:tcBorders>
            <w:vAlign w:val="center"/>
          </w:tcPr>
          <w:p>
            <w:pPr>
              <w:rPr>
                <w:rFonts w:ascii="Times New Roman" w:hAnsi="Times New Roman" w:cs="Times New Roman"/>
              </w:rPr>
            </w:pPr>
          </w:p>
        </w:tc>
        <w:tc>
          <w:tcPr>
            <w:tcW w:w="4170"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方正楷体_GB2312" w:cs="Times New Roman"/>
                <w:szCs w:val="30"/>
              </w:rPr>
              <w:t>（介绍项目的目标任务、工作内容，推进措施及实施方式等。可另附页，下同。）</w:t>
            </w:r>
          </w:p>
        </w:tc>
        <w:tc>
          <w:tcPr>
            <w:tcW w:w="3231"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方正楷体_GB2312" w:cs="Times New Roman"/>
                <w:sz w:val="30"/>
                <w:szCs w:val="30"/>
              </w:rPr>
              <w:t>（</w:t>
            </w:r>
            <w:r>
              <w:rPr>
                <w:rFonts w:ascii="Times New Roman" w:hAnsi="Times New Roman" w:eastAsia="方正楷体_GB2312" w:cs="Times New Roman"/>
                <w:szCs w:val="30"/>
              </w:rPr>
              <w:t>按照工作量和支出标准形式，逐个任务做好资金测算</w:t>
            </w:r>
            <w:r>
              <w:rPr>
                <w:rFonts w:hint="eastAsia" w:ascii="Times New Roman" w:hAnsi="Times New Roman" w:eastAsia="方正楷体_GB2312" w:cs="Times New Roman"/>
                <w:szCs w:val="30"/>
              </w:rPr>
              <w:t>，下同</w:t>
            </w:r>
            <w:r>
              <w:rPr>
                <w:rFonts w:ascii="Times New Roman" w:hAnsi="Times New Roman" w:eastAsia="方正楷体_GB2312" w:cs="Times New Roman"/>
                <w:sz w:val="30"/>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工作基础及</w:t>
            </w:r>
          </w:p>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保障措施</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rPr>
            </w:pPr>
            <w:r>
              <w:rPr>
                <w:rFonts w:ascii="Times New Roman" w:hAnsi="Times New Roman" w:eastAsia="方正楷体_GB2312" w:cs="Times New Roman"/>
                <w:szCs w:val="30"/>
              </w:rPr>
              <w:t>（介绍申请本项目所具备的工作基础、制度规范，相关经验和优势资源，项目团队、智力支持、信息化设施等相关条件，推进项目顺利实施的保障性举措等。）</w:t>
            </w:r>
          </w:p>
          <w:p>
            <w:pPr>
              <w:rPr>
                <w:rFonts w:ascii="Times New Roman" w:hAnsi="Times New Roman" w:cs="Times New Roman"/>
              </w:rPr>
            </w:pPr>
          </w:p>
          <w:p>
            <w:pPr>
              <w:rPr>
                <w:rFonts w:ascii="Times New Roman" w:hAnsi="Times New Roman" w:cs="Times New Roman"/>
              </w:rPr>
            </w:pPr>
          </w:p>
          <w:p>
            <w:pPr>
              <w:spacing w:line="500" w:lineRule="exact"/>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计划进度</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cs="Times New Roman"/>
                <w:sz w:val="32"/>
                <w:szCs w:val="32"/>
              </w:rPr>
            </w:pPr>
            <w:r>
              <w:rPr>
                <w:rFonts w:ascii="Times New Roman" w:hAnsi="Times New Roman" w:eastAsia="方正楷体_GB2312" w:cs="Times New Roman"/>
                <w:sz w:val="32"/>
                <w:szCs w:val="32"/>
              </w:rPr>
              <w:t>（工作总体进度时间安排、项目各阶段工作任务与阶段性目标，确保项目按时形成成果、提交项目总结报告。）</w:t>
            </w:r>
          </w:p>
          <w:p>
            <w:pPr>
              <w:pStyle w:val="5"/>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53"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预期成果及</w:t>
            </w:r>
          </w:p>
          <w:p>
            <w:pPr>
              <w:spacing w:line="500" w:lineRule="exact"/>
              <w:jc w:val="center"/>
              <w:rPr>
                <w:rFonts w:ascii="Times New Roman" w:hAnsi="Times New Roman" w:cs="Times New Roman"/>
                <w:b/>
                <w:sz w:val="32"/>
                <w:szCs w:val="32"/>
              </w:rPr>
            </w:pPr>
            <w:r>
              <w:rPr>
                <w:rFonts w:ascii="Times New Roman" w:hAnsi="Times New Roman" w:cs="Times New Roman"/>
                <w:bCs/>
                <w:sz w:val="32"/>
                <w:szCs w:val="32"/>
              </w:rPr>
              <w:t>考核指标</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方正楷体_GB2312" w:cs="Times New Roman"/>
                <w:sz w:val="32"/>
                <w:szCs w:val="32"/>
              </w:rPr>
            </w:pPr>
            <w:r>
              <w:rPr>
                <w:rFonts w:ascii="Times New Roman" w:hAnsi="Times New Roman" w:eastAsia="方正楷体_GB2312" w:cs="Times New Roman"/>
                <w:sz w:val="32"/>
                <w:szCs w:val="32"/>
              </w:rPr>
              <w:t>（项目实施的预期成果形式、可考核指标等。）</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bl>
    <w:p>
      <w:pPr>
        <w:rPr>
          <w:rFonts w:ascii="Times New Roman" w:hAnsi="Times New Roman" w:eastAsia="黑体" w:cs="Times New Roman"/>
          <w:sz w:val="32"/>
          <w:szCs w:val="32"/>
        </w:rPr>
      </w:pPr>
    </w:p>
    <w:p>
      <w:pPr>
        <w:ind w:firstLine="320" w:firstLineChars="100"/>
        <w:rPr>
          <w:rFonts w:ascii="Times New Roman" w:hAnsi="Times New Roman" w:cs="Times New Roman"/>
          <w:sz w:val="32"/>
          <w:szCs w:val="32"/>
        </w:rPr>
      </w:pPr>
      <w:r>
        <w:rPr>
          <w:rFonts w:hint="eastAsia" w:eastAsia="黑体" w:cs="Times New Roman"/>
          <w:sz w:val="32"/>
          <w:szCs w:val="32"/>
          <w:lang w:val="en-US" w:eastAsia="zh-CN"/>
        </w:rPr>
        <w:t>三</w:t>
      </w:r>
      <w:r>
        <w:rPr>
          <w:rFonts w:ascii="Times New Roman" w:hAnsi="Times New Roman" w:eastAsia="黑体" w:cs="Times New Roman"/>
          <w:sz w:val="32"/>
          <w:szCs w:val="32"/>
        </w:rPr>
        <w:t>、项目工作团队</w:t>
      </w:r>
      <w:r>
        <w:rPr>
          <w:rFonts w:ascii="Times New Roman" w:hAnsi="Times New Roman" w:cs="Times New Roman"/>
          <w:sz w:val="32"/>
          <w:szCs w:val="32"/>
        </w:rPr>
        <w:t>（可据工作需求而增加空格）</w:t>
      </w:r>
    </w:p>
    <w:tbl>
      <w:tblPr>
        <w:tblStyle w:val="7"/>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15"/>
        <w:gridCol w:w="1035"/>
        <w:gridCol w:w="1335"/>
        <w:gridCol w:w="1064"/>
        <w:gridCol w:w="1222"/>
        <w:gridCol w:w="963"/>
        <w:gridCol w:w="1001"/>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专业</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及学历</w:t>
            </w: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left w:val="single" w:color="auto" w:sz="4" w:space="0"/>
              <w:bottom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restart"/>
            <w:tcBorders>
              <w:top w:val="single" w:color="auto" w:sz="4" w:space="0"/>
              <w:left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bl>
    <w:p>
      <w:pPr>
        <w:ind w:firstLine="320" w:firstLineChars="100"/>
        <w:rPr>
          <w:rFonts w:hint="eastAsia" w:eastAsia="黑体" w:cs="Times New Roman"/>
          <w:sz w:val="32"/>
          <w:szCs w:val="32"/>
          <w:lang w:val="en-US" w:eastAsia="zh-CN"/>
        </w:rPr>
      </w:pPr>
    </w:p>
    <w:p>
      <w:pPr>
        <w:ind w:firstLine="320" w:firstLineChars="100"/>
        <w:rPr>
          <w:rFonts w:ascii="Times New Roman" w:hAnsi="Times New Roman" w:eastAsia="黑体" w:cs="Times New Roman"/>
          <w:sz w:val="32"/>
          <w:szCs w:val="32"/>
        </w:rPr>
      </w:pPr>
      <w:r>
        <w:rPr>
          <w:rFonts w:hint="eastAsia" w:eastAsia="黑体" w:cs="Times New Roman"/>
          <w:sz w:val="32"/>
          <w:szCs w:val="32"/>
          <w:lang w:val="en-US" w:eastAsia="zh-CN"/>
        </w:rPr>
        <w:t>四</w:t>
      </w:r>
      <w:r>
        <w:rPr>
          <w:rFonts w:ascii="Times New Roman" w:hAnsi="Times New Roman" w:eastAsia="黑体" w:cs="Times New Roman"/>
          <w:sz w:val="32"/>
          <w:szCs w:val="32"/>
        </w:rPr>
        <w:t xml:space="preserve">、单位意见 </w:t>
      </w:r>
    </w:p>
    <w:tbl>
      <w:tblPr>
        <w:tblStyle w:val="7"/>
        <w:tblW w:w="9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90" w:hRule="atLeast"/>
          <w:jc w:val="center"/>
        </w:trPr>
        <w:tc>
          <w:tcPr>
            <w:tcW w:w="2096"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503"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sectPr>
      <w:pgSz w:w="11906" w:h="16838"/>
      <w:pgMar w:top="2098" w:right="1417" w:bottom="2041" w:left="1587" w:header="851" w:footer="1474" w:gutter="0"/>
      <w:cols w:space="0" w:num="1"/>
      <w:rtlGutter w:val="0"/>
      <w:docGrid w:type="lines" w:linePitch="57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2312">
    <w:altName w:val="楷体_GB2312"/>
    <w:panose1 w:val="02000000000000000000"/>
    <w:charset w:val="86"/>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F63AF6"/>
    <w:multiLevelType w:val="singleLevel"/>
    <w:tmpl w:val="76F63AF6"/>
    <w:lvl w:ilvl="0" w:tentative="0">
      <w:start w:val="1"/>
      <w:numFmt w:val="chineseCounting"/>
      <w:suff w:val="nothing"/>
      <w:lvlText w:val="%1、"/>
      <w:lvlJc w:val="left"/>
      <w:rPr>
        <w:rFonts w:hint="eastAsia"/>
      </w:rPr>
    </w:lvl>
  </w:abstractNum>
  <w:abstractNum w:abstractNumId="1">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28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502689"/>
    <w:rsid w:val="0002615D"/>
    <w:rsid w:val="018D6682"/>
    <w:rsid w:val="01DA410E"/>
    <w:rsid w:val="024D5733"/>
    <w:rsid w:val="02F25E8A"/>
    <w:rsid w:val="07FF7363"/>
    <w:rsid w:val="0ADC2D1D"/>
    <w:rsid w:val="0BCC6817"/>
    <w:rsid w:val="16BC77FC"/>
    <w:rsid w:val="17283507"/>
    <w:rsid w:val="19733CC6"/>
    <w:rsid w:val="1FA95427"/>
    <w:rsid w:val="21E6324F"/>
    <w:rsid w:val="22EB0597"/>
    <w:rsid w:val="2352228C"/>
    <w:rsid w:val="23B83857"/>
    <w:rsid w:val="26384124"/>
    <w:rsid w:val="285B7807"/>
    <w:rsid w:val="289A2F91"/>
    <w:rsid w:val="2C2A35BF"/>
    <w:rsid w:val="2C940406"/>
    <w:rsid w:val="2E9A6937"/>
    <w:rsid w:val="33AF53F3"/>
    <w:rsid w:val="35502689"/>
    <w:rsid w:val="392E5BF4"/>
    <w:rsid w:val="3C711BAD"/>
    <w:rsid w:val="3D795CC3"/>
    <w:rsid w:val="3DCC5B60"/>
    <w:rsid w:val="3E452F41"/>
    <w:rsid w:val="437113E9"/>
    <w:rsid w:val="475D269E"/>
    <w:rsid w:val="4C431497"/>
    <w:rsid w:val="4F657F06"/>
    <w:rsid w:val="6DE82A34"/>
    <w:rsid w:val="714C00D8"/>
    <w:rsid w:val="747D048C"/>
    <w:rsid w:val="75D41732"/>
    <w:rsid w:val="77DE7C76"/>
    <w:rsid w:val="78E539A1"/>
    <w:rsid w:val="7A10418C"/>
    <w:rsid w:val="7A9543BD"/>
    <w:rsid w:val="7AB23290"/>
    <w:rsid w:val="7E5D6E0F"/>
    <w:rsid w:val="7F186FFD"/>
    <w:rsid w:val="7FA615E8"/>
    <w:rsid w:val="7FB34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jc w:val="left"/>
    </w:pPr>
    <w:rPr>
      <w:sz w:val="18"/>
    </w:rPr>
  </w:style>
  <w:style w:type="paragraph" w:styleId="5">
    <w:name w:val="toc 2"/>
    <w:basedOn w:val="1"/>
    <w:next w:val="1"/>
    <w:qFormat/>
    <w:uiPriority w:val="0"/>
    <w:pPr>
      <w:ind w:firstLine="630"/>
    </w:pPr>
    <w:rPr>
      <w:rFonts w:ascii="黑体" w:hAnsi="黑体" w:eastAsia="黑体"/>
    </w:rPr>
  </w:style>
  <w:style w:type="paragraph" w:styleId="6">
    <w:name w:val="Normal (Web)"/>
    <w:basedOn w:val="1"/>
    <w:qFormat/>
    <w:uiPriority w:val="0"/>
    <w:pPr>
      <w:spacing w:beforeAutospacing="1" w:afterAutospacing="1"/>
      <w:jc w:val="left"/>
    </w:pPr>
    <w:rPr>
      <w:rFonts w:ascii="Times New Roman" w:hAnsi="Times New Roman" w:eastAsia="仿宋_GB2312" w:cs="Times New Roman"/>
      <w:kern w:val="0"/>
      <w:sz w:val="24"/>
    </w:rPr>
  </w:style>
  <w:style w:type="paragraph" w:customStyle="1" w:styleId="9">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0">
    <w:name w:val="正文 New New"/>
    <w:qFormat/>
    <w:uiPriority w:val="0"/>
    <w:pPr>
      <w:widowControl w:val="0"/>
      <w:jc w:val="both"/>
    </w:pPr>
    <w:rPr>
      <w:rFonts w:ascii="Times New Roman" w:hAnsi="Times New Roman" w:eastAsia="宋体" w:cs="Times New Roman"/>
      <w:kern w:val="2"/>
      <w:sz w:val="21"/>
      <w:lang w:val="en-US" w:eastAsia="zh-CN"/>
    </w:rPr>
  </w:style>
  <w:style w:type="paragraph" w:customStyle="1" w:styleId="11">
    <w:name w:val="Normal"/>
    <w:next w:val="12"/>
    <w:qFormat/>
    <w:uiPriority w:val="0"/>
    <w:pPr>
      <w:widowControl w:val="0"/>
      <w:jc w:val="both"/>
    </w:pPr>
    <w:rPr>
      <w:rFonts w:hint="eastAsia" w:ascii="Calibri" w:hAnsi="Calibri" w:eastAsia="仿宋_GB2312" w:cs="黑体"/>
      <w:kern w:val="2"/>
      <w:sz w:val="32"/>
      <w:lang w:val="en-US" w:eastAsia="zh-CN"/>
    </w:rPr>
  </w:style>
  <w:style w:type="paragraph" w:customStyle="1" w:styleId="12">
    <w:name w:val="heading 1"/>
    <w:basedOn w:val="11"/>
    <w:next w:val="11"/>
    <w:qFormat/>
    <w:uiPriority w:val="0"/>
    <w:pPr>
      <w:keepNext/>
      <w:keepLines/>
      <w:spacing w:before="340" w:beforeLines="0" w:after="330" w:afterLines="0" w:line="578" w:lineRule="auto"/>
      <w:outlineLvl w:val="0"/>
    </w:pPr>
    <w:rPr>
      <w:rFonts w:hint="default" w:ascii="Times New Roman" w:eastAsia="仿宋_GB2312"/>
      <w:b/>
      <w:kern w:val="44"/>
      <w:sz w:val="44"/>
    </w:rPr>
  </w:style>
  <w:style w:type="character" w:customStyle="1" w:styleId="13">
    <w:name w:val="font61"/>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省工商行政管理局</Company>
  <Pages>1</Pages>
  <Words>0</Words>
  <Characters>0</Characters>
  <Lines>0</Lines>
  <Paragraphs>0</Paragraphs>
  <TotalTime>7</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2022-02-09T04:33:00Z</dcterms:created>
  <dc:creator>蔡美华</dc:creator>
  <cp:lastModifiedBy>杨志鹏</cp:lastModifiedBy>
  <dcterms:modified xsi:type="dcterms:W3CDTF">2026-08-10T09:12:32Z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ribbonExt">
    <vt:lpwstr>{"WPSExtOfficeTab":{"OnGetEnabled":false,"OnGetVisible":false}}</vt:lpwstr>
  </property>
  <property fmtid="{D5CDD505-2E9C-101B-9397-08002B2CF9AE}" pid="4" name="ICV">
    <vt:lpwstr>CEE159F76E4B46D89E37A9E535D3D135</vt:lpwstr>
  </property>
</Properties>
</file>