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sz w:val="28"/>
          <w:szCs w:val="28"/>
        </w:rPr>
      </w:pPr>
      <w:bookmarkStart w:id="2" w:name="_GoBack"/>
      <w:bookmarkEnd w:id="2"/>
      <w:r>
        <w:rPr>
          <w:rFonts w:hint="eastAsia"/>
          <w:sz w:val="28"/>
          <w:szCs w:val="28"/>
        </w:rPr>
        <w:t>韶关市社会组织参与消除艾滋病、梅毒和乙肝母婴传播</w:t>
      </w:r>
    </w:p>
    <w:p>
      <w:pPr>
        <w:numPr>
          <w:ilvl w:val="0"/>
          <w:numId w:val="0"/>
        </w:numPr>
        <w:jc w:val="center"/>
        <w:rPr>
          <w:rFonts w:hint="default" w:eastAsiaTheme="minorEastAsia"/>
          <w:sz w:val="28"/>
          <w:szCs w:val="28"/>
          <w:lang w:val="en-US" w:eastAsia="zh-CN"/>
        </w:rPr>
      </w:pPr>
      <w:r>
        <w:rPr>
          <w:rFonts w:hint="eastAsia"/>
          <w:sz w:val="28"/>
          <w:szCs w:val="28"/>
        </w:rPr>
        <w:t>项目服务采购</w:t>
      </w:r>
      <w:r>
        <w:rPr>
          <w:rFonts w:hint="eastAsia"/>
          <w:sz w:val="28"/>
          <w:szCs w:val="28"/>
          <w:lang w:val="en-US" w:eastAsia="zh-CN"/>
        </w:rPr>
        <w:t>项目需求</w:t>
      </w:r>
    </w:p>
    <w:p>
      <w:pPr>
        <w:spacing w:line="360" w:lineRule="auto"/>
        <w:jc w:val="center"/>
        <w:rPr>
          <w:rFonts w:hint="eastAsia"/>
          <w:b/>
          <w:bCs/>
        </w:rPr>
      </w:pPr>
    </w:p>
    <w:p>
      <w:pPr>
        <w:spacing w:line="360" w:lineRule="auto"/>
        <w:rPr>
          <w:rFonts w:hint="eastAsia"/>
          <w:b/>
          <w:bCs/>
          <w:sz w:val="28"/>
          <w:szCs w:val="28"/>
        </w:rPr>
      </w:pPr>
      <w:r>
        <w:rPr>
          <w:rFonts w:hint="eastAsia"/>
          <w:b/>
          <w:bCs/>
          <w:sz w:val="28"/>
          <w:szCs w:val="28"/>
        </w:rPr>
        <w:t>1. 项目概述</w:t>
      </w:r>
    </w:p>
    <w:p>
      <w:pPr>
        <w:spacing w:line="360" w:lineRule="auto"/>
        <w:ind w:left="0" w:leftChars="0" w:firstLine="480" w:firstLineChars="200"/>
        <w:rPr>
          <w:rFonts w:hint="eastAsia"/>
          <w:sz w:val="24"/>
          <w:szCs w:val="24"/>
        </w:rPr>
      </w:pPr>
      <w:r>
        <w:rPr>
          <w:rFonts w:hint="eastAsia"/>
          <w:sz w:val="24"/>
          <w:szCs w:val="24"/>
        </w:rPr>
        <w:t>1.1 项目背景</w:t>
      </w:r>
    </w:p>
    <w:p>
      <w:pPr>
        <w:spacing w:line="360" w:lineRule="auto"/>
        <w:ind w:left="0" w:leftChars="0" w:firstLine="480" w:firstLineChars="200"/>
        <w:rPr>
          <w:rFonts w:hint="eastAsia"/>
          <w:sz w:val="24"/>
          <w:szCs w:val="24"/>
        </w:rPr>
      </w:pPr>
      <w:r>
        <w:rPr>
          <w:rFonts w:hint="eastAsia"/>
          <w:sz w:val="24"/>
          <w:szCs w:val="24"/>
        </w:rPr>
        <w:t>消除艾滋病、梅毒和乙肝母婴传播是我国公共卫生领域的重大战略任务。韶关市妇幼保健院作为市级项目管理单位，负责统筹全市消除母婴传播工作的组织实施。为充分发挥社会组织在公共卫生服务中的补充作用，引入一家具备专业能力的社会组织，充分发挥社会组织贴近群众、人文关怀突出的优势，保障全市母婴阻断核心随访指标达标。</w:t>
      </w:r>
    </w:p>
    <w:p>
      <w:pPr>
        <w:spacing w:line="360" w:lineRule="auto"/>
        <w:ind w:left="0" w:leftChars="0" w:firstLine="480" w:firstLineChars="200"/>
        <w:rPr>
          <w:rFonts w:hint="eastAsia"/>
          <w:sz w:val="24"/>
          <w:szCs w:val="24"/>
        </w:rPr>
      </w:pPr>
      <w:r>
        <w:rPr>
          <w:rFonts w:hint="eastAsia"/>
          <w:sz w:val="24"/>
          <w:szCs w:val="24"/>
        </w:rPr>
        <w:t>1.2 年度服务基数（2025 年全市统计数据）</w:t>
      </w:r>
    </w:p>
    <w:tbl>
      <w:tblPr>
        <w:tblStyle w:val="3"/>
        <w:tblW w:w="8528" w:type="dxa"/>
        <w:jc w:val="center"/>
        <w:tblLayout w:type="fixed"/>
        <w:tblCellMar>
          <w:top w:w="0" w:type="dxa"/>
          <w:left w:w="108" w:type="dxa"/>
          <w:bottom w:w="0" w:type="dxa"/>
          <w:right w:w="108" w:type="dxa"/>
        </w:tblCellMar>
      </w:tblPr>
      <w:tblGrid>
        <w:gridCol w:w="1687"/>
        <w:gridCol w:w="2102"/>
        <w:gridCol w:w="2271"/>
        <w:gridCol w:w="2468"/>
      </w:tblGrid>
      <w:tr>
        <w:tblPrEx>
          <w:tblCellMar>
            <w:top w:w="0" w:type="dxa"/>
            <w:left w:w="108" w:type="dxa"/>
            <w:bottom w:w="0" w:type="dxa"/>
            <w:right w:w="108" w:type="dxa"/>
          </w:tblCellMar>
        </w:tblPrEx>
        <w:trPr>
          <w:tblHeader/>
          <w:jc w:val="center"/>
        </w:trPr>
        <w:tc>
          <w:tcPr>
            <w:tcW w:w="1687" w:type="dxa"/>
            <w:tcBorders>
              <w:top w:val="single" w:color="000000" w:sz="4" w:space="0"/>
              <w:left w:val="single" w:color="000000" w:sz="4" w:space="0"/>
              <w:bottom w:val="single" w:color="000000" w:sz="4" w:space="0"/>
              <w:right w:val="single" w:color="000000" w:sz="4" w:space="0"/>
            </w:tcBorders>
            <w:vAlign w:val="center"/>
          </w:tcPr>
          <w:p>
            <w:pPr>
              <w:pStyle w:val="7"/>
              <w:snapToGrid w:val="0"/>
              <w:spacing w:line="240" w:lineRule="auto"/>
              <w:jc w:val="center"/>
              <w:outlineLvl w:val="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科室</w:t>
            </w:r>
          </w:p>
        </w:tc>
        <w:tc>
          <w:tcPr>
            <w:tcW w:w="2102" w:type="dxa"/>
            <w:tcBorders>
              <w:top w:val="single" w:color="000000" w:sz="4" w:space="0"/>
              <w:left w:val="single" w:color="000000" w:sz="4" w:space="0"/>
              <w:bottom w:val="single" w:color="000000" w:sz="4" w:space="0"/>
              <w:right w:val="single" w:color="000000" w:sz="4" w:space="0"/>
            </w:tcBorders>
            <w:vAlign w:val="center"/>
          </w:tcPr>
          <w:p>
            <w:pPr>
              <w:pStyle w:val="7"/>
              <w:snapToGrid w:val="0"/>
              <w:spacing w:line="240" w:lineRule="auto"/>
              <w:jc w:val="center"/>
              <w:outlineLvl w:val="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全市</w:t>
            </w:r>
            <w:r>
              <w:rPr>
                <w:rFonts w:hint="eastAsia" w:asciiTheme="minorEastAsia" w:hAnsiTheme="minorEastAsia" w:eastAsiaTheme="minorEastAsia" w:cstheme="minorEastAsia"/>
                <w:b/>
                <w:bCs/>
                <w:sz w:val="24"/>
                <w:szCs w:val="24"/>
                <w:lang w:val="en-US" w:eastAsia="zh-CN"/>
              </w:rPr>
              <w:t>HIV</w:t>
            </w:r>
            <w:r>
              <w:rPr>
                <w:rFonts w:hint="eastAsia" w:asciiTheme="minorEastAsia" w:hAnsiTheme="minorEastAsia" w:eastAsiaTheme="minorEastAsia" w:cstheme="minorEastAsia"/>
                <w:b/>
                <w:bCs/>
                <w:sz w:val="24"/>
                <w:szCs w:val="24"/>
              </w:rPr>
              <w:t>感染孕产妇所生儿童/年</w:t>
            </w:r>
          </w:p>
          <w:p>
            <w:pPr>
              <w:pStyle w:val="7"/>
              <w:snapToGrid w:val="0"/>
              <w:spacing w:line="240" w:lineRule="auto"/>
              <w:ind w:left="0" w:leftChars="0" w:firstLine="482" w:firstLineChars="200"/>
              <w:jc w:val="both"/>
              <w:outlineLvl w:val="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（2025年）</w:t>
            </w:r>
          </w:p>
        </w:tc>
        <w:tc>
          <w:tcPr>
            <w:tcW w:w="2271" w:type="dxa"/>
            <w:tcBorders>
              <w:top w:val="single" w:color="000000" w:sz="4" w:space="0"/>
              <w:left w:val="single" w:color="000000" w:sz="4" w:space="0"/>
              <w:bottom w:val="single" w:color="000000" w:sz="4" w:space="0"/>
              <w:right w:val="single" w:color="000000" w:sz="4" w:space="0"/>
            </w:tcBorders>
            <w:vAlign w:val="center"/>
          </w:tcPr>
          <w:p>
            <w:pPr>
              <w:pStyle w:val="7"/>
              <w:snapToGrid w:val="0"/>
              <w:spacing w:line="240" w:lineRule="auto"/>
              <w:jc w:val="center"/>
              <w:outlineLvl w:val="0"/>
              <w:rPr>
                <w:rFonts w:asciiTheme="minorEastAsia" w:hAnsiTheme="minorEastAsia" w:eastAsiaTheme="minorEastAsia" w:cstheme="minorEastAsia"/>
                <w:b/>
                <w:bCs/>
                <w:sz w:val="24"/>
                <w:szCs w:val="24"/>
              </w:rPr>
            </w:pPr>
            <w:bookmarkStart w:id="0" w:name="OLE_LINK1"/>
            <w:r>
              <w:rPr>
                <w:rFonts w:hint="eastAsia" w:asciiTheme="minorEastAsia" w:hAnsiTheme="minorEastAsia" w:eastAsiaTheme="minorEastAsia" w:cstheme="minorEastAsia"/>
                <w:b/>
                <w:bCs/>
                <w:sz w:val="24"/>
                <w:szCs w:val="24"/>
              </w:rPr>
              <w:t>全市梅</w:t>
            </w:r>
            <w:r>
              <w:rPr>
                <w:rFonts w:hint="eastAsia" w:asciiTheme="minorEastAsia" w:hAnsiTheme="minorEastAsia" w:eastAsiaTheme="minorEastAsia" w:cstheme="minorEastAsia"/>
                <w:b/>
                <w:bCs/>
                <w:sz w:val="24"/>
                <w:szCs w:val="24"/>
                <w:lang w:val="en-US" w:eastAsia="zh-CN"/>
              </w:rPr>
              <w:t>毒</w:t>
            </w:r>
            <w:r>
              <w:rPr>
                <w:rFonts w:hint="eastAsia" w:asciiTheme="minorEastAsia" w:hAnsiTheme="minorEastAsia" w:eastAsiaTheme="minorEastAsia" w:cstheme="minorEastAsia"/>
                <w:b/>
                <w:bCs/>
                <w:sz w:val="24"/>
                <w:szCs w:val="24"/>
              </w:rPr>
              <w:t>感染孕产妇所生儿童/年</w:t>
            </w:r>
          </w:p>
          <w:bookmarkEnd w:id="0"/>
          <w:p>
            <w:pPr>
              <w:pStyle w:val="7"/>
              <w:snapToGrid w:val="0"/>
              <w:spacing w:line="240" w:lineRule="auto"/>
              <w:ind w:left="0" w:leftChars="0" w:firstLine="482" w:firstLineChars="200"/>
              <w:jc w:val="both"/>
              <w:outlineLvl w:val="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（2025年）</w:t>
            </w:r>
          </w:p>
        </w:tc>
        <w:tc>
          <w:tcPr>
            <w:tcW w:w="2468" w:type="dxa"/>
            <w:tcBorders>
              <w:top w:val="single" w:color="000000" w:sz="4" w:space="0"/>
              <w:left w:val="single" w:color="000000" w:sz="4" w:space="0"/>
              <w:bottom w:val="single" w:color="000000" w:sz="4" w:space="0"/>
              <w:right w:val="single" w:color="000000" w:sz="4" w:space="0"/>
            </w:tcBorders>
            <w:vAlign w:val="center"/>
          </w:tcPr>
          <w:p>
            <w:pPr>
              <w:pStyle w:val="7"/>
              <w:snapToGrid w:val="0"/>
              <w:spacing w:line="240" w:lineRule="auto"/>
              <w:jc w:val="center"/>
              <w:outlineLvl w:val="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全市乙</w:t>
            </w:r>
            <w:r>
              <w:rPr>
                <w:rFonts w:hint="eastAsia" w:asciiTheme="minorEastAsia" w:hAnsiTheme="minorEastAsia" w:eastAsiaTheme="minorEastAsia" w:cstheme="minorEastAsia"/>
                <w:b/>
                <w:bCs/>
                <w:sz w:val="24"/>
                <w:szCs w:val="24"/>
                <w:lang w:val="en-US" w:eastAsia="zh-CN"/>
              </w:rPr>
              <w:t>肝</w:t>
            </w:r>
            <w:r>
              <w:rPr>
                <w:rFonts w:hint="eastAsia" w:asciiTheme="minorEastAsia" w:hAnsiTheme="minorEastAsia" w:eastAsiaTheme="minorEastAsia" w:cstheme="minorEastAsia"/>
                <w:b/>
                <w:bCs/>
                <w:sz w:val="24"/>
                <w:szCs w:val="24"/>
              </w:rPr>
              <w:t>感染孕产妇所生儿童/年</w:t>
            </w:r>
          </w:p>
          <w:p>
            <w:pPr>
              <w:pStyle w:val="7"/>
              <w:snapToGrid w:val="0"/>
              <w:spacing w:line="240" w:lineRule="auto"/>
              <w:ind w:left="0" w:leftChars="0" w:firstLine="482" w:firstLineChars="200"/>
              <w:jc w:val="both"/>
              <w:outlineLvl w:val="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（2025年）</w:t>
            </w:r>
          </w:p>
        </w:tc>
      </w:tr>
      <w:tr>
        <w:tblPrEx>
          <w:tblCellMar>
            <w:top w:w="0" w:type="dxa"/>
            <w:left w:w="108" w:type="dxa"/>
            <w:bottom w:w="0" w:type="dxa"/>
            <w:right w:w="108" w:type="dxa"/>
          </w:tblCellMar>
        </w:tblPrEx>
        <w:trPr>
          <w:trHeight w:val="551" w:hRule="atLeast"/>
          <w:jc w:val="center"/>
        </w:trPr>
        <w:tc>
          <w:tcPr>
            <w:tcW w:w="1687" w:type="dxa"/>
            <w:tcBorders>
              <w:top w:val="single" w:color="000000" w:sz="4" w:space="0"/>
              <w:left w:val="single" w:color="000000" w:sz="4" w:space="0"/>
              <w:bottom w:val="single" w:color="000000" w:sz="4" w:space="0"/>
              <w:right w:val="single" w:color="000000" w:sz="4" w:space="0"/>
            </w:tcBorders>
            <w:vAlign w:val="center"/>
          </w:tcPr>
          <w:p>
            <w:pPr>
              <w:pStyle w:val="7"/>
              <w:snapToGrid w:val="0"/>
              <w:spacing w:line="240" w:lineRule="auto"/>
              <w:jc w:val="center"/>
              <w:outlineLvl w:val="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孕产群体保健科</w:t>
            </w:r>
          </w:p>
        </w:tc>
        <w:tc>
          <w:tcPr>
            <w:tcW w:w="2102" w:type="dxa"/>
            <w:tcBorders>
              <w:top w:val="single" w:color="000000" w:sz="4" w:space="0"/>
              <w:left w:val="single" w:color="000000" w:sz="4" w:space="0"/>
              <w:bottom w:val="single" w:color="000000" w:sz="4" w:space="0"/>
              <w:right w:val="single" w:color="000000" w:sz="4" w:space="0"/>
            </w:tcBorders>
            <w:vAlign w:val="center"/>
          </w:tcPr>
          <w:p>
            <w:pPr>
              <w:pStyle w:val="7"/>
              <w:snapToGrid w:val="0"/>
              <w:spacing w:line="240" w:lineRule="auto"/>
              <w:jc w:val="center"/>
              <w:outlineLvl w:val="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人</w:t>
            </w:r>
          </w:p>
        </w:tc>
        <w:tc>
          <w:tcPr>
            <w:tcW w:w="2271" w:type="dxa"/>
            <w:tcBorders>
              <w:top w:val="single" w:color="000000" w:sz="4" w:space="0"/>
              <w:left w:val="single" w:color="000000" w:sz="4" w:space="0"/>
              <w:bottom w:val="single" w:color="000000" w:sz="4" w:space="0"/>
              <w:right w:val="single" w:color="000000" w:sz="4" w:space="0"/>
            </w:tcBorders>
            <w:vAlign w:val="center"/>
          </w:tcPr>
          <w:p>
            <w:pPr>
              <w:pStyle w:val="7"/>
              <w:snapToGrid w:val="0"/>
              <w:spacing w:line="240" w:lineRule="auto"/>
              <w:jc w:val="center"/>
              <w:outlineLvl w:val="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67</w:t>
            </w:r>
            <w:r>
              <w:rPr>
                <w:rFonts w:hint="eastAsia" w:asciiTheme="minorEastAsia" w:hAnsiTheme="minorEastAsia" w:eastAsiaTheme="minorEastAsia" w:cstheme="minorEastAsia"/>
                <w:sz w:val="24"/>
                <w:szCs w:val="24"/>
              </w:rPr>
              <w:t>人</w:t>
            </w:r>
          </w:p>
        </w:tc>
        <w:tc>
          <w:tcPr>
            <w:tcW w:w="2468" w:type="dxa"/>
            <w:tcBorders>
              <w:top w:val="single" w:color="000000" w:sz="4" w:space="0"/>
              <w:left w:val="single" w:color="000000" w:sz="4" w:space="0"/>
              <w:bottom w:val="single" w:color="000000" w:sz="4" w:space="0"/>
              <w:right w:val="single" w:color="000000" w:sz="4" w:space="0"/>
            </w:tcBorders>
            <w:vAlign w:val="center"/>
          </w:tcPr>
          <w:p>
            <w:pPr>
              <w:pStyle w:val="7"/>
              <w:snapToGrid w:val="0"/>
              <w:spacing w:line="240" w:lineRule="auto"/>
              <w:jc w:val="center"/>
              <w:outlineLvl w:val="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375</w:t>
            </w:r>
            <w:r>
              <w:rPr>
                <w:rFonts w:hint="eastAsia" w:asciiTheme="minorEastAsia" w:hAnsiTheme="minorEastAsia" w:eastAsiaTheme="minorEastAsia" w:cstheme="minorEastAsia"/>
                <w:sz w:val="24"/>
                <w:szCs w:val="24"/>
              </w:rPr>
              <w:t>人</w:t>
            </w:r>
          </w:p>
        </w:tc>
      </w:tr>
    </w:tbl>
    <w:p>
      <w:pPr>
        <w:spacing w:line="360" w:lineRule="auto"/>
        <w:rPr>
          <w:rFonts w:hint="eastAsia"/>
        </w:rPr>
      </w:pPr>
    </w:p>
    <w:p>
      <w:pPr>
        <w:spacing w:line="360" w:lineRule="auto"/>
        <w:rPr>
          <w:rFonts w:hint="eastAsia"/>
          <w:b/>
          <w:bCs/>
          <w:sz w:val="28"/>
          <w:szCs w:val="28"/>
        </w:rPr>
      </w:pPr>
      <w:r>
        <w:rPr>
          <w:rFonts w:hint="eastAsia"/>
          <w:b/>
          <w:bCs/>
          <w:sz w:val="28"/>
          <w:szCs w:val="28"/>
          <w:lang w:val="en-US" w:eastAsia="zh-CN"/>
        </w:rPr>
        <w:t>2.</w:t>
      </w:r>
      <w:r>
        <w:rPr>
          <w:rFonts w:hint="eastAsia"/>
          <w:b/>
          <w:bCs/>
          <w:sz w:val="28"/>
          <w:szCs w:val="28"/>
        </w:rPr>
        <w:t>项目实施目标</w:t>
      </w:r>
    </w:p>
    <w:p>
      <w:pPr>
        <w:spacing w:line="360" w:lineRule="auto"/>
        <w:ind w:left="0" w:leftChars="0" w:firstLine="480" w:firstLineChars="200"/>
        <w:rPr>
          <w:rFonts w:hint="eastAsia"/>
          <w:sz w:val="24"/>
          <w:szCs w:val="24"/>
        </w:rPr>
      </w:pPr>
      <w:r>
        <w:rPr>
          <w:rFonts w:hint="eastAsia"/>
          <w:sz w:val="24"/>
          <w:szCs w:val="24"/>
        </w:rPr>
        <w:t>通过引入专业社会组织，实现以下目标：</w:t>
      </w:r>
    </w:p>
    <w:p>
      <w:pPr>
        <w:spacing w:line="360" w:lineRule="auto"/>
        <w:ind w:left="0" w:leftChars="0" w:firstLine="480" w:firstLineChars="200"/>
        <w:rPr>
          <w:rFonts w:hint="eastAsia"/>
          <w:sz w:val="24"/>
          <w:szCs w:val="24"/>
        </w:rPr>
      </w:pPr>
      <w:r>
        <w:rPr>
          <w:rFonts w:hint="eastAsia"/>
          <w:sz w:val="24"/>
          <w:szCs w:val="24"/>
          <w:lang w:val="en-US" w:eastAsia="zh-CN"/>
        </w:rPr>
        <w:t>1.</w:t>
      </w:r>
      <w:r>
        <w:rPr>
          <w:rFonts w:hint="eastAsia"/>
          <w:sz w:val="24"/>
          <w:szCs w:val="24"/>
        </w:rPr>
        <w:t>为全</w:t>
      </w:r>
      <w:r>
        <w:rPr>
          <w:rFonts w:hint="eastAsia"/>
          <w:sz w:val="24"/>
          <w:szCs w:val="24"/>
          <w:lang w:val="en-US" w:eastAsia="zh-CN"/>
        </w:rPr>
        <w:t>市</w:t>
      </w:r>
      <w:r>
        <w:rPr>
          <w:rFonts w:hint="eastAsia"/>
          <w:sz w:val="24"/>
          <w:szCs w:val="24"/>
        </w:rPr>
        <w:t>感染艾滋病、梅毒、乙肝的孕产妇及特殊儿童提供专业化的社会支持服务，提升患</w:t>
      </w:r>
      <w:r>
        <w:rPr>
          <w:rFonts w:hint="eastAsia"/>
          <w:sz w:val="24"/>
          <w:szCs w:val="24"/>
          <w:lang w:val="en-US" w:eastAsia="zh-CN"/>
        </w:rPr>
        <w:t>者</w:t>
      </w:r>
      <w:r>
        <w:rPr>
          <w:rFonts w:hint="eastAsia"/>
          <w:sz w:val="24"/>
          <w:szCs w:val="24"/>
        </w:rPr>
        <w:t>治疗</w:t>
      </w:r>
      <w:r>
        <w:rPr>
          <w:rFonts w:hint="eastAsia"/>
          <w:sz w:val="24"/>
          <w:szCs w:val="24"/>
          <w:lang w:eastAsia="zh-CN"/>
        </w:rPr>
        <w:t>、</w:t>
      </w:r>
      <w:r>
        <w:rPr>
          <w:rFonts w:hint="eastAsia"/>
          <w:sz w:val="24"/>
          <w:szCs w:val="24"/>
          <w:lang w:val="en-US" w:eastAsia="zh-CN"/>
        </w:rPr>
        <w:t>随访</w:t>
      </w:r>
      <w:r>
        <w:rPr>
          <w:rFonts w:hint="eastAsia"/>
          <w:sz w:val="24"/>
          <w:szCs w:val="24"/>
        </w:rPr>
        <w:t>依从性。</w:t>
      </w:r>
    </w:p>
    <w:p>
      <w:pPr>
        <w:spacing w:line="360" w:lineRule="auto"/>
        <w:ind w:left="0" w:leftChars="0" w:firstLine="480" w:firstLineChars="200"/>
        <w:rPr>
          <w:rFonts w:hint="eastAsia"/>
          <w:sz w:val="24"/>
          <w:szCs w:val="24"/>
        </w:rPr>
      </w:pPr>
      <w:r>
        <w:rPr>
          <w:rFonts w:hint="eastAsia"/>
          <w:sz w:val="24"/>
          <w:szCs w:val="24"/>
          <w:lang w:val="en-US" w:eastAsia="zh-CN"/>
        </w:rPr>
        <w:t>2.</w:t>
      </w:r>
      <w:r>
        <w:rPr>
          <w:rFonts w:hint="eastAsia"/>
          <w:sz w:val="24"/>
          <w:szCs w:val="24"/>
        </w:rPr>
        <w:t>常态化开展艾滋病、梅毒、乙肝防控科普宣传教育，普及疾病预防、诊疗及母婴阻断相关知识，提升群众健康素养和自我管理能力，引导人群主动参与筛查与干预。</w:t>
      </w:r>
    </w:p>
    <w:p>
      <w:pPr>
        <w:spacing w:line="360" w:lineRule="auto"/>
        <w:rPr>
          <w:rFonts w:hint="eastAsia"/>
          <w:b/>
          <w:bCs/>
          <w:sz w:val="28"/>
          <w:szCs w:val="28"/>
        </w:rPr>
      </w:pPr>
      <w:r>
        <w:rPr>
          <w:rFonts w:hint="eastAsia"/>
          <w:b/>
          <w:bCs/>
          <w:sz w:val="28"/>
          <w:szCs w:val="28"/>
          <w:lang w:val="en-US" w:eastAsia="zh-CN"/>
        </w:rPr>
        <w:t>3</w:t>
      </w:r>
      <w:r>
        <w:rPr>
          <w:rFonts w:hint="eastAsia"/>
          <w:b/>
          <w:bCs/>
          <w:sz w:val="28"/>
          <w:szCs w:val="28"/>
        </w:rPr>
        <w:t>. 采购预算</w:t>
      </w:r>
    </w:p>
    <w:p>
      <w:pPr>
        <w:spacing w:line="360" w:lineRule="auto"/>
        <w:ind w:left="0" w:leftChars="0" w:firstLine="480" w:firstLineChars="200"/>
        <w:rPr>
          <w:rFonts w:hint="eastAsia"/>
          <w:sz w:val="24"/>
          <w:szCs w:val="24"/>
        </w:rPr>
      </w:pPr>
      <w:r>
        <w:rPr>
          <w:rFonts w:hint="eastAsia"/>
          <w:sz w:val="24"/>
          <w:szCs w:val="24"/>
        </w:rPr>
        <w:t xml:space="preserve">年度项目总预算最高限价人民币 </w:t>
      </w:r>
      <w:r>
        <w:rPr>
          <w:rFonts w:hint="eastAsia"/>
          <w:sz w:val="24"/>
          <w:szCs w:val="24"/>
          <w:lang w:val="en-US" w:eastAsia="zh-CN"/>
        </w:rPr>
        <w:t>9</w:t>
      </w:r>
      <w:r>
        <w:rPr>
          <w:rFonts w:hint="eastAsia"/>
          <w:sz w:val="24"/>
          <w:szCs w:val="24"/>
        </w:rPr>
        <w:t>0000 元（</w:t>
      </w:r>
      <w:r>
        <w:rPr>
          <w:rFonts w:hint="eastAsia"/>
          <w:sz w:val="24"/>
          <w:szCs w:val="24"/>
          <w:lang w:val="en-US" w:eastAsia="zh-CN"/>
        </w:rPr>
        <w:t>玖</w:t>
      </w:r>
      <w:r>
        <w:rPr>
          <w:rFonts w:hint="eastAsia"/>
          <w:sz w:val="24"/>
          <w:szCs w:val="24"/>
        </w:rPr>
        <w:t xml:space="preserve">万元整），采用总价包干模式。投标报价超过 </w:t>
      </w:r>
      <w:r>
        <w:rPr>
          <w:rFonts w:hint="eastAsia"/>
          <w:sz w:val="24"/>
          <w:szCs w:val="24"/>
          <w:lang w:val="en-US" w:eastAsia="zh-CN"/>
        </w:rPr>
        <w:t>9</w:t>
      </w:r>
      <w:r>
        <w:rPr>
          <w:rFonts w:hint="eastAsia"/>
          <w:sz w:val="24"/>
          <w:szCs w:val="24"/>
        </w:rPr>
        <w:t>0000 元视为无效投标。</w:t>
      </w:r>
    </w:p>
    <w:p>
      <w:pPr>
        <w:spacing w:line="360" w:lineRule="auto"/>
        <w:ind w:left="0" w:leftChars="0" w:firstLine="480" w:firstLineChars="200"/>
        <w:rPr>
          <w:rFonts w:hint="eastAsia"/>
          <w:sz w:val="24"/>
          <w:szCs w:val="24"/>
        </w:rPr>
      </w:pPr>
      <w:r>
        <w:rPr>
          <w:rFonts w:hint="eastAsia"/>
          <w:sz w:val="24"/>
          <w:szCs w:val="24"/>
        </w:rPr>
        <w:t>包干范围：包含专职人员薪酬社保、差旅费、培训费、管理费、税费</w:t>
      </w:r>
      <w:r>
        <w:rPr>
          <w:rFonts w:hint="eastAsia"/>
          <w:sz w:val="24"/>
          <w:szCs w:val="24"/>
          <w:lang w:eastAsia="zh-CN"/>
        </w:rPr>
        <w:t>、</w:t>
      </w:r>
      <w:r>
        <w:rPr>
          <w:rFonts w:hint="eastAsia"/>
          <w:sz w:val="24"/>
          <w:szCs w:val="24"/>
        </w:rPr>
        <w:t>不可预见杂费等一切费用</w:t>
      </w:r>
      <w:r>
        <w:rPr>
          <w:rFonts w:hint="eastAsia"/>
          <w:sz w:val="24"/>
          <w:szCs w:val="24"/>
          <w:lang w:eastAsia="zh-CN"/>
        </w:rPr>
        <w:t>，</w:t>
      </w:r>
      <w:r>
        <w:rPr>
          <w:rFonts w:hint="eastAsia"/>
          <w:sz w:val="24"/>
          <w:szCs w:val="24"/>
        </w:rPr>
        <w:t>甲方不再额外支付任何费用；</w:t>
      </w:r>
    </w:p>
    <w:p>
      <w:pPr>
        <w:spacing w:line="360" w:lineRule="auto"/>
        <w:ind w:left="0" w:leftChars="0" w:firstLine="480" w:firstLineChars="200"/>
        <w:rPr>
          <w:rFonts w:hint="eastAsia"/>
          <w:sz w:val="24"/>
          <w:szCs w:val="24"/>
        </w:rPr>
      </w:pPr>
      <w:r>
        <w:rPr>
          <w:rFonts w:hint="eastAsia"/>
          <w:sz w:val="24"/>
          <w:szCs w:val="24"/>
        </w:rPr>
        <w:t>资金来源：市级公共卫生专项经费。</w:t>
      </w:r>
    </w:p>
    <w:p>
      <w:pPr>
        <w:spacing w:line="360" w:lineRule="auto"/>
        <w:rPr>
          <w:rFonts w:hint="eastAsia"/>
          <w:b/>
          <w:bCs/>
          <w:sz w:val="28"/>
          <w:szCs w:val="28"/>
        </w:rPr>
      </w:pPr>
      <w:r>
        <w:rPr>
          <w:rFonts w:hint="eastAsia"/>
          <w:b/>
          <w:bCs/>
          <w:sz w:val="28"/>
          <w:szCs w:val="28"/>
          <w:lang w:val="en-US" w:eastAsia="zh-CN"/>
        </w:rPr>
        <w:t>4</w:t>
      </w:r>
      <w:r>
        <w:rPr>
          <w:rFonts w:hint="eastAsia"/>
          <w:b/>
          <w:bCs/>
          <w:sz w:val="28"/>
          <w:szCs w:val="28"/>
        </w:rPr>
        <w:t>. 服务期限</w:t>
      </w:r>
    </w:p>
    <w:p>
      <w:pPr>
        <w:spacing w:line="360" w:lineRule="auto"/>
        <w:ind w:left="0" w:leftChars="0" w:firstLine="480" w:firstLineChars="200"/>
        <w:rPr>
          <w:rFonts w:hint="eastAsia"/>
          <w:sz w:val="24"/>
          <w:szCs w:val="24"/>
        </w:rPr>
      </w:pPr>
      <w:r>
        <w:rPr>
          <w:rFonts w:hint="eastAsia"/>
          <w:sz w:val="24"/>
          <w:szCs w:val="24"/>
        </w:rPr>
        <w:t>自甲乙双方合同签字盖章生效之日起 12 个月。</w:t>
      </w:r>
    </w:p>
    <w:p>
      <w:pPr>
        <w:spacing w:line="360" w:lineRule="auto"/>
        <w:rPr>
          <w:rFonts w:hint="eastAsia"/>
          <w:b/>
          <w:bCs/>
          <w:sz w:val="28"/>
          <w:szCs w:val="28"/>
        </w:rPr>
      </w:pPr>
      <w:r>
        <w:rPr>
          <w:rFonts w:hint="eastAsia"/>
          <w:b/>
          <w:bCs/>
          <w:sz w:val="28"/>
          <w:szCs w:val="28"/>
          <w:lang w:val="en-US" w:eastAsia="zh-CN"/>
        </w:rPr>
        <w:t>5</w:t>
      </w:r>
      <w:r>
        <w:rPr>
          <w:rFonts w:hint="eastAsia"/>
          <w:b/>
          <w:bCs/>
          <w:sz w:val="28"/>
          <w:szCs w:val="28"/>
        </w:rPr>
        <w:t>. 服务地点及覆盖范围</w:t>
      </w:r>
    </w:p>
    <w:p>
      <w:pPr>
        <w:spacing w:line="360" w:lineRule="auto"/>
        <w:ind w:left="0" w:leftChars="0" w:firstLine="480" w:firstLineChars="200"/>
        <w:rPr>
          <w:rFonts w:hint="eastAsia"/>
          <w:sz w:val="24"/>
          <w:szCs w:val="24"/>
        </w:rPr>
      </w:pPr>
      <w:r>
        <w:rPr>
          <w:rFonts w:hint="eastAsia"/>
          <w:sz w:val="24"/>
          <w:szCs w:val="24"/>
        </w:rPr>
        <w:t>服务覆盖韶关市全</w:t>
      </w:r>
      <w:r>
        <w:rPr>
          <w:rFonts w:hint="eastAsia"/>
          <w:sz w:val="24"/>
          <w:szCs w:val="24"/>
          <w:lang w:val="en-US" w:eastAsia="zh-CN"/>
        </w:rPr>
        <w:t>区</w:t>
      </w:r>
      <w:r>
        <w:rPr>
          <w:rFonts w:hint="eastAsia"/>
          <w:sz w:val="24"/>
          <w:szCs w:val="24"/>
        </w:rPr>
        <w:t>域。</w:t>
      </w:r>
    </w:p>
    <w:p>
      <w:pPr>
        <w:spacing w:line="360" w:lineRule="auto"/>
        <w:rPr>
          <w:rFonts w:hint="eastAsia"/>
          <w:b/>
          <w:bCs/>
          <w:sz w:val="28"/>
          <w:szCs w:val="28"/>
          <w:lang w:val="en-US" w:eastAsia="zh-CN"/>
        </w:rPr>
      </w:pPr>
      <w:r>
        <w:rPr>
          <w:rFonts w:hint="eastAsia"/>
          <w:b/>
          <w:bCs/>
          <w:sz w:val="28"/>
          <w:szCs w:val="28"/>
          <w:lang w:val="en-US" w:eastAsia="zh-CN"/>
        </w:rPr>
        <w:t>6.服务内容与要求</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配备1名全职具备社会工作、医学等专业背景工作者，为全市感染艾滋病、梅毒、乙肝的孕产妇及特殊儿童提供以下服务：</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1.健康教育服务： 开展感染孕产妇及特殊儿童健康知识宣教，制作健康教育宣传资料，普及疾病防治知识。</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2.随访管理服务： 协助医疗机构对感染孕产妇及所生儿童进行定期随访，督促按时复诊、规范治疗，提高随访率和管理率。</w:t>
      </w:r>
    </w:p>
    <w:p>
      <w:pPr>
        <w:spacing w:line="360" w:lineRule="auto"/>
        <w:ind w:left="0" w:leftChars="0" w:firstLine="480" w:firstLineChars="200"/>
        <w:rPr>
          <w:rFonts w:hint="default"/>
          <w:sz w:val="24"/>
          <w:szCs w:val="24"/>
          <w:lang w:val="en-US" w:eastAsia="zh-CN"/>
        </w:rPr>
      </w:pPr>
      <w:r>
        <w:rPr>
          <w:rFonts w:hint="eastAsia"/>
          <w:sz w:val="24"/>
          <w:szCs w:val="24"/>
          <w:lang w:val="en-US" w:eastAsia="zh-CN"/>
        </w:rPr>
        <w:t xml:space="preserve">3.完成项目总结报告： 中标人须在合同执行期间每月10日前完成月报，以及合同执行6个月和12个月向提交项目中期报告和终期报告。   </w:t>
      </w:r>
    </w:p>
    <w:p>
      <w:pPr>
        <w:spacing w:line="360" w:lineRule="auto"/>
        <w:rPr>
          <w:rFonts w:hint="eastAsia"/>
          <w:b/>
          <w:bCs/>
          <w:sz w:val="28"/>
          <w:szCs w:val="28"/>
          <w:lang w:val="en-US" w:eastAsia="zh-CN"/>
        </w:rPr>
      </w:pPr>
      <w:r>
        <w:rPr>
          <w:rFonts w:hint="eastAsia"/>
          <w:b/>
          <w:bCs/>
          <w:sz w:val="28"/>
          <w:szCs w:val="28"/>
          <w:lang w:val="en-US" w:eastAsia="zh-CN"/>
        </w:rPr>
        <w:t>7. 人员配置要求</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7.1 投标人须承诺为本项目配备1名全职社会工作、医学等专业背景工作者，人员须持有助理社会工作师及以上职业资格证书，或具备医学、护理、公共卫生、药学等相关专业本科或以上学历，具有 1 年以上社会工作服务经验。</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7.2 项目团队人员须相对稳定，项目实施期间更换项目负责人须征得采购人书面同意。</w:t>
      </w:r>
    </w:p>
    <w:p>
      <w:pPr>
        <w:spacing w:line="360" w:lineRule="auto"/>
        <w:rPr>
          <w:rFonts w:hint="default"/>
          <w:b/>
          <w:bCs/>
          <w:sz w:val="28"/>
          <w:szCs w:val="28"/>
          <w:lang w:val="en-US" w:eastAsia="zh-CN"/>
        </w:rPr>
      </w:pPr>
      <w:r>
        <w:rPr>
          <w:rFonts w:hint="eastAsia"/>
          <w:b/>
          <w:bCs/>
          <w:sz w:val="28"/>
          <w:szCs w:val="28"/>
          <w:lang w:val="en-US" w:eastAsia="zh-CN"/>
        </w:rPr>
        <w:t>8.项目验收要求</w:t>
      </w:r>
    </w:p>
    <w:p>
      <w:pPr>
        <w:spacing w:line="360" w:lineRule="auto"/>
        <w:ind w:left="0" w:leftChars="0" w:firstLine="480" w:firstLineChars="200"/>
        <w:rPr>
          <w:rFonts w:hint="default"/>
          <w:sz w:val="24"/>
          <w:szCs w:val="24"/>
          <w:lang w:val="en-US" w:eastAsia="zh-CN"/>
        </w:rPr>
      </w:pPr>
      <w:r>
        <w:rPr>
          <w:rFonts w:hint="eastAsia"/>
          <w:sz w:val="24"/>
          <w:szCs w:val="24"/>
          <w:lang w:val="en-US" w:eastAsia="zh-CN"/>
        </w:rPr>
        <w:t>8.1项目验收：采购人有权在合同期内依照项目考核标准，分别进行半年度考核和年度考核，</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8.2考核等级划分：项目考核结果采用等级制，分优秀，良好，合格，不合格4个等级，90（含）分以上评为优秀，80（含）-90（不含）分以上评为良好，70（含）-80（不含）分以上评为合格，70（不含）分以下评为不合格。</w:t>
      </w:r>
    </w:p>
    <w:p>
      <w:pPr>
        <w:spacing w:line="360" w:lineRule="auto"/>
        <w:ind w:left="0" w:leftChars="0" w:firstLine="480" w:firstLineChars="200"/>
        <w:rPr>
          <w:rFonts w:hint="eastAsia"/>
          <w:sz w:val="24"/>
          <w:szCs w:val="24"/>
          <w:lang w:val="en-US" w:eastAsia="zh-CN"/>
        </w:rPr>
      </w:pPr>
      <w:bookmarkStart w:id="1" w:name="OLE_LINK2"/>
      <w:r>
        <w:rPr>
          <w:rFonts w:hint="eastAsia"/>
          <w:sz w:val="24"/>
          <w:szCs w:val="24"/>
          <w:lang w:val="en-US" w:eastAsia="zh-CN"/>
        </w:rPr>
        <w:t>8.3 验收与尾款支付</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半年度及年度考核均达“良好”及以上，采购人全额支付尾款；否则按以下处理：</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（1）均“合格”的，尾款不予支付；</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（2）一“合格”一“不合格”的，尾款不予支付，且中标人另付合同总额10%的违约金；</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（3）均“不合格”的，采购人有权解除合同并要求中标人退回全部已付款项。</w:t>
      </w:r>
    </w:p>
    <w:p>
      <w:pPr>
        <w:pStyle w:val="5"/>
        <w:rPr>
          <w:rFonts w:hint="default" w:asciiTheme="minorHAnsi" w:hAnsiTheme="minorHAnsi" w:eastAsiaTheme="minorEastAsia" w:cstheme="minorBidi"/>
          <w:bCs w:val="0"/>
          <w:spacing w:val="0"/>
          <w:kern w:val="2"/>
          <w:sz w:val="21"/>
          <w:szCs w:val="24"/>
          <w:lang w:val="en-US" w:eastAsia="zh-CN" w:bidi="ar-SA"/>
        </w:rPr>
      </w:pPr>
    </w:p>
    <w:bookmarkEnd w:id="1"/>
    <w:p>
      <w:pPr>
        <w:pStyle w:val="5"/>
        <w:numPr>
          <w:ilvl w:val="0"/>
          <w:numId w:val="2"/>
        </w:numPr>
        <w:rPr>
          <w:rFonts w:hint="eastAsia" w:asciiTheme="minorHAnsi" w:hAnsiTheme="minorHAnsi" w:eastAsiaTheme="minorEastAsia" w:cstheme="minorBidi"/>
          <w:b/>
          <w:bCs/>
          <w:spacing w:val="0"/>
          <w:kern w:val="2"/>
          <w:sz w:val="28"/>
          <w:szCs w:val="28"/>
          <w:lang w:val="en-US" w:eastAsia="zh-CN" w:bidi="ar-SA"/>
        </w:rPr>
      </w:pPr>
      <w:r>
        <w:rPr>
          <w:rFonts w:hint="eastAsia" w:asciiTheme="minorHAnsi" w:hAnsiTheme="minorHAnsi" w:eastAsiaTheme="minorEastAsia" w:cstheme="minorBidi"/>
          <w:b/>
          <w:bCs/>
          <w:spacing w:val="0"/>
          <w:kern w:val="2"/>
          <w:sz w:val="28"/>
          <w:szCs w:val="28"/>
          <w:lang w:val="en-US" w:eastAsia="zh-CN" w:bidi="ar-SA"/>
        </w:rPr>
        <w:t>项目考核标准</w:t>
      </w:r>
    </w:p>
    <w:tbl>
      <w:tblPr>
        <w:tblStyle w:val="3"/>
        <w:tblW w:w="91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7"/>
        <w:gridCol w:w="1137"/>
        <w:gridCol w:w="2743"/>
        <w:gridCol w:w="1103"/>
        <w:gridCol w:w="33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序号</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考核模块</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考核细则</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分值</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扣分标准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个案随访管理</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HIV儿童有效随访率≥80%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随访率不达标，该项0分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1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梅毒儿童有效随访率≥80%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随访率不达标，该项0分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1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乙肝儿童有效随访率≥80%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随访率不达标，该项0分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1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个案档案完整规范</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档案缺随访记录、检测单、干预台账，每份扣0.5分，扣完为止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健康宣教服务</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全年线下宣传活动≥5场</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1.场次不足，每少1场扣5分；2.单场缺签到、照片、总结，每场扣3分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1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全年线上宣传科普文章≥5篇</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篇数不足，每少1篇扣3分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项目总结报告</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每月10日前按时提交月报</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月报每逾期1次扣1分，扣完为止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1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按时提交中期报告、终期报告</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中期/年度报告逾期每项扣5分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1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数据无重大差错</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出现重大数据错误、漏报，每次扣3分，扣完为止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bl>
    <w:p>
      <w:pPr>
        <w:pStyle w:val="5"/>
        <w:numPr>
          <w:ilvl w:val="0"/>
          <w:numId w:val="0"/>
        </w:numPr>
        <w:rPr>
          <w:rFonts w:hint="default"/>
          <w:sz w:val="21"/>
          <w:szCs w:val="21"/>
          <w:lang w:val="en-US" w:eastAsia="zh-CN"/>
        </w:rPr>
      </w:pPr>
    </w:p>
    <w:p>
      <w:pPr>
        <w:numPr>
          <w:ilvl w:val="0"/>
          <w:numId w:val="0"/>
        </w:numPr>
        <w:spacing w:line="360" w:lineRule="auto"/>
        <w:rPr>
          <w:rFonts w:hint="eastAsia" w:asciiTheme="minorHAnsi" w:hAnsiTheme="minorHAnsi" w:eastAsiaTheme="minorEastAsia" w:cstheme="minorBidi"/>
          <w:b/>
          <w:bCs/>
          <w:spacing w:val="0"/>
          <w:kern w:val="2"/>
          <w:sz w:val="28"/>
          <w:szCs w:val="28"/>
          <w:lang w:val="en-US" w:eastAsia="zh-CN" w:bidi="ar-SA"/>
        </w:rPr>
      </w:pPr>
      <w:r>
        <w:rPr>
          <w:rFonts w:hint="eastAsia" w:asciiTheme="minorHAnsi" w:hAnsiTheme="minorHAnsi" w:eastAsiaTheme="minorEastAsia" w:cstheme="minorBidi"/>
          <w:b/>
          <w:bCs/>
          <w:spacing w:val="0"/>
          <w:kern w:val="2"/>
          <w:sz w:val="28"/>
          <w:szCs w:val="28"/>
          <w:lang w:val="en-US" w:eastAsia="zh-CN" w:bidi="ar-SA"/>
        </w:rPr>
        <w:t>10.商务要求</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10.1 报价要求： 投标人须按项目总价报价，报价包含完成本项目所需的人员费用、差旅费、培训费、管理费、税费等一切费用。总报价不得超过预算金额9万元。</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10.2 付款方式：</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采用分期付款方式：合同签订后，20个工作日内，完成第一期合同款的支付，支付合同总金额的90%，按广东省财政部门的规定国库直接支付。项目验收考核通过后，完成第二期合同款的支付，支付合同总金额的10%。</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10.3 知识产权： 项目实施过程中产生的所有成果（包括但不限于报告、数据、资料、宣传品等）的知识产权归采购人所有。</w:t>
      </w:r>
    </w:p>
    <w:p>
      <w:pPr>
        <w:spacing w:line="360" w:lineRule="auto"/>
        <w:ind w:left="0" w:leftChars="0" w:firstLine="480" w:firstLineChars="200"/>
        <w:rPr>
          <w:rFonts w:hint="eastAsia"/>
          <w:sz w:val="24"/>
          <w:szCs w:val="24"/>
          <w:lang w:val="en-US" w:eastAsia="zh-CN"/>
        </w:rPr>
      </w:pPr>
      <w:r>
        <w:rPr>
          <w:rFonts w:hint="eastAsia"/>
          <w:sz w:val="24"/>
          <w:szCs w:val="24"/>
          <w:lang w:val="en-US" w:eastAsia="zh-CN"/>
        </w:rPr>
        <w:t>10.4 保密要求： 中标人对项目实施过程中知悉的服务对象个人信息及采购人内部信息负有保密义务，不得向第三方泄露。</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C8955"/>
    <w:multiLevelType w:val="singleLevel"/>
    <w:tmpl w:val="897C8955"/>
    <w:lvl w:ilvl="0" w:tentative="0">
      <w:start w:val="1"/>
      <w:numFmt w:val="decimal"/>
      <w:pStyle w:val="2"/>
      <w:lvlText w:val="%1."/>
      <w:lvlJc w:val="left"/>
      <w:pPr>
        <w:tabs>
          <w:tab w:val="left" w:pos="360"/>
        </w:tabs>
        <w:ind w:left="360" w:hanging="360"/>
      </w:pPr>
    </w:lvl>
  </w:abstractNum>
  <w:abstractNum w:abstractNumId="1">
    <w:nsid w:val="AADD39A5"/>
    <w:multiLevelType w:val="singleLevel"/>
    <w:tmpl w:val="AADD39A5"/>
    <w:lvl w:ilvl="0" w:tentative="0">
      <w:start w:val="9"/>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2OTc4YWMwZmM0N2JjNDA1MTc0Njg5N2VmMGYwMGUifQ=="/>
  </w:docVars>
  <w:rsids>
    <w:rsidRoot w:val="00000000"/>
    <w:rsid w:val="00E80370"/>
    <w:rsid w:val="0853153B"/>
    <w:rsid w:val="0B0B182B"/>
    <w:rsid w:val="0CE9794A"/>
    <w:rsid w:val="101A606C"/>
    <w:rsid w:val="10851A69"/>
    <w:rsid w:val="10EB7109"/>
    <w:rsid w:val="11923131"/>
    <w:rsid w:val="127B3147"/>
    <w:rsid w:val="12A91DFC"/>
    <w:rsid w:val="13CA1216"/>
    <w:rsid w:val="16092E0B"/>
    <w:rsid w:val="16B965DF"/>
    <w:rsid w:val="170725D9"/>
    <w:rsid w:val="17377504"/>
    <w:rsid w:val="18B0656F"/>
    <w:rsid w:val="1BBB6955"/>
    <w:rsid w:val="1C8E5E18"/>
    <w:rsid w:val="1D0A3013"/>
    <w:rsid w:val="1D413DDA"/>
    <w:rsid w:val="1D5E3A3C"/>
    <w:rsid w:val="1FF561AE"/>
    <w:rsid w:val="20DA3C69"/>
    <w:rsid w:val="240F7E1E"/>
    <w:rsid w:val="25072C0B"/>
    <w:rsid w:val="25DC5E46"/>
    <w:rsid w:val="26561DBA"/>
    <w:rsid w:val="26CF4101"/>
    <w:rsid w:val="26F23447"/>
    <w:rsid w:val="26F64CE5"/>
    <w:rsid w:val="29475CCC"/>
    <w:rsid w:val="2B74267D"/>
    <w:rsid w:val="2CA53EAE"/>
    <w:rsid w:val="2CDB2211"/>
    <w:rsid w:val="2DC16526"/>
    <w:rsid w:val="2EB21E3A"/>
    <w:rsid w:val="2ECD54CB"/>
    <w:rsid w:val="2ED22811"/>
    <w:rsid w:val="2F5F53F2"/>
    <w:rsid w:val="309335A5"/>
    <w:rsid w:val="33226E62"/>
    <w:rsid w:val="336D46E4"/>
    <w:rsid w:val="34EB6D12"/>
    <w:rsid w:val="34FF0C27"/>
    <w:rsid w:val="367774C5"/>
    <w:rsid w:val="38A3514D"/>
    <w:rsid w:val="39713FFA"/>
    <w:rsid w:val="39F257E0"/>
    <w:rsid w:val="3A0A0246"/>
    <w:rsid w:val="3BAE6428"/>
    <w:rsid w:val="3BD37472"/>
    <w:rsid w:val="3C055977"/>
    <w:rsid w:val="3C221C81"/>
    <w:rsid w:val="3C4A6BBF"/>
    <w:rsid w:val="3D7D1865"/>
    <w:rsid w:val="3DEC2546"/>
    <w:rsid w:val="3FB11C9A"/>
    <w:rsid w:val="3FD11DB9"/>
    <w:rsid w:val="40AD2461"/>
    <w:rsid w:val="40B41A41"/>
    <w:rsid w:val="440A7BCA"/>
    <w:rsid w:val="443133A9"/>
    <w:rsid w:val="447B63D2"/>
    <w:rsid w:val="45486BFC"/>
    <w:rsid w:val="4597723C"/>
    <w:rsid w:val="46911EDD"/>
    <w:rsid w:val="46BD2CD2"/>
    <w:rsid w:val="48C77E38"/>
    <w:rsid w:val="4AB50890"/>
    <w:rsid w:val="4FA27791"/>
    <w:rsid w:val="507408A5"/>
    <w:rsid w:val="51B45EAB"/>
    <w:rsid w:val="583354EA"/>
    <w:rsid w:val="5A9B2ED2"/>
    <w:rsid w:val="5B127639"/>
    <w:rsid w:val="5B323837"/>
    <w:rsid w:val="5C01470B"/>
    <w:rsid w:val="5CCB5CF1"/>
    <w:rsid w:val="5D3339F3"/>
    <w:rsid w:val="5D494E68"/>
    <w:rsid w:val="5E4C2E61"/>
    <w:rsid w:val="603E2C7E"/>
    <w:rsid w:val="622A34BA"/>
    <w:rsid w:val="626D15F8"/>
    <w:rsid w:val="62960B4F"/>
    <w:rsid w:val="630F26B0"/>
    <w:rsid w:val="67112E9A"/>
    <w:rsid w:val="674C5C80"/>
    <w:rsid w:val="67C01E6B"/>
    <w:rsid w:val="67EB36EB"/>
    <w:rsid w:val="68087D50"/>
    <w:rsid w:val="68E72104"/>
    <w:rsid w:val="6A107439"/>
    <w:rsid w:val="6C006F3E"/>
    <w:rsid w:val="6C5A2BED"/>
    <w:rsid w:val="6F370FC4"/>
    <w:rsid w:val="7048797A"/>
    <w:rsid w:val="74C8164B"/>
    <w:rsid w:val="76A96C4B"/>
    <w:rsid w:val="77C41863"/>
    <w:rsid w:val="77E5746E"/>
    <w:rsid w:val="788F7D79"/>
    <w:rsid w:val="78A376CA"/>
    <w:rsid w:val="7A50522C"/>
    <w:rsid w:val="7C35307A"/>
    <w:rsid w:val="7D3923AB"/>
    <w:rsid w:val="7EB91C07"/>
    <w:rsid w:val="7EE60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List Number"/>
    <w:basedOn w:val="1"/>
    <w:qFormat/>
    <w:uiPriority w:val="0"/>
    <w:pPr>
      <w:numPr>
        <w:ilvl w:val="0"/>
        <w:numId w:val="1"/>
      </w:numPr>
    </w:pPr>
  </w:style>
  <w:style w:type="paragraph" w:customStyle="1" w:styleId="5">
    <w:name w:val="表格文字"/>
    <w:basedOn w:val="6"/>
    <w:qFormat/>
    <w:uiPriority w:val="0"/>
    <w:pPr>
      <w:spacing w:before="25" w:beforeLines="0" w:after="25" w:afterLines="0"/>
      <w:jc w:val="left"/>
    </w:pPr>
    <w:rPr>
      <w:bCs/>
      <w:spacing w:val="10"/>
      <w:kern w:val="0"/>
      <w:sz w:val="24"/>
      <w:szCs w:val="20"/>
    </w:rPr>
  </w:style>
  <w:style w:type="paragraph" w:customStyle="1" w:styleId="6">
    <w:name w:val="表格文字（两侧对齐）"/>
    <w:basedOn w:val="1"/>
    <w:qFormat/>
    <w:uiPriority w:val="0"/>
    <w:pPr>
      <w:snapToGrid w:val="0"/>
    </w:pPr>
    <w:rPr>
      <w:rFonts w:ascii="Calibri" w:hAnsi="Calibri"/>
      <w:kern w:val="0"/>
      <w:sz w:val="20"/>
    </w:rPr>
  </w:style>
  <w:style w:type="paragraph" w:customStyle="1" w:styleId="7">
    <w:name w:val="无间隔1"/>
    <w:qFormat/>
    <w:uiPriority w:val="1"/>
    <w:pPr>
      <w:widowControl w:val="0"/>
      <w:spacing w:line="360" w:lineRule="auto"/>
      <w:jc w:val="center"/>
    </w:pPr>
    <w:rPr>
      <w:rFonts w:ascii="Times New Roman" w:hAnsi="Times New Roman" w:eastAsia="宋体" w:cstheme="minorBidi"/>
      <w:kern w:val="2"/>
      <w:sz w:val="24"/>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1830</Words>
  <Characters>1937</Characters>
  <Lines>0</Lines>
  <Paragraphs>0</Paragraphs>
  <TotalTime>5</TotalTime>
  <ScaleCrop>false</ScaleCrop>
  <LinksUpToDate>false</LinksUpToDate>
  <CharactersWithSpaces>1970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2026-07-10T07:59:00Z</dcterms:created>
  <dc:creator>Administrator</dc:creator>
  <cp:lastModifiedBy>Mark</cp:lastModifiedBy>
  <dcterms:modified xsi:type="dcterms:W3CDTF">2026-08-10T09:55:11Z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14DA6470CF29406FA7CAEFA3595BCDAD_13</vt:lpwstr>
  </property>
</Properties>
</file>