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560" w:lineRule="exact"/>
        <w:ind w:right="0" w:rightChars="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w:t>
      </w: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exact"/>
        <w:ind w:right="0" w:rightChars="0"/>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韶关市第二轮中央生态环境保护督察整改任务推进情况表</w:t>
      </w:r>
      <w:bookmarkStart w:id="0" w:name="_GoBack"/>
      <w:bookmarkEnd w:id="0"/>
    </w:p>
    <w:p>
      <w:pPr>
        <w:pStyle w:val="2"/>
        <w:keepNext w:val="0"/>
        <w:keepLines w:val="0"/>
        <w:pageBreakBefore w:val="0"/>
        <w:widowControl w:val="0"/>
        <w:kinsoku/>
        <w:wordWrap/>
        <w:overflowPunct/>
        <w:topLinePunct w:val="0"/>
        <w:autoSpaceDE/>
        <w:autoSpaceDN/>
        <w:bidi w:val="0"/>
        <w:adjustRightInd/>
        <w:snapToGrid w:val="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截至2025年12月31日</w:t>
      </w:r>
      <w:r>
        <w:rPr>
          <w:rFonts w:hint="eastAsia" w:ascii="仿宋_GB2312" w:hAnsi="仿宋_GB2312" w:eastAsia="仿宋_GB2312" w:cs="仿宋_GB2312"/>
          <w:sz w:val="32"/>
          <w:szCs w:val="32"/>
          <w:lang w:eastAsia="zh-CN"/>
        </w:rPr>
        <w:t>）</w:t>
      </w:r>
    </w:p>
    <w:tbl>
      <w:tblPr>
        <w:tblStyle w:val="12"/>
        <w:tblW w:w="4997" w:type="pct"/>
        <w:jc w:val="center"/>
        <w:tblLayout w:type="autofit"/>
        <w:tblCellMar>
          <w:top w:w="0" w:type="dxa"/>
          <w:left w:w="108" w:type="dxa"/>
          <w:bottom w:w="0" w:type="dxa"/>
          <w:right w:w="108" w:type="dxa"/>
        </w:tblCellMar>
      </w:tblPr>
      <w:tblGrid>
        <w:gridCol w:w="519"/>
        <w:gridCol w:w="2511"/>
        <w:gridCol w:w="762"/>
        <w:gridCol w:w="3560"/>
        <w:gridCol w:w="4909"/>
        <w:gridCol w:w="1837"/>
      </w:tblGrid>
      <w:tr>
        <w:tblPrEx>
          <w:tblCellMar>
            <w:top w:w="0" w:type="dxa"/>
            <w:left w:w="108" w:type="dxa"/>
            <w:bottom w:w="0" w:type="dxa"/>
            <w:right w:w="108" w:type="dxa"/>
          </w:tblCellMar>
        </w:tblPrEx>
        <w:trPr>
          <w:trHeight w:val="751" w:hRule="atLeast"/>
          <w:jc w:val="center"/>
        </w:trPr>
        <w:tc>
          <w:tcPr>
            <w:tcW w:w="184" w:type="pct"/>
            <w:tcBorders>
              <w:top w:val="single" w:color="auto" w:sz="8" w:space="0"/>
              <w:left w:val="single" w:color="auto" w:sz="8" w:space="0"/>
              <w:bottom w:val="single" w:color="auto" w:sz="8" w:space="0"/>
              <w:right w:val="single" w:color="000000" w:sz="4" w:space="0"/>
            </w:tcBorders>
            <w:vAlign w:val="center"/>
          </w:tcPr>
          <w:p>
            <w:pPr>
              <w:spacing w:line="300" w:lineRule="exact"/>
              <w:jc w:val="center"/>
              <w:rPr>
                <w:rFonts w:ascii="黑体" w:hAnsi="黑体" w:eastAsia="黑体" w:cs="黑体"/>
                <w:color w:val="auto"/>
                <w:sz w:val="24"/>
              </w:rPr>
            </w:pPr>
            <w:r>
              <w:rPr>
                <w:rFonts w:hint="eastAsia" w:ascii="黑体" w:hAnsi="黑体" w:eastAsia="黑体" w:cs="黑体"/>
                <w:color w:val="auto"/>
                <w:sz w:val="24"/>
              </w:rPr>
              <w:t>序号</w:t>
            </w:r>
          </w:p>
        </w:tc>
        <w:tc>
          <w:tcPr>
            <w:tcW w:w="890" w:type="pct"/>
            <w:tcBorders>
              <w:top w:val="single" w:color="auto" w:sz="8" w:space="0"/>
              <w:left w:val="single" w:color="auto" w:sz="8" w:space="0"/>
              <w:bottom w:val="single" w:color="auto" w:sz="8"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240" w:lineRule="exact"/>
              <w:jc w:val="center"/>
              <w:rPr>
                <w:rFonts w:ascii="黑体" w:hAnsi="黑体" w:eastAsia="黑体" w:cs="黑体"/>
                <w:color w:val="auto"/>
                <w:sz w:val="24"/>
              </w:rPr>
            </w:pPr>
            <w:r>
              <w:rPr>
                <w:rFonts w:hint="eastAsia" w:ascii="黑体" w:hAnsi="黑体" w:eastAsia="黑体" w:cs="黑体"/>
                <w:color w:val="auto"/>
                <w:sz w:val="24"/>
              </w:rPr>
              <w:t>整改任务</w:t>
            </w:r>
          </w:p>
        </w:tc>
        <w:tc>
          <w:tcPr>
            <w:tcW w:w="270" w:type="pct"/>
            <w:tcBorders>
              <w:top w:val="single" w:color="auto" w:sz="8" w:space="0"/>
              <w:left w:val="single" w:color="auto" w:sz="8" w:space="0"/>
              <w:bottom w:val="single" w:color="auto" w:sz="8" w:space="0"/>
              <w:right w:val="single" w:color="000000" w:sz="4" w:space="0"/>
            </w:tcBorders>
            <w:vAlign w:val="center"/>
          </w:tcPr>
          <w:p>
            <w:pPr>
              <w:spacing w:line="300" w:lineRule="exact"/>
              <w:jc w:val="center"/>
              <w:rPr>
                <w:rFonts w:ascii="黑体" w:hAnsi="黑体" w:eastAsia="黑体" w:cs="黑体"/>
                <w:color w:val="auto"/>
                <w:sz w:val="24"/>
              </w:rPr>
            </w:pPr>
            <w:r>
              <w:rPr>
                <w:rFonts w:hint="eastAsia" w:ascii="黑体" w:hAnsi="黑体" w:eastAsia="黑体" w:cs="黑体"/>
                <w:color w:val="auto"/>
                <w:sz w:val="24"/>
              </w:rPr>
              <w:t>整改时限</w:t>
            </w:r>
          </w:p>
        </w:tc>
        <w:tc>
          <w:tcPr>
            <w:tcW w:w="1262" w:type="pct"/>
            <w:tcBorders>
              <w:top w:val="single" w:color="auto" w:sz="8" w:space="0"/>
              <w:left w:val="single" w:color="auto" w:sz="8" w:space="0"/>
              <w:bottom w:val="single" w:color="auto" w:sz="8" w:space="0"/>
              <w:right w:val="single" w:color="000000" w:sz="4" w:space="0"/>
            </w:tcBorders>
            <w:vAlign w:val="center"/>
          </w:tcPr>
          <w:p>
            <w:pPr>
              <w:keepNext w:val="0"/>
              <w:keepLines w:val="0"/>
              <w:pageBreakBefore w:val="0"/>
              <w:kinsoku/>
              <w:wordWrap/>
              <w:overflowPunct/>
              <w:topLinePunct w:val="0"/>
              <w:autoSpaceDE/>
              <w:autoSpaceDN/>
              <w:bidi w:val="0"/>
              <w:adjustRightInd/>
              <w:spacing w:line="300" w:lineRule="exact"/>
              <w:jc w:val="center"/>
              <w:rPr>
                <w:rFonts w:ascii="黑体" w:hAnsi="黑体" w:eastAsia="黑体" w:cs="黑体"/>
                <w:color w:val="auto"/>
                <w:sz w:val="24"/>
              </w:rPr>
            </w:pPr>
            <w:r>
              <w:rPr>
                <w:rFonts w:hint="eastAsia" w:ascii="黑体" w:hAnsi="黑体" w:eastAsia="黑体" w:cs="黑体"/>
                <w:color w:val="auto"/>
                <w:sz w:val="24"/>
              </w:rPr>
              <w:t>整改措施</w:t>
            </w:r>
          </w:p>
        </w:tc>
        <w:tc>
          <w:tcPr>
            <w:tcW w:w="1740" w:type="pct"/>
            <w:tcBorders>
              <w:top w:val="single" w:color="auto" w:sz="8" w:space="0"/>
              <w:left w:val="single" w:color="auto" w:sz="4" w:space="0"/>
              <w:bottom w:val="single" w:color="auto" w:sz="8"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240" w:lineRule="auto"/>
              <w:jc w:val="center"/>
              <w:rPr>
                <w:rFonts w:ascii="黑体" w:hAnsi="黑体" w:eastAsia="黑体" w:cs="黑体"/>
                <w:color w:val="auto"/>
                <w:sz w:val="24"/>
              </w:rPr>
            </w:pPr>
            <w:r>
              <w:rPr>
                <w:rFonts w:hint="eastAsia" w:ascii="黑体" w:hAnsi="黑体" w:eastAsia="黑体" w:cs="黑体"/>
                <w:color w:val="auto"/>
                <w:sz w:val="24"/>
              </w:rPr>
              <w:t>目前进展情况及存在问题</w:t>
            </w:r>
          </w:p>
        </w:tc>
        <w:tc>
          <w:tcPr>
            <w:tcW w:w="651" w:type="pct"/>
            <w:tcBorders>
              <w:top w:val="single" w:color="auto" w:sz="8" w:space="0"/>
              <w:left w:val="single" w:color="auto" w:sz="4" w:space="0"/>
              <w:bottom w:val="single" w:color="auto" w:sz="8" w:space="0"/>
              <w:right w:val="single" w:color="auto" w:sz="8" w:space="0"/>
            </w:tcBorders>
            <w:vAlign w:val="center"/>
          </w:tcPr>
          <w:p>
            <w:pPr>
              <w:spacing w:line="300" w:lineRule="exact"/>
              <w:jc w:val="center"/>
              <w:rPr>
                <w:rFonts w:ascii="黑体" w:hAnsi="黑体" w:eastAsia="黑体" w:cs="黑体"/>
                <w:color w:val="auto"/>
                <w:sz w:val="24"/>
              </w:rPr>
            </w:pPr>
            <w:r>
              <w:rPr>
                <w:rFonts w:hint="eastAsia" w:ascii="黑体" w:hAnsi="黑体" w:eastAsia="黑体" w:cs="黑体"/>
                <w:color w:val="auto"/>
                <w:sz w:val="24"/>
              </w:rPr>
              <w:t>完成进度</w:t>
            </w:r>
          </w:p>
        </w:tc>
      </w:tr>
      <w:tr>
        <w:tblPrEx>
          <w:tblCellMar>
            <w:top w:w="0" w:type="dxa"/>
            <w:left w:w="108" w:type="dxa"/>
            <w:bottom w:w="0" w:type="dxa"/>
            <w:right w:w="108" w:type="dxa"/>
          </w:tblCellMar>
        </w:tblPrEx>
        <w:trPr>
          <w:trHeight w:val="3996" w:hRule="atLeast"/>
          <w:jc w:val="center"/>
        </w:trPr>
        <w:tc>
          <w:tcPr>
            <w:tcW w:w="184" w:type="pct"/>
            <w:vMerge w:val="restart"/>
            <w:tcBorders>
              <w:top w:val="single" w:color="auto" w:sz="8" w:space="0"/>
              <w:left w:val="single" w:color="auto" w:sz="8" w:space="0"/>
              <w:right w:val="single" w:color="auto" w:sz="8" w:space="0"/>
            </w:tcBorders>
            <w:vAlign w:val="center"/>
          </w:tcPr>
          <w:p>
            <w:pPr>
              <w:spacing w:line="300" w:lineRule="exact"/>
              <w:jc w:val="center"/>
              <w:rPr>
                <w:rFonts w:ascii="仿宋_GB2312" w:hAnsi="仿宋_GB2312" w:cs="仿宋_GB2312"/>
                <w:color w:val="auto"/>
                <w:sz w:val="21"/>
                <w:szCs w:val="21"/>
              </w:rPr>
            </w:pPr>
            <w:r>
              <w:rPr>
                <w:rFonts w:hint="eastAsia" w:ascii="仿宋_GB2312" w:hAnsi="仿宋_GB2312" w:cs="仿宋_GB2312"/>
                <w:color w:val="auto"/>
                <w:sz w:val="21"/>
                <w:szCs w:val="21"/>
              </w:rPr>
              <w:t>1</w:t>
            </w:r>
          </w:p>
        </w:tc>
        <w:tc>
          <w:tcPr>
            <w:tcW w:w="890" w:type="pct"/>
            <w:vMerge w:val="restart"/>
            <w:tcBorders>
              <w:top w:val="single" w:color="auto" w:sz="8" w:space="0"/>
              <w:left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一、广东省有些地市和部门认识不够到位，措施不够有力，生态环境保护抓得不够紧，推得不够实，在统筹协调、责任担当等方面还存在差距。有些市县思想认识不够到位，对习近平生态文明思想学习领会还不够深入，贯彻落实缺少方法，没有真正把生态环境保护作为高质量发展的应有之义和重要内容，工作落实“时冷时热”。对标中央要求，对照人民期待，对标高质量发展要求仍有差距，美丽河湖和美丽海湾保护与建设还存在一些突出问题，部分地方和领域生态环境安全保障不力，工作力度仍需进一步加大，一些突出生态环境问题亟待解决。</w:t>
            </w:r>
          </w:p>
        </w:tc>
        <w:tc>
          <w:tcPr>
            <w:tcW w:w="270" w:type="pct"/>
            <w:vMerge w:val="restart"/>
            <w:tcBorders>
              <w:top w:val="single" w:color="auto" w:sz="8" w:space="0"/>
              <w:left w:val="single" w:color="auto" w:sz="8" w:space="0"/>
              <w:right w:val="single" w:color="auto" w:sz="8" w:space="0"/>
            </w:tcBorders>
            <w:vAlign w:val="center"/>
          </w:tcPr>
          <w:p>
            <w:pPr>
              <w:widowControl/>
              <w:snapToGrid w:val="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立行立改，长期坚持</w:t>
            </w:r>
          </w:p>
        </w:tc>
        <w:tc>
          <w:tcPr>
            <w:tcW w:w="1262"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一）深入学习贯彻习近平生态文明思想，把贯彻落实习近平总书记对广东系列重要讲话和重要指示批示精神作为首要政治任务，不断增强各级领导干部的政治判断力、政治领悟力、政治执行力。完整、准确、全面贯彻新发展理念，牢牢把握高质量发展主题，坚持不懈推进经济社会发展全面绿色转型。按照“五位一体”总体布局和“四个全面”战略布局要求，坚持把生态文明建设融入全省改革发展全过程各领域，系统谋划、全面部署、强力推进。</w:t>
            </w:r>
          </w:p>
        </w:tc>
        <w:tc>
          <w:tcPr>
            <w:tcW w:w="1740" w:type="pct"/>
            <w:tcBorders>
              <w:top w:val="single" w:color="auto" w:sz="8" w:space="0"/>
              <w:left w:val="single" w:color="auto" w:sz="8" w:space="0"/>
              <w:bottom w:val="single" w:color="auto" w:sz="8" w:space="0"/>
              <w:right w:val="single" w:color="auto" w:sz="8" w:space="0"/>
            </w:tcBorders>
            <w:vAlign w:val="center"/>
          </w:tcPr>
          <w:p>
            <w:pPr>
              <w:pStyle w:val="6"/>
              <w:keepNext w:val="0"/>
              <w:keepLines w:val="0"/>
              <w:pageBreakBefore w:val="0"/>
              <w:kinsoku/>
              <w:wordWrap/>
              <w:overflowPunct/>
              <w:topLinePunct w:val="0"/>
              <w:autoSpaceDE/>
              <w:autoSpaceDN/>
              <w:bidi w:val="0"/>
              <w:adjustRightInd w:val="0"/>
              <w:snapToGrid w:val="0"/>
              <w:spacing w:line="240" w:lineRule="auto"/>
              <w:ind w:left="0" w:leftChars="0" w:firstLine="420" w:firstLineChars="200"/>
              <w:rPr>
                <w:rFonts w:hint="eastAsia" w:ascii="仿宋_GB2312" w:hAnsi="仿宋_GB2312" w:eastAsia="仿宋_GB2312" w:cs="仿宋_GB2312"/>
                <w:color w:val="auto"/>
                <w:kern w:val="0"/>
                <w:sz w:val="21"/>
                <w:szCs w:val="21"/>
              </w:rPr>
            </w:pPr>
            <w:r>
              <w:rPr>
                <w:rFonts w:hint="eastAsia" w:ascii="仿宋_GB2312" w:hAnsi="仿宋_GB2312" w:eastAsia="仿宋_GB2312" w:cs="仿宋_GB2312"/>
                <w:color w:val="auto"/>
                <w:kern w:val="0"/>
                <w:sz w:val="21"/>
                <w:szCs w:val="21"/>
              </w:rPr>
              <w:t>市委、市政府坚持以习近平新时代中国特色社会主义思想为指导，深入贯彻习近平生态文明思想，牢固树立绿水青山就是金山银山的理念，完整、准确、全面贯彻新发展理念，将习近平生态文明思想转化为全市上下的思想自觉和统一行动，全面落实生态环境保护责任。</w:t>
            </w:r>
          </w:p>
          <w:p>
            <w:pPr>
              <w:pStyle w:val="6"/>
              <w:keepNext w:val="0"/>
              <w:keepLines w:val="0"/>
              <w:pageBreakBefore w:val="0"/>
              <w:kinsoku/>
              <w:wordWrap/>
              <w:overflowPunct/>
              <w:topLinePunct w:val="0"/>
              <w:autoSpaceDE/>
              <w:autoSpaceDN/>
              <w:bidi w:val="0"/>
              <w:adjustRightInd w:val="0"/>
              <w:snapToGrid w:val="0"/>
              <w:spacing w:line="240" w:lineRule="auto"/>
              <w:ind w:left="0" w:leftChars="0" w:firstLine="420" w:firstLineChars="200"/>
              <w:rPr>
                <w:rFonts w:ascii="仿宋_GB2312" w:hAnsi="仿宋_GB2312" w:eastAsia="仿宋_GB2312" w:cs="仿宋_GB2312"/>
                <w:color w:val="auto"/>
                <w:kern w:val="0"/>
                <w:sz w:val="21"/>
                <w:szCs w:val="21"/>
              </w:rPr>
            </w:pPr>
            <w:r>
              <w:rPr>
                <w:rFonts w:hint="eastAsia" w:ascii="仿宋_GB2312" w:hAnsi="仿宋_GB2312" w:eastAsia="仿宋_GB2312" w:cs="仿宋_GB2312"/>
                <w:color w:val="auto"/>
                <w:kern w:val="0"/>
                <w:sz w:val="21"/>
                <w:szCs w:val="21"/>
              </w:rPr>
              <w:t>2021年</w:t>
            </w:r>
            <w:r>
              <w:rPr>
                <w:rFonts w:hint="eastAsia" w:ascii="仿宋_GB2312" w:hAnsi="仿宋_GB2312" w:eastAsia="仿宋_GB2312" w:cs="仿宋_GB2312"/>
                <w:color w:val="auto"/>
                <w:kern w:val="0"/>
                <w:sz w:val="21"/>
                <w:szCs w:val="21"/>
                <w:lang w:val="en-US" w:eastAsia="zh-CN"/>
              </w:rPr>
              <w:t>第二轮</w:t>
            </w:r>
            <w:r>
              <w:rPr>
                <w:rFonts w:hint="eastAsia" w:ascii="仿宋_GB2312" w:hAnsi="仿宋_GB2312" w:eastAsia="仿宋_GB2312" w:cs="仿宋_GB2312"/>
                <w:color w:val="auto"/>
                <w:kern w:val="0"/>
                <w:sz w:val="21"/>
                <w:szCs w:val="21"/>
              </w:rPr>
              <w:t>中央生态环境保护督察以来，全市召开市委常委会会议、市政府常务会议、工作会议等会议65次，研究部署生态环境相关工作。</w:t>
            </w:r>
          </w:p>
        </w:tc>
        <w:tc>
          <w:tcPr>
            <w:tcW w:w="651" w:type="pct"/>
            <w:tcBorders>
              <w:top w:val="single" w:color="auto" w:sz="8" w:space="0"/>
              <w:left w:val="single" w:color="auto" w:sz="8" w:space="0"/>
              <w:bottom w:val="single" w:color="auto" w:sz="8" w:space="0"/>
              <w:right w:val="single" w:color="auto" w:sz="8" w:space="0"/>
            </w:tcBorders>
            <w:vAlign w:val="center"/>
          </w:tcPr>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□已验收销号</w:t>
            </w:r>
          </w:p>
          <w:p>
            <w:pPr>
              <w:spacing w:line="300" w:lineRule="exact"/>
              <w:rPr>
                <w:rFonts w:ascii="仿宋_GB2312" w:hAnsi="仿宋_GB2312" w:cs="仿宋_GB2312"/>
                <w:color w:val="auto"/>
                <w:sz w:val="21"/>
                <w:szCs w:val="21"/>
              </w:rPr>
            </w:pPr>
            <w:r>
              <w:rPr>
                <w:rFonts w:ascii="Segoe UI Symbol" w:hAnsi="Segoe UI Symbol" w:cs="Segoe UI Symbol"/>
                <w:color w:val="auto"/>
                <w:sz w:val="21"/>
                <w:szCs w:val="21"/>
              </w:rPr>
              <w:t>☑</w:t>
            </w:r>
            <w:r>
              <w:rPr>
                <w:rFonts w:hint="eastAsia" w:ascii="仿宋_GB2312" w:hAnsi="仿宋_GB2312" w:cs="仿宋_GB2312"/>
                <w:color w:val="auto"/>
                <w:sz w:val="21"/>
                <w:szCs w:val="21"/>
              </w:rPr>
              <w:t>已完成</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□达到时序进度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□未达时序进度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□尚未启动</w:t>
            </w:r>
          </w:p>
        </w:tc>
      </w:tr>
      <w:tr>
        <w:tblPrEx>
          <w:tblCellMar>
            <w:top w:w="0" w:type="dxa"/>
            <w:left w:w="108" w:type="dxa"/>
            <w:bottom w:w="0" w:type="dxa"/>
            <w:right w:w="108" w:type="dxa"/>
          </w:tblCellMar>
        </w:tblPrEx>
        <w:trPr>
          <w:trHeight w:val="521" w:hRule="atLeast"/>
          <w:jc w:val="center"/>
        </w:trPr>
        <w:tc>
          <w:tcPr>
            <w:tcW w:w="184" w:type="pct"/>
            <w:vMerge w:val="continue"/>
            <w:tcBorders>
              <w:left w:val="single" w:color="auto" w:sz="8" w:space="0"/>
              <w:right w:val="single" w:color="auto" w:sz="8" w:space="0"/>
            </w:tcBorders>
            <w:vAlign w:val="center"/>
          </w:tcPr>
          <w:p>
            <w:pPr>
              <w:spacing w:line="300" w:lineRule="exact"/>
              <w:ind w:firstLine="210" w:firstLineChars="100"/>
              <w:jc w:val="center"/>
              <w:rPr>
                <w:rFonts w:ascii="仿宋_GB2312" w:hAnsi="仿宋_GB2312" w:cs="仿宋_GB2312"/>
                <w:color w:val="auto"/>
                <w:sz w:val="21"/>
                <w:szCs w:val="21"/>
              </w:rPr>
            </w:pPr>
          </w:p>
        </w:tc>
        <w:tc>
          <w:tcPr>
            <w:tcW w:w="890" w:type="pct"/>
            <w:vMerge w:val="continue"/>
            <w:tcBorders>
              <w:left w:val="single" w:color="auto" w:sz="8" w:space="0"/>
              <w:right w:val="single" w:color="auto" w:sz="8" w:space="0"/>
            </w:tcBorders>
            <w:vAlign w:val="center"/>
          </w:tcPr>
          <w:p>
            <w:pPr>
              <w:keepNext w:val="0"/>
              <w:keepLines w:val="0"/>
              <w:pageBreakBefore w:val="0"/>
              <w:kinsoku/>
              <w:wordWrap/>
              <w:overflowPunct/>
              <w:topLinePunct w:val="0"/>
              <w:autoSpaceDE/>
              <w:autoSpaceDN/>
              <w:bidi w:val="0"/>
              <w:adjustRightInd w:val="0"/>
              <w:snapToGrid w:val="0"/>
              <w:spacing w:line="240" w:lineRule="exact"/>
              <w:ind w:firstLine="420" w:firstLineChars="200"/>
              <w:rPr>
                <w:rFonts w:ascii="仿宋_GB2312" w:hAnsi="仿宋_GB2312" w:cs="仿宋_GB2312"/>
                <w:color w:val="auto"/>
                <w:sz w:val="21"/>
                <w:szCs w:val="21"/>
              </w:rPr>
            </w:pPr>
          </w:p>
        </w:tc>
        <w:tc>
          <w:tcPr>
            <w:tcW w:w="270" w:type="pct"/>
            <w:vMerge w:val="continue"/>
            <w:tcBorders>
              <w:left w:val="single" w:color="auto" w:sz="8" w:space="0"/>
              <w:right w:val="single" w:color="auto" w:sz="8" w:space="0"/>
            </w:tcBorders>
            <w:vAlign w:val="center"/>
          </w:tcPr>
          <w:p>
            <w:pPr>
              <w:snapToGrid w:val="0"/>
              <w:rPr>
                <w:rFonts w:ascii="仿宋_GB2312" w:hAnsi="仿宋_GB2312" w:cs="仿宋_GB2312"/>
                <w:color w:val="auto"/>
                <w:sz w:val="21"/>
                <w:szCs w:val="21"/>
              </w:rPr>
            </w:pPr>
          </w:p>
        </w:tc>
        <w:tc>
          <w:tcPr>
            <w:tcW w:w="1262"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二）全面加强党对生态环境保护工作的领导，压实各地各部门生态环境保护责任，严格落实“党政同责、一岗双责”，强化担当作为。建立健全省市县三级生态环境保护委员会，充分发挥省污染防治攻坚战指挥部作用，统筹推进全省生态环境保护工作。强化人大、政协监督指导，以及监督执纪问责，深入开展省级生态环境保护督察，对重点区域、重点领域、重点行业进行监督帮扶，加快形成“大环保”格局。</w:t>
            </w:r>
          </w:p>
        </w:tc>
        <w:tc>
          <w:tcPr>
            <w:tcW w:w="1740" w:type="pct"/>
            <w:tcBorders>
              <w:top w:val="single" w:color="auto" w:sz="8" w:space="0"/>
              <w:left w:val="single" w:color="auto" w:sz="8" w:space="0"/>
              <w:bottom w:val="single" w:color="auto" w:sz="8" w:space="0"/>
              <w:right w:val="single" w:color="auto" w:sz="8" w:space="0"/>
            </w:tcBorders>
            <w:vAlign w:val="center"/>
          </w:tcPr>
          <w:p>
            <w:pPr>
              <w:pStyle w:val="6"/>
              <w:keepNext w:val="0"/>
              <w:keepLines w:val="0"/>
              <w:pageBreakBefore w:val="0"/>
              <w:kinsoku/>
              <w:wordWrap/>
              <w:overflowPunct/>
              <w:topLinePunct w:val="0"/>
              <w:autoSpaceDE/>
              <w:autoSpaceDN/>
              <w:bidi w:val="0"/>
              <w:adjustRightInd w:val="0"/>
              <w:snapToGrid w:val="0"/>
              <w:spacing w:line="240" w:lineRule="auto"/>
              <w:ind w:left="0" w:leftChars="0" w:firstLine="420" w:firstLineChars="200"/>
              <w:rPr>
                <w:rFonts w:ascii="仿宋_GB2312" w:hAnsi="仿宋_GB2312" w:eastAsia="仿宋_GB2312" w:cs="仿宋_GB2312"/>
                <w:color w:val="auto"/>
                <w:kern w:val="0"/>
                <w:sz w:val="21"/>
                <w:szCs w:val="21"/>
              </w:rPr>
            </w:pPr>
            <w:r>
              <w:rPr>
                <w:rFonts w:hint="eastAsia" w:ascii="仿宋_GB2312" w:hAnsi="仿宋_GB2312" w:eastAsia="仿宋_GB2312" w:cs="仿宋_GB2312"/>
                <w:color w:val="auto"/>
                <w:kern w:val="0"/>
                <w:sz w:val="21"/>
                <w:szCs w:val="21"/>
              </w:rPr>
              <w:t>市委、市政府主要领导同志带头扛起生态环境保护政治责任，分别担任市生态环境保护委员会第一主任、主任。市人大、市政协和市纪委监委等把生态环境保护作为立法监督和执法检查、政治协商和民主监督以及政治监督的重点，推动解决突出生态环境问题。印发实施《韶关市生态环境保护责任清单》，明确党委、政府以及相关部门的生态环境保护责任。</w:t>
            </w:r>
          </w:p>
        </w:tc>
        <w:tc>
          <w:tcPr>
            <w:tcW w:w="651" w:type="pct"/>
            <w:tcBorders>
              <w:top w:val="single" w:color="auto" w:sz="8" w:space="0"/>
              <w:left w:val="single" w:color="auto" w:sz="8" w:space="0"/>
              <w:bottom w:val="single" w:color="auto" w:sz="8" w:space="0"/>
              <w:right w:val="single" w:color="auto" w:sz="8" w:space="0"/>
            </w:tcBorders>
            <w:vAlign w:val="center"/>
          </w:tcPr>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□已验收销号</w:t>
            </w:r>
          </w:p>
          <w:p>
            <w:pPr>
              <w:spacing w:line="300" w:lineRule="exact"/>
              <w:rPr>
                <w:rFonts w:ascii="仿宋_GB2312" w:hAnsi="仿宋_GB2312" w:cs="仿宋_GB2312"/>
                <w:color w:val="auto"/>
                <w:sz w:val="21"/>
                <w:szCs w:val="21"/>
              </w:rPr>
            </w:pPr>
            <w:r>
              <w:rPr>
                <w:rFonts w:ascii="Segoe UI Symbol" w:hAnsi="Segoe UI Symbol" w:cs="Segoe UI Symbol"/>
                <w:color w:val="auto"/>
                <w:sz w:val="21"/>
                <w:szCs w:val="21"/>
              </w:rPr>
              <w:t>☑</w:t>
            </w:r>
            <w:r>
              <w:rPr>
                <w:rFonts w:hint="eastAsia" w:ascii="仿宋_GB2312" w:hAnsi="仿宋_GB2312" w:cs="仿宋_GB2312"/>
                <w:color w:val="auto"/>
                <w:sz w:val="21"/>
                <w:szCs w:val="21"/>
              </w:rPr>
              <w:t>已完成</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□达到时序进度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□未达时序进度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□尚未启动</w:t>
            </w:r>
          </w:p>
        </w:tc>
      </w:tr>
      <w:tr>
        <w:tblPrEx>
          <w:tblCellMar>
            <w:top w:w="0" w:type="dxa"/>
            <w:left w:w="108" w:type="dxa"/>
            <w:bottom w:w="0" w:type="dxa"/>
            <w:right w:w="108" w:type="dxa"/>
          </w:tblCellMar>
        </w:tblPrEx>
        <w:trPr>
          <w:trHeight w:val="2439" w:hRule="atLeast"/>
          <w:jc w:val="center"/>
        </w:trPr>
        <w:tc>
          <w:tcPr>
            <w:tcW w:w="184" w:type="pct"/>
            <w:vMerge w:val="continue"/>
            <w:tcBorders>
              <w:left w:val="single" w:color="auto" w:sz="8" w:space="0"/>
              <w:right w:val="single" w:color="auto" w:sz="8" w:space="0"/>
            </w:tcBorders>
            <w:vAlign w:val="center"/>
          </w:tcPr>
          <w:p>
            <w:pPr>
              <w:spacing w:line="300" w:lineRule="exact"/>
              <w:ind w:firstLine="210" w:firstLineChars="100"/>
              <w:jc w:val="center"/>
              <w:rPr>
                <w:rFonts w:ascii="仿宋_GB2312" w:hAnsi="仿宋_GB2312" w:cs="仿宋_GB2312"/>
                <w:color w:val="auto"/>
                <w:sz w:val="21"/>
                <w:szCs w:val="21"/>
              </w:rPr>
            </w:pPr>
          </w:p>
        </w:tc>
        <w:tc>
          <w:tcPr>
            <w:tcW w:w="890" w:type="pct"/>
            <w:vMerge w:val="continue"/>
            <w:tcBorders>
              <w:left w:val="single" w:color="auto" w:sz="8" w:space="0"/>
              <w:right w:val="single" w:color="auto" w:sz="8" w:space="0"/>
            </w:tcBorders>
            <w:vAlign w:val="center"/>
          </w:tcPr>
          <w:p>
            <w:pPr>
              <w:keepNext w:val="0"/>
              <w:keepLines w:val="0"/>
              <w:pageBreakBefore w:val="0"/>
              <w:kinsoku/>
              <w:wordWrap/>
              <w:overflowPunct/>
              <w:topLinePunct w:val="0"/>
              <w:autoSpaceDE/>
              <w:autoSpaceDN/>
              <w:bidi w:val="0"/>
              <w:adjustRightInd w:val="0"/>
              <w:snapToGrid w:val="0"/>
              <w:spacing w:line="240" w:lineRule="exact"/>
              <w:ind w:firstLine="420" w:firstLineChars="200"/>
              <w:rPr>
                <w:rFonts w:ascii="仿宋_GB2312" w:hAnsi="仿宋_GB2312" w:cs="仿宋_GB2312"/>
                <w:color w:val="auto"/>
                <w:sz w:val="21"/>
                <w:szCs w:val="21"/>
              </w:rPr>
            </w:pPr>
          </w:p>
        </w:tc>
        <w:tc>
          <w:tcPr>
            <w:tcW w:w="270" w:type="pct"/>
            <w:vMerge w:val="continue"/>
            <w:tcBorders>
              <w:left w:val="single" w:color="auto" w:sz="8" w:space="0"/>
              <w:right w:val="single" w:color="auto" w:sz="8" w:space="0"/>
            </w:tcBorders>
            <w:vAlign w:val="center"/>
          </w:tcPr>
          <w:p>
            <w:pPr>
              <w:snapToGrid w:val="0"/>
              <w:rPr>
                <w:rFonts w:ascii="仿宋_GB2312" w:hAnsi="仿宋_GB2312" w:cs="仿宋_GB2312"/>
                <w:color w:val="auto"/>
                <w:sz w:val="21"/>
                <w:szCs w:val="21"/>
              </w:rPr>
            </w:pPr>
          </w:p>
        </w:tc>
        <w:tc>
          <w:tcPr>
            <w:tcW w:w="1262"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三）严格考核问责，积极构建以绿色发展为导向的生态文明建设考核评价体系，突出中央生态环境保护督察整改、污染防治攻坚、生态环境质量改善等成效考核，把考核结果作为各级领导班子和领导干部任用、奖惩及专项资金划拨的重要依据。严格党政领导干部生态环境损害责任追究，倒逼责任落实。</w:t>
            </w:r>
          </w:p>
        </w:tc>
        <w:tc>
          <w:tcPr>
            <w:tcW w:w="1740"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ind w:left="0" w:leftChars="0" w:firstLine="420" w:firstLineChars="200"/>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印发实施《韶关市县（市、区）综合考核实施方案》，量化考核各县(市、区)党委政府，持续完善环境保护考评机制，充分发挥绩效评价的激励和导向作用。严格按照《韶关市生态环境保护责任清单》要求，压实生态环境保护责任。</w:t>
            </w:r>
          </w:p>
        </w:tc>
        <w:tc>
          <w:tcPr>
            <w:tcW w:w="651" w:type="pct"/>
            <w:tcBorders>
              <w:top w:val="single" w:color="auto" w:sz="8" w:space="0"/>
              <w:left w:val="single" w:color="auto" w:sz="8" w:space="0"/>
              <w:bottom w:val="single" w:color="auto" w:sz="8" w:space="0"/>
              <w:right w:val="single" w:color="auto" w:sz="8" w:space="0"/>
            </w:tcBorders>
            <w:vAlign w:val="center"/>
          </w:tcPr>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□已验收销号</w:t>
            </w:r>
          </w:p>
          <w:p>
            <w:pPr>
              <w:spacing w:line="300" w:lineRule="exact"/>
              <w:rPr>
                <w:rFonts w:ascii="仿宋_GB2312" w:hAnsi="仿宋_GB2312" w:cs="仿宋_GB2312"/>
                <w:color w:val="auto"/>
                <w:sz w:val="21"/>
                <w:szCs w:val="21"/>
              </w:rPr>
            </w:pPr>
            <w:r>
              <w:rPr>
                <w:rFonts w:ascii="Segoe UI Symbol" w:hAnsi="Segoe UI Symbol" w:cs="Segoe UI Symbol"/>
                <w:color w:val="auto"/>
                <w:sz w:val="21"/>
                <w:szCs w:val="21"/>
              </w:rPr>
              <w:t>☑</w:t>
            </w:r>
            <w:r>
              <w:rPr>
                <w:rFonts w:hint="eastAsia" w:ascii="仿宋_GB2312" w:hAnsi="仿宋_GB2312" w:cs="仿宋_GB2312"/>
                <w:color w:val="auto"/>
                <w:sz w:val="21"/>
                <w:szCs w:val="21"/>
              </w:rPr>
              <w:t>已完成</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□达到时序进度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□未达时序进度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□尚未启动</w:t>
            </w:r>
          </w:p>
        </w:tc>
      </w:tr>
      <w:tr>
        <w:tblPrEx>
          <w:tblCellMar>
            <w:top w:w="0" w:type="dxa"/>
            <w:left w:w="108" w:type="dxa"/>
            <w:bottom w:w="0" w:type="dxa"/>
            <w:right w:w="108" w:type="dxa"/>
          </w:tblCellMar>
        </w:tblPrEx>
        <w:trPr>
          <w:trHeight w:val="521" w:hRule="atLeast"/>
          <w:jc w:val="center"/>
        </w:trPr>
        <w:tc>
          <w:tcPr>
            <w:tcW w:w="184" w:type="pct"/>
            <w:vMerge w:val="continue"/>
            <w:tcBorders>
              <w:left w:val="single" w:color="auto" w:sz="8" w:space="0"/>
              <w:right w:val="single" w:color="auto" w:sz="8" w:space="0"/>
            </w:tcBorders>
            <w:vAlign w:val="center"/>
          </w:tcPr>
          <w:p>
            <w:pPr>
              <w:spacing w:line="300" w:lineRule="exact"/>
              <w:ind w:firstLine="210" w:firstLineChars="100"/>
              <w:jc w:val="center"/>
              <w:rPr>
                <w:rFonts w:ascii="仿宋_GB2312" w:hAnsi="仿宋_GB2312" w:cs="仿宋_GB2312"/>
                <w:color w:val="auto"/>
                <w:sz w:val="21"/>
                <w:szCs w:val="21"/>
              </w:rPr>
            </w:pPr>
          </w:p>
        </w:tc>
        <w:tc>
          <w:tcPr>
            <w:tcW w:w="890" w:type="pct"/>
            <w:vMerge w:val="continue"/>
            <w:tcBorders>
              <w:left w:val="single" w:color="auto" w:sz="8" w:space="0"/>
              <w:right w:val="single" w:color="auto" w:sz="8" w:space="0"/>
            </w:tcBorders>
            <w:vAlign w:val="center"/>
          </w:tcPr>
          <w:p>
            <w:pPr>
              <w:keepNext w:val="0"/>
              <w:keepLines w:val="0"/>
              <w:pageBreakBefore w:val="0"/>
              <w:kinsoku/>
              <w:wordWrap/>
              <w:overflowPunct/>
              <w:topLinePunct w:val="0"/>
              <w:autoSpaceDE/>
              <w:autoSpaceDN/>
              <w:bidi w:val="0"/>
              <w:adjustRightInd w:val="0"/>
              <w:snapToGrid w:val="0"/>
              <w:spacing w:line="240" w:lineRule="exact"/>
              <w:ind w:firstLine="420" w:firstLineChars="200"/>
              <w:rPr>
                <w:rFonts w:ascii="仿宋_GB2312" w:hAnsi="仿宋_GB2312" w:cs="仿宋_GB2312"/>
                <w:color w:val="auto"/>
                <w:sz w:val="21"/>
                <w:szCs w:val="21"/>
              </w:rPr>
            </w:pPr>
          </w:p>
        </w:tc>
        <w:tc>
          <w:tcPr>
            <w:tcW w:w="270" w:type="pct"/>
            <w:vMerge w:val="continue"/>
            <w:tcBorders>
              <w:left w:val="single" w:color="auto" w:sz="8" w:space="0"/>
              <w:right w:val="single" w:color="auto" w:sz="8" w:space="0"/>
            </w:tcBorders>
            <w:vAlign w:val="center"/>
          </w:tcPr>
          <w:p>
            <w:pPr>
              <w:snapToGrid w:val="0"/>
              <w:rPr>
                <w:rFonts w:ascii="仿宋_GB2312" w:hAnsi="仿宋_GB2312" w:cs="仿宋_GB2312"/>
                <w:color w:val="auto"/>
                <w:sz w:val="21"/>
                <w:szCs w:val="21"/>
              </w:rPr>
            </w:pPr>
          </w:p>
        </w:tc>
        <w:tc>
          <w:tcPr>
            <w:tcW w:w="1262"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四）加快推进美丽河湖和美丽海湾的建设。以水生态环境质量改善为核心，坚持环境治理与生态修复两手发力，统筹水资源利用、水生态保护和水环境治理，全力推动流域和城市内河涌整治，开展重要江河、水库水生态调查评估，实施水生态保护修复，高质量推进万里碧道建设，打造一批美丽河湖典范。大力推进近岸海域综合治理，常态化开展辖区海域执法巡查，加强入海河流和河涌类入海排口整治，坚决打击盗采海砂、砍伐红树林等破坏美丽海湾的行为；强化陆海生态保护的统筹联动，打造“水清滩净、鱼鸥翔集、人海和谐”的美丽海湾。</w:t>
            </w:r>
          </w:p>
        </w:tc>
        <w:tc>
          <w:tcPr>
            <w:tcW w:w="1740"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ind w:left="0" w:leftChars="0" w:firstLine="420" w:firstLineChars="200"/>
              <w:textAlignment w:val="center"/>
              <w:rPr>
                <w:rFonts w:ascii="仿宋_GB2312" w:hAnsi="仿宋_GB2312" w:cs="仿宋_GB2312"/>
                <w:color w:val="auto"/>
                <w:sz w:val="21"/>
                <w:szCs w:val="21"/>
              </w:rPr>
            </w:pPr>
            <w:r>
              <w:rPr>
                <w:rFonts w:hint="eastAsia" w:ascii="仿宋_GB2312" w:hAnsi="仿宋_GB2312" w:cs="仿宋_GB2312"/>
                <w:color w:val="auto"/>
                <w:sz w:val="21"/>
                <w:szCs w:val="21"/>
              </w:rPr>
              <w:t>坚持以水生态环境改善为核心，污染减排和生态扩容两手发力，强化源头治理、系统治理、整体治理，突出科学治污、精准治污、依法治污，深入打好污染防治攻坚战，推进水环境、水生态、水资源全面统筹协同治理，努力开展美丽河湖保护与建设。2021-2025年，水环境方面：全市地表水省考以上断面水质优良比例保持100%、无劣Ⅴ类水体，县级及以上集中式饮用水水源地优良率100%，地表水环境质量排名位居全省前列。水资源方面：用水总量和效率双控制情况良好，在维持经济增长的同时，用水效率逐年提高，达到生态流量（水位）底线要求的重点河湖数量有7个，高出目标值2个，重点河湖基本生态流量达标率100%。水生态方面：完成2个水生生物完整性指数调查重点河湖，湿地恢复面积完成105.17公顷，完成北江、新丰江水生态环境调查，积极推进南岭国家公园建设，重要河湖水域岸线监管率100%，完成万里碧道建设长度413.1公里。南水水库、锦江建成美丽河湖，被评为省级美丽河湖优秀案例。</w:t>
            </w:r>
          </w:p>
        </w:tc>
        <w:tc>
          <w:tcPr>
            <w:tcW w:w="651" w:type="pct"/>
            <w:tcBorders>
              <w:top w:val="single" w:color="auto" w:sz="8" w:space="0"/>
              <w:left w:val="single" w:color="auto" w:sz="8" w:space="0"/>
              <w:bottom w:val="single" w:color="auto" w:sz="8" w:space="0"/>
              <w:right w:val="single" w:color="auto" w:sz="8" w:space="0"/>
            </w:tcBorders>
            <w:vAlign w:val="center"/>
          </w:tcPr>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□已验收销号</w:t>
            </w:r>
          </w:p>
          <w:p>
            <w:pPr>
              <w:spacing w:line="300" w:lineRule="exact"/>
              <w:rPr>
                <w:rFonts w:ascii="仿宋_GB2312" w:hAnsi="仿宋_GB2312" w:cs="仿宋_GB2312"/>
                <w:color w:val="auto"/>
                <w:sz w:val="21"/>
                <w:szCs w:val="21"/>
              </w:rPr>
            </w:pPr>
            <w:r>
              <w:rPr>
                <w:rFonts w:ascii="Segoe UI Symbol" w:hAnsi="Segoe UI Symbol" w:cs="Segoe UI Symbol"/>
                <w:color w:val="auto"/>
                <w:sz w:val="21"/>
                <w:szCs w:val="21"/>
              </w:rPr>
              <w:t>☑</w:t>
            </w:r>
            <w:r>
              <w:rPr>
                <w:rFonts w:hint="eastAsia" w:ascii="仿宋_GB2312" w:hAnsi="仿宋_GB2312" w:cs="仿宋_GB2312"/>
                <w:color w:val="auto"/>
                <w:sz w:val="21"/>
                <w:szCs w:val="21"/>
              </w:rPr>
              <w:t>已完成</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□达到时序进度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□未达时序进度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□尚未启动</w:t>
            </w:r>
          </w:p>
        </w:tc>
      </w:tr>
      <w:tr>
        <w:tblPrEx>
          <w:tblCellMar>
            <w:top w:w="0" w:type="dxa"/>
            <w:left w:w="108" w:type="dxa"/>
            <w:bottom w:w="0" w:type="dxa"/>
            <w:right w:w="108" w:type="dxa"/>
          </w:tblCellMar>
        </w:tblPrEx>
        <w:trPr>
          <w:trHeight w:val="3592" w:hRule="atLeast"/>
          <w:jc w:val="center"/>
        </w:trPr>
        <w:tc>
          <w:tcPr>
            <w:tcW w:w="184" w:type="pct"/>
            <w:vMerge w:val="continue"/>
            <w:tcBorders>
              <w:left w:val="single" w:color="auto" w:sz="8" w:space="0"/>
              <w:bottom w:val="single" w:color="auto" w:sz="8" w:space="0"/>
              <w:right w:val="single" w:color="auto" w:sz="8" w:space="0"/>
            </w:tcBorders>
            <w:vAlign w:val="center"/>
          </w:tcPr>
          <w:p>
            <w:pPr>
              <w:spacing w:line="300" w:lineRule="exact"/>
              <w:ind w:firstLine="210" w:firstLineChars="100"/>
              <w:jc w:val="center"/>
              <w:rPr>
                <w:rFonts w:ascii="仿宋_GB2312" w:hAnsi="仿宋_GB2312" w:cs="仿宋_GB2312"/>
                <w:color w:val="auto"/>
                <w:sz w:val="21"/>
                <w:szCs w:val="21"/>
              </w:rPr>
            </w:pPr>
          </w:p>
        </w:tc>
        <w:tc>
          <w:tcPr>
            <w:tcW w:w="890" w:type="pct"/>
            <w:vMerge w:val="continue"/>
            <w:tcBorders>
              <w:left w:val="single" w:color="auto" w:sz="8" w:space="0"/>
              <w:bottom w:val="single" w:color="auto" w:sz="8" w:space="0"/>
              <w:right w:val="single" w:color="auto" w:sz="8" w:space="0"/>
            </w:tcBorders>
            <w:vAlign w:val="center"/>
          </w:tcPr>
          <w:p>
            <w:pPr>
              <w:keepNext w:val="0"/>
              <w:keepLines w:val="0"/>
              <w:pageBreakBefore w:val="0"/>
              <w:kinsoku/>
              <w:wordWrap/>
              <w:overflowPunct/>
              <w:topLinePunct w:val="0"/>
              <w:autoSpaceDE/>
              <w:autoSpaceDN/>
              <w:bidi w:val="0"/>
              <w:adjustRightInd w:val="0"/>
              <w:snapToGrid w:val="0"/>
              <w:spacing w:line="240" w:lineRule="exact"/>
              <w:ind w:firstLine="420" w:firstLineChars="200"/>
              <w:rPr>
                <w:rFonts w:ascii="仿宋_GB2312" w:hAnsi="仿宋_GB2312" w:cs="仿宋_GB2312"/>
                <w:color w:val="auto"/>
                <w:sz w:val="21"/>
                <w:szCs w:val="21"/>
              </w:rPr>
            </w:pPr>
          </w:p>
        </w:tc>
        <w:tc>
          <w:tcPr>
            <w:tcW w:w="270" w:type="pct"/>
            <w:vMerge w:val="continue"/>
            <w:tcBorders>
              <w:left w:val="single" w:color="auto" w:sz="8" w:space="0"/>
              <w:bottom w:val="single" w:color="auto" w:sz="8" w:space="0"/>
              <w:right w:val="single" w:color="auto" w:sz="8" w:space="0"/>
            </w:tcBorders>
            <w:vAlign w:val="center"/>
          </w:tcPr>
          <w:p>
            <w:pPr>
              <w:snapToGrid w:val="0"/>
              <w:rPr>
                <w:rFonts w:ascii="仿宋_GB2312" w:hAnsi="仿宋_GB2312" w:cs="仿宋_GB2312"/>
                <w:color w:val="auto"/>
                <w:sz w:val="21"/>
                <w:szCs w:val="21"/>
              </w:rPr>
            </w:pPr>
          </w:p>
        </w:tc>
        <w:tc>
          <w:tcPr>
            <w:tcW w:w="1262"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五）持续强化环境风险防控。以生态保护红线、自然保护地为重点，加强重要生态系统保护监管。强化危险废物、重金属、危险化学品等环境风险管控，围绕固体废物源头减量、资源化利用、安全处理处置和环境风险管控，构建固体废物全过程管理体系。加强环境应急能力建设，强化环境风险评估，完善环境风险防范措施。推进各级环境应急管理队伍、应急救援队伍、应急专家库建设，提升环境应急能力。</w:t>
            </w:r>
          </w:p>
        </w:tc>
        <w:tc>
          <w:tcPr>
            <w:tcW w:w="1740"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ind w:left="0" w:leftChars="0" w:firstLine="420" w:firstLineChars="200"/>
              <w:textAlignment w:val="center"/>
              <w:rPr>
                <w:rFonts w:ascii="仿宋_GB2312" w:hAnsi="仿宋_GB2312" w:cs="仿宋_GB2312"/>
                <w:color w:val="auto"/>
                <w:sz w:val="21"/>
                <w:szCs w:val="21"/>
              </w:rPr>
            </w:pPr>
            <w:r>
              <w:rPr>
                <w:rFonts w:hint="eastAsia" w:ascii="仿宋_GB2312" w:hAnsi="仿宋_GB2312" w:cs="仿宋_GB2312"/>
                <w:color w:val="auto"/>
                <w:sz w:val="21"/>
                <w:szCs w:val="21"/>
              </w:rPr>
              <w:t>深入开展打击非法倾倒处置固体废物、重金属环境安全隐患排查整治、生活垃圾填埋场环境污染隐患排查整治等专项行动，以及危险化学品等危险废物风险集中治理工作，建立闭环管理机制，工业固体废物污染环境风险得到有效管控。每年印发实施全市危废规范化评估考核工作方案，采用现场全覆盖检查方式开展评估考核，韶关市年度考核基本保持全省中上游水平。搭建并优化了多级多部门多行业工业固体废物联防联控机制,定期共享固体废物污染环境防治信息,不断强化多部门联合宣传教育和联合执法。定期开展全市固废管理专项培训,区域固体废物污染环境防治管理水平不断提升。持续开展突发环境事件应急演练，提升应急队伍专业处置能力；深化全市河流干支流基础信息调研与风险评估工作，完善本市“南阳实践”应急响应方案及多项应急预案体系；建立并动态更新市、县两级环境应急专家库，保障应急处置期间专家队伍快速响应、随叫随到；强化联防联控机制建设，与郴州等五个相邻地市签订跨区域环境应急合作协议，构建协同高效的应急处置联动体系；夯实应急物资保障基础，与东阳光应急队伍、华彩园区应急队伍建立应急联动机制，在粤湘交界的乐昌市建成环境应急物资库，全面筑牢环境应急保障防线。</w:t>
            </w:r>
          </w:p>
        </w:tc>
        <w:tc>
          <w:tcPr>
            <w:tcW w:w="651" w:type="pct"/>
            <w:tcBorders>
              <w:top w:val="single" w:color="auto" w:sz="8" w:space="0"/>
              <w:left w:val="single" w:color="auto" w:sz="8" w:space="0"/>
              <w:bottom w:val="single" w:color="auto" w:sz="8" w:space="0"/>
              <w:right w:val="single" w:color="auto" w:sz="8" w:space="0"/>
            </w:tcBorders>
            <w:vAlign w:val="center"/>
          </w:tcPr>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□已验收销号</w:t>
            </w:r>
          </w:p>
          <w:p>
            <w:pPr>
              <w:spacing w:line="300" w:lineRule="exact"/>
              <w:rPr>
                <w:rFonts w:ascii="仿宋_GB2312" w:hAnsi="仿宋_GB2312" w:cs="仿宋_GB2312"/>
                <w:color w:val="auto"/>
                <w:sz w:val="21"/>
                <w:szCs w:val="21"/>
              </w:rPr>
            </w:pPr>
            <w:r>
              <w:rPr>
                <w:rFonts w:ascii="Segoe UI Symbol" w:hAnsi="Segoe UI Symbol" w:cs="Segoe UI Symbol"/>
                <w:color w:val="auto"/>
                <w:sz w:val="21"/>
                <w:szCs w:val="21"/>
              </w:rPr>
              <w:t>☑</w:t>
            </w:r>
            <w:r>
              <w:rPr>
                <w:rFonts w:hint="eastAsia" w:ascii="仿宋_GB2312" w:hAnsi="仿宋_GB2312" w:cs="仿宋_GB2312"/>
                <w:color w:val="auto"/>
                <w:sz w:val="21"/>
                <w:szCs w:val="21"/>
              </w:rPr>
              <w:t>已完成</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□达到时序进度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□未达时序进度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□尚未启动</w:t>
            </w:r>
          </w:p>
        </w:tc>
      </w:tr>
      <w:tr>
        <w:tblPrEx>
          <w:tblCellMar>
            <w:top w:w="0" w:type="dxa"/>
            <w:left w:w="108" w:type="dxa"/>
            <w:bottom w:w="0" w:type="dxa"/>
            <w:right w:w="108" w:type="dxa"/>
          </w:tblCellMar>
        </w:tblPrEx>
        <w:trPr>
          <w:trHeight w:val="90" w:hRule="atLeast"/>
          <w:jc w:val="center"/>
        </w:trPr>
        <w:tc>
          <w:tcPr>
            <w:tcW w:w="184" w:type="pct"/>
            <w:tcBorders>
              <w:top w:val="single" w:color="auto" w:sz="8" w:space="0"/>
              <w:left w:val="single" w:color="auto" w:sz="8" w:space="0"/>
              <w:bottom w:val="single" w:color="auto" w:sz="8" w:space="0"/>
              <w:right w:val="single" w:color="auto" w:sz="8" w:space="0"/>
            </w:tcBorders>
            <w:vAlign w:val="center"/>
          </w:tcPr>
          <w:p>
            <w:pPr>
              <w:spacing w:line="300" w:lineRule="exact"/>
              <w:jc w:val="center"/>
              <w:rPr>
                <w:rFonts w:ascii="仿宋_GB2312" w:hAnsi="仿宋_GB2312" w:cs="仿宋_GB2312"/>
                <w:color w:val="auto"/>
                <w:sz w:val="21"/>
                <w:szCs w:val="21"/>
              </w:rPr>
            </w:pPr>
            <w:r>
              <w:rPr>
                <w:rFonts w:hint="eastAsia" w:ascii="仿宋_GB2312" w:hAnsi="仿宋_GB2312" w:cs="仿宋_GB2312"/>
                <w:color w:val="auto"/>
                <w:sz w:val="21"/>
                <w:szCs w:val="21"/>
              </w:rPr>
              <w:t>2</w:t>
            </w:r>
          </w:p>
        </w:tc>
        <w:tc>
          <w:tcPr>
            <w:tcW w:w="890"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二、有的地方和部门对粤北生态屏障缺乏基本认识，没有把生态保护和环境安全摆到应有的位置和高度，对一些生态修复难度较大的工作存在畏难情绪、推诿思想。个别地方面对保护地内的生态破坏问题，没有积极主动去解决，而是通过调整保护地来应对。</w:t>
            </w:r>
          </w:p>
        </w:tc>
        <w:tc>
          <w:tcPr>
            <w:tcW w:w="270" w:type="pct"/>
            <w:tcBorders>
              <w:top w:val="single" w:color="auto" w:sz="8" w:space="0"/>
              <w:left w:val="single" w:color="auto" w:sz="8" w:space="0"/>
              <w:bottom w:val="single" w:color="auto" w:sz="8" w:space="0"/>
              <w:right w:val="single" w:color="auto" w:sz="8" w:space="0"/>
            </w:tcBorders>
            <w:vAlign w:val="center"/>
          </w:tcPr>
          <w:p>
            <w:pPr>
              <w:widowControl/>
              <w:snapToGrid w:val="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立行立改，长期坚持</w:t>
            </w:r>
          </w:p>
        </w:tc>
        <w:tc>
          <w:tcPr>
            <w:tcW w:w="1262"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（一）各地各部门牢固树立绿水青山就是金山银山理念，进一步提高对粤北生态屏障及各类自然保护地重要性的认识，正确处理发展与保护的关系，严格落实自然保护地管理制度，防止出现“以调代改”等情况。</w:t>
            </w:r>
          </w:p>
        </w:tc>
        <w:tc>
          <w:tcPr>
            <w:tcW w:w="1740"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kinsoku/>
              <w:wordWrap/>
              <w:overflowPunct/>
              <w:topLinePunct w:val="0"/>
              <w:autoSpaceDE/>
              <w:autoSpaceDN/>
              <w:bidi w:val="0"/>
              <w:adjustRightInd w:val="0"/>
              <w:snapToGrid w:val="0"/>
              <w:spacing w:line="240" w:lineRule="auto"/>
              <w:ind w:left="0" w:leftChars="0" w:firstLine="420" w:firstLineChars="200"/>
              <w:jc w:val="left"/>
              <w:rPr>
                <w:rFonts w:ascii="仿宋_GB2312" w:hAnsi="仿宋_GB2312" w:cs="仿宋_GB2312"/>
                <w:color w:val="auto"/>
                <w:sz w:val="21"/>
                <w:szCs w:val="21"/>
              </w:rPr>
            </w:pPr>
            <w:r>
              <w:rPr>
                <w:rFonts w:hint="eastAsia" w:ascii="仿宋_GB2312" w:hAnsi="仿宋_GB2312" w:cs="仿宋_GB2312"/>
                <w:color w:val="auto"/>
                <w:sz w:val="21"/>
                <w:szCs w:val="21"/>
              </w:rPr>
              <w:t>市委、市政府坚持以习近平新时代中国特色社会主义思想为指导，深入贯彻习近平生态文明思想，牢固树立绿水青山就是金山银山的理念，完整、准确、全面贯彻新发展理念，将习近平生态文明思想转化为全市上下的思想自觉和统一行动，全面落实生态环境保护责任。2021年中央生态环境保护督察以来，全市65次召开市委常委会会议、市政府常务会议、</w:t>
            </w:r>
            <w:r>
              <w:rPr>
                <w:rFonts w:hint="eastAsia" w:ascii="仿宋_GB2312" w:hAnsi="仿宋_GB2312" w:cs="仿宋_GB2312"/>
                <w:color w:val="auto"/>
                <w:sz w:val="21"/>
                <w:szCs w:val="21"/>
                <w:lang w:val="en-US" w:eastAsia="zh-CN"/>
              </w:rPr>
              <w:t>专项</w:t>
            </w:r>
            <w:r>
              <w:rPr>
                <w:rFonts w:hint="eastAsia" w:ascii="仿宋_GB2312" w:hAnsi="仿宋_GB2312" w:cs="仿宋_GB2312"/>
                <w:color w:val="auto"/>
                <w:sz w:val="21"/>
                <w:szCs w:val="21"/>
              </w:rPr>
              <w:t>工作会议等会议，研究部署生态环境相关工作。持续筑牢粤北生态屏障，生态文明示范建设成效显著，韶关市获评生态文明建设示范区，仁化县、新丰县分别获得“绿水青山就是金山银山”实践创新基地、生态文明建设示范区等称号。</w:t>
            </w:r>
          </w:p>
        </w:tc>
        <w:tc>
          <w:tcPr>
            <w:tcW w:w="651" w:type="pct"/>
            <w:tcBorders>
              <w:top w:val="single" w:color="auto" w:sz="8" w:space="0"/>
              <w:left w:val="single" w:color="auto" w:sz="8" w:space="0"/>
              <w:bottom w:val="single" w:color="auto" w:sz="8" w:space="0"/>
              <w:right w:val="single" w:color="auto" w:sz="8" w:space="0"/>
            </w:tcBorders>
            <w:vAlign w:val="center"/>
          </w:tcPr>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□已验收销号</w:t>
            </w:r>
          </w:p>
          <w:p>
            <w:pPr>
              <w:spacing w:line="300" w:lineRule="exact"/>
              <w:rPr>
                <w:rFonts w:ascii="仿宋_GB2312" w:hAnsi="仿宋_GB2312" w:cs="仿宋_GB2312"/>
                <w:color w:val="auto"/>
                <w:sz w:val="21"/>
                <w:szCs w:val="21"/>
              </w:rPr>
            </w:pPr>
            <w:r>
              <w:rPr>
                <w:rFonts w:ascii="Segoe UI Symbol" w:hAnsi="Segoe UI Symbol" w:cs="Segoe UI Symbol"/>
                <w:color w:val="auto"/>
                <w:sz w:val="21"/>
                <w:szCs w:val="21"/>
              </w:rPr>
              <w:t>☑</w:t>
            </w:r>
            <w:r>
              <w:rPr>
                <w:rFonts w:hint="eastAsia" w:ascii="仿宋_GB2312" w:hAnsi="仿宋_GB2312" w:cs="仿宋_GB2312"/>
                <w:color w:val="auto"/>
                <w:sz w:val="21"/>
                <w:szCs w:val="21"/>
              </w:rPr>
              <w:t>已完成</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□达到时序进度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□未达时序进度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□尚未启动</w:t>
            </w:r>
          </w:p>
        </w:tc>
      </w:tr>
      <w:tr>
        <w:tblPrEx>
          <w:tblCellMar>
            <w:top w:w="0" w:type="dxa"/>
            <w:left w:w="108" w:type="dxa"/>
            <w:bottom w:w="0" w:type="dxa"/>
            <w:right w:w="108" w:type="dxa"/>
          </w:tblCellMar>
        </w:tblPrEx>
        <w:trPr>
          <w:trHeight w:val="3308" w:hRule="atLeast"/>
          <w:jc w:val="center"/>
        </w:trPr>
        <w:tc>
          <w:tcPr>
            <w:tcW w:w="184" w:type="pct"/>
            <w:tcBorders>
              <w:top w:val="single" w:color="auto" w:sz="8" w:space="0"/>
              <w:left w:val="single" w:color="auto" w:sz="8" w:space="0"/>
              <w:bottom w:val="single" w:color="auto" w:sz="8" w:space="0"/>
              <w:right w:val="single" w:color="auto" w:sz="8" w:space="0"/>
            </w:tcBorders>
            <w:vAlign w:val="center"/>
          </w:tcPr>
          <w:p>
            <w:pPr>
              <w:spacing w:line="300" w:lineRule="exact"/>
              <w:jc w:val="center"/>
              <w:rPr>
                <w:rFonts w:ascii="仿宋_GB2312" w:hAnsi="仿宋_GB2312" w:cs="仿宋_GB2312"/>
                <w:color w:val="auto"/>
                <w:sz w:val="21"/>
                <w:szCs w:val="21"/>
              </w:rPr>
            </w:pPr>
            <w:r>
              <w:rPr>
                <w:rFonts w:hint="eastAsia" w:ascii="仿宋_GB2312" w:hAnsi="仿宋_GB2312" w:cs="仿宋_GB2312"/>
                <w:color w:val="auto"/>
                <w:sz w:val="21"/>
                <w:szCs w:val="21"/>
              </w:rPr>
              <w:t>3</w:t>
            </w:r>
          </w:p>
        </w:tc>
        <w:tc>
          <w:tcPr>
            <w:tcW w:w="890"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五、“两高”项目盲目上马冲动仍然存在。2021年广东省能源消费增量控制目标为1610万吨标准煤，能耗强度下降目标为3.08%，实际上半年能耗增量已超过2600万吨标准煤，超出年度控制目标61.5%；能耗强度也不降反升，幅度超过3.6%，被国家有关部门一级预警。</w:t>
            </w:r>
          </w:p>
        </w:tc>
        <w:tc>
          <w:tcPr>
            <w:tcW w:w="270" w:type="pct"/>
            <w:tcBorders>
              <w:top w:val="single" w:color="auto" w:sz="8" w:space="0"/>
              <w:left w:val="single" w:color="auto" w:sz="8" w:space="0"/>
              <w:bottom w:val="single" w:color="auto" w:sz="8" w:space="0"/>
              <w:right w:val="single" w:color="auto" w:sz="8" w:space="0"/>
            </w:tcBorders>
            <w:vAlign w:val="center"/>
          </w:tcPr>
          <w:p>
            <w:pPr>
              <w:widowControl/>
              <w:snapToGrid w:val="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2025年年底前</w:t>
            </w:r>
          </w:p>
        </w:tc>
        <w:tc>
          <w:tcPr>
            <w:tcW w:w="1262"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五）各地市严格贯彻落实《广东省坚决遏制“两高”项目盲目发展的实施方案》，进一步完善能耗双控工作机制，优化指标分解落实，加强高能耗企业用能跟踪监测，采取有力措施，完成省下达能耗双控目标任务。</w:t>
            </w:r>
          </w:p>
        </w:tc>
        <w:tc>
          <w:tcPr>
            <w:tcW w:w="1740" w:type="pct"/>
            <w:tcBorders>
              <w:top w:val="single" w:color="auto" w:sz="8" w:space="0"/>
              <w:left w:val="single" w:color="auto" w:sz="8" w:space="0"/>
              <w:bottom w:val="single" w:color="auto" w:sz="8" w:space="0"/>
              <w:right w:val="single" w:color="auto" w:sz="8" w:space="0"/>
            </w:tcBorders>
            <w:vAlign w:val="center"/>
          </w:tcPr>
          <w:p>
            <w:pPr>
              <w:pStyle w:val="3"/>
              <w:keepNext w:val="0"/>
              <w:keepLines w:val="0"/>
              <w:pageBreakBefore w:val="0"/>
              <w:widowControl w:val="0"/>
              <w:kinsoku/>
              <w:wordWrap/>
              <w:overflowPunct/>
              <w:topLinePunct w:val="0"/>
              <w:autoSpaceDE/>
              <w:autoSpaceDN/>
              <w:bidi w:val="0"/>
              <w:adjustRightInd w:val="0"/>
              <w:snapToGrid w:val="0"/>
              <w:spacing w:after="0" w:line="240" w:lineRule="auto"/>
              <w:ind w:left="0" w:leftChars="0" w:firstLine="420" w:firstLineChars="200"/>
              <w:textAlignment w:val="auto"/>
              <w:rPr>
                <w:color w:val="auto"/>
              </w:rPr>
            </w:pPr>
            <w:r>
              <w:rPr>
                <w:rFonts w:hint="eastAsia" w:ascii="仿宋_GB2312"/>
                <w:color w:val="auto"/>
                <w:sz w:val="21"/>
                <w:szCs w:val="21"/>
              </w:rPr>
              <w:t>我市严格落实国家和省关于坚决遏制“两高”项目盲目发展、完善能源消费强度和总量双控制度的相关工作要求，制定印发了《韶关市“十四五”节能减排实施方案》、《韶关市发展和改革局关于调整重点用能单位2025年绿色电力消费和用能预算管理目标的通知》等系列政策文件，对县级以上公共机构“十四五”节约能源资源目标等进行分解下达。严格执行节能审查制度，加大节能监察执法力度和强化重点用能企业管理。根据省能源局反馈数据，“十四五”期间，我市能耗强度（政策扣减后）累计下降22.6%，目标完成率为152.3%，超额完成省下达我市“十四五”能耗强度目标任务。</w:t>
            </w:r>
          </w:p>
        </w:tc>
        <w:tc>
          <w:tcPr>
            <w:tcW w:w="651" w:type="pct"/>
            <w:tcBorders>
              <w:top w:val="single" w:color="auto" w:sz="8" w:space="0"/>
              <w:left w:val="single" w:color="auto" w:sz="8" w:space="0"/>
              <w:bottom w:val="single" w:color="auto" w:sz="8" w:space="0"/>
              <w:right w:val="single" w:color="auto" w:sz="8" w:space="0"/>
            </w:tcBorders>
            <w:vAlign w:val="center"/>
          </w:tcPr>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□已验收销号</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lang w:eastAsia="zh-CN"/>
              </w:rPr>
              <w:t>☑</w:t>
            </w:r>
            <w:r>
              <w:rPr>
                <w:rFonts w:hint="eastAsia" w:ascii="仿宋_GB2312" w:hAnsi="仿宋_GB2312" w:cs="仿宋_GB2312"/>
                <w:color w:val="auto"/>
                <w:sz w:val="21"/>
                <w:szCs w:val="21"/>
              </w:rPr>
              <w:t>已完成</w:t>
            </w:r>
          </w:p>
          <w:p>
            <w:pPr>
              <w:spacing w:line="300" w:lineRule="exact"/>
              <w:rPr>
                <w:rFonts w:ascii="仿宋_GB2312" w:hAnsi="仿宋_GB2312" w:cs="仿宋_GB2312"/>
                <w:color w:val="auto"/>
                <w:sz w:val="21"/>
                <w:szCs w:val="21"/>
              </w:rPr>
            </w:pPr>
            <w:r>
              <w:rPr>
                <w:rFonts w:hint="eastAsia" w:ascii="MS Mincho" w:hAnsi="MS Mincho" w:eastAsia="宋体" w:cs="MS Mincho"/>
                <w:color w:val="auto"/>
                <w:sz w:val="21"/>
                <w:szCs w:val="21"/>
                <w:lang w:eastAsia="zh-CN"/>
              </w:rPr>
              <w:t>□</w:t>
            </w:r>
            <w:r>
              <w:rPr>
                <w:rFonts w:hint="eastAsia" w:ascii="仿宋_GB2312" w:hAnsi="仿宋_GB2312" w:cs="仿宋_GB2312"/>
                <w:color w:val="auto"/>
                <w:sz w:val="21"/>
                <w:szCs w:val="21"/>
              </w:rPr>
              <w:t>达到时序进度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□未达时序进度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□尚未启动</w:t>
            </w:r>
          </w:p>
        </w:tc>
      </w:tr>
      <w:tr>
        <w:tblPrEx>
          <w:tblCellMar>
            <w:top w:w="0" w:type="dxa"/>
            <w:left w:w="108" w:type="dxa"/>
            <w:bottom w:w="0" w:type="dxa"/>
            <w:right w:w="108" w:type="dxa"/>
          </w:tblCellMar>
        </w:tblPrEx>
        <w:trPr>
          <w:trHeight w:val="521" w:hRule="atLeast"/>
          <w:jc w:val="center"/>
        </w:trPr>
        <w:tc>
          <w:tcPr>
            <w:tcW w:w="184" w:type="pct"/>
            <w:tcBorders>
              <w:top w:val="single" w:color="auto" w:sz="8" w:space="0"/>
              <w:left w:val="single" w:color="auto" w:sz="8" w:space="0"/>
              <w:bottom w:val="single" w:color="auto" w:sz="8" w:space="0"/>
              <w:right w:val="single" w:color="auto" w:sz="8" w:space="0"/>
            </w:tcBorders>
            <w:vAlign w:val="center"/>
          </w:tcPr>
          <w:p>
            <w:pPr>
              <w:spacing w:line="300" w:lineRule="exact"/>
              <w:jc w:val="center"/>
              <w:rPr>
                <w:rFonts w:ascii="仿宋_GB2312" w:hAnsi="仿宋_GB2312" w:cs="仿宋_GB2312"/>
                <w:color w:val="auto"/>
                <w:sz w:val="21"/>
                <w:szCs w:val="21"/>
              </w:rPr>
            </w:pPr>
            <w:r>
              <w:rPr>
                <w:rFonts w:hint="eastAsia" w:ascii="仿宋_GB2312" w:hAnsi="仿宋_GB2312" w:cs="仿宋_GB2312"/>
                <w:color w:val="auto"/>
                <w:sz w:val="21"/>
                <w:szCs w:val="21"/>
              </w:rPr>
              <w:t>4</w:t>
            </w:r>
          </w:p>
        </w:tc>
        <w:tc>
          <w:tcPr>
            <w:tcW w:w="890"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六、一些地方和部门对“两高”项目上马把关不严，节能审查监管责任缺位。2020年以来，全省121个在建或建成的用能1万吨标准煤以上“两高”项目中，未经节能审查的达42个，占比34.7%。2021年3月，广东省还集中通过5个石化化工项目的节能审查，新增能耗1376万吨标准煤。其中，茂名石化炼油转型升级及乙烯提质改造项目被国家有关部门指出问题后，广东省能源局才撤销其节能审查意见。</w:t>
            </w:r>
          </w:p>
        </w:tc>
        <w:tc>
          <w:tcPr>
            <w:tcW w:w="270" w:type="pct"/>
            <w:tcBorders>
              <w:top w:val="single" w:color="auto" w:sz="8" w:space="0"/>
              <w:left w:val="single" w:color="auto" w:sz="8" w:space="0"/>
              <w:bottom w:val="single" w:color="auto" w:sz="8" w:space="0"/>
              <w:right w:val="single" w:color="auto" w:sz="8" w:space="0"/>
            </w:tcBorders>
            <w:vAlign w:val="center"/>
          </w:tcPr>
          <w:p>
            <w:pPr>
              <w:widowControl/>
              <w:snapToGrid w:val="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2023年年底前</w:t>
            </w:r>
          </w:p>
        </w:tc>
        <w:tc>
          <w:tcPr>
            <w:tcW w:w="1262"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二）分类推进42个违规项目整改。各地市严格落实节能审查制度，责令未批先建项目停止建设或投入生产，并责令限期整改。对于在建项目，督促指导地市通过能耗指标等量或减量替代、可再生能源扣减等方式落实能耗指标来源。对于已建成项目，督促指导项目单位开展整改，整改到位后，报送省级节能主管部门依法按程序完善相关手续。无法整改的，督促指导相关地市依法依规予以关停。42个违规项目原则上于2022年年底前完成整改。其中对于涉及产能置换，以及国家或省要求缓批限批的项目，整改完成时间不晚于2023年年底。</w:t>
            </w:r>
          </w:p>
        </w:tc>
        <w:tc>
          <w:tcPr>
            <w:tcW w:w="1740"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ind w:left="0" w:leftChars="0" w:firstLine="420" w:firstLineChars="200"/>
              <w:textAlignment w:val="center"/>
              <w:rPr>
                <w:rFonts w:ascii="仿宋_GB2312" w:hAnsi="仿宋_GB2312" w:cs="仿宋_GB2312"/>
                <w:color w:val="auto"/>
                <w:sz w:val="21"/>
                <w:szCs w:val="21"/>
              </w:rPr>
            </w:pPr>
            <w:r>
              <w:rPr>
                <w:rFonts w:hint="eastAsia" w:ascii="仿宋_GB2312" w:hAnsi="仿宋_GB2312" w:cs="仿宋_GB2312"/>
                <w:color w:val="auto"/>
                <w:sz w:val="21"/>
                <w:szCs w:val="21"/>
              </w:rPr>
              <w:t>针对2020年以来韶关市9个未批先建的“两高”项目，已全部发出限期整改通知书，责令违规项目暂停建设，限期整改，并对项目单位进行约谈。目前，9个项目全部完成整改，其中8个项目已取得省能源局或市发改局节能审查批复意见，完成整改；另外“韶关鼎信新型材料有限公司年产25万吨白色硅酸盐水泥迁建技改项目”已通过责令停止建设，拆除主要设备，暂缓项目实施，完成整改。</w:t>
            </w:r>
          </w:p>
        </w:tc>
        <w:tc>
          <w:tcPr>
            <w:tcW w:w="651" w:type="pct"/>
            <w:tcBorders>
              <w:top w:val="single" w:color="auto" w:sz="8" w:space="0"/>
              <w:left w:val="single" w:color="auto" w:sz="8" w:space="0"/>
              <w:bottom w:val="single" w:color="auto" w:sz="8" w:space="0"/>
              <w:right w:val="single" w:color="auto" w:sz="8" w:space="0"/>
            </w:tcBorders>
            <w:vAlign w:val="center"/>
          </w:tcPr>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☑已验收销号</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☑已完成</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□达到时序进度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□未达时序进度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□尚未启动</w:t>
            </w:r>
          </w:p>
        </w:tc>
      </w:tr>
      <w:tr>
        <w:tblPrEx>
          <w:tblCellMar>
            <w:top w:w="0" w:type="dxa"/>
            <w:left w:w="108" w:type="dxa"/>
            <w:bottom w:w="0" w:type="dxa"/>
            <w:right w:w="108" w:type="dxa"/>
          </w:tblCellMar>
        </w:tblPrEx>
        <w:trPr>
          <w:trHeight w:val="1502" w:hRule="atLeast"/>
          <w:jc w:val="center"/>
        </w:trPr>
        <w:tc>
          <w:tcPr>
            <w:tcW w:w="184" w:type="pct"/>
            <w:vMerge w:val="restart"/>
            <w:tcBorders>
              <w:top w:val="single" w:color="auto" w:sz="8" w:space="0"/>
              <w:left w:val="single" w:color="auto" w:sz="8" w:space="0"/>
              <w:right w:val="single" w:color="auto" w:sz="8" w:space="0"/>
            </w:tcBorders>
            <w:vAlign w:val="center"/>
          </w:tcPr>
          <w:p>
            <w:pPr>
              <w:spacing w:line="300" w:lineRule="exact"/>
              <w:jc w:val="center"/>
              <w:rPr>
                <w:rFonts w:ascii="仿宋_GB2312" w:hAnsi="仿宋_GB2312" w:cs="仿宋_GB2312"/>
                <w:color w:val="auto"/>
                <w:sz w:val="21"/>
                <w:szCs w:val="21"/>
              </w:rPr>
            </w:pPr>
            <w:r>
              <w:rPr>
                <w:rFonts w:hint="eastAsia" w:ascii="仿宋_GB2312" w:hAnsi="仿宋_GB2312" w:cs="仿宋_GB2312"/>
                <w:color w:val="auto"/>
                <w:sz w:val="21"/>
                <w:szCs w:val="21"/>
              </w:rPr>
              <w:t>5</w:t>
            </w:r>
          </w:p>
        </w:tc>
        <w:tc>
          <w:tcPr>
            <w:tcW w:w="890" w:type="pct"/>
            <w:vMerge w:val="restar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八、韶关市“十三五”能耗强度、碳排放强度任务均未完成，2020年以来仍放任9个“两高”项目未批先建。</w:t>
            </w:r>
          </w:p>
        </w:tc>
        <w:tc>
          <w:tcPr>
            <w:tcW w:w="270" w:type="pct"/>
            <w:vMerge w:val="restart"/>
            <w:tcBorders>
              <w:top w:val="single" w:color="auto" w:sz="8" w:space="0"/>
              <w:left w:val="single" w:color="auto" w:sz="8" w:space="0"/>
              <w:bottom w:val="single" w:color="auto" w:sz="8" w:space="0"/>
              <w:right w:val="single" w:color="auto" w:sz="8" w:space="0"/>
            </w:tcBorders>
            <w:vAlign w:val="center"/>
          </w:tcPr>
          <w:p>
            <w:pPr>
              <w:widowControl/>
              <w:snapToGrid w:val="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2022年年底前</w:t>
            </w:r>
          </w:p>
        </w:tc>
        <w:tc>
          <w:tcPr>
            <w:tcW w:w="1262"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一）把能耗双控、碳达峰、碳中和纳入生态文明建设整体布局，狠抓产业结构调整，推动新能源产业发展，着力推进风电、光伏发电项目建设。强化工业、建筑、交通运输、商业和民用、农村、公共机构等重点领域节能措施。加快推进重点用能企业节能技术改造，进一步挖掘节能潜力，提高能源利用效率。</w:t>
            </w:r>
          </w:p>
        </w:tc>
        <w:tc>
          <w:tcPr>
            <w:tcW w:w="1740"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ind w:left="0" w:leftChars="0" w:firstLine="420" w:firstLineChars="200"/>
              <w:textAlignment w:val="center"/>
              <w:rPr>
                <w:rFonts w:ascii="仿宋_GB2312" w:hAnsi="仿宋_GB2312" w:cs="仿宋_GB2312"/>
                <w:color w:val="auto"/>
                <w:kern w:val="0"/>
                <w:sz w:val="21"/>
                <w:szCs w:val="21"/>
              </w:rPr>
            </w:pPr>
            <w:r>
              <w:rPr>
                <w:rFonts w:hint="eastAsia" w:ascii="仿宋_GB2312" w:hAnsi="仿宋_GB2312" w:cs="仿宋_GB2312"/>
                <w:color w:val="auto"/>
                <w:kern w:val="0"/>
                <w:sz w:val="21"/>
                <w:szCs w:val="21"/>
              </w:rPr>
              <w:t>1.印发实施《韶关市制造业高质量发展“十四五”规划》《韶关市信息基础设施及数字经济发展“十四五”规划》，明确我市“十四五”制造业高质量发展和信息基础设施及数字经济发展目标和主要任务，逐步调整我市产业结构，提升经济质量和效益。</w:t>
            </w:r>
          </w:p>
          <w:p>
            <w:pPr>
              <w:keepNext w:val="0"/>
              <w:keepLines w:val="0"/>
              <w:pageBreakBefore w:val="0"/>
              <w:widowControl/>
              <w:kinsoku/>
              <w:wordWrap/>
              <w:overflowPunct/>
              <w:topLinePunct w:val="0"/>
              <w:autoSpaceDE/>
              <w:autoSpaceDN/>
              <w:bidi w:val="0"/>
              <w:adjustRightInd w:val="0"/>
              <w:snapToGrid w:val="0"/>
              <w:spacing w:line="240" w:lineRule="auto"/>
              <w:ind w:left="0" w:leftChars="0" w:firstLine="420" w:firstLineChars="200"/>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2.持续提升新能源在能源结构中的比重，截至2025年年底，全市可再生能源装机占比达58.87%，被列为全省第一批碳中和试点示范市。</w:t>
            </w:r>
          </w:p>
        </w:tc>
        <w:tc>
          <w:tcPr>
            <w:tcW w:w="651" w:type="pct"/>
            <w:tcBorders>
              <w:top w:val="single" w:color="auto" w:sz="8" w:space="0"/>
              <w:left w:val="single" w:color="auto" w:sz="8" w:space="0"/>
              <w:bottom w:val="single" w:color="auto" w:sz="8" w:space="0"/>
              <w:right w:val="single" w:color="auto" w:sz="8" w:space="0"/>
            </w:tcBorders>
            <w:vAlign w:val="center"/>
          </w:tcPr>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☑已验收销号</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☑已完成</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□达到时序进度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□未达时序进度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□尚未启动</w:t>
            </w:r>
          </w:p>
        </w:tc>
      </w:tr>
      <w:tr>
        <w:tblPrEx>
          <w:tblCellMar>
            <w:top w:w="0" w:type="dxa"/>
            <w:left w:w="108" w:type="dxa"/>
            <w:bottom w:w="0" w:type="dxa"/>
            <w:right w:w="108" w:type="dxa"/>
          </w:tblCellMar>
        </w:tblPrEx>
        <w:trPr>
          <w:trHeight w:val="521" w:hRule="atLeast"/>
          <w:jc w:val="center"/>
        </w:trPr>
        <w:tc>
          <w:tcPr>
            <w:tcW w:w="184" w:type="pct"/>
            <w:vMerge w:val="continue"/>
            <w:tcBorders>
              <w:left w:val="single" w:color="auto" w:sz="8" w:space="0"/>
              <w:right w:val="single" w:color="auto" w:sz="8" w:space="0"/>
            </w:tcBorders>
            <w:vAlign w:val="center"/>
          </w:tcPr>
          <w:p>
            <w:pPr>
              <w:spacing w:line="300" w:lineRule="exact"/>
              <w:ind w:firstLine="210" w:firstLineChars="100"/>
              <w:jc w:val="center"/>
              <w:rPr>
                <w:rFonts w:ascii="仿宋_GB2312" w:hAnsi="仿宋_GB2312" w:cs="仿宋_GB2312"/>
                <w:color w:val="auto"/>
                <w:sz w:val="21"/>
                <w:szCs w:val="21"/>
              </w:rPr>
            </w:pPr>
          </w:p>
        </w:tc>
        <w:tc>
          <w:tcPr>
            <w:tcW w:w="890" w:type="pct"/>
            <w:vMerge w:val="continue"/>
            <w:tcBorders>
              <w:top w:val="single" w:color="auto" w:sz="8" w:space="0"/>
              <w:left w:val="single" w:color="auto" w:sz="8" w:space="0"/>
              <w:bottom w:val="single" w:color="auto" w:sz="8" w:space="0"/>
              <w:right w:val="single" w:color="auto" w:sz="8" w:space="0"/>
            </w:tcBorders>
            <w:vAlign w:val="center"/>
          </w:tcPr>
          <w:p>
            <w:pPr>
              <w:keepNext w:val="0"/>
              <w:keepLines w:val="0"/>
              <w:pageBreakBefore w:val="0"/>
              <w:kinsoku/>
              <w:wordWrap/>
              <w:overflowPunct/>
              <w:topLinePunct w:val="0"/>
              <w:autoSpaceDE/>
              <w:autoSpaceDN/>
              <w:bidi w:val="0"/>
              <w:adjustRightInd w:val="0"/>
              <w:snapToGrid w:val="0"/>
              <w:spacing w:line="240" w:lineRule="exact"/>
              <w:ind w:firstLine="420" w:firstLineChars="200"/>
              <w:jc w:val="left"/>
              <w:rPr>
                <w:rFonts w:ascii="仿宋_GB2312" w:hAnsi="仿宋_GB2312" w:cs="仿宋_GB2312"/>
                <w:color w:val="auto"/>
                <w:sz w:val="21"/>
                <w:szCs w:val="21"/>
              </w:rPr>
            </w:pPr>
          </w:p>
        </w:tc>
        <w:tc>
          <w:tcPr>
            <w:tcW w:w="270" w:type="pct"/>
            <w:vMerge w:val="continue"/>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cs="仿宋_GB2312"/>
                <w:color w:val="auto"/>
                <w:sz w:val="21"/>
                <w:szCs w:val="21"/>
              </w:rPr>
            </w:pPr>
          </w:p>
        </w:tc>
        <w:tc>
          <w:tcPr>
            <w:tcW w:w="1262"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（二）严格落实节能审查制度。新建项目必须符合国家产业政策且能效达到行业先进水平。“十四五”期间投产的年综合能耗5000吨标准煤以上的“两高”项目，未落实能耗指标来源的，实行缓建、缓投产。</w:t>
            </w:r>
          </w:p>
        </w:tc>
        <w:tc>
          <w:tcPr>
            <w:tcW w:w="1740" w:type="pct"/>
            <w:tcBorders>
              <w:top w:val="single" w:color="auto" w:sz="8" w:space="0"/>
              <w:left w:val="single" w:color="auto" w:sz="8" w:space="0"/>
              <w:bottom w:val="single" w:color="auto" w:sz="8" w:space="0"/>
              <w:right w:val="single" w:color="auto" w:sz="8" w:space="0"/>
            </w:tcBorders>
            <w:vAlign w:val="center"/>
          </w:tcPr>
          <w:p>
            <w:pPr>
              <w:pStyle w:val="27"/>
              <w:keepNext w:val="0"/>
              <w:keepLines w:val="0"/>
              <w:pageBreakBefore w:val="0"/>
              <w:kinsoku/>
              <w:wordWrap/>
              <w:overflowPunct/>
              <w:topLinePunct w:val="0"/>
              <w:autoSpaceDE/>
              <w:autoSpaceDN/>
              <w:bidi w:val="0"/>
              <w:adjustRightInd w:val="0"/>
              <w:snapToGrid w:val="0"/>
              <w:spacing w:line="240" w:lineRule="auto"/>
              <w:ind w:left="0" w:leftChars="0" w:firstLine="420" w:firstLineChars="200"/>
              <w:rPr>
                <w:rFonts w:ascii="仿宋_GB2312" w:hAnsi="仿宋_GB2312" w:eastAsia="仿宋_GB2312" w:cs="仿宋_GB2312"/>
                <w:color w:val="auto"/>
                <w:szCs w:val="21"/>
              </w:rPr>
            </w:pPr>
            <w:r>
              <w:rPr>
                <w:rFonts w:hint="eastAsia" w:ascii="仿宋_GB2312" w:hAnsi="仿宋_GB2312" w:eastAsia="仿宋_GB2312" w:cs="仿宋_GB2312"/>
                <w:color w:val="auto"/>
                <w:kern w:val="0"/>
                <w:szCs w:val="21"/>
              </w:rPr>
              <w:t>严格节能审查。我市严格贯彻落实省坚决遏制“两高”项目盲目发展实施方案，严格控制新上“两高”项目，强化能耗来源审查，要求新上项目必须符合国家产业政策且单位产品能耗达到行业先进水平，符合节约能源等相关规划，对不符合产业政策、没有能源指标来源等项目坚决不予审批。</w:t>
            </w:r>
          </w:p>
        </w:tc>
        <w:tc>
          <w:tcPr>
            <w:tcW w:w="651" w:type="pct"/>
            <w:tcBorders>
              <w:top w:val="single" w:color="auto" w:sz="8" w:space="0"/>
              <w:left w:val="single" w:color="auto" w:sz="8" w:space="0"/>
              <w:bottom w:val="single" w:color="auto" w:sz="8" w:space="0"/>
              <w:right w:val="single" w:color="auto" w:sz="8" w:space="0"/>
            </w:tcBorders>
            <w:vAlign w:val="center"/>
          </w:tcPr>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☑已验收销号</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☑已完成</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□达到时序进度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□未达时序进度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□尚未启动</w:t>
            </w:r>
          </w:p>
        </w:tc>
      </w:tr>
      <w:tr>
        <w:tblPrEx>
          <w:tblCellMar>
            <w:top w:w="0" w:type="dxa"/>
            <w:left w:w="108" w:type="dxa"/>
            <w:bottom w:w="0" w:type="dxa"/>
            <w:right w:w="108" w:type="dxa"/>
          </w:tblCellMar>
        </w:tblPrEx>
        <w:trPr>
          <w:trHeight w:val="3204" w:hRule="atLeast"/>
          <w:jc w:val="center"/>
        </w:trPr>
        <w:tc>
          <w:tcPr>
            <w:tcW w:w="184" w:type="pct"/>
            <w:vMerge w:val="continue"/>
            <w:tcBorders>
              <w:left w:val="single" w:color="auto" w:sz="8" w:space="0"/>
              <w:right w:val="single" w:color="auto" w:sz="8" w:space="0"/>
            </w:tcBorders>
            <w:vAlign w:val="center"/>
          </w:tcPr>
          <w:p>
            <w:pPr>
              <w:spacing w:line="300" w:lineRule="exact"/>
              <w:ind w:firstLine="210" w:firstLineChars="100"/>
              <w:jc w:val="center"/>
              <w:rPr>
                <w:rFonts w:ascii="仿宋_GB2312" w:hAnsi="仿宋_GB2312" w:cs="仿宋_GB2312"/>
                <w:color w:val="auto"/>
                <w:sz w:val="21"/>
                <w:szCs w:val="21"/>
              </w:rPr>
            </w:pPr>
          </w:p>
        </w:tc>
        <w:tc>
          <w:tcPr>
            <w:tcW w:w="890" w:type="pct"/>
            <w:vMerge w:val="continue"/>
            <w:tcBorders>
              <w:top w:val="single" w:color="auto" w:sz="8" w:space="0"/>
              <w:left w:val="single" w:color="auto" w:sz="8" w:space="0"/>
              <w:bottom w:val="single" w:color="auto" w:sz="8" w:space="0"/>
              <w:right w:val="single" w:color="auto" w:sz="8" w:space="0"/>
            </w:tcBorders>
            <w:vAlign w:val="center"/>
          </w:tcPr>
          <w:p>
            <w:pPr>
              <w:keepNext w:val="0"/>
              <w:keepLines w:val="0"/>
              <w:pageBreakBefore w:val="0"/>
              <w:kinsoku/>
              <w:wordWrap/>
              <w:overflowPunct/>
              <w:topLinePunct w:val="0"/>
              <w:autoSpaceDE/>
              <w:autoSpaceDN/>
              <w:bidi w:val="0"/>
              <w:adjustRightInd w:val="0"/>
              <w:snapToGrid w:val="0"/>
              <w:spacing w:line="240" w:lineRule="exact"/>
              <w:ind w:firstLine="420" w:firstLineChars="200"/>
              <w:jc w:val="left"/>
              <w:rPr>
                <w:rFonts w:ascii="仿宋_GB2312" w:hAnsi="仿宋_GB2312" w:cs="仿宋_GB2312"/>
                <w:color w:val="auto"/>
                <w:sz w:val="21"/>
                <w:szCs w:val="21"/>
              </w:rPr>
            </w:pPr>
          </w:p>
        </w:tc>
        <w:tc>
          <w:tcPr>
            <w:tcW w:w="270" w:type="pct"/>
            <w:vMerge w:val="continue"/>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cs="仿宋_GB2312"/>
                <w:color w:val="auto"/>
                <w:sz w:val="21"/>
                <w:szCs w:val="21"/>
              </w:rPr>
            </w:pPr>
          </w:p>
        </w:tc>
        <w:tc>
          <w:tcPr>
            <w:tcW w:w="1262"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三）坚决遏制“两高”项目盲目发展。贯彻落实《广东省坚决遏制“两高”项目盲目发展的实施方案》，严格控制新上“两高”项目。着力抓好重点领域节能，强化重点用能单位管理。加强对年综合能耗1000吨标准煤以上的工业企业用能情况跟踪和分析，严格控制高耗能企业的能耗过快增长。</w:t>
            </w:r>
          </w:p>
        </w:tc>
        <w:tc>
          <w:tcPr>
            <w:tcW w:w="1740" w:type="pct"/>
            <w:tcBorders>
              <w:top w:val="single" w:color="auto" w:sz="8" w:space="0"/>
              <w:left w:val="single" w:color="auto" w:sz="8" w:space="0"/>
              <w:bottom w:val="single" w:color="auto" w:sz="8" w:space="0"/>
              <w:right w:val="single" w:color="auto" w:sz="8" w:space="0"/>
            </w:tcBorders>
            <w:vAlign w:val="center"/>
          </w:tcPr>
          <w:p>
            <w:pPr>
              <w:pStyle w:val="27"/>
              <w:keepNext w:val="0"/>
              <w:keepLines w:val="0"/>
              <w:pageBreakBefore w:val="0"/>
              <w:kinsoku/>
              <w:wordWrap/>
              <w:overflowPunct/>
              <w:topLinePunct w:val="0"/>
              <w:autoSpaceDE/>
              <w:autoSpaceDN/>
              <w:bidi w:val="0"/>
              <w:adjustRightInd w:val="0"/>
              <w:snapToGrid w:val="0"/>
              <w:spacing w:line="240" w:lineRule="auto"/>
              <w:ind w:left="0" w:leftChars="0" w:firstLine="420" w:firstLineChars="200"/>
              <w:rPr>
                <w:rFonts w:ascii="仿宋_GB2312" w:hAnsi="仿宋_GB2312" w:eastAsia="仿宋_GB2312" w:cs="仿宋_GB2312"/>
                <w:color w:val="auto"/>
                <w:kern w:val="0"/>
                <w:szCs w:val="21"/>
              </w:rPr>
            </w:pPr>
            <w:r>
              <w:rPr>
                <w:rFonts w:hint="eastAsia" w:ascii="仿宋_GB2312" w:hAnsi="仿宋_GB2312" w:eastAsia="仿宋_GB2312" w:cs="仿宋_GB2312"/>
                <w:color w:val="auto"/>
                <w:kern w:val="0"/>
                <w:szCs w:val="21"/>
              </w:rPr>
              <w:t>一是着力强化重点用能企业监督管理。开展重点用能企业能源审计和能效诊断工作，全面深入摸排重点用能企业能源消费基本情况、产品单耗、主要用能设备能效水平；二是着力推进重点领域节能降碳工作。充分利用中央、省级节能专项资金，引导重点领域企业开展节能降碳技改，成功推动中南钢铁高炉鼓风机节能技术改造工程、丹冶炼锌渣绿色化升级改造等22个节能降碳项目实施，并争取到中央、省级节能降耗专项资金合计2.58亿元。</w:t>
            </w:r>
          </w:p>
        </w:tc>
        <w:tc>
          <w:tcPr>
            <w:tcW w:w="651" w:type="pct"/>
            <w:tcBorders>
              <w:top w:val="single" w:color="auto" w:sz="8" w:space="0"/>
              <w:left w:val="single" w:color="auto" w:sz="8" w:space="0"/>
              <w:bottom w:val="single" w:color="auto" w:sz="8" w:space="0"/>
              <w:right w:val="single" w:color="auto" w:sz="8" w:space="0"/>
            </w:tcBorders>
            <w:vAlign w:val="center"/>
          </w:tcPr>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☑已验收销号</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☑已完成</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□达到时序进度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□未达时序进度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□尚未启动</w:t>
            </w:r>
          </w:p>
        </w:tc>
      </w:tr>
      <w:tr>
        <w:tblPrEx>
          <w:tblCellMar>
            <w:top w:w="0" w:type="dxa"/>
            <w:left w:w="108" w:type="dxa"/>
            <w:bottom w:w="0" w:type="dxa"/>
            <w:right w:w="108" w:type="dxa"/>
          </w:tblCellMar>
        </w:tblPrEx>
        <w:trPr>
          <w:trHeight w:val="3917" w:hRule="atLeast"/>
          <w:jc w:val="center"/>
        </w:trPr>
        <w:tc>
          <w:tcPr>
            <w:tcW w:w="184" w:type="pct"/>
            <w:vMerge w:val="continue"/>
            <w:tcBorders>
              <w:left w:val="single" w:color="auto" w:sz="8" w:space="0"/>
              <w:bottom w:val="single" w:color="auto" w:sz="8" w:space="0"/>
              <w:right w:val="single" w:color="auto" w:sz="8" w:space="0"/>
            </w:tcBorders>
            <w:vAlign w:val="center"/>
          </w:tcPr>
          <w:p>
            <w:pPr>
              <w:spacing w:line="300" w:lineRule="exact"/>
              <w:ind w:firstLine="210" w:firstLineChars="100"/>
              <w:jc w:val="center"/>
              <w:rPr>
                <w:rFonts w:ascii="仿宋_GB2312" w:hAnsi="仿宋_GB2312" w:cs="仿宋_GB2312"/>
                <w:color w:val="auto"/>
                <w:sz w:val="21"/>
                <w:szCs w:val="21"/>
              </w:rPr>
            </w:pPr>
          </w:p>
        </w:tc>
        <w:tc>
          <w:tcPr>
            <w:tcW w:w="890" w:type="pct"/>
            <w:vMerge w:val="continue"/>
            <w:tcBorders>
              <w:top w:val="single" w:color="auto" w:sz="8" w:space="0"/>
              <w:left w:val="single" w:color="auto" w:sz="8" w:space="0"/>
              <w:bottom w:val="single" w:color="auto" w:sz="8" w:space="0"/>
              <w:right w:val="single" w:color="auto" w:sz="8" w:space="0"/>
            </w:tcBorders>
            <w:vAlign w:val="center"/>
          </w:tcPr>
          <w:p>
            <w:pPr>
              <w:keepNext w:val="0"/>
              <w:keepLines w:val="0"/>
              <w:pageBreakBefore w:val="0"/>
              <w:kinsoku/>
              <w:wordWrap/>
              <w:overflowPunct/>
              <w:topLinePunct w:val="0"/>
              <w:autoSpaceDE/>
              <w:autoSpaceDN/>
              <w:bidi w:val="0"/>
              <w:adjustRightInd w:val="0"/>
              <w:snapToGrid w:val="0"/>
              <w:spacing w:line="240" w:lineRule="exact"/>
              <w:ind w:firstLine="420" w:firstLineChars="200"/>
              <w:jc w:val="left"/>
              <w:rPr>
                <w:rFonts w:ascii="仿宋_GB2312" w:hAnsi="仿宋_GB2312" w:cs="仿宋_GB2312"/>
                <w:color w:val="auto"/>
                <w:sz w:val="21"/>
                <w:szCs w:val="21"/>
              </w:rPr>
            </w:pPr>
          </w:p>
        </w:tc>
        <w:tc>
          <w:tcPr>
            <w:tcW w:w="270" w:type="pct"/>
            <w:vMerge w:val="continue"/>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cs="仿宋_GB2312"/>
                <w:color w:val="auto"/>
                <w:sz w:val="21"/>
                <w:szCs w:val="21"/>
              </w:rPr>
            </w:pPr>
          </w:p>
        </w:tc>
        <w:tc>
          <w:tcPr>
            <w:tcW w:w="1262"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四）分类推进9个“两高”项目问题整改。暂停违规项目建设，对项目单位进行约谈，限期整改。成立市清理整顿“两高”违规项目工作专班，制定具体能耗指标等量减量替代方案，通过发展可再生能源等方式落实能耗指标来源，指导项目单位完成节能报告，并报送省级节能主管部门，依法补办节能审查手续。2022年年底前完成韶关市明昊新建材有限公司年产20万吨环保材料、韶关乳源东阳光优艾希杰精箔有限公司东阳光优艾希杰年产4万吨高精度铝箔新材料等9个项目整改。</w:t>
            </w:r>
          </w:p>
        </w:tc>
        <w:tc>
          <w:tcPr>
            <w:tcW w:w="1740" w:type="pct"/>
            <w:tcBorders>
              <w:top w:val="single" w:color="auto" w:sz="8" w:space="0"/>
              <w:left w:val="single" w:color="auto" w:sz="8" w:space="0"/>
              <w:bottom w:val="single" w:color="auto" w:sz="8" w:space="0"/>
              <w:right w:val="single" w:color="auto" w:sz="8" w:space="0"/>
            </w:tcBorders>
            <w:vAlign w:val="center"/>
          </w:tcPr>
          <w:p>
            <w:pPr>
              <w:pStyle w:val="27"/>
              <w:keepNext w:val="0"/>
              <w:keepLines w:val="0"/>
              <w:pageBreakBefore w:val="0"/>
              <w:kinsoku/>
              <w:wordWrap/>
              <w:overflowPunct/>
              <w:topLinePunct w:val="0"/>
              <w:autoSpaceDE/>
              <w:autoSpaceDN/>
              <w:bidi w:val="0"/>
              <w:adjustRightInd w:val="0"/>
              <w:snapToGrid w:val="0"/>
              <w:spacing w:line="240" w:lineRule="auto"/>
              <w:ind w:left="0" w:leftChars="0" w:firstLine="420" w:firstLineChars="200"/>
              <w:rPr>
                <w:rFonts w:ascii="仿宋_GB2312" w:hAnsi="仿宋_GB2312" w:eastAsia="仿宋_GB2312" w:cs="仿宋_GB2312"/>
                <w:color w:val="auto"/>
                <w:szCs w:val="21"/>
              </w:rPr>
            </w:pPr>
            <w:r>
              <w:rPr>
                <w:rFonts w:hint="eastAsia" w:ascii="仿宋_GB2312" w:hAnsi="仿宋_GB2312" w:eastAsia="仿宋_GB2312" w:cs="仿宋_GB2312"/>
                <w:color w:val="auto"/>
                <w:szCs w:val="21"/>
              </w:rPr>
              <w:t>针对2020年以来韶关市9个未批先建的“两高”项目，已全部发出限期整改通知书，责令违规项目暂停建设，限期整改，并对项目单位进行约谈。目前，9个项目全部完成整改，其中8个项目已取得省能源局或市发改局节能审查批复意见，完成整改；另外“韶关鼎信新型材料有限公司年产25万吨白色硅酸盐水泥迁建技改项目”已通过责令停止建设，拆除主要设备，暂缓项目实施，完成整改。</w:t>
            </w:r>
          </w:p>
        </w:tc>
        <w:tc>
          <w:tcPr>
            <w:tcW w:w="651" w:type="pct"/>
            <w:tcBorders>
              <w:top w:val="single" w:color="auto" w:sz="8" w:space="0"/>
              <w:left w:val="single" w:color="auto" w:sz="8" w:space="0"/>
              <w:bottom w:val="single" w:color="auto" w:sz="8" w:space="0"/>
              <w:right w:val="single" w:color="auto" w:sz="8" w:space="0"/>
            </w:tcBorders>
            <w:vAlign w:val="center"/>
          </w:tcPr>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☑已验收销号</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☑已完成</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□达到时序进度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□未达时序进度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□尚未启动</w:t>
            </w:r>
          </w:p>
        </w:tc>
      </w:tr>
      <w:tr>
        <w:tblPrEx>
          <w:tblCellMar>
            <w:top w:w="0" w:type="dxa"/>
            <w:left w:w="108" w:type="dxa"/>
            <w:bottom w:w="0" w:type="dxa"/>
            <w:right w:w="108" w:type="dxa"/>
          </w:tblCellMar>
        </w:tblPrEx>
        <w:trPr>
          <w:trHeight w:val="4350" w:hRule="atLeast"/>
          <w:jc w:val="center"/>
        </w:trPr>
        <w:tc>
          <w:tcPr>
            <w:tcW w:w="184" w:type="pct"/>
            <w:tcBorders>
              <w:top w:val="single" w:color="auto" w:sz="8" w:space="0"/>
              <w:left w:val="single" w:color="auto" w:sz="8" w:space="0"/>
              <w:bottom w:val="single" w:color="auto" w:sz="8" w:space="0"/>
              <w:right w:val="single" w:color="auto" w:sz="8" w:space="0"/>
            </w:tcBorders>
            <w:vAlign w:val="center"/>
          </w:tcPr>
          <w:p>
            <w:pPr>
              <w:spacing w:line="300" w:lineRule="exact"/>
              <w:jc w:val="center"/>
              <w:rPr>
                <w:rFonts w:ascii="仿宋_GB2312" w:hAnsi="仿宋_GB2312" w:cs="仿宋_GB2312"/>
                <w:color w:val="auto"/>
                <w:sz w:val="21"/>
                <w:szCs w:val="21"/>
              </w:rPr>
            </w:pPr>
            <w:r>
              <w:rPr>
                <w:rFonts w:hint="eastAsia" w:ascii="仿宋_GB2312" w:hAnsi="仿宋_GB2312" w:cs="仿宋_GB2312"/>
                <w:color w:val="auto"/>
                <w:sz w:val="21"/>
                <w:szCs w:val="21"/>
              </w:rPr>
              <w:t>6</w:t>
            </w:r>
          </w:p>
        </w:tc>
        <w:tc>
          <w:tcPr>
            <w:tcW w:w="890"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ind w:firstLine="420" w:firstLineChars="200"/>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十、近年来，广东省生活污水管网和处理设施建设力度空前，但主要集中在广州、深圳、东莞及练江流域，其他地区力度不足，差距很大，区域工作推进不平衡。2018年以来，广州、深圳、东莞3市新增管网2.06万公里，占全省新增总数的78.6%，新增处理能力397万吨/日，占全省的56%。其余18个地市新增管网占比仅21.4%，新增处理能力占比仅44%。区域管网建设的不平衡导致污水收集率差异明显。2020年粤西地区污水收集率仅52.5%，粤东、粤北地区污水收集率更低，分别只有34.5%、32.5%，不足珠三角地区的1/2。</w:t>
            </w:r>
          </w:p>
        </w:tc>
        <w:tc>
          <w:tcPr>
            <w:tcW w:w="270" w:type="pct"/>
            <w:tcBorders>
              <w:top w:val="single" w:color="auto" w:sz="8" w:space="0"/>
              <w:left w:val="single" w:color="auto" w:sz="8" w:space="0"/>
              <w:bottom w:val="single" w:color="auto" w:sz="8" w:space="0"/>
              <w:right w:val="single" w:color="auto" w:sz="8" w:space="0"/>
            </w:tcBorders>
            <w:vAlign w:val="center"/>
          </w:tcPr>
          <w:p>
            <w:pPr>
              <w:widowControl/>
              <w:snapToGrid w:val="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2025年年底前</w:t>
            </w:r>
          </w:p>
        </w:tc>
        <w:tc>
          <w:tcPr>
            <w:tcW w:w="1262"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四）韶关市2023年年底前建成乐昌市第二污水处理厂一期（3万吨/日）及配套管网工程、翁源县县城罗坑水污水处理厂（0.5万吨/日）、乳源瑶族自治县污水处理厂二期扩建工程（1.5万吨/日），合计新增城市（县城）污水处理能力5万吨/日。2022-2023年年底前新增城市（县城）污水管网212公里，2025年年底前累计新增367公里。到2025年年底，城区污水集中收集率达到45%以上。</w:t>
            </w:r>
          </w:p>
        </w:tc>
        <w:tc>
          <w:tcPr>
            <w:tcW w:w="1740" w:type="pct"/>
            <w:tcBorders>
              <w:top w:val="single" w:color="auto" w:sz="8" w:space="0"/>
              <w:left w:val="single" w:color="auto" w:sz="8" w:space="0"/>
              <w:bottom w:val="single" w:color="auto" w:sz="8" w:space="0"/>
              <w:right w:val="single" w:color="auto" w:sz="8" w:space="0"/>
            </w:tcBorders>
            <w:vAlign w:val="center"/>
          </w:tcPr>
          <w:p>
            <w:pPr>
              <w:pStyle w:val="6"/>
              <w:keepNext w:val="0"/>
              <w:keepLines w:val="0"/>
              <w:pageBreakBefore w:val="0"/>
              <w:kinsoku/>
              <w:wordWrap/>
              <w:overflowPunct/>
              <w:topLinePunct w:val="0"/>
              <w:autoSpaceDE/>
              <w:autoSpaceDN/>
              <w:bidi w:val="0"/>
              <w:adjustRightInd w:val="0"/>
              <w:snapToGrid w:val="0"/>
              <w:spacing w:line="240" w:lineRule="auto"/>
              <w:ind w:left="0" w:leftChars="0" w:firstLine="420" w:firstLineChars="200"/>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1.2022年已建成翁源县县城罗坑水污水处理厂（0.5万吨/日）、乳源瑶族自治县污水处理厂二期扩建工程（1.5万吨/日），并已投入运行；</w:t>
            </w:r>
          </w:p>
          <w:p>
            <w:pPr>
              <w:pStyle w:val="6"/>
              <w:keepNext w:val="0"/>
              <w:keepLines w:val="0"/>
              <w:pageBreakBefore w:val="0"/>
              <w:kinsoku/>
              <w:wordWrap/>
              <w:overflowPunct/>
              <w:topLinePunct w:val="0"/>
              <w:autoSpaceDE/>
              <w:autoSpaceDN/>
              <w:bidi w:val="0"/>
              <w:adjustRightInd w:val="0"/>
              <w:snapToGrid w:val="0"/>
              <w:spacing w:line="240" w:lineRule="auto"/>
              <w:ind w:left="0" w:leftChars="0" w:firstLine="420" w:firstLineChars="200"/>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乐昌市第二污水处理厂一期工程(3万吨/日)已于2023年12月完成建设，并已投入使用.</w:t>
            </w:r>
          </w:p>
          <w:p>
            <w:pPr>
              <w:pStyle w:val="6"/>
              <w:keepNext w:val="0"/>
              <w:keepLines w:val="0"/>
              <w:pageBreakBefore w:val="0"/>
              <w:kinsoku/>
              <w:wordWrap/>
              <w:overflowPunct/>
              <w:topLinePunct w:val="0"/>
              <w:autoSpaceDE/>
              <w:autoSpaceDN/>
              <w:bidi w:val="0"/>
              <w:adjustRightInd w:val="0"/>
              <w:snapToGrid w:val="0"/>
              <w:spacing w:line="240" w:lineRule="auto"/>
              <w:ind w:left="0" w:leftChars="0" w:firstLine="420" w:firstLineChars="200"/>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2.截至2023年12月底，合计新增城市（县城）污水处理能力5万吨/日。</w:t>
            </w:r>
          </w:p>
          <w:p>
            <w:pPr>
              <w:pStyle w:val="42"/>
              <w:keepNext w:val="0"/>
              <w:keepLines w:val="0"/>
              <w:pageBreakBefore w:val="0"/>
              <w:kinsoku/>
              <w:wordWrap/>
              <w:overflowPunct/>
              <w:topLinePunct w:val="0"/>
              <w:autoSpaceDE/>
              <w:autoSpaceDN/>
              <w:bidi w:val="0"/>
              <w:adjustRightInd w:val="0"/>
              <w:snapToGrid w:val="0"/>
              <w:spacing w:line="240" w:lineRule="auto"/>
              <w:ind w:left="0" w:leftChars="0" w:firstLine="420" w:firstLineChars="200"/>
              <w:rPr>
                <w:rFonts w:ascii="楷体_GB2312" w:hAnsi="Times New Roman" w:eastAsia="楷体_GB2312" w:cs="Times New Roman"/>
                <w:color w:val="auto"/>
              </w:rPr>
            </w:pPr>
            <w:r>
              <w:rPr>
                <w:rFonts w:hint="eastAsia" w:ascii="仿宋_GB2312" w:hAnsi="仿宋_GB2312" w:eastAsia="仿宋_GB2312" w:cs="仿宋_GB2312"/>
                <w:color w:val="auto"/>
              </w:rPr>
              <w:t>3.2022年新增新增城市（县城）生活污水管网172.97公里，年度目标完成率172.1%；2023年城市（县城）生活污水管网161.76公里，年度目标完成率145%。</w:t>
            </w:r>
            <w:r>
              <w:rPr>
                <w:rFonts w:hint="eastAsia" w:ascii="仿宋_GB2312" w:hAnsi="仿宋_GB2312" w:eastAsia="仿宋_GB2312" w:cs="仿宋_GB2312"/>
                <w:color w:val="auto"/>
                <w:lang w:val="en"/>
              </w:rPr>
              <w:t>2024年新增城市（县城）污水管网96.3公里。</w:t>
            </w:r>
            <w:r>
              <w:rPr>
                <w:rFonts w:ascii="仿宋_GB2312" w:hAnsi="仿宋_GB2312" w:eastAsia="仿宋_GB2312" w:cs="仿宋_GB2312"/>
                <w:color w:val="auto"/>
              </w:rPr>
              <w:t>2025年新增城市（县城）污水管网100.79公里。</w:t>
            </w:r>
          </w:p>
          <w:p>
            <w:pPr>
              <w:pStyle w:val="42"/>
              <w:keepNext w:val="0"/>
              <w:keepLines w:val="0"/>
              <w:pageBreakBefore w:val="0"/>
              <w:kinsoku/>
              <w:wordWrap/>
              <w:overflowPunct/>
              <w:topLinePunct w:val="0"/>
              <w:autoSpaceDE/>
              <w:autoSpaceDN/>
              <w:bidi w:val="0"/>
              <w:adjustRightInd w:val="0"/>
              <w:snapToGrid w:val="0"/>
              <w:spacing w:line="240" w:lineRule="auto"/>
              <w:ind w:left="0" w:leftChars="0" w:firstLine="420" w:firstLineChars="200"/>
              <w:rPr>
                <w:rFonts w:ascii="仿宋_GB2312" w:hAnsi="仿宋_GB2312" w:eastAsia="仿宋_GB2312" w:cs="仿宋_GB2312"/>
                <w:color w:val="auto"/>
              </w:rPr>
            </w:pPr>
            <w:r>
              <w:rPr>
                <w:rFonts w:hint="eastAsia" w:ascii="仿宋_GB2312" w:hAnsi="仿宋_GB2312" w:eastAsia="仿宋_GB2312" w:cs="仿宋_GB2312"/>
                <w:color w:val="auto"/>
              </w:rPr>
              <w:t>4.</w:t>
            </w:r>
            <w:r>
              <w:rPr>
                <w:rFonts w:ascii="仿宋_GB2312" w:hAnsi="仿宋_GB2312" w:eastAsia="仿宋_GB2312" w:cs="仿宋_GB2312"/>
                <w:color w:val="auto"/>
              </w:rPr>
              <w:t>2025年，韶关市城区污水收集率为47.82%，乐昌市城区污水收集率为46.75%，南雄市城区污水收集率为41.76%。</w:t>
            </w:r>
          </w:p>
        </w:tc>
        <w:tc>
          <w:tcPr>
            <w:tcW w:w="651" w:type="pct"/>
            <w:tcBorders>
              <w:top w:val="single" w:color="auto" w:sz="8" w:space="0"/>
              <w:left w:val="single" w:color="auto" w:sz="8" w:space="0"/>
              <w:bottom w:val="single" w:color="auto" w:sz="8" w:space="0"/>
              <w:right w:val="single" w:color="auto" w:sz="8" w:space="0"/>
            </w:tcBorders>
            <w:vAlign w:val="center"/>
          </w:tcPr>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□已验收销号</w:t>
            </w:r>
          </w:p>
          <w:p>
            <w:pPr>
              <w:spacing w:line="300" w:lineRule="exact"/>
              <w:rPr>
                <w:rFonts w:ascii="仿宋_GB2312" w:hAnsi="仿宋_GB2312" w:cs="仿宋_GB2312"/>
                <w:color w:val="auto"/>
                <w:sz w:val="21"/>
                <w:szCs w:val="21"/>
              </w:rPr>
            </w:pPr>
            <w:r>
              <w:rPr>
                <w:rFonts w:ascii="Segoe UI Symbol" w:hAnsi="Segoe UI Symbol" w:cs="Segoe UI Symbol"/>
                <w:color w:val="auto"/>
                <w:sz w:val="21"/>
                <w:szCs w:val="21"/>
              </w:rPr>
              <w:t>☑</w:t>
            </w:r>
            <w:r>
              <w:rPr>
                <w:rFonts w:hint="eastAsia" w:ascii="仿宋_GB2312" w:hAnsi="仿宋_GB2312" w:cs="仿宋_GB2312"/>
                <w:color w:val="auto"/>
                <w:sz w:val="21"/>
                <w:szCs w:val="21"/>
              </w:rPr>
              <w:t>已完成</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□达到时序进度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□未达时序进度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□尚未启动</w:t>
            </w:r>
          </w:p>
        </w:tc>
      </w:tr>
      <w:tr>
        <w:tblPrEx>
          <w:tblCellMar>
            <w:top w:w="0" w:type="dxa"/>
            <w:left w:w="108" w:type="dxa"/>
            <w:bottom w:w="0" w:type="dxa"/>
            <w:right w:w="108" w:type="dxa"/>
          </w:tblCellMar>
        </w:tblPrEx>
        <w:trPr>
          <w:trHeight w:val="5564" w:hRule="atLeast"/>
          <w:jc w:val="center"/>
        </w:trPr>
        <w:tc>
          <w:tcPr>
            <w:tcW w:w="184" w:type="pct"/>
            <w:tcBorders>
              <w:top w:val="single" w:color="auto" w:sz="8" w:space="0"/>
              <w:left w:val="single" w:color="auto" w:sz="8" w:space="0"/>
              <w:bottom w:val="single" w:color="auto" w:sz="8" w:space="0"/>
              <w:right w:val="single" w:color="auto" w:sz="8" w:space="0"/>
            </w:tcBorders>
            <w:vAlign w:val="center"/>
          </w:tcPr>
          <w:p>
            <w:pPr>
              <w:spacing w:line="300" w:lineRule="exact"/>
              <w:jc w:val="center"/>
              <w:rPr>
                <w:rFonts w:ascii="仿宋_GB2312" w:hAnsi="仿宋_GB2312" w:cs="仿宋_GB2312"/>
                <w:color w:val="auto"/>
                <w:sz w:val="21"/>
                <w:szCs w:val="21"/>
              </w:rPr>
            </w:pPr>
            <w:r>
              <w:rPr>
                <w:rFonts w:hint="eastAsia" w:ascii="仿宋_GB2312" w:hAnsi="仿宋_GB2312" w:cs="仿宋_GB2312"/>
                <w:color w:val="auto"/>
                <w:sz w:val="21"/>
                <w:szCs w:val="21"/>
              </w:rPr>
              <w:t>7</w:t>
            </w:r>
          </w:p>
        </w:tc>
        <w:tc>
          <w:tcPr>
            <w:tcW w:w="890"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十一、生活垃圾处理不平衡问题也十分突出。截至2021年8月，珠三角地区生活垃圾焚烧占比达75.4%，深圳、惠州、东莞等市已经实现“日产日清”全焚烧，但粤北地区垃圾焚烧占比仅为41.1%，河源、云浮两市垃圾更是零焚烧，完全依靠填埋。</w:t>
            </w:r>
          </w:p>
        </w:tc>
        <w:tc>
          <w:tcPr>
            <w:tcW w:w="270" w:type="pct"/>
            <w:tcBorders>
              <w:top w:val="single" w:color="auto" w:sz="8" w:space="0"/>
              <w:left w:val="single" w:color="auto" w:sz="8" w:space="0"/>
              <w:bottom w:val="single" w:color="auto" w:sz="8" w:space="0"/>
              <w:right w:val="single" w:color="auto" w:sz="8" w:space="0"/>
            </w:tcBorders>
            <w:vAlign w:val="center"/>
          </w:tcPr>
          <w:p>
            <w:pPr>
              <w:widowControl/>
              <w:snapToGrid w:val="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2025年年底前</w:t>
            </w:r>
          </w:p>
        </w:tc>
        <w:tc>
          <w:tcPr>
            <w:tcW w:w="1262"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二）韶关市加大统筹协调，加快焚烧设施建设。2024年年底前建成南雄市垃圾分类资源化回收利用项目，提高垃圾资源化利用；2025年年底前建成翁源县循环经济环保园（生活垃圾焚烧发电）项目，全市生活垃圾焚烧占比达65%以上。</w:t>
            </w:r>
          </w:p>
        </w:tc>
        <w:tc>
          <w:tcPr>
            <w:tcW w:w="1740" w:type="pct"/>
            <w:tcBorders>
              <w:top w:val="single" w:color="auto" w:sz="8" w:space="0"/>
              <w:left w:val="single" w:color="auto" w:sz="8" w:space="0"/>
              <w:bottom w:val="single" w:color="auto" w:sz="8" w:space="0"/>
              <w:right w:val="single" w:color="auto" w:sz="8" w:space="0"/>
            </w:tcBorders>
            <w:vAlign w:val="center"/>
          </w:tcPr>
          <w:p>
            <w:pPr>
              <w:pStyle w:val="6"/>
              <w:keepNext w:val="0"/>
              <w:keepLines w:val="0"/>
              <w:pageBreakBefore w:val="0"/>
              <w:kinsoku/>
              <w:wordWrap/>
              <w:overflowPunct/>
              <w:topLinePunct w:val="0"/>
              <w:autoSpaceDE/>
              <w:autoSpaceDN/>
              <w:bidi w:val="0"/>
              <w:adjustRightInd w:val="0"/>
              <w:snapToGrid w:val="0"/>
              <w:spacing w:line="240" w:lineRule="auto"/>
              <w:ind w:left="0" w:leftChars="0" w:firstLine="420" w:firstLineChars="200"/>
              <w:rPr>
                <w:rFonts w:ascii="仿宋_GB2312" w:hAnsi="仿宋_GB2312" w:eastAsia="仿宋_GB2312" w:cs="仿宋_GB2312"/>
                <w:color w:val="auto"/>
                <w:sz w:val="21"/>
                <w:szCs w:val="21"/>
                <w:lang w:val="en"/>
              </w:rPr>
            </w:pPr>
            <w:r>
              <w:rPr>
                <w:rFonts w:hint="eastAsia" w:ascii="仿宋_GB2312" w:hAnsi="仿宋_GB2312" w:eastAsia="仿宋_GB2312" w:cs="仿宋_GB2312"/>
                <w:color w:val="auto"/>
                <w:sz w:val="21"/>
                <w:szCs w:val="21"/>
                <w:lang w:val="en"/>
              </w:rPr>
              <w:t>南雄市生活垃圾终端智能分类处理项目已完成建设</w:t>
            </w:r>
            <w:r>
              <w:rPr>
                <w:rFonts w:hint="eastAsia" w:ascii="仿宋_GB2312" w:hAnsi="仿宋_GB2312" w:eastAsia="仿宋_GB2312" w:cs="仿宋_GB2312"/>
                <w:color w:val="auto"/>
                <w:sz w:val="21"/>
                <w:szCs w:val="21"/>
              </w:rPr>
              <w:t>并投入使用</w:t>
            </w:r>
            <w:r>
              <w:rPr>
                <w:rFonts w:hint="eastAsia" w:ascii="仿宋_GB2312" w:hAnsi="仿宋_GB2312" w:eastAsia="仿宋_GB2312" w:cs="仿宋_GB2312"/>
                <w:color w:val="auto"/>
                <w:sz w:val="21"/>
                <w:szCs w:val="21"/>
                <w:lang w:val="en"/>
              </w:rPr>
              <w:t>；翁源县循环经济环保园（生活垃圾焚烧发电）项目已完成建设</w:t>
            </w:r>
            <w:r>
              <w:rPr>
                <w:rFonts w:hint="eastAsia" w:ascii="仿宋_GB2312" w:hAnsi="仿宋_GB2312" w:eastAsia="仿宋_GB2312" w:cs="仿宋_GB2312"/>
                <w:color w:val="auto"/>
                <w:sz w:val="21"/>
                <w:szCs w:val="21"/>
              </w:rPr>
              <w:t>并投入使用</w:t>
            </w:r>
            <w:r>
              <w:rPr>
                <w:rFonts w:hint="eastAsia" w:ascii="仿宋_GB2312" w:hAnsi="仿宋_GB2312" w:eastAsia="仿宋_GB2312" w:cs="仿宋_GB2312"/>
                <w:color w:val="auto"/>
                <w:sz w:val="21"/>
                <w:szCs w:val="21"/>
                <w:lang w:val="en"/>
              </w:rPr>
              <w:t>。我市生活垃圾焚烧能力占比已从60%提高至75%，提前完成省要求我市2025年底焚烧能力占比达到65%的目标。</w:t>
            </w:r>
          </w:p>
        </w:tc>
        <w:tc>
          <w:tcPr>
            <w:tcW w:w="651" w:type="pct"/>
            <w:tcBorders>
              <w:top w:val="single" w:color="auto" w:sz="8" w:space="0"/>
              <w:left w:val="single" w:color="auto" w:sz="8" w:space="0"/>
              <w:bottom w:val="single" w:color="auto" w:sz="8" w:space="0"/>
              <w:right w:val="single" w:color="auto" w:sz="8" w:space="0"/>
            </w:tcBorders>
            <w:vAlign w:val="center"/>
          </w:tcPr>
          <w:p>
            <w:pPr>
              <w:rPr>
                <w:rFonts w:ascii="仿宋_GB2312" w:hAnsi="仿宋_GB2312" w:cs="仿宋_GB2312"/>
                <w:color w:val="auto"/>
                <w:sz w:val="21"/>
                <w:szCs w:val="21"/>
              </w:rPr>
            </w:pPr>
            <w:r>
              <w:rPr>
                <w:rFonts w:hint="eastAsia" w:ascii="仿宋_GB2312" w:hAnsi="仿宋_GB2312" w:cs="仿宋_GB2312"/>
                <w:color w:val="auto"/>
                <w:sz w:val="21"/>
                <w:szCs w:val="21"/>
              </w:rPr>
              <w:t>□已验收销号</w:t>
            </w:r>
          </w:p>
          <w:p>
            <w:pPr>
              <w:rPr>
                <w:rFonts w:ascii="仿宋_GB2312" w:hAnsi="仿宋_GB2312" w:cs="仿宋_GB2312"/>
                <w:color w:val="auto"/>
                <w:sz w:val="21"/>
                <w:szCs w:val="21"/>
              </w:rPr>
            </w:pPr>
            <w:r>
              <w:rPr>
                <w:rFonts w:hint="eastAsia" w:ascii="仿宋_GB2312" w:hAnsi="仿宋_GB2312" w:cs="仿宋_GB2312"/>
                <w:color w:val="auto"/>
                <w:sz w:val="21"/>
                <w:szCs w:val="21"/>
              </w:rPr>
              <w:t>☑已完成</w:t>
            </w:r>
          </w:p>
          <w:p>
            <w:pPr>
              <w:rPr>
                <w:rFonts w:ascii="仿宋_GB2312" w:hAnsi="仿宋_GB2312" w:cs="仿宋_GB2312"/>
                <w:color w:val="auto"/>
                <w:sz w:val="21"/>
                <w:szCs w:val="21"/>
              </w:rPr>
            </w:pPr>
            <w:r>
              <w:rPr>
                <w:rFonts w:hint="eastAsia" w:ascii="仿宋_GB2312" w:hAnsi="仿宋_GB2312" w:cs="仿宋_GB2312"/>
                <w:color w:val="auto"/>
                <w:sz w:val="21"/>
                <w:szCs w:val="21"/>
              </w:rPr>
              <w:t>□达到时序进度</w:t>
            </w:r>
          </w:p>
          <w:p>
            <w:pPr>
              <w:rPr>
                <w:rFonts w:ascii="仿宋_GB2312" w:hAnsi="仿宋_GB2312" w:cs="仿宋_GB2312"/>
                <w:color w:val="auto"/>
                <w:sz w:val="21"/>
                <w:szCs w:val="21"/>
              </w:rPr>
            </w:pPr>
            <w:r>
              <w:rPr>
                <w:rFonts w:hint="eastAsia" w:ascii="仿宋_GB2312" w:hAnsi="仿宋_GB2312" w:cs="仿宋_GB2312"/>
                <w:color w:val="auto"/>
                <w:sz w:val="21"/>
                <w:szCs w:val="21"/>
              </w:rPr>
              <w:t>□未达时序进度</w:t>
            </w:r>
          </w:p>
          <w:p>
            <w:pPr>
              <w:rPr>
                <w:rFonts w:ascii="仿宋_GB2312" w:hAnsi="仿宋_GB2312" w:cs="仿宋_GB2312"/>
                <w:color w:val="auto"/>
                <w:sz w:val="21"/>
                <w:szCs w:val="21"/>
              </w:rPr>
            </w:pPr>
            <w:r>
              <w:rPr>
                <w:rFonts w:hint="eastAsia" w:ascii="仿宋_GB2312" w:hAnsi="仿宋_GB2312" w:cs="仿宋_GB2312"/>
                <w:color w:val="auto"/>
                <w:sz w:val="21"/>
                <w:szCs w:val="21"/>
              </w:rPr>
              <w:t>□尚未启动</w:t>
            </w:r>
          </w:p>
        </w:tc>
      </w:tr>
      <w:tr>
        <w:tblPrEx>
          <w:tblCellMar>
            <w:top w:w="0" w:type="dxa"/>
            <w:left w:w="108" w:type="dxa"/>
            <w:bottom w:w="0" w:type="dxa"/>
            <w:right w:w="108" w:type="dxa"/>
          </w:tblCellMar>
        </w:tblPrEx>
        <w:trPr>
          <w:trHeight w:val="3527" w:hRule="atLeast"/>
          <w:jc w:val="center"/>
        </w:trPr>
        <w:tc>
          <w:tcPr>
            <w:tcW w:w="184" w:type="pct"/>
            <w:tcBorders>
              <w:top w:val="single" w:color="auto" w:sz="8" w:space="0"/>
              <w:left w:val="single" w:color="auto" w:sz="8" w:space="0"/>
              <w:bottom w:val="single" w:color="auto" w:sz="8" w:space="0"/>
              <w:right w:val="single" w:color="auto" w:sz="8" w:space="0"/>
            </w:tcBorders>
            <w:vAlign w:val="center"/>
          </w:tcPr>
          <w:p>
            <w:pPr>
              <w:spacing w:line="300" w:lineRule="exact"/>
              <w:jc w:val="center"/>
              <w:rPr>
                <w:rFonts w:ascii="仿宋_GB2312" w:hAnsi="仿宋_GB2312" w:cs="仿宋_GB2312"/>
                <w:color w:val="auto"/>
                <w:sz w:val="21"/>
                <w:szCs w:val="21"/>
              </w:rPr>
            </w:pPr>
            <w:r>
              <w:rPr>
                <w:rFonts w:hint="eastAsia" w:ascii="仿宋_GB2312" w:hAnsi="仿宋_GB2312" w:cs="仿宋_GB2312"/>
                <w:color w:val="auto"/>
                <w:sz w:val="21"/>
                <w:szCs w:val="21"/>
              </w:rPr>
              <w:t>8</w:t>
            </w:r>
          </w:p>
        </w:tc>
        <w:tc>
          <w:tcPr>
            <w:tcW w:w="890"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十二、农村环境基础设施建设投入虽有所增加，但短板依然明显，农村环境保护“十三五”规划部署的生活污水收集任务未完成，建设推进的乡镇农村污水处理设施中，管网不配套、运行不正常、设施闲置坏损等现象较为普遍。</w:t>
            </w:r>
          </w:p>
        </w:tc>
        <w:tc>
          <w:tcPr>
            <w:tcW w:w="270" w:type="pct"/>
            <w:tcBorders>
              <w:top w:val="single" w:color="auto" w:sz="8" w:space="0"/>
              <w:left w:val="single" w:color="auto" w:sz="8" w:space="0"/>
              <w:bottom w:val="single" w:color="auto" w:sz="8" w:space="0"/>
              <w:right w:val="single" w:color="auto" w:sz="8" w:space="0"/>
            </w:tcBorders>
            <w:vAlign w:val="center"/>
          </w:tcPr>
          <w:p>
            <w:pPr>
              <w:widowControl/>
              <w:snapToGrid w:val="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2025年年底前</w:t>
            </w:r>
          </w:p>
        </w:tc>
        <w:tc>
          <w:tcPr>
            <w:tcW w:w="1262"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（九）韶关市2025年年底前累计新增镇级污水管网103公里。2021年已完成70个以上自然村生活污水治理任务，2023年年底前累计完成治理2800个，2025年年底前累计完成治理3500个。</w:t>
            </w:r>
          </w:p>
        </w:tc>
        <w:tc>
          <w:tcPr>
            <w:tcW w:w="1740" w:type="pct"/>
            <w:tcBorders>
              <w:top w:val="single" w:color="auto" w:sz="8" w:space="0"/>
              <w:left w:val="single" w:color="auto" w:sz="8" w:space="0"/>
              <w:bottom w:val="single" w:color="auto" w:sz="8" w:space="0"/>
              <w:right w:val="single" w:color="auto" w:sz="8" w:space="0"/>
            </w:tcBorders>
            <w:vAlign w:val="center"/>
          </w:tcPr>
          <w:p>
            <w:pPr>
              <w:pStyle w:val="38"/>
              <w:keepNext w:val="0"/>
              <w:keepLines w:val="0"/>
              <w:pageBreakBefore w:val="0"/>
              <w:kinsoku/>
              <w:wordWrap/>
              <w:overflowPunct/>
              <w:topLinePunct w:val="0"/>
              <w:autoSpaceDE/>
              <w:autoSpaceDN/>
              <w:bidi w:val="0"/>
              <w:adjustRightInd w:val="0"/>
              <w:snapToGrid w:val="0"/>
              <w:spacing w:line="240" w:lineRule="auto"/>
              <w:ind w:left="0" w:leftChars="0" w:firstLine="420" w:firstLineChars="200"/>
              <w:rPr>
                <w:rFonts w:ascii="仿宋_GB2312" w:hAnsi="仿宋_GB2312" w:eastAsia="仿宋_GB2312" w:cs="仿宋_GB2312"/>
                <w:color w:val="auto"/>
              </w:rPr>
            </w:pPr>
            <w:r>
              <w:rPr>
                <w:rFonts w:ascii="仿宋_GB2312" w:hAnsi="仿宋_GB2312" w:eastAsia="仿宋_GB2312" w:cs="仿宋_GB2312"/>
                <w:color w:val="auto"/>
              </w:rPr>
              <w:t>1.</w:t>
            </w:r>
            <w:r>
              <w:rPr>
                <w:rFonts w:hint="eastAsia" w:ascii="仿宋_GB2312" w:hAnsi="仿宋_GB2312" w:eastAsia="仿宋_GB2312" w:cs="仿宋_GB2312"/>
                <w:color w:val="auto"/>
              </w:rPr>
              <w:t>截</w:t>
            </w:r>
            <w:r>
              <w:rPr>
                <w:rFonts w:hint="eastAsia" w:ascii="仿宋_GB2312" w:hAnsi="仿宋_GB2312" w:eastAsia="仿宋_GB2312" w:cs="仿宋_GB2312"/>
                <w:color w:val="auto"/>
                <w:lang w:val="en-US" w:eastAsia="zh-CN"/>
              </w:rPr>
              <w:t>至</w:t>
            </w:r>
            <w:r>
              <w:rPr>
                <w:rFonts w:hint="eastAsia" w:ascii="仿宋_GB2312" w:hAnsi="仿宋_GB2312" w:eastAsia="仿宋_GB2312" w:cs="仿宋_GB2312"/>
                <w:color w:val="auto"/>
              </w:rPr>
              <w:t>2</w:t>
            </w:r>
            <w:r>
              <w:rPr>
                <w:rFonts w:ascii="仿宋_GB2312" w:hAnsi="仿宋_GB2312" w:eastAsia="仿宋_GB2312" w:cs="仿宋_GB2312"/>
                <w:color w:val="auto"/>
              </w:rPr>
              <w:t>025</w:t>
            </w:r>
            <w:r>
              <w:rPr>
                <w:rFonts w:hint="eastAsia" w:ascii="仿宋_GB2312" w:hAnsi="仿宋_GB2312" w:eastAsia="仿宋_GB2312" w:cs="仿宋_GB2312"/>
                <w:color w:val="auto"/>
              </w:rPr>
              <w:t>年</w:t>
            </w:r>
            <w:r>
              <w:rPr>
                <w:rFonts w:hint="eastAsia" w:ascii="仿宋_GB2312" w:hAnsi="仿宋_GB2312" w:eastAsia="仿宋_GB2312" w:cs="仿宋_GB2312"/>
                <w:color w:val="auto"/>
                <w:lang w:val="en-US" w:eastAsia="zh-CN"/>
              </w:rPr>
              <w:t>年底</w:t>
            </w:r>
            <w:r>
              <w:rPr>
                <w:rFonts w:hint="eastAsia" w:ascii="仿宋_GB2312" w:hAnsi="仿宋_GB2312" w:eastAsia="仿宋_GB2312" w:cs="仿宋_GB2312"/>
                <w:color w:val="auto"/>
              </w:rPr>
              <w:t>，全市11033个自然村中，通过农业农村生态环境监管系统上报完成1</w:t>
            </w:r>
            <w:r>
              <w:rPr>
                <w:rFonts w:ascii="仿宋_GB2312" w:hAnsi="仿宋_GB2312" w:eastAsia="仿宋_GB2312" w:cs="仿宋_GB2312"/>
                <w:color w:val="auto"/>
              </w:rPr>
              <w:t>0975</w:t>
            </w:r>
            <w:r>
              <w:rPr>
                <w:rFonts w:hint="eastAsia" w:ascii="仿宋_GB2312" w:hAnsi="仿宋_GB2312" w:eastAsia="仿宋_GB2312" w:cs="仿宋_GB2312"/>
                <w:color w:val="auto"/>
              </w:rPr>
              <w:t>个自然村的生活污水治理任务，治理率9</w:t>
            </w:r>
            <w:r>
              <w:rPr>
                <w:rFonts w:ascii="仿宋_GB2312" w:hAnsi="仿宋_GB2312" w:eastAsia="仿宋_GB2312" w:cs="仿宋_GB2312"/>
                <w:color w:val="auto"/>
              </w:rPr>
              <w:t>9</w:t>
            </w:r>
            <w:r>
              <w:rPr>
                <w:rFonts w:hint="eastAsia" w:ascii="仿宋_GB2312" w:hAnsi="仿宋_GB2312" w:eastAsia="仿宋_GB2312" w:cs="仿宋_GB2312"/>
                <w:color w:val="auto"/>
              </w:rPr>
              <w:t>.</w:t>
            </w:r>
            <w:r>
              <w:rPr>
                <w:rFonts w:ascii="仿宋_GB2312" w:hAnsi="仿宋_GB2312" w:eastAsia="仿宋_GB2312" w:cs="仿宋_GB2312"/>
                <w:color w:val="auto"/>
              </w:rPr>
              <w:t>5%</w:t>
            </w:r>
            <w:r>
              <w:rPr>
                <w:rFonts w:hint="eastAsia" w:ascii="仿宋_GB2312" w:hAnsi="仿宋_GB2312" w:eastAsia="仿宋_GB2312" w:cs="仿宋_GB2312"/>
                <w:color w:val="auto"/>
              </w:rPr>
              <w:t>。</w:t>
            </w:r>
          </w:p>
          <w:p>
            <w:pPr>
              <w:pStyle w:val="38"/>
              <w:keepNext w:val="0"/>
              <w:keepLines w:val="0"/>
              <w:pageBreakBefore w:val="0"/>
              <w:kinsoku/>
              <w:wordWrap/>
              <w:overflowPunct/>
              <w:topLinePunct w:val="0"/>
              <w:autoSpaceDE/>
              <w:autoSpaceDN/>
              <w:bidi w:val="0"/>
              <w:adjustRightInd w:val="0"/>
              <w:snapToGrid w:val="0"/>
              <w:spacing w:line="240" w:lineRule="auto"/>
              <w:ind w:left="0" w:leftChars="0" w:firstLine="420" w:firstLineChars="200"/>
              <w:rPr>
                <w:rFonts w:ascii="仿宋_GB2312" w:hAnsi="仿宋_GB2312" w:eastAsia="仿宋_GB2312" w:cs="仿宋_GB2312"/>
                <w:color w:val="auto"/>
              </w:rPr>
            </w:pPr>
            <w:r>
              <w:rPr>
                <w:rFonts w:ascii="仿宋_GB2312" w:hAnsi="仿宋_GB2312" w:eastAsia="仿宋_GB2312" w:cs="仿宋_GB2312"/>
                <w:color w:val="auto"/>
              </w:rPr>
              <w:t>2.截至2024年底，已新增镇级</w:t>
            </w:r>
            <w:r>
              <w:rPr>
                <w:rFonts w:hint="eastAsia" w:ascii="仿宋_GB2312" w:hAnsi="仿宋_GB2312" w:eastAsia="仿宋_GB2312" w:cs="仿宋_GB2312"/>
                <w:color w:val="auto"/>
              </w:rPr>
              <w:t>生活污水管网</w:t>
            </w:r>
            <w:r>
              <w:rPr>
                <w:rFonts w:ascii="仿宋_GB2312" w:hAnsi="仿宋_GB2312" w:eastAsia="仿宋_GB2312" w:cs="仿宋_GB2312"/>
                <w:color w:val="auto"/>
              </w:rPr>
              <w:t>348.22公里。超额完成整治任务。</w:t>
            </w:r>
          </w:p>
        </w:tc>
        <w:tc>
          <w:tcPr>
            <w:tcW w:w="651" w:type="pct"/>
            <w:tcBorders>
              <w:top w:val="single" w:color="auto" w:sz="8" w:space="0"/>
              <w:left w:val="single" w:color="auto" w:sz="8" w:space="0"/>
              <w:bottom w:val="single" w:color="auto" w:sz="8" w:space="0"/>
              <w:right w:val="single" w:color="auto" w:sz="8" w:space="0"/>
            </w:tcBorders>
            <w:vAlign w:val="center"/>
          </w:tcPr>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□已验收销号</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☑已完成</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□达到时序进度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□未达时序进度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□尚未启动</w:t>
            </w:r>
          </w:p>
        </w:tc>
      </w:tr>
      <w:tr>
        <w:tblPrEx>
          <w:tblCellMar>
            <w:top w:w="0" w:type="dxa"/>
            <w:left w:w="108" w:type="dxa"/>
            <w:bottom w:w="0" w:type="dxa"/>
            <w:right w:w="108" w:type="dxa"/>
          </w:tblCellMar>
        </w:tblPrEx>
        <w:trPr>
          <w:trHeight w:val="521" w:hRule="atLeast"/>
          <w:jc w:val="center"/>
        </w:trPr>
        <w:tc>
          <w:tcPr>
            <w:tcW w:w="184" w:type="pct"/>
            <w:tcBorders>
              <w:top w:val="single" w:color="auto" w:sz="8" w:space="0"/>
              <w:left w:val="single" w:color="auto" w:sz="8" w:space="0"/>
              <w:bottom w:val="single" w:color="auto" w:sz="8" w:space="0"/>
              <w:right w:val="single" w:color="auto" w:sz="8" w:space="0"/>
            </w:tcBorders>
            <w:vAlign w:val="center"/>
          </w:tcPr>
          <w:p>
            <w:pPr>
              <w:spacing w:line="300" w:lineRule="exact"/>
              <w:jc w:val="center"/>
              <w:rPr>
                <w:rFonts w:ascii="仿宋_GB2312" w:hAnsi="仿宋_GB2312" w:cs="仿宋_GB2312"/>
                <w:color w:val="auto"/>
                <w:sz w:val="21"/>
                <w:szCs w:val="21"/>
              </w:rPr>
            </w:pPr>
            <w:r>
              <w:rPr>
                <w:rFonts w:hint="eastAsia" w:ascii="仿宋_GB2312" w:hAnsi="仿宋_GB2312" w:cs="仿宋_GB2312"/>
                <w:color w:val="auto"/>
                <w:sz w:val="21"/>
                <w:szCs w:val="21"/>
              </w:rPr>
              <w:t>9</w:t>
            </w:r>
          </w:p>
        </w:tc>
        <w:tc>
          <w:tcPr>
            <w:tcW w:w="890"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十三、截至2021年8月，全省仍有276万农村人口未实现集中供水，河源、清远、茂名仅完成农村集中供水任务的16.8%、32.5%、34.5%，且全省农村集中式供水水源仍有7%水质不达标。</w:t>
            </w:r>
          </w:p>
        </w:tc>
        <w:tc>
          <w:tcPr>
            <w:tcW w:w="270" w:type="pct"/>
            <w:tcBorders>
              <w:top w:val="single" w:color="auto" w:sz="8" w:space="0"/>
              <w:left w:val="single" w:color="auto" w:sz="8" w:space="0"/>
              <w:bottom w:val="single" w:color="auto" w:sz="8" w:space="0"/>
              <w:right w:val="single" w:color="auto" w:sz="8" w:space="0"/>
            </w:tcBorders>
            <w:vAlign w:val="center"/>
          </w:tcPr>
          <w:p>
            <w:pPr>
              <w:widowControl/>
              <w:snapToGrid w:val="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2022年年底前</w:t>
            </w:r>
          </w:p>
        </w:tc>
        <w:tc>
          <w:tcPr>
            <w:tcW w:w="1262"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基本实现农村集中供水全覆盖，加强农村饮用水源地水质保护。</w:t>
            </w:r>
          </w:p>
        </w:tc>
        <w:tc>
          <w:tcPr>
            <w:tcW w:w="1740"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ind w:left="0" w:leftChars="0" w:firstLine="420" w:firstLineChars="200"/>
              <w:textAlignment w:val="center"/>
              <w:rPr>
                <w:rFonts w:ascii="仿宋_GB2312" w:hAnsi="仿宋_GB2312" w:cs="仿宋_GB2312"/>
                <w:color w:val="auto"/>
                <w:sz w:val="21"/>
                <w:szCs w:val="21"/>
              </w:rPr>
            </w:pPr>
            <w:r>
              <w:rPr>
                <w:rFonts w:hint="eastAsia" w:ascii="仿宋_GB2312" w:hAnsi="仿宋_GB2312" w:cs="仿宋_GB2312"/>
                <w:color w:val="auto"/>
                <w:sz w:val="21"/>
                <w:szCs w:val="21"/>
              </w:rPr>
              <w:t>全市已完成农村集中供水全覆盖任务，并于2022年5月1日正式实施《韶关市农村饮用水水源保护条例》。下一步继续强化监督考核，以农村“千吨万人”水源地为重点，指导各县（市、区）开展水源地环境问题排查。</w:t>
            </w:r>
          </w:p>
        </w:tc>
        <w:tc>
          <w:tcPr>
            <w:tcW w:w="651" w:type="pct"/>
            <w:tcBorders>
              <w:top w:val="single" w:color="auto" w:sz="8" w:space="0"/>
              <w:left w:val="single" w:color="auto" w:sz="8" w:space="0"/>
              <w:bottom w:val="single" w:color="auto" w:sz="8" w:space="0"/>
              <w:right w:val="single" w:color="auto" w:sz="8" w:space="0"/>
            </w:tcBorders>
            <w:vAlign w:val="center"/>
          </w:tcPr>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☑已验收销号</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☑已完成</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□达到时序进度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□未达时序进度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□尚未启动</w:t>
            </w:r>
          </w:p>
        </w:tc>
      </w:tr>
      <w:tr>
        <w:tblPrEx>
          <w:tblCellMar>
            <w:top w:w="0" w:type="dxa"/>
            <w:left w:w="108" w:type="dxa"/>
            <w:bottom w:w="0" w:type="dxa"/>
            <w:right w:w="108" w:type="dxa"/>
          </w:tblCellMar>
        </w:tblPrEx>
        <w:trPr>
          <w:trHeight w:val="1110" w:hRule="atLeast"/>
          <w:jc w:val="center"/>
        </w:trPr>
        <w:tc>
          <w:tcPr>
            <w:tcW w:w="184" w:type="pct"/>
            <w:vMerge w:val="restart"/>
            <w:tcBorders>
              <w:top w:val="single" w:color="auto" w:sz="8" w:space="0"/>
              <w:left w:val="single" w:color="auto" w:sz="8" w:space="0"/>
              <w:right w:val="single" w:color="auto" w:sz="8" w:space="0"/>
            </w:tcBorders>
            <w:vAlign w:val="center"/>
          </w:tcPr>
          <w:p>
            <w:pPr>
              <w:spacing w:line="300" w:lineRule="exact"/>
              <w:jc w:val="center"/>
              <w:rPr>
                <w:rFonts w:ascii="仿宋_GB2312" w:hAnsi="仿宋_GB2312" w:cs="仿宋_GB2312"/>
                <w:color w:val="auto"/>
                <w:sz w:val="21"/>
                <w:szCs w:val="21"/>
              </w:rPr>
            </w:pPr>
            <w:r>
              <w:rPr>
                <w:rFonts w:hint="eastAsia" w:ascii="仿宋_GB2312" w:hAnsi="仿宋_GB2312" w:cs="仿宋_GB2312"/>
                <w:color w:val="auto"/>
                <w:sz w:val="21"/>
                <w:szCs w:val="21"/>
              </w:rPr>
              <w:t>10</w:t>
            </w:r>
          </w:p>
        </w:tc>
        <w:tc>
          <w:tcPr>
            <w:tcW w:w="890" w:type="pct"/>
            <w:vMerge w:val="restar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十六、一些部门和地方在处理生态环境管理新问题上责任意识不强，统筹不力，魄力不足。近年来，珠三角河道非法洗砂洗泥行为日益猖獗，污染河道水质，改变河床形态，威胁行洪和航道安全，对水生生物栖息繁衍带来不良影响。省直有关部门对此重视不够，主动作为不足，既没有充分行使各部门现有职能严厉打击，也没有研究如何加强规范引导。有关地市和部门虽然多次开展联合执法，但执法效果欠佳，监管力度不够，甚至出现作业船只和监管部门“打游击”现象，非法洗砂洗泥未能得到有效遏制。</w:t>
            </w:r>
          </w:p>
        </w:tc>
        <w:tc>
          <w:tcPr>
            <w:tcW w:w="270" w:type="pct"/>
            <w:vMerge w:val="restart"/>
            <w:tcBorders>
              <w:top w:val="single" w:color="auto" w:sz="8" w:space="0"/>
              <w:left w:val="single" w:color="auto" w:sz="8" w:space="0"/>
              <w:bottom w:val="single" w:color="auto" w:sz="8" w:space="0"/>
              <w:right w:val="single" w:color="auto" w:sz="8" w:space="0"/>
            </w:tcBorders>
            <w:vAlign w:val="center"/>
          </w:tcPr>
          <w:p>
            <w:pPr>
              <w:widowControl/>
              <w:snapToGrid w:val="0"/>
              <w:jc w:val="center"/>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2023年年底前</w:t>
            </w:r>
          </w:p>
        </w:tc>
        <w:tc>
          <w:tcPr>
            <w:tcW w:w="1262"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一）加强组织领导，建立健全监管工作机制。成立我省出海水道内非法洗砂洗泥问题整改工作领导小组，统一领导、统筹协调全省各地各部门开展整改工作。各地市参照省的做法，建立强有力的工作机制，全力抓好问题整改落实。</w:t>
            </w:r>
          </w:p>
        </w:tc>
        <w:tc>
          <w:tcPr>
            <w:tcW w:w="1740"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ind w:left="0" w:leftChars="0" w:firstLine="420" w:firstLineChars="200"/>
              <w:textAlignment w:val="center"/>
              <w:rPr>
                <w:rFonts w:ascii="仿宋_GB2312" w:hAnsi="仿宋_GB2312" w:cs="仿宋_GB2312"/>
                <w:color w:val="auto"/>
                <w:sz w:val="21"/>
                <w:szCs w:val="21"/>
              </w:rPr>
            </w:pPr>
            <w:r>
              <w:rPr>
                <w:rFonts w:hint="eastAsia" w:ascii="仿宋_GB2312" w:hAnsi="仿宋_GB2312" w:cs="仿宋_GB2312"/>
                <w:color w:val="auto"/>
                <w:sz w:val="21"/>
                <w:szCs w:val="21"/>
              </w:rPr>
              <w:t>按照省河长办有关工作部署要求，我市结合辖区内实际情况，于2022 年4月21 日印发了《韶关市河道水域非法洗砂洗泥问题整改工作方案》（韶河长办〔2022〕29号），明确了各地、各有关部门整改工作任务及时间节点要求，成立了韶关市河道水域非法洗砂洗泥问题整改工作领导小组，各县（市、区）参照省、市做法也相应制定了整改工作方案和成立了领导机构，按照属地管理职责、行业监管职责，采取有力措施积极组织协调各县（市、区）和市各有关部门严格落实问题整改要求，加快推进问题整改，协同联动，严厉打击非法洗砂洗泥行为，切实维护我市河道水域良好的水生态环境。</w:t>
            </w:r>
          </w:p>
        </w:tc>
        <w:tc>
          <w:tcPr>
            <w:tcW w:w="651" w:type="pct"/>
            <w:tcBorders>
              <w:top w:val="single" w:color="auto" w:sz="8" w:space="0"/>
              <w:left w:val="single" w:color="auto" w:sz="8" w:space="0"/>
              <w:bottom w:val="single" w:color="auto" w:sz="8" w:space="0"/>
              <w:right w:val="single" w:color="auto" w:sz="8" w:space="0"/>
            </w:tcBorders>
            <w:vAlign w:val="center"/>
          </w:tcPr>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☑已验收销号</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☑已完成</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□达到时序进度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□未达时序进度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□尚未启动</w:t>
            </w:r>
          </w:p>
        </w:tc>
      </w:tr>
      <w:tr>
        <w:tblPrEx>
          <w:tblCellMar>
            <w:top w:w="0" w:type="dxa"/>
            <w:left w:w="108" w:type="dxa"/>
            <w:bottom w:w="0" w:type="dxa"/>
            <w:right w:w="108" w:type="dxa"/>
          </w:tblCellMar>
        </w:tblPrEx>
        <w:trPr>
          <w:trHeight w:val="521" w:hRule="atLeast"/>
          <w:jc w:val="center"/>
        </w:trPr>
        <w:tc>
          <w:tcPr>
            <w:tcW w:w="184" w:type="pct"/>
            <w:vMerge w:val="continue"/>
            <w:tcBorders>
              <w:left w:val="single" w:color="auto" w:sz="8" w:space="0"/>
              <w:right w:val="single" w:color="auto" w:sz="8" w:space="0"/>
            </w:tcBorders>
            <w:vAlign w:val="center"/>
          </w:tcPr>
          <w:p>
            <w:pPr>
              <w:spacing w:line="300" w:lineRule="exact"/>
              <w:ind w:firstLine="210" w:firstLineChars="100"/>
              <w:jc w:val="center"/>
              <w:rPr>
                <w:rFonts w:ascii="仿宋_GB2312" w:hAnsi="仿宋_GB2312" w:cs="仿宋_GB2312"/>
                <w:color w:val="auto"/>
                <w:sz w:val="21"/>
                <w:szCs w:val="21"/>
              </w:rPr>
            </w:pPr>
          </w:p>
        </w:tc>
        <w:tc>
          <w:tcPr>
            <w:tcW w:w="890" w:type="pct"/>
            <w:vMerge w:val="continue"/>
            <w:tcBorders>
              <w:top w:val="single" w:color="auto" w:sz="8" w:space="0"/>
              <w:left w:val="single" w:color="auto" w:sz="8" w:space="0"/>
              <w:bottom w:val="single" w:color="auto" w:sz="8" w:space="0"/>
              <w:right w:val="single" w:color="auto" w:sz="8" w:space="0"/>
            </w:tcBorders>
            <w:vAlign w:val="center"/>
          </w:tcPr>
          <w:p>
            <w:pPr>
              <w:keepNext w:val="0"/>
              <w:keepLines w:val="0"/>
              <w:pageBreakBefore w:val="0"/>
              <w:kinsoku/>
              <w:wordWrap/>
              <w:overflowPunct/>
              <w:topLinePunct w:val="0"/>
              <w:autoSpaceDE/>
              <w:autoSpaceDN/>
              <w:bidi w:val="0"/>
              <w:adjustRightInd w:val="0"/>
              <w:snapToGrid w:val="0"/>
              <w:spacing w:line="240" w:lineRule="exact"/>
              <w:ind w:firstLine="420" w:firstLineChars="200"/>
              <w:jc w:val="center"/>
              <w:rPr>
                <w:rFonts w:ascii="仿宋_GB2312" w:hAnsi="仿宋_GB2312" w:cs="仿宋_GB2312"/>
                <w:color w:val="auto"/>
                <w:sz w:val="21"/>
                <w:szCs w:val="21"/>
              </w:rPr>
            </w:pPr>
          </w:p>
        </w:tc>
        <w:tc>
          <w:tcPr>
            <w:tcW w:w="270" w:type="pct"/>
            <w:vMerge w:val="continue"/>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cs="仿宋_GB2312"/>
                <w:color w:val="auto"/>
                <w:sz w:val="21"/>
                <w:szCs w:val="21"/>
              </w:rPr>
            </w:pPr>
          </w:p>
        </w:tc>
        <w:tc>
          <w:tcPr>
            <w:tcW w:w="1262"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二）举一反三，进一步摸查全省相关情况。各地市对辖区内河道水域内泡洗海砂、山砂、建筑垃圾、淤泥各类型的占比情况进行摸查，对水上洗砂洗泥情况进行分析，查找“开采、运输、泡洗、使用”等环节存在的症结，强化规范管理。对建筑市场海砂、河砂、机制砂的供需情况及市场占比，现有陆地洗砂场地分布和生产量等情况，建筑垃圾处理的管理工作情况，进行全面统计和梳理。</w:t>
            </w:r>
          </w:p>
        </w:tc>
        <w:tc>
          <w:tcPr>
            <w:tcW w:w="1740"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ind w:left="0" w:leftChars="0" w:firstLine="420" w:firstLineChars="200"/>
              <w:textAlignment w:val="center"/>
              <w:rPr>
                <w:rFonts w:ascii="仿宋_GB2312" w:hAnsi="仿宋_GB2312" w:cs="仿宋_GB2312"/>
                <w:color w:val="auto"/>
                <w:sz w:val="21"/>
                <w:szCs w:val="21"/>
              </w:rPr>
            </w:pPr>
            <w:r>
              <w:rPr>
                <w:rFonts w:hint="eastAsia" w:ascii="仿宋_GB2312" w:hAnsi="仿宋_GB2312" w:cs="仿宋_GB2312"/>
                <w:color w:val="auto"/>
                <w:sz w:val="21"/>
                <w:szCs w:val="21"/>
              </w:rPr>
              <w:t>根据《广东省河长办关于开展打击非法泡洗海砂山砂专项联合执法行动的通知》要求，市河长办已于2021年9月组织开展了河道水域非法泡洗海砂山砂摸排工作。自活动开展以来，我市各部门按监管职责进一步摸查了全市情况，并每季度形成《韶关市河道水域非法洗砂洗泥问题整改工作情况报告》报送省河长办，截至2023年年底，我市排查到的洗砂场问题已完成整改。</w:t>
            </w:r>
          </w:p>
        </w:tc>
        <w:tc>
          <w:tcPr>
            <w:tcW w:w="651" w:type="pct"/>
            <w:tcBorders>
              <w:top w:val="single" w:color="auto" w:sz="8" w:space="0"/>
              <w:left w:val="single" w:color="auto" w:sz="8" w:space="0"/>
              <w:bottom w:val="single" w:color="auto" w:sz="8" w:space="0"/>
              <w:right w:val="single" w:color="auto" w:sz="8" w:space="0"/>
            </w:tcBorders>
            <w:vAlign w:val="center"/>
          </w:tcPr>
          <w:p>
            <w:pPr>
              <w:spacing w:line="300" w:lineRule="exact"/>
              <w:rPr>
                <w:rFonts w:ascii="仿宋_GB2312" w:hAnsi="仿宋_GB2312" w:cs="仿宋_GB2312"/>
                <w:color w:val="auto"/>
                <w:sz w:val="21"/>
                <w:szCs w:val="21"/>
              </w:rPr>
            </w:pPr>
            <w:r>
              <w:rPr>
                <w:rFonts w:ascii="Segoe UI Symbol" w:hAnsi="Segoe UI Symbol" w:cs="Segoe UI Symbol"/>
                <w:color w:val="auto"/>
                <w:sz w:val="21"/>
                <w:szCs w:val="21"/>
              </w:rPr>
              <w:t>☑</w:t>
            </w:r>
            <w:r>
              <w:rPr>
                <w:rFonts w:hint="eastAsia" w:ascii="仿宋_GB2312" w:hAnsi="仿宋_GB2312" w:cs="仿宋_GB2312"/>
                <w:color w:val="auto"/>
                <w:sz w:val="21"/>
                <w:szCs w:val="21"/>
              </w:rPr>
              <w:t>已验收销号</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☑已完成</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□达到时序进度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□未达时序进度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□尚未启动</w:t>
            </w:r>
          </w:p>
        </w:tc>
      </w:tr>
      <w:tr>
        <w:tblPrEx>
          <w:tblCellMar>
            <w:top w:w="0" w:type="dxa"/>
            <w:left w:w="108" w:type="dxa"/>
            <w:bottom w:w="0" w:type="dxa"/>
            <w:right w:w="108" w:type="dxa"/>
          </w:tblCellMar>
        </w:tblPrEx>
        <w:trPr>
          <w:trHeight w:val="521" w:hRule="atLeast"/>
          <w:jc w:val="center"/>
        </w:trPr>
        <w:tc>
          <w:tcPr>
            <w:tcW w:w="184" w:type="pct"/>
            <w:vMerge w:val="continue"/>
            <w:tcBorders>
              <w:left w:val="single" w:color="auto" w:sz="8" w:space="0"/>
              <w:right w:val="single" w:color="auto" w:sz="8" w:space="0"/>
            </w:tcBorders>
            <w:vAlign w:val="center"/>
          </w:tcPr>
          <w:p>
            <w:pPr>
              <w:spacing w:line="300" w:lineRule="exact"/>
              <w:ind w:firstLine="210" w:firstLineChars="100"/>
              <w:jc w:val="center"/>
              <w:rPr>
                <w:rFonts w:ascii="仿宋_GB2312" w:hAnsi="仿宋_GB2312" w:cs="仿宋_GB2312"/>
                <w:color w:val="auto"/>
                <w:sz w:val="21"/>
                <w:szCs w:val="21"/>
              </w:rPr>
            </w:pPr>
          </w:p>
        </w:tc>
        <w:tc>
          <w:tcPr>
            <w:tcW w:w="890" w:type="pct"/>
            <w:vMerge w:val="continue"/>
            <w:tcBorders>
              <w:top w:val="single" w:color="auto" w:sz="8" w:space="0"/>
              <w:left w:val="single" w:color="auto" w:sz="8" w:space="0"/>
              <w:bottom w:val="single" w:color="auto" w:sz="8" w:space="0"/>
              <w:right w:val="single" w:color="auto" w:sz="8" w:space="0"/>
            </w:tcBorders>
            <w:vAlign w:val="center"/>
          </w:tcPr>
          <w:p>
            <w:pPr>
              <w:keepNext w:val="0"/>
              <w:keepLines w:val="0"/>
              <w:pageBreakBefore w:val="0"/>
              <w:kinsoku/>
              <w:wordWrap/>
              <w:overflowPunct/>
              <w:topLinePunct w:val="0"/>
              <w:autoSpaceDE/>
              <w:autoSpaceDN/>
              <w:bidi w:val="0"/>
              <w:adjustRightInd w:val="0"/>
              <w:snapToGrid w:val="0"/>
              <w:spacing w:line="240" w:lineRule="exact"/>
              <w:ind w:firstLine="420" w:firstLineChars="200"/>
              <w:jc w:val="center"/>
              <w:rPr>
                <w:rFonts w:ascii="仿宋_GB2312" w:hAnsi="仿宋_GB2312" w:cs="仿宋_GB2312"/>
                <w:color w:val="auto"/>
                <w:sz w:val="21"/>
                <w:szCs w:val="21"/>
              </w:rPr>
            </w:pPr>
          </w:p>
        </w:tc>
        <w:tc>
          <w:tcPr>
            <w:tcW w:w="270" w:type="pct"/>
            <w:vMerge w:val="continue"/>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cs="仿宋_GB2312"/>
                <w:color w:val="auto"/>
                <w:sz w:val="21"/>
                <w:szCs w:val="21"/>
              </w:rPr>
            </w:pPr>
          </w:p>
        </w:tc>
        <w:tc>
          <w:tcPr>
            <w:tcW w:w="1262"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四）开展联合执法，重拳震慑违法行为。各地市落实属地管理主体责任，组织各相关部门开展专项联合执法行动，严打水上非法洗砂洗泥行为，重点加强对涉嫌违法船只的检查，发现违法违规行为，及时予以处理。相邻地市在临界水域应适当联合组织开展执法打击。</w:t>
            </w:r>
          </w:p>
        </w:tc>
        <w:tc>
          <w:tcPr>
            <w:tcW w:w="1740"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ind w:left="0" w:leftChars="0" w:firstLine="420" w:firstLineChars="200"/>
              <w:textAlignment w:val="center"/>
              <w:rPr>
                <w:rFonts w:ascii="仿宋_GB2312" w:hAnsi="仿宋_GB2312" w:cs="仿宋_GB2312"/>
                <w:color w:val="auto"/>
                <w:sz w:val="21"/>
                <w:szCs w:val="21"/>
              </w:rPr>
            </w:pPr>
            <w:r>
              <w:rPr>
                <w:rFonts w:hint="eastAsia" w:ascii="仿宋_GB2312" w:hAnsi="仿宋_GB2312" w:cs="仿宋_GB2312"/>
                <w:color w:val="auto"/>
                <w:sz w:val="21"/>
                <w:szCs w:val="21"/>
              </w:rPr>
              <w:t>1.按照《广东省河长办关于开展打击非法泡洗海砂山砂专项联合执法行动的通知》要求，我市及时部署并开展了专项联合执法检查，未发现全市河道内有非法洗砂洗泥行为。</w:t>
            </w:r>
          </w:p>
          <w:p>
            <w:pPr>
              <w:keepNext w:val="0"/>
              <w:keepLines w:val="0"/>
              <w:pageBreakBefore w:val="0"/>
              <w:widowControl/>
              <w:kinsoku/>
              <w:wordWrap/>
              <w:overflowPunct/>
              <w:topLinePunct w:val="0"/>
              <w:autoSpaceDE/>
              <w:autoSpaceDN/>
              <w:bidi w:val="0"/>
              <w:adjustRightInd w:val="0"/>
              <w:snapToGrid w:val="0"/>
              <w:spacing w:line="240" w:lineRule="auto"/>
              <w:ind w:left="0" w:leftChars="0" w:firstLine="420" w:firstLineChars="200"/>
              <w:textAlignment w:val="center"/>
              <w:rPr>
                <w:rFonts w:ascii="仿宋_GB2312" w:hAnsi="仿宋_GB2312" w:cs="仿宋_GB2312"/>
                <w:color w:val="auto"/>
                <w:sz w:val="21"/>
                <w:szCs w:val="21"/>
              </w:rPr>
            </w:pPr>
            <w:r>
              <w:rPr>
                <w:rFonts w:hint="eastAsia" w:ascii="仿宋_GB2312" w:hAnsi="仿宋_GB2312" w:cs="仿宋_GB2312"/>
                <w:color w:val="auto"/>
                <w:sz w:val="21"/>
                <w:szCs w:val="21"/>
              </w:rPr>
              <w:t>2.截至2023年底，全市共组织开展专项联合执法200次，参加人数达1371人次，出动船艇44船次，出动车辆294车次，检查洗砂船舶1艘，检查洗砂场所266处。全市各地通过开展专项联合执法行动，在执法船舶张挂宣传标语、邀请电视台采访报道等方式，有力震慑了违法违规行为，有效维护了河道水域水生态环境安全。全市各地通过开展专项联合执法行动，有力震慑了违法违规行为，有效维护了河道水域水生态环境安全。</w:t>
            </w:r>
          </w:p>
        </w:tc>
        <w:tc>
          <w:tcPr>
            <w:tcW w:w="651" w:type="pct"/>
            <w:tcBorders>
              <w:top w:val="single" w:color="auto" w:sz="8" w:space="0"/>
              <w:left w:val="single" w:color="auto" w:sz="8" w:space="0"/>
              <w:bottom w:val="single" w:color="auto" w:sz="8" w:space="0"/>
              <w:right w:val="single" w:color="auto" w:sz="8" w:space="0"/>
            </w:tcBorders>
            <w:vAlign w:val="center"/>
          </w:tcPr>
          <w:p>
            <w:pPr>
              <w:spacing w:line="300" w:lineRule="exact"/>
              <w:rPr>
                <w:rFonts w:ascii="仿宋_GB2312" w:hAnsi="仿宋_GB2312" w:cs="仿宋_GB2312"/>
                <w:color w:val="auto"/>
                <w:sz w:val="21"/>
                <w:szCs w:val="21"/>
              </w:rPr>
            </w:pPr>
            <w:r>
              <w:rPr>
                <w:rFonts w:ascii="Segoe UI Symbol" w:hAnsi="Segoe UI Symbol" w:cs="Segoe UI Symbol"/>
                <w:color w:val="auto"/>
                <w:sz w:val="21"/>
                <w:szCs w:val="21"/>
              </w:rPr>
              <w:t>☑</w:t>
            </w:r>
            <w:r>
              <w:rPr>
                <w:rFonts w:hint="eastAsia" w:ascii="仿宋_GB2312" w:hAnsi="仿宋_GB2312" w:cs="仿宋_GB2312"/>
                <w:color w:val="auto"/>
                <w:sz w:val="21"/>
                <w:szCs w:val="21"/>
              </w:rPr>
              <w:t>已验收销号</w:t>
            </w:r>
          </w:p>
          <w:p>
            <w:pPr>
              <w:spacing w:line="300" w:lineRule="exact"/>
              <w:rPr>
                <w:rFonts w:ascii="仿宋_GB2312" w:hAnsi="仿宋_GB2312" w:cs="仿宋_GB2312"/>
                <w:color w:val="auto"/>
                <w:sz w:val="21"/>
                <w:szCs w:val="21"/>
              </w:rPr>
            </w:pPr>
            <w:r>
              <w:rPr>
                <w:rFonts w:hint="eastAsia" w:ascii="MS Mincho" w:hAnsi="MS Mincho" w:eastAsia="MS Mincho" w:cs="MS Mincho"/>
                <w:color w:val="auto"/>
                <w:sz w:val="21"/>
                <w:szCs w:val="21"/>
              </w:rPr>
              <w:t>☑</w:t>
            </w:r>
            <w:r>
              <w:rPr>
                <w:rFonts w:hint="eastAsia" w:ascii="仿宋_GB2312" w:hAnsi="仿宋_GB2312" w:cs="仿宋_GB2312"/>
                <w:color w:val="auto"/>
                <w:sz w:val="21"/>
                <w:szCs w:val="21"/>
              </w:rPr>
              <w:t>已完成</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□达到时序进度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□未达时序进度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□尚未启动</w:t>
            </w:r>
          </w:p>
        </w:tc>
      </w:tr>
      <w:tr>
        <w:tblPrEx>
          <w:tblCellMar>
            <w:top w:w="0" w:type="dxa"/>
            <w:left w:w="108" w:type="dxa"/>
            <w:bottom w:w="0" w:type="dxa"/>
            <w:right w:w="108" w:type="dxa"/>
          </w:tblCellMar>
        </w:tblPrEx>
        <w:trPr>
          <w:trHeight w:val="5775" w:hRule="atLeast"/>
          <w:jc w:val="center"/>
        </w:trPr>
        <w:tc>
          <w:tcPr>
            <w:tcW w:w="184" w:type="pct"/>
            <w:vMerge w:val="continue"/>
            <w:tcBorders>
              <w:left w:val="single" w:color="auto" w:sz="8" w:space="0"/>
              <w:bottom w:val="single" w:color="auto" w:sz="8" w:space="0"/>
              <w:right w:val="single" w:color="auto" w:sz="8" w:space="0"/>
            </w:tcBorders>
            <w:vAlign w:val="center"/>
          </w:tcPr>
          <w:p>
            <w:pPr>
              <w:spacing w:line="300" w:lineRule="exact"/>
              <w:ind w:firstLine="210" w:firstLineChars="100"/>
              <w:jc w:val="center"/>
              <w:rPr>
                <w:rFonts w:ascii="仿宋_GB2312" w:hAnsi="仿宋_GB2312" w:cs="仿宋_GB2312"/>
                <w:color w:val="auto"/>
                <w:sz w:val="21"/>
                <w:szCs w:val="21"/>
              </w:rPr>
            </w:pPr>
          </w:p>
        </w:tc>
        <w:tc>
          <w:tcPr>
            <w:tcW w:w="890" w:type="pct"/>
            <w:vMerge w:val="continue"/>
            <w:tcBorders>
              <w:top w:val="single" w:color="auto" w:sz="8" w:space="0"/>
              <w:left w:val="single" w:color="auto" w:sz="8" w:space="0"/>
              <w:bottom w:val="single" w:color="auto" w:sz="8" w:space="0"/>
              <w:right w:val="single" w:color="auto" w:sz="8" w:space="0"/>
            </w:tcBorders>
            <w:vAlign w:val="center"/>
          </w:tcPr>
          <w:p>
            <w:pPr>
              <w:keepNext w:val="0"/>
              <w:keepLines w:val="0"/>
              <w:pageBreakBefore w:val="0"/>
              <w:kinsoku/>
              <w:wordWrap/>
              <w:overflowPunct/>
              <w:topLinePunct w:val="0"/>
              <w:autoSpaceDE/>
              <w:autoSpaceDN/>
              <w:bidi w:val="0"/>
              <w:adjustRightInd w:val="0"/>
              <w:snapToGrid w:val="0"/>
              <w:spacing w:line="240" w:lineRule="exact"/>
              <w:ind w:firstLine="420" w:firstLineChars="200"/>
              <w:jc w:val="center"/>
              <w:rPr>
                <w:rFonts w:ascii="仿宋_GB2312" w:hAnsi="仿宋_GB2312" w:cs="仿宋_GB2312"/>
                <w:color w:val="auto"/>
                <w:sz w:val="21"/>
                <w:szCs w:val="21"/>
              </w:rPr>
            </w:pPr>
          </w:p>
        </w:tc>
        <w:tc>
          <w:tcPr>
            <w:tcW w:w="270" w:type="pct"/>
            <w:vMerge w:val="continue"/>
            <w:tcBorders>
              <w:top w:val="single" w:color="auto" w:sz="8" w:space="0"/>
              <w:left w:val="single" w:color="auto" w:sz="8" w:space="0"/>
              <w:bottom w:val="single" w:color="auto" w:sz="8" w:space="0"/>
              <w:right w:val="single" w:color="auto" w:sz="8" w:space="0"/>
            </w:tcBorders>
            <w:vAlign w:val="center"/>
          </w:tcPr>
          <w:p>
            <w:pPr>
              <w:snapToGrid w:val="0"/>
              <w:jc w:val="center"/>
              <w:rPr>
                <w:rFonts w:ascii="仿宋_GB2312" w:hAnsi="仿宋_GB2312" w:cs="仿宋_GB2312"/>
                <w:color w:val="auto"/>
                <w:sz w:val="21"/>
                <w:szCs w:val="21"/>
              </w:rPr>
            </w:pPr>
          </w:p>
        </w:tc>
        <w:tc>
          <w:tcPr>
            <w:tcW w:w="1262"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五）确定陆地海砂淡化场，实行有效监管。沿海14个地市结合实际选定若干区域设置临时的陆地海砂淡化场，解决海砂无处可洗、清洗达标与否难以监管的问题；各地市原有的陆地洗砂场，经论证和审核后，可有序恢复。待我省洗砂管理办法出台后，按照管理办法的规定进一步加强管理。其余7个地市结合实际需求，合理设置陆地洗砂场。强化对陆地海砂淡化场环境保护监管，落实相应的环保措施，对排放水的化学需氧量浓度进行检测。强化对陆地海砂淡化场海砂来源监管，实现海砂进场出场台账管理，未持有海砂合法来源证明的海砂一律不得入场。通过抽查、飞行检查等方式，对成品海砂的氯离子含量进行检测，氯离子含量不达标的一律不得出场。</w:t>
            </w:r>
          </w:p>
        </w:tc>
        <w:tc>
          <w:tcPr>
            <w:tcW w:w="1740"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ind w:left="0" w:leftChars="0" w:firstLine="420" w:firstLineChars="200"/>
              <w:textAlignment w:val="center"/>
              <w:rPr>
                <w:rFonts w:ascii="仿宋_GB2312" w:hAnsi="仿宋_GB2312" w:cs="仿宋_GB2312"/>
                <w:color w:val="auto"/>
                <w:sz w:val="21"/>
                <w:szCs w:val="21"/>
              </w:rPr>
            </w:pPr>
            <w:r>
              <w:rPr>
                <w:rFonts w:hint="eastAsia" w:ascii="仿宋_GB2312" w:hAnsi="仿宋_GB2312" w:cs="仿宋_GB2312"/>
                <w:color w:val="auto"/>
                <w:sz w:val="21"/>
                <w:szCs w:val="21"/>
              </w:rPr>
              <w:t>1.我市制定了《非法洗砂洗泥日常监管责任清单》《韶关市非法洗砂洗泥问题整改任务清单》《韶关市河道水域非法洗砂洗泥问题整改任务责任清单》《韶关市河道水域非法洗砂洗泥问题日常监管责任清单》，建立了横向到边、纵向到底的工作责任体系，形成了齐抓共管、多轮驱动的工作合力，进一步压实各地、各有关部门主体责任、监管责任，合力推动我市非法洗砂洗泥问题整改工作有效开展。</w:t>
            </w:r>
          </w:p>
          <w:p>
            <w:pPr>
              <w:keepNext w:val="0"/>
              <w:keepLines w:val="0"/>
              <w:pageBreakBefore w:val="0"/>
              <w:widowControl/>
              <w:kinsoku/>
              <w:wordWrap/>
              <w:overflowPunct/>
              <w:topLinePunct w:val="0"/>
              <w:autoSpaceDE/>
              <w:autoSpaceDN/>
              <w:bidi w:val="0"/>
              <w:adjustRightInd w:val="0"/>
              <w:snapToGrid w:val="0"/>
              <w:spacing w:line="240" w:lineRule="auto"/>
              <w:ind w:left="0" w:leftChars="0" w:firstLine="420" w:firstLineChars="200"/>
              <w:textAlignment w:val="center"/>
              <w:rPr>
                <w:rFonts w:ascii="仿宋_GB2312" w:hAnsi="仿宋_GB2312" w:cs="仿宋_GB2312"/>
                <w:color w:val="auto"/>
                <w:sz w:val="21"/>
                <w:szCs w:val="21"/>
              </w:rPr>
            </w:pPr>
            <w:r>
              <w:rPr>
                <w:rFonts w:hint="eastAsia" w:ascii="仿宋_GB2312" w:hAnsi="仿宋_GB2312" w:cs="仿宋_GB2312"/>
                <w:color w:val="auto"/>
                <w:sz w:val="21"/>
                <w:szCs w:val="21"/>
              </w:rPr>
              <w:t>2.自整改活动开展以来，全市各级水政执法部门全方位加强对河道非法洗砂洗泥问题处置，依法打击河道非法洗沙洗泥行为。截至2023年底，全市共开展日常监管执法行动2765次，出动执法人员11631人次，出动执法船只266艘，出动执法车辆3254辆，检查洗砂场所266处，查处洗砂案件1宗，罚款2万元。通过各县（市、区）、各相关部门各司其职、密切配合，进一步加强了“开采、运输、泡洗、使用”等环节全过程动态管理，有力有效维护了我市水环境安全。</w:t>
            </w:r>
          </w:p>
        </w:tc>
        <w:tc>
          <w:tcPr>
            <w:tcW w:w="651" w:type="pct"/>
            <w:tcBorders>
              <w:top w:val="single" w:color="auto" w:sz="8" w:space="0"/>
              <w:left w:val="single" w:color="auto" w:sz="8" w:space="0"/>
              <w:bottom w:val="single" w:color="auto" w:sz="8" w:space="0"/>
              <w:right w:val="single" w:color="auto" w:sz="8" w:space="0"/>
            </w:tcBorders>
            <w:vAlign w:val="center"/>
          </w:tcPr>
          <w:p>
            <w:pPr>
              <w:spacing w:line="300" w:lineRule="exact"/>
              <w:rPr>
                <w:rFonts w:ascii="仿宋_GB2312" w:hAnsi="仿宋_GB2312" w:cs="仿宋_GB2312"/>
                <w:color w:val="auto"/>
                <w:sz w:val="21"/>
                <w:szCs w:val="21"/>
              </w:rPr>
            </w:pPr>
            <w:r>
              <w:rPr>
                <w:rFonts w:ascii="Segoe UI Symbol" w:hAnsi="Segoe UI Symbol" w:cs="Segoe UI Symbol"/>
                <w:color w:val="auto"/>
                <w:sz w:val="21"/>
                <w:szCs w:val="21"/>
              </w:rPr>
              <w:t>☑</w:t>
            </w:r>
            <w:r>
              <w:rPr>
                <w:rFonts w:hint="eastAsia" w:ascii="仿宋_GB2312" w:hAnsi="仿宋_GB2312" w:cs="仿宋_GB2312"/>
                <w:color w:val="auto"/>
                <w:sz w:val="21"/>
                <w:szCs w:val="21"/>
              </w:rPr>
              <w:t>已验收销号</w:t>
            </w:r>
          </w:p>
          <w:p>
            <w:pPr>
              <w:spacing w:line="300" w:lineRule="exact"/>
              <w:rPr>
                <w:rFonts w:ascii="仿宋_GB2312" w:hAnsi="仿宋_GB2312" w:cs="仿宋_GB2312"/>
                <w:color w:val="auto"/>
                <w:sz w:val="21"/>
                <w:szCs w:val="21"/>
              </w:rPr>
            </w:pPr>
            <w:r>
              <w:rPr>
                <w:rFonts w:hint="eastAsia" w:ascii="MS Mincho" w:hAnsi="MS Mincho" w:eastAsia="MS Mincho" w:cs="MS Mincho"/>
                <w:color w:val="auto"/>
                <w:sz w:val="21"/>
                <w:szCs w:val="21"/>
              </w:rPr>
              <w:t>☑</w:t>
            </w:r>
            <w:r>
              <w:rPr>
                <w:rFonts w:hint="eastAsia" w:ascii="仿宋_GB2312" w:hAnsi="仿宋_GB2312" w:cs="仿宋_GB2312"/>
                <w:color w:val="auto"/>
                <w:sz w:val="21"/>
                <w:szCs w:val="21"/>
              </w:rPr>
              <w:t>已完成</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□达到时序进度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□未达时序进度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□尚未启动</w:t>
            </w:r>
          </w:p>
        </w:tc>
      </w:tr>
      <w:tr>
        <w:tblPrEx>
          <w:tblCellMar>
            <w:top w:w="0" w:type="dxa"/>
            <w:left w:w="108" w:type="dxa"/>
            <w:bottom w:w="0" w:type="dxa"/>
            <w:right w:w="108" w:type="dxa"/>
          </w:tblCellMar>
        </w:tblPrEx>
        <w:trPr>
          <w:trHeight w:val="521" w:hRule="atLeast"/>
          <w:jc w:val="center"/>
        </w:trPr>
        <w:tc>
          <w:tcPr>
            <w:tcW w:w="184" w:type="pct"/>
            <w:tcBorders>
              <w:top w:val="single" w:color="auto" w:sz="8" w:space="0"/>
              <w:left w:val="single" w:color="auto" w:sz="8" w:space="0"/>
              <w:bottom w:val="single" w:color="auto" w:sz="8" w:space="0"/>
              <w:right w:val="single" w:color="auto" w:sz="8" w:space="0"/>
            </w:tcBorders>
            <w:vAlign w:val="center"/>
          </w:tcPr>
          <w:p>
            <w:pPr>
              <w:spacing w:line="300" w:lineRule="exact"/>
              <w:jc w:val="center"/>
              <w:rPr>
                <w:rFonts w:ascii="仿宋_GB2312" w:hAnsi="仿宋_GB2312" w:cs="仿宋_GB2312"/>
                <w:color w:val="auto"/>
                <w:sz w:val="21"/>
                <w:szCs w:val="21"/>
              </w:rPr>
            </w:pPr>
            <w:r>
              <w:rPr>
                <w:rFonts w:hint="eastAsia" w:ascii="仿宋_GB2312" w:hAnsi="仿宋_GB2312" w:cs="仿宋_GB2312"/>
                <w:color w:val="auto"/>
                <w:sz w:val="21"/>
                <w:szCs w:val="21"/>
              </w:rPr>
              <w:t>11</w:t>
            </w:r>
          </w:p>
        </w:tc>
        <w:tc>
          <w:tcPr>
            <w:tcW w:w="890"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十七、环境基础设施仍有缺口。近年来，广东省大力补齐基础设施短板，但城市生活污水收集率总体水平仍有待提高，污水管网仍存在较大缺口，污水处理效能还不高。2020年全省城市生活污水收集率为67.2%，其中韶关市、肇庆市等7个地市收集率低于30%，最低的云浮市收集率仅为19.9%。</w:t>
            </w:r>
          </w:p>
        </w:tc>
        <w:tc>
          <w:tcPr>
            <w:tcW w:w="270" w:type="pct"/>
            <w:tcBorders>
              <w:top w:val="single" w:color="auto" w:sz="8" w:space="0"/>
              <w:left w:val="single" w:color="auto" w:sz="8" w:space="0"/>
              <w:bottom w:val="single" w:color="auto" w:sz="8" w:space="0"/>
              <w:right w:val="single" w:color="auto" w:sz="8" w:space="0"/>
            </w:tcBorders>
            <w:vAlign w:val="center"/>
          </w:tcPr>
          <w:p>
            <w:pPr>
              <w:widowControl/>
              <w:snapToGrid w:val="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2025年年底前</w:t>
            </w:r>
          </w:p>
        </w:tc>
        <w:tc>
          <w:tcPr>
            <w:tcW w:w="1262"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（三）韶关市2023年年底前建成乐昌市第二污水处理厂一期（3万吨/日）及配套管网工程；2025年年底前全市城市建成区累计新增污水管网360公里。到2025年年底，城区生活污水集中收集率达到45%以上。</w:t>
            </w:r>
          </w:p>
        </w:tc>
        <w:tc>
          <w:tcPr>
            <w:tcW w:w="1740"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ind w:left="0" w:leftChars="0" w:firstLine="420" w:firstLineChars="200"/>
              <w:textAlignment w:val="center"/>
              <w:rPr>
                <w:rFonts w:ascii="仿宋_GB2312" w:hAnsi="仿宋_GB2312" w:cs="仿宋_GB2312"/>
                <w:color w:val="auto"/>
                <w:sz w:val="21"/>
                <w:szCs w:val="21"/>
              </w:rPr>
            </w:pPr>
            <w:r>
              <w:rPr>
                <w:rFonts w:ascii="仿宋_GB2312" w:hAnsi="仿宋_GB2312" w:cs="仿宋_GB2312"/>
                <w:color w:val="auto"/>
                <w:sz w:val="21"/>
                <w:szCs w:val="21"/>
              </w:rPr>
              <w:t>1.乐昌市第二污水处理厂一期工程(3万吨/日)已</w:t>
            </w:r>
            <w:r>
              <w:rPr>
                <w:rFonts w:hint="eastAsia" w:ascii="仿宋_GB2312" w:hAnsi="仿宋_GB2312" w:cs="仿宋_GB2312"/>
                <w:color w:val="auto"/>
                <w:sz w:val="21"/>
                <w:szCs w:val="21"/>
              </w:rPr>
              <w:t>完成建设并投入使用</w:t>
            </w:r>
            <w:r>
              <w:rPr>
                <w:rFonts w:ascii="仿宋_GB2312" w:hAnsi="仿宋_GB2312" w:cs="仿宋_GB2312"/>
                <w:color w:val="auto"/>
                <w:sz w:val="21"/>
                <w:szCs w:val="21"/>
              </w:rPr>
              <w:t>，新增城市（县城）污水处理规模3万吨/日。</w:t>
            </w:r>
          </w:p>
          <w:p>
            <w:pPr>
              <w:pStyle w:val="45"/>
              <w:keepNext w:val="0"/>
              <w:keepLines w:val="0"/>
              <w:pageBreakBefore w:val="0"/>
              <w:kinsoku/>
              <w:wordWrap/>
              <w:overflowPunct/>
              <w:topLinePunct w:val="0"/>
              <w:autoSpaceDE/>
              <w:autoSpaceDN/>
              <w:bidi w:val="0"/>
              <w:adjustRightInd w:val="0"/>
              <w:snapToGrid w:val="0"/>
              <w:spacing w:line="240" w:lineRule="auto"/>
              <w:ind w:left="0" w:leftChars="0" w:firstLine="420" w:firstLineChars="200"/>
              <w:rPr>
                <w:rFonts w:hint="eastAsia" w:ascii="仿宋_GB2312" w:hAnsi="仿宋_GB2312" w:eastAsia="仿宋_GB2312" w:cs="仿宋_GB2312"/>
                <w:color w:val="auto"/>
              </w:rPr>
            </w:pPr>
            <w:r>
              <w:rPr>
                <w:rFonts w:hint="eastAsia" w:ascii="仿宋_GB2312" w:hAnsi="仿宋_GB2312" w:eastAsia="仿宋_GB2312" w:cs="仿宋_GB2312"/>
                <w:color w:val="auto"/>
              </w:rPr>
              <w:t>2.2022年新增城市（县城）污水管网172.97公里；2023年新增城市（县城）污水管网161.76公里；2024年新增城市（县城）污水管网96.3公里；2025年新增城市（县城）污水管网100.79公里。</w:t>
            </w:r>
          </w:p>
          <w:p>
            <w:pPr>
              <w:pStyle w:val="44"/>
              <w:keepNext w:val="0"/>
              <w:keepLines w:val="0"/>
              <w:pageBreakBefore w:val="0"/>
              <w:kinsoku/>
              <w:wordWrap/>
              <w:overflowPunct/>
              <w:topLinePunct w:val="0"/>
              <w:autoSpaceDE/>
              <w:autoSpaceDN/>
              <w:bidi w:val="0"/>
              <w:adjustRightInd w:val="0"/>
              <w:snapToGrid w:val="0"/>
              <w:spacing w:line="240" w:lineRule="auto"/>
              <w:ind w:left="0" w:leftChars="0" w:firstLine="420" w:firstLineChars="200"/>
              <w:textAlignment w:val="center"/>
              <w:rPr>
                <w:rFonts w:ascii="仿宋_GB2312" w:hAnsi="仿宋_GB2312" w:eastAsia="仿宋_GB2312" w:cs="仿宋_GB2312"/>
                <w:color w:val="auto"/>
              </w:rPr>
            </w:pPr>
            <w:r>
              <w:rPr>
                <w:rFonts w:ascii="仿宋_GB2312" w:hAnsi="仿宋_GB2312" w:eastAsia="仿宋_GB2312" w:cs="仿宋_GB2312"/>
                <w:color w:val="auto"/>
              </w:rPr>
              <w:t>3.2025年，韶关市城区污水收集率为47.82%，乐昌市城区污水收集率为46.75%，南雄市城区污水收集率为41.76%</w:t>
            </w:r>
            <w:r>
              <w:rPr>
                <w:rFonts w:hint="eastAsia" w:ascii="仿宋_GB2312" w:hAnsi="仿宋_GB2312" w:eastAsia="仿宋_GB2312" w:cs="仿宋_GB2312"/>
                <w:color w:val="auto"/>
              </w:rPr>
              <w:t>.</w:t>
            </w:r>
          </w:p>
        </w:tc>
        <w:tc>
          <w:tcPr>
            <w:tcW w:w="651" w:type="pct"/>
            <w:tcBorders>
              <w:top w:val="single" w:color="auto" w:sz="8" w:space="0"/>
              <w:left w:val="single" w:color="auto" w:sz="8" w:space="0"/>
              <w:bottom w:val="single" w:color="auto" w:sz="8" w:space="0"/>
              <w:right w:val="single" w:color="auto" w:sz="8" w:space="0"/>
            </w:tcBorders>
            <w:vAlign w:val="center"/>
          </w:tcPr>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□已验收销号</w:t>
            </w:r>
          </w:p>
          <w:p>
            <w:pPr>
              <w:spacing w:line="300" w:lineRule="exact"/>
              <w:rPr>
                <w:rFonts w:ascii="仿宋_GB2312" w:hAnsi="仿宋_GB2312" w:cs="仿宋_GB2312"/>
                <w:color w:val="auto"/>
                <w:sz w:val="21"/>
                <w:szCs w:val="21"/>
              </w:rPr>
            </w:pPr>
            <w:r>
              <w:rPr>
                <w:rFonts w:ascii="Segoe UI Symbol" w:hAnsi="Segoe UI Symbol" w:cs="Segoe UI Symbol"/>
                <w:color w:val="auto"/>
                <w:sz w:val="21"/>
                <w:szCs w:val="21"/>
              </w:rPr>
              <w:t>☑</w:t>
            </w:r>
            <w:r>
              <w:rPr>
                <w:rFonts w:hint="eastAsia" w:ascii="仿宋_GB2312" w:hAnsi="仿宋_GB2312" w:cs="仿宋_GB2312"/>
                <w:color w:val="auto"/>
                <w:sz w:val="21"/>
                <w:szCs w:val="21"/>
              </w:rPr>
              <w:t>已完成</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□达到时序进度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□未达时序进度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□尚未启动</w:t>
            </w:r>
          </w:p>
        </w:tc>
      </w:tr>
      <w:tr>
        <w:tblPrEx>
          <w:tblCellMar>
            <w:top w:w="0" w:type="dxa"/>
            <w:left w:w="108" w:type="dxa"/>
            <w:bottom w:w="0" w:type="dxa"/>
            <w:right w:w="108" w:type="dxa"/>
          </w:tblCellMar>
        </w:tblPrEx>
        <w:trPr>
          <w:trHeight w:val="521" w:hRule="atLeast"/>
          <w:jc w:val="center"/>
        </w:trPr>
        <w:tc>
          <w:tcPr>
            <w:tcW w:w="184" w:type="pct"/>
            <w:vMerge w:val="restart"/>
            <w:tcBorders>
              <w:top w:val="single" w:color="auto" w:sz="8" w:space="0"/>
              <w:left w:val="single" w:color="auto" w:sz="8" w:space="0"/>
              <w:right w:val="single" w:color="auto" w:sz="8" w:space="0"/>
            </w:tcBorders>
            <w:vAlign w:val="center"/>
          </w:tcPr>
          <w:p>
            <w:pPr>
              <w:spacing w:line="300" w:lineRule="exact"/>
              <w:jc w:val="center"/>
              <w:rPr>
                <w:rFonts w:ascii="仿宋_GB2312" w:hAnsi="仿宋_GB2312" w:cs="仿宋_GB2312"/>
                <w:color w:val="auto"/>
                <w:sz w:val="21"/>
                <w:szCs w:val="21"/>
              </w:rPr>
            </w:pPr>
            <w:r>
              <w:rPr>
                <w:rFonts w:hint="eastAsia" w:ascii="仿宋_GB2312" w:hAnsi="仿宋_GB2312" w:cs="仿宋_GB2312"/>
                <w:color w:val="auto"/>
                <w:sz w:val="21"/>
                <w:szCs w:val="21"/>
              </w:rPr>
              <w:t>12</w:t>
            </w:r>
          </w:p>
        </w:tc>
        <w:tc>
          <w:tcPr>
            <w:tcW w:w="890" w:type="pct"/>
            <w:vMerge w:val="restar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二十一、韶关市城区污水收集率只有24.6%，每天约13万吨污水直排。全市98个在用的城镇污水处理厂中，约一半进水COD浓度低于60毫克/升，其中12个镇级污水处理厂进水COD浓度低于30毫克/升，清水进清水出。</w:t>
            </w:r>
          </w:p>
        </w:tc>
        <w:tc>
          <w:tcPr>
            <w:tcW w:w="270" w:type="pct"/>
            <w:vMerge w:val="restart"/>
            <w:tcBorders>
              <w:top w:val="single" w:color="auto" w:sz="8" w:space="0"/>
              <w:left w:val="single" w:color="auto" w:sz="8" w:space="0"/>
              <w:bottom w:val="single" w:color="auto" w:sz="8" w:space="0"/>
              <w:right w:val="single" w:color="auto" w:sz="8" w:space="0"/>
            </w:tcBorders>
            <w:vAlign w:val="center"/>
          </w:tcPr>
          <w:p>
            <w:pPr>
              <w:widowControl/>
              <w:snapToGrid w:val="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2025年年底前</w:t>
            </w:r>
          </w:p>
        </w:tc>
        <w:tc>
          <w:tcPr>
            <w:tcW w:w="1262"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（一）补齐污水管网短板。按雨污分流规划建设新区排水管网，扎实推进老城区管网改造。2022-2023年新增城市（县城）污水管网211公里，2025年年底前累计新增污水管网367公里。</w:t>
            </w:r>
          </w:p>
        </w:tc>
        <w:tc>
          <w:tcPr>
            <w:tcW w:w="1740"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kinsoku/>
              <w:wordWrap/>
              <w:overflowPunct/>
              <w:topLinePunct w:val="0"/>
              <w:autoSpaceDE/>
              <w:autoSpaceDN/>
              <w:bidi w:val="0"/>
              <w:adjustRightInd w:val="0"/>
              <w:snapToGrid w:val="0"/>
              <w:spacing w:line="240" w:lineRule="auto"/>
              <w:ind w:left="0" w:leftChars="0" w:firstLine="420" w:firstLineChars="200"/>
              <w:rPr>
                <w:rFonts w:ascii="仿宋_GB2312" w:hAnsi="仿宋_GB2312" w:cs="仿宋_GB2312"/>
                <w:color w:val="auto"/>
                <w:sz w:val="21"/>
                <w:szCs w:val="21"/>
              </w:rPr>
            </w:pPr>
            <w:r>
              <w:rPr>
                <w:rFonts w:hint="eastAsia" w:ascii="仿宋_GB2312" w:hAnsi="仿宋_GB2312" w:cs="仿宋_GB2312"/>
                <w:color w:val="auto"/>
                <w:sz w:val="21"/>
                <w:szCs w:val="21"/>
              </w:rPr>
              <w:t>1.2022年新增城市（县城）污水管网172.97公里,年度目标完成率172.1%；2023年新增城市（县城）污水管网161.76公里，年度目标完成率145%；2024年新增城市（县城）污水管网96.3公里；</w:t>
            </w:r>
            <w:r>
              <w:rPr>
                <w:rFonts w:ascii="仿宋_GB2312" w:hAnsi="仿宋_GB2312" w:cs="仿宋_GB2312"/>
                <w:color w:val="auto"/>
                <w:sz w:val="21"/>
                <w:szCs w:val="21"/>
              </w:rPr>
              <w:t>2025年新增城市（县城）污水管网100.79公里。已超额完成央督整改目标。</w:t>
            </w:r>
          </w:p>
          <w:p>
            <w:pPr>
              <w:keepNext w:val="0"/>
              <w:keepLines w:val="0"/>
              <w:pageBreakBefore w:val="0"/>
              <w:kinsoku/>
              <w:wordWrap/>
              <w:overflowPunct/>
              <w:topLinePunct w:val="0"/>
              <w:autoSpaceDE/>
              <w:autoSpaceDN/>
              <w:bidi w:val="0"/>
              <w:adjustRightInd w:val="0"/>
              <w:snapToGrid w:val="0"/>
              <w:spacing w:line="240" w:lineRule="auto"/>
              <w:ind w:left="0" w:leftChars="0" w:firstLine="420" w:firstLineChars="200"/>
              <w:rPr>
                <w:rFonts w:ascii="仿宋_GB2312" w:hAnsi="仿宋_GB2312" w:cs="仿宋_GB2312"/>
                <w:color w:val="auto"/>
                <w:sz w:val="21"/>
                <w:szCs w:val="21"/>
              </w:rPr>
            </w:pPr>
            <w:r>
              <w:rPr>
                <w:rFonts w:hint="eastAsia" w:ascii="仿宋_GB2312" w:hAnsi="仿宋_GB2312" w:cs="仿宋_GB2312"/>
                <w:color w:val="auto"/>
                <w:sz w:val="21"/>
                <w:szCs w:val="21"/>
              </w:rPr>
              <w:t>2.2025年，韶关市城区污水收集率为47.82%，乐昌市城区污水收集率为46.75%，南雄市城区污水收集率为41.76%。2025年12月，全市18座城市（县城）污水厂、83座纳统乡镇污水处理厂进水COD平均浓度已达到133.46毫克/升、110.73毫克/升，达到整改目标。</w:t>
            </w:r>
          </w:p>
        </w:tc>
        <w:tc>
          <w:tcPr>
            <w:tcW w:w="651" w:type="pct"/>
            <w:tcBorders>
              <w:top w:val="single" w:color="auto" w:sz="8" w:space="0"/>
              <w:left w:val="single" w:color="auto" w:sz="8" w:space="0"/>
              <w:bottom w:val="single" w:color="auto" w:sz="8" w:space="0"/>
              <w:right w:val="single" w:color="auto" w:sz="8" w:space="0"/>
            </w:tcBorders>
            <w:vAlign w:val="center"/>
          </w:tcPr>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□已验收销号</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lang w:eastAsia="zh-CN"/>
              </w:rPr>
              <w:t>☑</w:t>
            </w:r>
            <w:r>
              <w:rPr>
                <w:rFonts w:hint="eastAsia" w:ascii="仿宋_GB2312" w:hAnsi="仿宋_GB2312" w:cs="仿宋_GB2312"/>
                <w:color w:val="auto"/>
                <w:sz w:val="21"/>
                <w:szCs w:val="21"/>
              </w:rPr>
              <w:t>已完成</w:t>
            </w:r>
          </w:p>
          <w:p>
            <w:pPr>
              <w:spacing w:line="300" w:lineRule="exact"/>
              <w:rPr>
                <w:rFonts w:ascii="仿宋_GB2312" w:hAnsi="仿宋_GB2312" w:cs="仿宋_GB2312"/>
                <w:color w:val="auto"/>
                <w:sz w:val="21"/>
                <w:szCs w:val="21"/>
              </w:rPr>
            </w:pPr>
            <w:r>
              <w:rPr>
                <w:rFonts w:hint="eastAsia" w:ascii="Segoe UI Symbol" w:hAnsi="Segoe UI Symbol" w:cs="Segoe UI Symbol"/>
                <w:color w:val="auto"/>
                <w:sz w:val="21"/>
                <w:szCs w:val="21"/>
                <w:lang w:eastAsia="zh-CN"/>
              </w:rPr>
              <w:t>□</w:t>
            </w:r>
            <w:r>
              <w:rPr>
                <w:rFonts w:hint="eastAsia" w:ascii="仿宋_GB2312" w:hAnsi="仿宋_GB2312" w:cs="仿宋_GB2312"/>
                <w:color w:val="auto"/>
                <w:sz w:val="21"/>
                <w:szCs w:val="21"/>
              </w:rPr>
              <w:t>达到时序进度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□未达时序进度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□尚未启动</w:t>
            </w:r>
          </w:p>
        </w:tc>
      </w:tr>
      <w:tr>
        <w:tblPrEx>
          <w:tblCellMar>
            <w:top w:w="0" w:type="dxa"/>
            <w:left w:w="108" w:type="dxa"/>
            <w:bottom w:w="0" w:type="dxa"/>
            <w:right w:w="108" w:type="dxa"/>
          </w:tblCellMar>
        </w:tblPrEx>
        <w:trPr>
          <w:trHeight w:val="2901" w:hRule="atLeast"/>
          <w:jc w:val="center"/>
        </w:trPr>
        <w:tc>
          <w:tcPr>
            <w:tcW w:w="184" w:type="pct"/>
            <w:vMerge w:val="continue"/>
            <w:tcBorders>
              <w:left w:val="single" w:color="auto" w:sz="8" w:space="0"/>
              <w:right w:val="single" w:color="auto" w:sz="8" w:space="0"/>
            </w:tcBorders>
            <w:vAlign w:val="center"/>
          </w:tcPr>
          <w:p>
            <w:pPr>
              <w:spacing w:line="300" w:lineRule="exact"/>
              <w:ind w:firstLine="210" w:firstLineChars="100"/>
              <w:jc w:val="center"/>
              <w:rPr>
                <w:rFonts w:ascii="仿宋_GB2312" w:hAnsi="仿宋_GB2312" w:cs="仿宋_GB2312"/>
                <w:color w:val="auto"/>
                <w:sz w:val="21"/>
                <w:szCs w:val="21"/>
              </w:rPr>
            </w:pPr>
          </w:p>
        </w:tc>
        <w:tc>
          <w:tcPr>
            <w:tcW w:w="890" w:type="pct"/>
            <w:vMerge w:val="continue"/>
            <w:tcBorders>
              <w:top w:val="single" w:color="auto" w:sz="8" w:space="0"/>
              <w:left w:val="single" w:color="auto" w:sz="8" w:space="0"/>
              <w:bottom w:val="single" w:color="auto" w:sz="8" w:space="0"/>
              <w:right w:val="single" w:color="auto" w:sz="8" w:space="0"/>
            </w:tcBorders>
            <w:vAlign w:val="center"/>
          </w:tcPr>
          <w:p>
            <w:pPr>
              <w:keepNext w:val="0"/>
              <w:keepLines w:val="0"/>
              <w:pageBreakBefore w:val="0"/>
              <w:kinsoku/>
              <w:wordWrap/>
              <w:overflowPunct/>
              <w:topLinePunct w:val="0"/>
              <w:autoSpaceDE/>
              <w:autoSpaceDN/>
              <w:bidi w:val="0"/>
              <w:adjustRightInd w:val="0"/>
              <w:snapToGrid w:val="0"/>
              <w:spacing w:line="240" w:lineRule="exact"/>
              <w:ind w:firstLine="420" w:firstLineChars="200"/>
              <w:jc w:val="left"/>
              <w:rPr>
                <w:rFonts w:ascii="仿宋_GB2312" w:hAnsi="仿宋_GB2312" w:cs="仿宋_GB2312"/>
                <w:color w:val="auto"/>
                <w:sz w:val="21"/>
                <w:szCs w:val="21"/>
              </w:rPr>
            </w:pPr>
          </w:p>
        </w:tc>
        <w:tc>
          <w:tcPr>
            <w:tcW w:w="270" w:type="pct"/>
            <w:vMerge w:val="continue"/>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cs="仿宋_GB2312"/>
                <w:color w:val="auto"/>
                <w:sz w:val="21"/>
                <w:szCs w:val="21"/>
              </w:rPr>
            </w:pPr>
          </w:p>
        </w:tc>
        <w:tc>
          <w:tcPr>
            <w:tcW w:w="1262"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二）巩固提升污水处理能力。2023年年底前建成乐昌市第二污水处理厂一期（3万吨/日）、翁源县县城罗坑水污水处理厂（0.5万吨/日）、乳源瑶族自治县污水处理厂二期扩建工程（1.5万吨/日），合计新增城市（县城）污水处理能力5万吨/日。</w:t>
            </w:r>
          </w:p>
        </w:tc>
        <w:tc>
          <w:tcPr>
            <w:tcW w:w="1740"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kinsoku/>
              <w:wordWrap/>
              <w:overflowPunct/>
              <w:topLinePunct w:val="0"/>
              <w:autoSpaceDE/>
              <w:autoSpaceDN/>
              <w:bidi w:val="0"/>
              <w:adjustRightInd w:val="0"/>
              <w:snapToGrid w:val="0"/>
              <w:spacing w:line="240" w:lineRule="auto"/>
              <w:ind w:left="0" w:leftChars="0" w:firstLine="420" w:firstLineChars="200"/>
              <w:rPr>
                <w:rFonts w:ascii="仿宋_GB2312" w:hAnsi="仿宋_GB2312" w:cs="仿宋_GB2312"/>
                <w:color w:val="auto"/>
                <w:sz w:val="21"/>
                <w:szCs w:val="21"/>
              </w:rPr>
            </w:pPr>
            <w:r>
              <w:rPr>
                <w:rFonts w:hint="eastAsia" w:ascii="仿宋_GB2312" w:hAnsi="仿宋_GB2312" w:cs="仿宋_GB2312"/>
                <w:color w:val="auto"/>
                <w:sz w:val="21"/>
                <w:szCs w:val="21"/>
              </w:rPr>
              <w:t>1.乐昌市第二污水处理厂一期工程(3万吨/日)已于2023年12月基本完成建安工程施工设备调试，2025年1月份正式投入运营。新增城市（县城）污水处理规模3万吨/日。</w:t>
            </w:r>
          </w:p>
          <w:p>
            <w:pPr>
              <w:keepNext w:val="0"/>
              <w:keepLines w:val="0"/>
              <w:pageBreakBefore w:val="0"/>
              <w:kinsoku/>
              <w:wordWrap/>
              <w:overflowPunct/>
              <w:topLinePunct w:val="0"/>
              <w:autoSpaceDE/>
              <w:autoSpaceDN/>
              <w:bidi w:val="0"/>
              <w:adjustRightInd w:val="0"/>
              <w:snapToGrid w:val="0"/>
              <w:spacing w:line="240" w:lineRule="auto"/>
              <w:ind w:left="0" w:leftChars="0" w:firstLine="420" w:firstLineChars="200"/>
              <w:rPr>
                <w:rFonts w:ascii="仿宋_GB2312" w:hAnsi="仿宋_GB2312" w:cs="仿宋_GB2312"/>
                <w:color w:val="auto"/>
                <w:sz w:val="21"/>
                <w:szCs w:val="21"/>
              </w:rPr>
            </w:pPr>
            <w:r>
              <w:rPr>
                <w:rFonts w:hint="eastAsia" w:ascii="仿宋_GB2312" w:hAnsi="仿宋_GB2312" w:cs="仿宋_GB2312"/>
                <w:color w:val="auto"/>
                <w:sz w:val="21"/>
                <w:szCs w:val="21"/>
              </w:rPr>
              <w:t>2.翁源县县城罗坑水污水处理厂（0.5万吨/日）于2022年3月建成，目前已投入运行；乳源瑶族自治县污水处理厂二期扩建工程（1.5万吨/日）于2022年2月建成，目前投入运行。</w:t>
            </w:r>
          </w:p>
          <w:p>
            <w:pPr>
              <w:keepNext w:val="0"/>
              <w:keepLines w:val="0"/>
              <w:pageBreakBefore w:val="0"/>
              <w:kinsoku/>
              <w:wordWrap/>
              <w:overflowPunct/>
              <w:topLinePunct w:val="0"/>
              <w:autoSpaceDE/>
              <w:autoSpaceDN/>
              <w:bidi w:val="0"/>
              <w:adjustRightInd w:val="0"/>
              <w:snapToGrid w:val="0"/>
              <w:spacing w:line="240" w:lineRule="auto"/>
              <w:ind w:left="0" w:leftChars="0" w:firstLine="420" w:firstLineChars="200"/>
              <w:rPr>
                <w:rFonts w:ascii="仿宋_GB2312" w:hAnsi="仿宋_GB2312" w:cs="仿宋_GB2312"/>
                <w:color w:val="auto"/>
                <w:sz w:val="21"/>
                <w:szCs w:val="21"/>
              </w:rPr>
            </w:pPr>
            <w:r>
              <w:rPr>
                <w:rFonts w:hint="eastAsia" w:ascii="仿宋_GB2312" w:hAnsi="仿宋_GB2312" w:cs="仿宋_GB2312"/>
                <w:color w:val="auto"/>
                <w:sz w:val="21"/>
                <w:szCs w:val="21"/>
              </w:rPr>
              <w:t>3.截至目前，全市合计新增城市（县城）污水处理能力5万吨/日。</w:t>
            </w:r>
          </w:p>
        </w:tc>
        <w:tc>
          <w:tcPr>
            <w:tcW w:w="651" w:type="pct"/>
            <w:tcBorders>
              <w:top w:val="single" w:color="auto" w:sz="8" w:space="0"/>
              <w:left w:val="single" w:color="auto" w:sz="8" w:space="0"/>
              <w:bottom w:val="single" w:color="auto" w:sz="8" w:space="0"/>
              <w:right w:val="single" w:color="auto" w:sz="8" w:space="0"/>
            </w:tcBorders>
            <w:vAlign w:val="center"/>
          </w:tcPr>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□已验收销号</w:t>
            </w:r>
          </w:p>
          <w:p>
            <w:pPr>
              <w:spacing w:line="300" w:lineRule="exact"/>
              <w:rPr>
                <w:rFonts w:ascii="仿宋_GB2312" w:hAnsi="仿宋_GB2312" w:cs="仿宋_GB2312"/>
                <w:color w:val="auto"/>
                <w:sz w:val="21"/>
                <w:szCs w:val="21"/>
              </w:rPr>
            </w:pPr>
            <w:r>
              <w:rPr>
                <w:rFonts w:hint="eastAsia" w:ascii="MS Mincho" w:hAnsi="MS Mincho" w:eastAsia="MS Mincho" w:cs="MS Mincho"/>
                <w:color w:val="auto"/>
                <w:sz w:val="21"/>
                <w:szCs w:val="21"/>
              </w:rPr>
              <w:t>☑</w:t>
            </w:r>
            <w:r>
              <w:rPr>
                <w:rFonts w:hint="eastAsia" w:ascii="仿宋_GB2312" w:hAnsi="仿宋_GB2312" w:cs="仿宋_GB2312"/>
                <w:color w:val="auto"/>
                <w:sz w:val="21"/>
                <w:szCs w:val="21"/>
              </w:rPr>
              <w:t>已完成</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□达到时序进度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□未达时序进度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□尚未启动</w:t>
            </w:r>
          </w:p>
        </w:tc>
      </w:tr>
      <w:tr>
        <w:tblPrEx>
          <w:tblCellMar>
            <w:top w:w="0" w:type="dxa"/>
            <w:left w:w="108" w:type="dxa"/>
            <w:bottom w:w="0" w:type="dxa"/>
            <w:right w:w="108" w:type="dxa"/>
          </w:tblCellMar>
        </w:tblPrEx>
        <w:trPr>
          <w:trHeight w:val="521" w:hRule="atLeast"/>
          <w:jc w:val="center"/>
        </w:trPr>
        <w:tc>
          <w:tcPr>
            <w:tcW w:w="184" w:type="pct"/>
            <w:vMerge w:val="continue"/>
            <w:tcBorders>
              <w:left w:val="single" w:color="auto" w:sz="8" w:space="0"/>
              <w:bottom w:val="single" w:color="auto" w:sz="8" w:space="0"/>
              <w:right w:val="single" w:color="auto" w:sz="8" w:space="0"/>
            </w:tcBorders>
            <w:vAlign w:val="center"/>
          </w:tcPr>
          <w:p>
            <w:pPr>
              <w:spacing w:line="300" w:lineRule="exact"/>
              <w:ind w:firstLine="210" w:firstLineChars="100"/>
              <w:jc w:val="center"/>
              <w:rPr>
                <w:rFonts w:ascii="仿宋_GB2312" w:hAnsi="仿宋_GB2312" w:cs="仿宋_GB2312"/>
                <w:color w:val="auto"/>
                <w:sz w:val="21"/>
                <w:szCs w:val="21"/>
              </w:rPr>
            </w:pPr>
          </w:p>
        </w:tc>
        <w:tc>
          <w:tcPr>
            <w:tcW w:w="890" w:type="pct"/>
            <w:vMerge w:val="continue"/>
            <w:tcBorders>
              <w:top w:val="single" w:color="auto" w:sz="8" w:space="0"/>
              <w:left w:val="single" w:color="auto" w:sz="8" w:space="0"/>
              <w:bottom w:val="single" w:color="auto" w:sz="8" w:space="0"/>
              <w:right w:val="single" w:color="auto" w:sz="8" w:space="0"/>
            </w:tcBorders>
            <w:vAlign w:val="center"/>
          </w:tcPr>
          <w:p>
            <w:pPr>
              <w:keepNext w:val="0"/>
              <w:keepLines w:val="0"/>
              <w:pageBreakBefore w:val="0"/>
              <w:kinsoku/>
              <w:wordWrap/>
              <w:overflowPunct/>
              <w:topLinePunct w:val="0"/>
              <w:autoSpaceDE/>
              <w:autoSpaceDN/>
              <w:bidi w:val="0"/>
              <w:adjustRightInd w:val="0"/>
              <w:snapToGrid w:val="0"/>
              <w:spacing w:line="240" w:lineRule="exact"/>
              <w:ind w:firstLine="420" w:firstLineChars="200"/>
              <w:jc w:val="left"/>
              <w:rPr>
                <w:rFonts w:ascii="仿宋_GB2312" w:hAnsi="仿宋_GB2312" w:cs="仿宋_GB2312"/>
                <w:color w:val="auto"/>
                <w:sz w:val="21"/>
                <w:szCs w:val="21"/>
              </w:rPr>
            </w:pPr>
          </w:p>
        </w:tc>
        <w:tc>
          <w:tcPr>
            <w:tcW w:w="270" w:type="pct"/>
            <w:vMerge w:val="continue"/>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cs="仿宋_GB2312"/>
                <w:color w:val="auto"/>
                <w:sz w:val="21"/>
                <w:szCs w:val="21"/>
              </w:rPr>
            </w:pPr>
          </w:p>
        </w:tc>
        <w:tc>
          <w:tcPr>
            <w:tcW w:w="1262"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三）推进入河排污口整治。深入开展市区、县城建成区内主要江河及河涌污水直排口排查、溯源及整改。2022年年底前完成市区三江六岸及良村排水渠、大陂河、东冲河、沐溪河、梅花河等5条河流，以及各县（市）城区范围内污水直排口截污整治。</w:t>
            </w:r>
          </w:p>
        </w:tc>
        <w:tc>
          <w:tcPr>
            <w:tcW w:w="1740" w:type="pct"/>
            <w:tcBorders>
              <w:top w:val="single" w:color="auto" w:sz="8" w:space="0"/>
              <w:left w:val="single" w:color="auto" w:sz="8" w:space="0"/>
              <w:bottom w:val="single" w:color="auto" w:sz="8" w:space="0"/>
              <w:right w:val="single" w:color="auto" w:sz="8" w:space="0"/>
            </w:tcBorders>
            <w:vAlign w:val="center"/>
          </w:tcPr>
          <w:p>
            <w:pPr>
              <w:pStyle w:val="6"/>
              <w:keepNext w:val="0"/>
              <w:keepLines w:val="0"/>
              <w:pageBreakBefore w:val="0"/>
              <w:kinsoku/>
              <w:wordWrap/>
              <w:overflowPunct/>
              <w:topLinePunct w:val="0"/>
              <w:autoSpaceDE/>
              <w:autoSpaceDN/>
              <w:bidi w:val="0"/>
              <w:adjustRightInd w:val="0"/>
              <w:snapToGrid w:val="0"/>
              <w:spacing w:line="240" w:lineRule="auto"/>
              <w:ind w:left="0" w:leftChars="0" w:firstLine="420" w:firstLineChars="200"/>
              <w:rPr>
                <w:rFonts w:ascii="仿宋_GB2312" w:hAnsi="仿宋_GB2312" w:eastAsia="仿宋_GB2312" w:cs="仿宋_GB2312"/>
                <w:color w:val="auto"/>
                <w:sz w:val="21"/>
                <w:szCs w:val="21"/>
              </w:rPr>
            </w:pPr>
            <w:r>
              <w:rPr>
                <w:rFonts w:hint="eastAsia" w:ascii="仿宋_GB2312" w:hAnsi="仿宋_GB2312" w:eastAsia="仿宋_GB2312" w:cs="仿宋_GB2312"/>
                <w:color w:val="auto"/>
                <w:kern w:val="0"/>
                <w:sz w:val="21"/>
                <w:szCs w:val="21"/>
              </w:rPr>
              <w:t>曲江区梅花河截污工程已于2021年1</w:t>
            </w:r>
            <w:r>
              <w:rPr>
                <w:rFonts w:hint="eastAsia" w:ascii="仿宋_GB2312" w:hAnsi="仿宋_GB2312" w:eastAsia="仿宋_GB2312" w:cs="仿宋_GB2312"/>
                <w:color w:val="auto"/>
                <w:kern w:val="0"/>
                <w:sz w:val="21"/>
                <w:szCs w:val="21"/>
                <w:lang w:val="en-US" w:eastAsia="zh-CN"/>
              </w:rPr>
              <w:t>1</w:t>
            </w:r>
            <w:r>
              <w:rPr>
                <w:rFonts w:hint="eastAsia" w:ascii="仿宋_GB2312" w:hAnsi="仿宋_GB2312" w:eastAsia="仿宋_GB2312" w:cs="仿宋_GB2312"/>
                <w:color w:val="auto"/>
                <w:kern w:val="0"/>
                <w:sz w:val="21"/>
                <w:szCs w:val="21"/>
              </w:rPr>
              <w:t>月完成竣工验收。</w:t>
            </w:r>
            <w:r>
              <w:rPr>
                <w:rFonts w:hint="eastAsia" w:ascii="仿宋_GB2312" w:hAnsi="仿宋_GB2312" w:eastAsia="仿宋_GB2312" w:cs="仿宋_GB2312"/>
                <w:color w:val="auto"/>
                <w:sz w:val="21"/>
                <w:szCs w:val="21"/>
              </w:rPr>
              <w:t>截至2023年12月，浈江区、武江区良村排水渠、大陂河、东冲河、沐溪河87个排口全部完成整治。另外7个县（市）城区内排查出污水直排口共66个，已全部完成整改，后续我市将持续排查，动态更新，深入完成整改。</w:t>
            </w:r>
          </w:p>
        </w:tc>
        <w:tc>
          <w:tcPr>
            <w:tcW w:w="651" w:type="pct"/>
            <w:tcBorders>
              <w:top w:val="single" w:color="auto" w:sz="8" w:space="0"/>
              <w:left w:val="single" w:color="auto" w:sz="8" w:space="0"/>
              <w:bottom w:val="single" w:color="auto" w:sz="8" w:space="0"/>
              <w:right w:val="single" w:color="auto" w:sz="8" w:space="0"/>
            </w:tcBorders>
            <w:vAlign w:val="center"/>
          </w:tcPr>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□已验收销号</w:t>
            </w:r>
          </w:p>
          <w:p>
            <w:pPr>
              <w:spacing w:line="300" w:lineRule="exact"/>
              <w:rPr>
                <w:rFonts w:ascii="仿宋_GB2312" w:hAnsi="仿宋_GB2312" w:cs="仿宋_GB2312"/>
                <w:color w:val="auto"/>
                <w:sz w:val="21"/>
                <w:szCs w:val="21"/>
              </w:rPr>
            </w:pPr>
            <w:r>
              <w:rPr>
                <w:rFonts w:hint="eastAsia" w:ascii="MS Mincho" w:hAnsi="MS Mincho" w:eastAsia="MS Mincho" w:cs="MS Mincho"/>
                <w:color w:val="auto"/>
                <w:sz w:val="21"/>
                <w:szCs w:val="21"/>
              </w:rPr>
              <w:t>☑</w:t>
            </w:r>
            <w:r>
              <w:rPr>
                <w:rFonts w:hint="eastAsia" w:ascii="仿宋_GB2312" w:hAnsi="仿宋_GB2312" w:cs="仿宋_GB2312"/>
                <w:color w:val="auto"/>
                <w:sz w:val="21"/>
                <w:szCs w:val="21"/>
              </w:rPr>
              <w:t>已完成</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□达到时序进度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□未达时序进度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□尚未启动</w:t>
            </w:r>
          </w:p>
        </w:tc>
      </w:tr>
      <w:tr>
        <w:tblPrEx>
          <w:tblCellMar>
            <w:top w:w="0" w:type="dxa"/>
            <w:left w:w="108" w:type="dxa"/>
            <w:bottom w:w="0" w:type="dxa"/>
            <w:right w:w="108" w:type="dxa"/>
          </w:tblCellMar>
        </w:tblPrEx>
        <w:trPr>
          <w:trHeight w:val="521" w:hRule="atLeast"/>
          <w:jc w:val="center"/>
        </w:trPr>
        <w:tc>
          <w:tcPr>
            <w:tcW w:w="184" w:type="pct"/>
            <w:vMerge w:val="restart"/>
            <w:tcBorders>
              <w:top w:val="single" w:color="auto" w:sz="8" w:space="0"/>
              <w:left w:val="single" w:color="auto" w:sz="8" w:space="0"/>
              <w:right w:val="single" w:color="auto" w:sz="8" w:space="0"/>
            </w:tcBorders>
            <w:vAlign w:val="center"/>
          </w:tcPr>
          <w:p>
            <w:pPr>
              <w:spacing w:line="300" w:lineRule="exact"/>
              <w:jc w:val="center"/>
              <w:rPr>
                <w:rFonts w:ascii="仿宋_GB2312" w:hAnsi="仿宋_GB2312" w:cs="仿宋_GB2312"/>
                <w:color w:val="auto"/>
                <w:sz w:val="21"/>
                <w:szCs w:val="21"/>
              </w:rPr>
            </w:pPr>
            <w:r>
              <w:rPr>
                <w:rFonts w:hint="eastAsia" w:ascii="仿宋_GB2312" w:hAnsi="仿宋_GB2312" w:cs="仿宋_GB2312"/>
                <w:color w:val="auto"/>
                <w:sz w:val="21"/>
                <w:szCs w:val="21"/>
              </w:rPr>
              <w:t>13</w:t>
            </w:r>
          </w:p>
        </w:tc>
        <w:tc>
          <w:tcPr>
            <w:tcW w:w="890" w:type="pct"/>
            <w:vMerge w:val="restar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四十、全省国家级和省级自然保护区核心区、缓冲区内小水电站共385座，广东省2017年就开始摸排保护区内小水电站底数，但直到2021年7月，才制定实施方案。南岭国家级自然保护区核心区、缓冲区内小水电站多达80座，当地截至督察进驻时尚未制定清理整改方案；龙牙峡水产种质资源省级自然保护区核心区、缓冲区内共有5座小水电站，2018年以来当地政府和有关部门默许甚至支持小水电站扩容改造。</w:t>
            </w:r>
          </w:p>
        </w:tc>
        <w:tc>
          <w:tcPr>
            <w:tcW w:w="270" w:type="pct"/>
            <w:vMerge w:val="restart"/>
            <w:tcBorders>
              <w:top w:val="single" w:color="auto" w:sz="8" w:space="0"/>
              <w:left w:val="single" w:color="auto" w:sz="8" w:space="0"/>
              <w:bottom w:val="single" w:color="auto" w:sz="8" w:space="0"/>
              <w:right w:val="single" w:color="auto" w:sz="8" w:space="0"/>
            </w:tcBorders>
            <w:vAlign w:val="center"/>
          </w:tcPr>
          <w:p>
            <w:pPr>
              <w:widowControl/>
              <w:snapToGrid w:val="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2025年年底前</w:t>
            </w:r>
          </w:p>
        </w:tc>
        <w:tc>
          <w:tcPr>
            <w:tcW w:w="1262"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kern w:val="0"/>
                <w:sz w:val="21"/>
                <w:szCs w:val="21"/>
              </w:rPr>
            </w:pPr>
            <w:r>
              <w:rPr>
                <w:rFonts w:hint="eastAsia" w:ascii="仿宋_GB2312" w:hAnsi="仿宋_GB2312" w:cs="仿宋_GB2312"/>
                <w:color w:val="auto"/>
                <w:kern w:val="0"/>
                <w:sz w:val="21"/>
                <w:szCs w:val="21"/>
              </w:rPr>
              <w:t>（二）分类分批推进385座小水电站的退出与整改。</w:t>
            </w:r>
          </w:p>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kern w:val="0"/>
                <w:sz w:val="21"/>
                <w:szCs w:val="21"/>
              </w:rPr>
            </w:pPr>
            <w:r>
              <w:rPr>
                <w:rFonts w:hint="eastAsia" w:ascii="仿宋_GB2312" w:hAnsi="仿宋_GB2312" w:cs="仿宋_GB2312"/>
                <w:color w:val="auto"/>
                <w:kern w:val="0"/>
                <w:sz w:val="21"/>
                <w:szCs w:val="21"/>
              </w:rPr>
              <w:t>具有防洪、供水、灌溉等综合利用功能的小水电站，按照七部委397号文要求，进一步明确其综合功能是否难以替代，若经省人民政府依据相关规定和政策专题论证同意并按要求履行相关程序后，确认难以替代的小水电站列为整改类，可不退出，并于2023年6月底前完成整改任务。</w:t>
            </w:r>
          </w:p>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kern w:val="0"/>
                <w:sz w:val="21"/>
                <w:szCs w:val="21"/>
              </w:rPr>
            </w:pPr>
            <w:r>
              <w:rPr>
                <w:rFonts w:hint="eastAsia" w:ascii="仿宋_GB2312" w:hAnsi="仿宋_GB2312" w:cs="仿宋_GB2312"/>
                <w:color w:val="auto"/>
                <w:kern w:val="0"/>
                <w:sz w:val="21"/>
                <w:szCs w:val="21"/>
              </w:rPr>
              <w:t>根据七部委397号文中“强化规划引领，严格控制增量”的内容精神，对于具有巩固脱贫攻坚成果、保障电网未覆盖地区供电安全等功能的电站，参照上述程序严格论证，确认难以替代的，列为整改类，于2023年6月底前完成整改任务。</w:t>
            </w:r>
          </w:p>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kern w:val="0"/>
                <w:sz w:val="21"/>
                <w:szCs w:val="21"/>
              </w:rPr>
            </w:pPr>
            <w:r>
              <w:rPr>
                <w:rFonts w:hint="eastAsia" w:ascii="仿宋_GB2312" w:hAnsi="仿宋_GB2312" w:cs="仿宋_GB2312"/>
                <w:color w:val="auto"/>
                <w:kern w:val="0"/>
                <w:sz w:val="21"/>
                <w:szCs w:val="21"/>
              </w:rPr>
              <w:t>其余综合功能可替代的小水电站，于2025年年底前完成退出任务。</w:t>
            </w:r>
          </w:p>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在自然保护区设立后建设且不具有防洪、供水、灌溉、巩固脱贫攻坚成果、保障电网未覆盖地区供电安全等综合利用功能的小水电站，原则上于2023年6月底前完成退出任务；在自然保护区设立前已合法合规建设且无综合功能的电站，于2025年年底前完成退出任务。</w:t>
            </w:r>
          </w:p>
        </w:tc>
        <w:tc>
          <w:tcPr>
            <w:tcW w:w="1740" w:type="pct"/>
            <w:tcBorders>
              <w:top w:val="single" w:color="auto" w:sz="8" w:space="0"/>
              <w:left w:val="single" w:color="auto" w:sz="8" w:space="0"/>
              <w:bottom w:val="single" w:color="auto" w:sz="8" w:space="0"/>
              <w:right w:val="single" w:color="auto" w:sz="8" w:space="0"/>
            </w:tcBorders>
            <w:vAlign w:val="center"/>
          </w:tcPr>
          <w:p>
            <w:pPr>
              <w:pStyle w:val="6"/>
              <w:keepNext w:val="0"/>
              <w:keepLines w:val="0"/>
              <w:pageBreakBefore w:val="0"/>
              <w:kinsoku/>
              <w:wordWrap/>
              <w:overflowPunct/>
              <w:topLinePunct w:val="0"/>
              <w:autoSpaceDE/>
              <w:autoSpaceDN/>
              <w:bidi w:val="0"/>
              <w:adjustRightInd w:val="0"/>
              <w:snapToGrid w:val="0"/>
              <w:spacing w:line="240" w:lineRule="auto"/>
              <w:ind w:left="0" w:leftChars="0" w:firstLine="420" w:firstLineChars="200"/>
              <w:rPr>
                <w:rFonts w:ascii="仿宋_GB2312" w:hAnsi="仿宋_GB2312" w:cs="仿宋_GB2312"/>
                <w:color w:val="auto"/>
                <w:sz w:val="21"/>
                <w:szCs w:val="21"/>
              </w:rPr>
            </w:pPr>
            <w:r>
              <w:rPr>
                <w:rFonts w:hint="eastAsia" w:ascii="仿宋_GB2312" w:hAnsi="仿宋_GB2312" w:eastAsia="仿宋_GB2312" w:cs="仿宋_GB2312"/>
                <w:color w:val="auto"/>
                <w:sz w:val="21"/>
                <w:szCs w:val="21"/>
              </w:rPr>
              <w:t>已完成全市国家、省级自然保护区核心区、缓冲区内小水电站“一站一策”方案编制工作，建立了任务清单。经核查，我市国家级和省级自然保护区核心区、缓冲区内共有退出类小水电站110宗。根据退出计划安排，2023年6月底前应退出22宗,2025年底前应退出88宗。截至2</w:t>
            </w:r>
            <w:r>
              <w:rPr>
                <w:rFonts w:ascii="仿宋_GB2312" w:hAnsi="仿宋_GB2312" w:eastAsia="仿宋_GB2312" w:cs="仿宋_GB2312"/>
                <w:color w:val="auto"/>
                <w:sz w:val="21"/>
                <w:szCs w:val="21"/>
              </w:rPr>
              <w:t>025</w:t>
            </w:r>
            <w:r>
              <w:rPr>
                <w:rFonts w:hint="eastAsia" w:ascii="仿宋_GB2312" w:hAnsi="仿宋_GB2312" w:eastAsia="仿宋_GB2312" w:cs="仿宋_GB2312"/>
                <w:color w:val="auto"/>
                <w:sz w:val="21"/>
                <w:szCs w:val="21"/>
              </w:rPr>
              <w:t>年1</w:t>
            </w:r>
            <w:r>
              <w:rPr>
                <w:rFonts w:ascii="仿宋_GB2312" w:hAnsi="仿宋_GB2312" w:eastAsia="仿宋_GB2312" w:cs="仿宋_GB2312"/>
                <w:color w:val="auto"/>
                <w:sz w:val="21"/>
                <w:szCs w:val="21"/>
              </w:rPr>
              <w:t>2</w:t>
            </w:r>
            <w:r>
              <w:rPr>
                <w:rFonts w:hint="eastAsia" w:ascii="仿宋_GB2312" w:hAnsi="仿宋_GB2312" w:eastAsia="仿宋_GB2312" w:cs="仿宋_GB2312"/>
                <w:color w:val="auto"/>
                <w:sz w:val="21"/>
                <w:szCs w:val="21"/>
              </w:rPr>
              <w:t>月底，110宗电站已全部完成退出。</w:t>
            </w:r>
          </w:p>
        </w:tc>
        <w:tc>
          <w:tcPr>
            <w:tcW w:w="651" w:type="pct"/>
            <w:tcBorders>
              <w:top w:val="single" w:color="auto" w:sz="8" w:space="0"/>
              <w:left w:val="single" w:color="auto" w:sz="8" w:space="0"/>
              <w:bottom w:val="single" w:color="auto" w:sz="8" w:space="0"/>
              <w:right w:val="single" w:color="auto" w:sz="8" w:space="0"/>
            </w:tcBorders>
            <w:vAlign w:val="center"/>
          </w:tcPr>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□已验收销号</w:t>
            </w:r>
          </w:p>
          <w:p>
            <w:pPr>
              <w:spacing w:line="300" w:lineRule="exact"/>
              <w:rPr>
                <w:rFonts w:ascii="仿宋_GB2312" w:hAnsi="仿宋_GB2312" w:cs="仿宋_GB2312"/>
                <w:color w:val="auto"/>
                <w:sz w:val="21"/>
                <w:szCs w:val="21"/>
              </w:rPr>
            </w:pPr>
            <w:r>
              <w:rPr>
                <w:rFonts w:ascii="Segoe UI Symbol" w:hAnsi="Segoe UI Symbol" w:cs="Segoe UI Symbol"/>
                <w:color w:val="auto"/>
                <w:sz w:val="21"/>
                <w:szCs w:val="21"/>
              </w:rPr>
              <w:t>☑</w:t>
            </w:r>
            <w:r>
              <w:rPr>
                <w:rFonts w:hint="eastAsia" w:ascii="仿宋_GB2312" w:hAnsi="仿宋_GB2312" w:cs="仿宋_GB2312"/>
                <w:color w:val="auto"/>
                <w:sz w:val="21"/>
                <w:szCs w:val="21"/>
              </w:rPr>
              <w:t>已完成</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□达到时序进度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□未达时序进度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□尚未启动</w:t>
            </w:r>
          </w:p>
        </w:tc>
      </w:tr>
      <w:tr>
        <w:tblPrEx>
          <w:tblCellMar>
            <w:top w:w="0" w:type="dxa"/>
            <w:left w:w="108" w:type="dxa"/>
            <w:bottom w:w="0" w:type="dxa"/>
            <w:right w:w="108" w:type="dxa"/>
          </w:tblCellMar>
        </w:tblPrEx>
        <w:trPr>
          <w:trHeight w:val="521" w:hRule="atLeast"/>
          <w:jc w:val="center"/>
        </w:trPr>
        <w:tc>
          <w:tcPr>
            <w:tcW w:w="184" w:type="pct"/>
            <w:vMerge w:val="continue"/>
            <w:tcBorders>
              <w:left w:val="single" w:color="auto" w:sz="8" w:space="0"/>
              <w:right w:val="single" w:color="auto" w:sz="8" w:space="0"/>
            </w:tcBorders>
            <w:vAlign w:val="center"/>
          </w:tcPr>
          <w:p>
            <w:pPr>
              <w:spacing w:line="300" w:lineRule="exact"/>
              <w:ind w:firstLine="210" w:firstLineChars="100"/>
              <w:jc w:val="center"/>
              <w:rPr>
                <w:rFonts w:ascii="仿宋_GB2312" w:hAnsi="仿宋_GB2312" w:cs="仿宋_GB2312"/>
                <w:color w:val="auto"/>
                <w:sz w:val="21"/>
                <w:szCs w:val="21"/>
              </w:rPr>
            </w:pPr>
          </w:p>
        </w:tc>
        <w:tc>
          <w:tcPr>
            <w:tcW w:w="890" w:type="pct"/>
            <w:vMerge w:val="continue"/>
            <w:tcBorders>
              <w:top w:val="single" w:color="auto" w:sz="8" w:space="0"/>
              <w:left w:val="single" w:color="auto" w:sz="8" w:space="0"/>
              <w:bottom w:val="single" w:color="auto" w:sz="8" w:space="0"/>
              <w:right w:val="single" w:color="auto" w:sz="8" w:space="0"/>
            </w:tcBorders>
            <w:vAlign w:val="center"/>
          </w:tcPr>
          <w:p>
            <w:pPr>
              <w:keepNext w:val="0"/>
              <w:keepLines w:val="0"/>
              <w:pageBreakBefore w:val="0"/>
              <w:kinsoku/>
              <w:wordWrap/>
              <w:overflowPunct/>
              <w:topLinePunct w:val="0"/>
              <w:autoSpaceDE/>
              <w:autoSpaceDN/>
              <w:bidi w:val="0"/>
              <w:adjustRightInd w:val="0"/>
              <w:snapToGrid w:val="0"/>
              <w:spacing w:line="240" w:lineRule="exact"/>
              <w:ind w:firstLine="420" w:firstLineChars="200"/>
              <w:jc w:val="left"/>
              <w:rPr>
                <w:rFonts w:ascii="仿宋_GB2312" w:hAnsi="仿宋_GB2312" w:cs="仿宋_GB2312"/>
                <w:color w:val="auto"/>
                <w:sz w:val="21"/>
                <w:szCs w:val="21"/>
              </w:rPr>
            </w:pPr>
          </w:p>
        </w:tc>
        <w:tc>
          <w:tcPr>
            <w:tcW w:w="270" w:type="pct"/>
            <w:vMerge w:val="continue"/>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cs="仿宋_GB2312"/>
                <w:color w:val="auto"/>
                <w:sz w:val="21"/>
                <w:szCs w:val="21"/>
              </w:rPr>
            </w:pPr>
          </w:p>
        </w:tc>
        <w:tc>
          <w:tcPr>
            <w:tcW w:w="1262"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（三）南岭国家级自然保护区核心区、缓冲区内的</w:t>
            </w:r>
            <w:r>
              <w:rPr>
                <w:rFonts w:ascii="仿宋_GB2312" w:hAnsi="仿宋_GB2312" w:cs="仿宋_GB2312"/>
                <w:color w:val="auto"/>
                <w:kern w:val="0"/>
                <w:sz w:val="21"/>
                <w:szCs w:val="21"/>
              </w:rPr>
              <w:t>63</w:t>
            </w:r>
            <w:r>
              <w:rPr>
                <w:rFonts w:hint="eastAsia" w:ascii="仿宋_GB2312" w:hAnsi="仿宋_GB2312" w:cs="仿宋_GB2312"/>
                <w:color w:val="auto"/>
                <w:kern w:val="0"/>
                <w:sz w:val="21"/>
                <w:szCs w:val="21"/>
              </w:rPr>
              <w:t>座小水电站，由韶关、清远市牵头，结合创建南岭国家公园的要求，已完成“一站一策”方案编制，建立了任务清单。结合七部委397号文要求，进一步完善“一站一策”，按时限完成退出或整改任务。</w:t>
            </w:r>
          </w:p>
        </w:tc>
        <w:tc>
          <w:tcPr>
            <w:tcW w:w="1740"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ind w:left="0" w:leftChars="0" w:firstLine="420" w:firstLineChars="200"/>
              <w:jc w:val="left"/>
              <w:rPr>
                <w:rFonts w:ascii="仿宋_GB2312" w:hAnsi="仿宋_GB2312" w:cs="仿宋_GB2312"/>
                <w:color w:val="auto"/>
                <w:sz w:val="21"/>
                <w:szCs w:val="21"/>
              </w:rPr>
            </w:pPr>
            <w:r>
              <w:rPr>
                <w:rFonts w:ascii="仿宋_GB2312" w:hAnsi="仿宋_GB2312" w:cs="仿宋_GB2312"/>
                <w:color w:val="auto"/>
                <w:sz w:val="21"/>
                <w:szCs w:val="21"/>
              </w:rPr>
              <w:t>南岭国家级自然保护区核心区、缓冲区内的小水电站共63宗，其中7宗已通过综合利用功能难以替代论证可上报省政府调整为“整改类”，剩余56宗已全部完成退出</w:t>
            </w:r>
            <w:r>
              <w:rPr>
                <w:rFonts w:hint="eastAsia" w:ascii="仿宋_GB2312" w:hAnsi="仿宋_GB2312" w:cs="仿宋_GB2312"/>
                <w:color w:val="auto"/>
                <w:sz w:val="21"/>
                <w:szCs w:val="21"/>
              </w:rPr>
              <w:t>。</w:t>
            </w:r>
          </w:p>
        </w:tc>
        <w:tc>
          <w:tcPr>
            <w:tcW w:w="651" w:type="pct"/>
            <w:tcBorders>
              <w:top w:val="single" w:color="auto" w:sz="8" w:space="0"/>
              <w:left w:val="single" w:color="auto" w:sz="8" w:space="0"/>
              <w:bottom w:val="single" w:color="auto" w:sz="8" w:space="0"/>
              <w:right w:val="single" w:color="auto" w:sz="8" w:space="0"/>
            </w:tcBorders>
            <w:vAlign w:val="center"/>
          </w:tcPr>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□已验收销号</w:t>
            </w:r>
          </w:p>
          <w:p>
            <w:pPr>
              <w:spacing w:line="300" w:lineRule="exact"/>
              <w:rPr>
                <w:rFonts w:ascii="仿宋_GB2312" w:hAnsi="仿宋_GB2312" w:cs="仿宋_GB2312"/>
                <w:color w:val="auto"/>
                <w:sz w:val="21"/>
                <w:szCs w:val="21"/>
              </w:rPr>
            </w:pPr>
            <w:r>
              <w:rPr>
                <w:rFonts w:ascii="Segoe UI Symbol" w:hAnsi="Segoe UI Symbol" w:cs="Segoe UI Symbol"/>
                <w:color w:val="auto"/>
                <w:sz w:val="21"/>
                <w:szCs w:val="21"/>
              </w:rPr>
              <w:t>☑</w:t>
            </w:r>
            <w:r>
              <w:rPr>
                <w:rFonts w:hint="eastAsia" w:ascii="仿宋_GB2312" w:hAnsi="仿宋_GB2312" w:cs="仿宋_GB2312"/>
                <w:color w:val="auto"/>
                <w:sz w:val="21"/>
                <w:szCs w:val="21"/>
              </w:rPr>
              <w:t>已完成</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□达到时序进度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□未达时序进度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□尚未启动</w:t>
            </w:r>
          </w:p>
        </w:tc>
      </w:tr>
      <w:tr>
        <w:tblPrEx>
          <w:tblCellMar>
            <w:top w:w="0" w:type="dxa"/>
            <w:left w:w="108" w:type="dxa"/>
            <w:bottom w:w="0" w:type="dxa"/>
            <w:right w:w="108" w:type="dxa"/>
          </w:tblCellMar>
        </w:tblPrEx>
        <w:trPr>
          <w:trHeight w:val="374" w:hRule="atLeast"/>
          <w:jc w:val="center"/>
        </w:trPr>
        <w:tc>
          <w:tcPr>
            <w:tcW w:w="184" w:type="pct"/>
            <w:vMerge w:val="continue"/>
            <w:tcBorders>
              <w:left w:val="single" w:color="auto" w:sz="8" w:space="0"/>
              <w:bottom w:val="single" w:color="auto" w:sz="8" w:space="0"/>
              <w:right w:val="single" w:color="auto" w:sz="8" w:space="0"/>
            </w:tcBorders>
            <w:vAlign w:val="center"/>
          </w:tcPr>
          <w:p>
            <w:pPr>
              <w:spacing w:line="300" w:lineRule="exact"/>
              <w:ind w:firstLine="210" w:firstLineChars="100"/>
              <w:jc w:val="center"/>
              <w:rPr>
                <w:rFonts w:ascii="仿宋_GB2312" w:hAnsi="仿宋_GB2312" w:cs="仿宋_GB2312"/>
                <w:color w:val="auto"/>
                <w:sz w:val="21"/>
                <w:szCs w:val="21"/>
              </w:rPr>
            </w:pPr>
          </w:p>
        </w:tc>
        <w:tc>
          <w:tcPr>
            <w:tcW w:w="890" w:type="pct"/>
            <w:vMerge w:val="continue"/>
            <w:tcBorders>
              <w:top w:val="single" w:color="auto" w:sz="8" w:space="0"/>
              <w:left w:val="single" w:color="auto" w:sz="8" w:space="0"/>
              <w:bottom w:val="single" w:color="auto" w:sz="8" w:space="0"/>
              <w:right w:val="single" w:color="auto" w:sz="8" w:space="0"/>
            </w:tcBorders>
            <w:vAlign w:val="center"/>
          </w:tcPr>
          <w:p>
            <w:pPr>
              <w:keepNext w:val="0"/>
              <w:keepLines w:val="0"/>
              <w:pageBreakBefore w:val="0"/>
              <w:kinsoku/>
              <w:wordWrap/>
              <w:overflowPunct/>
              <w:topLinePunct w:val="0"/>
              <w:autoSpaceDE/>
              <w:autoSpaceDN/>
              <w:bidi w:val="0"/>
              <w:adjustRightInd w:val="0"/>
              <w:snapToGrid w:val="0"/>
              <w:spacing w:line="240" w:lineRule="exact"/>
              <w:ind w:firstLine="420" w:firstLineChars="200"/>
              <w:jc w:val="left"/>
              <w:rPr>
                <w:rFonts w:ascii="仿宋_GB2312" w:hAnsi="仿宋_GB2312" w:cs="仿宋_GB2312"/>
                <w:color w:val="auto"/>
                <w:sz w:val="21"/>
                <w:szCs w:val="21"/>
              </w:rPr>
            </w:pPr>
          </w:p>
        </w:tc>
        <w:tc>
          <w:tcPr>
            <w:tcW w:w="270" w:type="pct"/>
            <w:vMerge w:val="continue"/>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cs="仿宋_GB2312"/>
                <w:color w:val="auto"/>
                <w:sz w:val="21"/>
                <w:szCs w:val="21"/>
              </w:rPr>
            </w:pPr>
          </w:p>
        </w:tc>
        <w:tc>
          <w:tcPr>
            <w:tcW w:w="1262"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五）各地市要提高政治站位，把清理整改工作作为政府“一把手工程”，严格落实主体责任，按照国家、省有关要求，有序推进小水电站的退出或整改工作。积极落实清理整改资金，统筹用于小水电站清理整改各项支出，妥善处理小水电退出、整改中的各种突出矛盾和利益关系。有效解决无序开发、过度开发对河流生态系统的不利影响，复苏河湖生态环境。</w:t>
            </w:r>
          </w:p>
        </w:tc>
        <w:tc>
          <w:tcPr>
            <w:tcW w:w="1740"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ind w:left="0" w:leftChars="0" w:firstLine="420" w:firstLineChars="200"/>
              <w:jc w:val="left"/>
              <w:rPr>
                <w:rFonts w:ascii="仿宋_GB2312" w:hAnsi="仿宋_GB2312" w:cs="仿宋_GB2312"/>
                <w:color w:val="auto"/>
                <w:sz w:val="21"/>
                <w:szCs w:val="21"/>
              </w:rPr>
            </w:pPr>
            <w:r>
              <w:rPr>
                <w:rFonts w:hint="eastAsia" w:ascii="仿宋_GB2312" w:hAnsi="仿宋_GB2312" w:cs="仿宋_GB2312"/>
                <w:color w:val="auto"/>
                <w:sz w:val="21"/>
                <w:szCs w:val="21"/>
              </w:rPr>
              <w:t>2025年1月12日，</w:t>
            </w:r>
            <w:r>
              <w:rPr>
                <w:rFonts w:hint="eastAsia" w:ascii="仿宋_GB2312" w:hAnsi="仿宋_GB2312" w:cs="仿宋_GB2312"/>
                <w:color w:val="auto"/>
                <w:sz w:val="21"/>
                <w:szCs w:val="21"/>
                <w:lang w:val="en-US" w:eastAsia="zh-CN"/>
              </w:rPr>
              <w:t>市政府主要领导</w:t>
            </w:r>
            <w:r>
              <w:rPr>
                <w:rFonts w:hint="eastAsia" w:ascii="仿宋_GB2312" w:hAnsi="仿宋_GB2312" w:cs="仿宋_GB2312"/>
                <w:color w:val="auto"/>
                <w:sz w:val="21"/>
                <w:szCs w:val="21"/>
              </w:rPr>
              <w:t>召开会议专题听取省生态环境保护督察整改有关工作情况，要求各地各有关部门进一步加快推进小水电分类整改，进一步加大生态流量监管力度，切实推动省督典型案例有关问题整改到位。</w:t>
            </w:r>
          </w:p>
          <w:p>
            <w:pPr>
              <w:keepNext w:val="0"/>
              <w:keepLines w:val="0"/>
              <w:pageBreakBefore w:val="0"/>
              <w:widowControl/>
              <w:kinsoku/>
              <w:wordWrap/>
              <w:overflowPunct/>
              <w:topLinePunct w:val="0"/>
              <w:autoSpaceDE/>
              <w:autoSpaceDN/>
              <w:bidi w:val="0"/>
              <w:adjustRightInd w:val="0"/>
              <w:snapToGrid w:val="0"/>
              <w:spacing w:line="240" w:lineRule="auto"/>
              <w:ind w:left="0" w:leftChars="0" w:firstLine="420" w:firstLineChars="200"/>
              <w:jc w:val="left"/>
              <w:rPr>
                <w:rFonts w:ascii="仿宋_GB2312" w:hAnsi="仿宋_GB2312" w:cs="仿宋_GB2312"/>
                <w:color w:val="auto"/>
                <w:sz w:val="21"/>
                <w:szCs w:val="21"/>
              </w:rPr>
            </w:pPr>
            <w:r>
              <w:rPr>
                <w:rFonts w:hint="eastAsia" w:ascii="仿宋_GB2312" w:hAnsi="仿宋_GB2312" w:cs="仿宋_GB2312"/>
                <w:color w:val="auto"/>
                <w:sz w:val="21"/>
                <w:szCs w:val="21"/>
              </w:rPr>
              <w:t>2025年7月9日，受</w:t>
            </w:r>
            <w:r>
              <w:rPr>
                <w:rFonts w:hint="eastAsia" w:ascii="仿宋_GB2312" w:hAnsi="仿宋_GB2312" w:cs="仿宋_GB2312"/>
                <w:color w:val="auto"/>
                <w:sz w:val="21"/>
                <w:szCs w:val="21"/>
                <w:lang w:val="en-US" w:eastAsia="zh-CN"/>
              </w:rPr>
              <w:t>市委、市政府主要领导</w:t>
            </w:r>
            <w:r>
              <w:rPr>
                <w:rFonts w:hint="eastAsia" w:ascii="仿宋_GB2312" w:hAnsi="仿宋_GB2312" w:cs="仿宋_GB2312"/>
                <w:color w:val="auto"/>
                <w:sz w:val="21"/>
                <w:szCs w:val="21"/>
              </w:rPr>
              <w:t>委托</w:t>
            </w:r>
            <w:r>
              <w:rPr>
                <w:rFonts w:hint="eastAsia" w:ascii="仿宋_GB2312" w:hAnsi="仿宋_GB2312" w:cs="仿宋_GB2312"/>
                <w:color w:val="auto"/>
                <w:sz w:val="21"/>
                <w:szCs w:val="21"/>
                <w:lang w:eastAsia="zh-CN"/>
              </w:rPr>
              <w:t>，</w:t>
            </w:r>
            <w:r>
              <w:rPr>
                <w:rFonts w:hint="eastAsia" w:ascii="仿宋_GB2312" w:hAnsi="仿宋_GB2312" w:cs="仿宋_GB2312"/>
                <w:color w:val="auto"/>
                <w:sz w:val="21"/>
                <w:szCs w:val="21"/>
                <w:lang w:val="en-US" w:eastAsia="zh-CN"/>
              </w:rPr>
              <w:t>分管</w:t>
            </w:r>
            <w:r>
              <w:rPr>
                <w:rFonts w:hint="eastAsia" w:ascii="仿宋_GB2312" w:hAnsi="仿宋_GB2312" w:cs="仿宋_GB2312"/>
                <w:color w:val="auto"/>
                <w:sz w:val="21"/>
                <w:szCs w:val="21"/>
              </w:rPr>
              <w:t>副市长在乳源组织召开全市小水电分类整改工作现场推进会，研究有关问题并部署小水电分类整改工作。</w:t>
            </w:r>
          </w:p>
        </w:tc>
        <w:tc>
          <w:tcPr>
            <w:tcW w:w="651" w:type="pct"/>
            <w:tcBorders>
              <w:top w:val="single" w:color="auto" w:sz="8" w:space="0"/>
              <w:left w:val="single" w:color="auto" w:sz="8" w:space="0"/>
              <w:bottom w:val="single" w:color="auto" w:sz="8" w:space="0"/>
              <w:right w:val="single" w:color="auto" w:sz="8" w:space="0"/>
            </w:tcBorders>
            <w:vAlign w:val="center"/>
          </w:tcPr>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□已验收销号</w:t>
            </w:r>
          </w:p>
          <w:p>
            <w:pPr>
              <w:spacing w:line="300" w:lineRule="exact"/>
              <w:rPr>
                <w:rFonts w:ascii="仿宋_GB2312" w:hAnsi="仿宋_GB2312" w:cs="仿宋_GB2312"/>
                <w:color w:val="auto"/>
                <w:sz w:val="21"/>
                <w:szCs w:val="21"/>
              </w:rPr>
            </w:pPr>
            <w:r>
              <w:rPr>
                <w:rFonts w:ascii="Segoe UI Symbol" w:hAnsi="Segoe UI Symbol" w:cs="Segoe UI Symbol"/>
                <w:color w:val="auto"/>
                <w:sz w:val="21"/>
                <w:szCs w:val="21"/>
              </w:rPr>
              <w:t>☑</w:t>
            </w:r>
            <w:r>
              <w:rPr>
                <w:rFonts w:hint="eastAsia" w:ascii="仿宋_GB2312" w:hAnsi="仿宋_GB2312" w:cs="仿宋_GB2312"/>
                <w:color w:val="auto"/>
                <w:sz w:val="21"/>
                <w:szCs w:val="21"/>
              </w:rPr>
              <w:t>已完成</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□达到时序进度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□未达时序进度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□尚未启动</w:t>
            </w:r>
          </w:p>
        </w:tc>
      </w:tr>
      <w:tr>
        <w:tblPrEx>
          <w:tblCellMar>
            <w:top w:w="0" w:type="dxa"/>
            <w:left w:w="108" w:type="dxa"/>
            <w:bottom w:w="0" w:type="dxa"/>
            <w:right w:w="108" w:type="dxa"/>
          </w:tblCellMar>
        </w:tblPrEx>
        <w:trPr>
          <w:trHeight w:val="3898" w:hRule="atLeast"/>
          <w:jc w:val="center"/>
        </w:trPr>
        <w:tc>
          <w:tcPr>
            <w:tcW w:w="184" w:type="pct"/>
            <w:vMerge w:val="restart"/>
            <w:tcBorders>
              <w:top w:val="single" w:color="auto" w:sz="8" w:space="0"/>
              <w:left w:val="single" w:color="auto" w:sz="8" w:space="0"/>
              <w:right w:val="single" w:color="auto" w:sz="8" w:space="0"/>
            </w:tcBorders>
            <w:vAlign w:val="center"/>
          </w:tcPr>
          <w:p>
            <w:pPr>
              <w:spacing w:line="300" w:lineRule="exact"/>
              <w:jc w:val="center"/>
              <w:rPr>
                <w:rFonts w:ascii="仿宋_GB2312" w:hAnsi="仿宋_GB2312" w:cs="仿宋_GB2312"/>
                <w:color w:val="auto"/>
                <w:sz w:val="21"/>
                <w:szCs w:val="21"/>
              </w:rPr>
            </w:pPr>
            <w:r>
              <w:rPr>
                <w:rFonts w:hint="eastAsia" w:ascii="仿宋_GB2312" w:hAnsi="仿宋_GB2312" w:cs="仿宋_GB2312"/>
                <w:color w:val="auto"/>
                <w:sz w:val="21"/>
                <w:szCs w:val="21"/>
              </w:rPr>
              <w:t>14</w:t>
            </w:r>
          </w:p>
        </w:tc>
        <w:tc>
          <w:tcPr>
            <w:tcW w:w="890" w:type="pct"/>
            <w:vMerge w:val="restar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四十六、部分地市渗滤液处置短板突出。全省积存垃圾渗滤液高达166万吨，一些填埋场渗滤液处置设施运行不正常，偷排漏排、超标排放问题突出，有的甚至在在线监控上弄虚作假。2018年以来，全省18家垃圾填埋场因设施运行不正常、废水超标排放问题被屡次查处。</w:t>
            </w:r>
          </w:p>
        </w:tc>
        <w:tc>
          <w:tcPr>
            <w:tcW w:w="270" w:type="pct"/>
            <w:vMerge w:val="restart"/>
            <w:tcBorders>
              <w:top w:val="single" w:color="auto" w:sz="8" w:space="0"/>
              <w:left w:val="single" w:color="auto" w:sz="8" w:space="0"/>
              <w:bottom w:val="single" w:color="auto" w:sz="8" w:space="0"/>
              <w:right w:val="single" w:color="auto" w:sz="8" w:space="0"/>
            </w:tcBorders>
            <w:vAlign w:val="center"/>
          </w:tcPr>
          <w:p>
            <w:pPr>
              <w:widowControl/>
              <w:snapToGrid w:val="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2023年年底前</w:t>
            </w:r>
          </w:p>
        </w:tc>
        <w:tc>
          <w:tcPr>
            <w:tcW w:w="1262"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五）韶关市完善花拉寨生活垃圾填埋场一期、二期覆盖，及时更换老旧设备，定期开展检修，确保渗滤液处理站稳定运行，2023年年底前基本消除积存渗滤液。2022年年底前南雄市生活垃圾填埋场渗滤液处理能力提高至300吨/日，解决渗滤液处置能力不足问题。</w:t>
            </w:r>
          </w:p>
        </w:tc>
        <w:tc>
          <w:tcPr>
            <w:tcW w:w="1740" w:type="pct"/>
            <w:tcBorders>
              <w:top w:val="single" w:color="auto" w:sz="8" w:space="0"/>
              <w:left w:val="single" w:color="auto" w:sz="8" w:space="0"/>
              <w:bottom w:val="single" w:color="auto" w:sz="8" w:space="0"/>
              <w:right w:val="single" w:color="auto" w:sz="8" w:space="0"/>
            </w:tcBorders>
            <w:vAlign w:val="center"/>
          </w:tcPr>
          <w:p>
            <w:pPr>
              <w:pStyle w:val="6"/>
              <w:keepNext w:val="0"/>
              <w:keepLines w:val="0"/>
              <w:pageBreakBefore w:val="0"/>
              <w:kinsoku/>
              <w:wordWrap/>
              <w:overflowPunct/>
              <w:topLinePunct w:val="0"/>
              <w:autoSpaceDE/>
              <w:autoSpaceDN/>
              <w:bidi w:val="0"/>
              <w:adjustRightInd w:val="0"/>
              <w:snapToGrid w:val="0"/>
              <w:spacing w:line="240" w:lineRule="auto"/>
              <w:ind w:left="0" w:leftChars="0" w:firstLine="420" w:firstLineChars="200"/>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花拉寨生活垃圾填埋场渗滤液处理站2023年8月修复完成，渗滤液处理能力已提升至500吨/天。已制定落实《韶关市花拉寨生活垃圾卫生填埋场渗沥液调节池液位监测管控工作方案》，明确渗滤液调节池以高程81.82米为最高液位，高程79.32米为最低液位。目前已按方案要求，将液位控制在安全液位状态。</w:t>
            </w:r>
          </w:p>
          <w:p>
            <w:pPr>
              <w:keepNext w:val="0"/>
              <w:keepLines w:val="0"/>
              <w:pageBreakBefore w:val="0"/>
              <w:kinsoku/>
              <w:wordWrap/>
              <w:overflowPunct/>
              <w:topLinePunct w:val="0"/>
              <w:autoSpaceDE/>
              <w:autoSpaceDN/>
              <w:bidi w:val="0"/>
              <w:adjustRightInd w:val="0"/>
              <w:snapToGrid w:val="0"/>
              <w:spacing w:line="240" w:lineRule="auto"/>
              <w:ind w:left="0" w:leftChars="0" w:firstLine="420" w:firstLineChars="200"/>
              <w:rPr>
                <w:rFonts w:ascii="仿宋_GB2312" w:hAnsi="仿宋_GB2312" w:cs="仿宋_GB2312"/>
                <w:color w:val="auto"/>
                <w:sz w:val="21"/>
                <w:szCs w:val="21"/>
              </w:rPr>
            </w:pPr>
            <w:r>
              <w:rPr>
                <w:rFonts w:hint="eastAsia" w:ascii="仿宋_GB2312" w:hAnsi="仿宋_GB2312" w:cs="仿宋_GB2312"/>
                <w:color w:val="auto"/>
                <w:sz w:val="21"/>
                <w:szCs w:val="21"/>
              </w:rPr>
              <w:t>2.关于南雄市生活垃圾填埋场渗滤液处理能力不足的问题，南雄市城管局已采购一套200吨/日渗滤液处理设备，2023年6月已完成安装并投入运营。目前南雄市生活垃圾填埋场渗滤液处理能力由原100吨/日处理能力，提高至300吨/日，解决了渗滤液处置能力不足的问题。</w:t>
            </w:r>
          </w:p>
        </w:tc>
        <w:tc>
          <w:tcPr>
            <w:tcW w:w="651" w:type="pct"/>
            <w:tcBorders>
              <w:top w:val="single" w:color="auto" w:sz="8" w:space="0"/>
              <w:left w:val="single" w:color="auto" w:sz="8" w:space="0"/>
              <w:bottom w:val="single" w:color="auto" w:sz="8" w:space="0"/>
              <w:right w:val="single" w:color="auto" w:sz="8" w:space="0"/>
            </w:tcBorders>
            <w:vAlign w:val="center"/>
          </w:tcPr>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□已验收销号</w:t>
            </w:r>
          </w:p>
          <w:p>
            <w:pPr>
              <w:spacing w:line="300" w:lineRule="exact"/>
              <w:rPr>
                <w:rFonts w:cs="仿宋_GB2312" w:asciiTheme="minorHAnsi" w:hAnsiTheme="minorHAnsi"/>
                <w:color w:val="auto"/>
                <w:sz w:val="21"/>
                <w:szCs w:val="21"/>
              </w:rPr>
            </w:pPr>
            <w:r>
              <w:rPr>
                <w:rFonts w:hint="eastAsia" w:ascii="MS Mincho" w:hAnsi="MS Mincho" w:eastAsia="MS Mincho" w:cs="MS Mincho"/>
                <w:color w:val="auto"/>
                <w:sz w:val="21"/>
                <w:szCs w:val="21"/>
              </w:rPr>
              <w:t>☑</w:t>
            </w:r>
            <w:r>
              <w:rPr>
                <w:rFonts w:hint="eastAsia" w:ascii="仿宋_GB2312" w:hAnsi="仿宋_GB2312" w:cs="仿宋_GB2312"/>
                <w:color w:val="auto"/>
                <w:sz w:val="21"/>
                <w:szCs w:val="21"/>
              </w:rPr>
              <w:t>已完成</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□达到时序进度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□未达时序进度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□尚未启动</w:t>
            </w:r>
          </w:p>
        </w:tc>
      </w:tr>
      <w:tr>
        <w:tblPrEx>
          <w:tblCellMar>
            <w:top w:w="0" w:type="dxa"/>
            <w:left w:w="108" w:type="dxa"/>
            <w:bottom w:w="0" w:type="dxa"/>
            <w:right w:w="108" w:type="dxa"/>
          </w:tblCellMar>
        </w:tblPrEx>
        <w:trPr>
          <w:trHeight w:val="267" w:hRule="atLeast"/>
          <w:jc w:val="center"/>
        </w:trPr>
        <w:tc>
          <w:tcPr>
            <w:tcW w:w="184" w:type="pct"/>
            <w:vMerge w:val="continue"/>
            <w:tcBorders>
              <w:left w:val="single" w:color="auto" w:sz="8" w:space="0"/>
              <w:bottom w:val="single" w:color="auto" w:sz="8" w:space="0"/>
              <w:right w:val="single" w:color="auto" w:sz="8" w:space="0"/>
            </w:tcBorders>
            <w:vAlign w:val="center"/>
          </w:tcPr>
          <w:p>
            <w:pPr>
              <w:spacing w:line="300" w:lineRule="exact"/>
              <w:ind w:firstLine="210" w:firstLineChars="100"/>
              <w:jc w:val="center"/>
              <w:rPr>
                <w:rFonts w:ascii="仿宋_GB2312" w:hAnsi="仿宋_GB2312" w:cs="仿宋_GB2312"/>
                <w:color w:val="auto"/>
                <w:sz w:val="21"/>
                <w:szCs w:val="21"/>
              </w:rPr>
            </w:pPr>
          </w:p>
        </w:tc>
        <w:tc>
          <w:tcPr>
            <w:tcW w:w="890" w:type="pct"/>
            <w:vMerge w:val="continue"/>
            <w:tcBorders>
              <w:top w:val="single" w:color="auto" w:sz="8" w:space="0"/>
              <w:left w:val="single" w:color="auto" w:sz="8" w:space="0"/>
              <w:bottom w:val="single" w:color="auto" w:sz="8" w:space="0"/>
              <w:right w:val="single" w:color="auto" w:sz="8" w:space="0"/>
            </w:tcBorders>
            <w:vAlign w:val="center"/>
          </w:tcPr>
          <w:p>
            <w:pPr>
              <w:keepNext w:val="0"/>
              <w:keepLines w:val="0"/>
              <w:pageBreakBefore w:val="0"/>
              <w:kinsoku/>
              <w:wordWrap/>
              <w:overflowPunct/>
              <w:topLinePunct w:val="0"/>
              <w:autoSpaceDE/>
              <w:autoSpaceDN/>
              <w:bidi w:val="0"/>
              <w:adjustRightInd w:val="0"/>
              <w:snapToGrid w:val="0"/>
              <w:spacing w:line="240" w:lineRule="exact"/>
              <w:ind w:firstLine="420" w:firstLineChars="200"/>
              <w:jc w:val="left"/>
              <w:rPr>
                <w:rFonts w:ascii="仿宋_GB2312" w:hAnsi="仿宋_GB2312" w:cs="仿宋_GB2312"/>
                <w:color w:val="auto"/>
                <w:sz w:val="21"/>
                <w:szCs w:val="21"/>
              </w:rPr>
            </w:pPr>
          </w:p>
        </w:tc>
        <w:tc>
          <w:tcPr>
            <w:tcW w:w="270" w:type="pct"/>
            <w:vMerge w:val="continue"/>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cs="仿宋_GB2312"/>
                <w:color w:val="auto"/>
                <w:sz w:val="21"/>
                <w:szCs w:val="21"/>
              </w:rPr>
            </w:pPr>
          </w:p>
        </w:tc>
        <w:tc>
          <w:tcPr>
            <w:tcW w:w="1262"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(十三)强化生活垃圾填埋场运营管理，开展自查自纠，加快积存垃圾渗滤液处理处置，降低积存量。</w:t>
            </w:r>
          </w:p>
        </w:tc>
        <w:tc>
          <w:tcPr>
            <w:tcW w:w="1740"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kinsoku/>
              <w:wordWrap/>
              <w:overflowPunct/>
              <w:topLinePunct w:val="0"/>
              <w:autoSpaceDE/>
              <w:autoSpaceDN/>
              <w:bidi w:val="0"/>
              <w:adjustRightInd w:val="0"/>
              <w:snapToGrid w:val="0"/>
              <w:spacing w:line="240" w:lineRule="auto"/>
              <w:ind w:left="0" w:leftChars="0" w:firstLine="420" w:firstLineChars="200"/>
              <w:rPr>
                <w:rFonts w:ascii="仿宋_GB2312" w:hAnsi="仿宋_GB2312" w:cs="仿宋_GB2312"/>
                <w:color w:val="auto"/>
                <w:sz w:val="21"/>
                <w:szCs w:val="21"/>
              </w:rPr>
            </w:pPr>
            <w:r>
              <w:rPr>
                <w:rFonts w:hint="eastAsia" w:ascii="仿宋_GB2312" w:hAnsi="仿宋_GB2312" w:cs="仿宋_GB2312"/>
                <w:color w:val="auto"/>
                <w:sz w:val="21"/>
                <w:szCs w:val="21"/>
              </w:rPr>
              <w:t>市住建管理局已组织环卫专家于2023年7月到各县（市）生活垃圾填埋场进行督查，8月已发文《关于整改垃圾填埋场（焚烧厂）存在问题的通知》到各县（市）住管局，要求做好发现问题的整改工作。市住建管理局组织环卫专家两次到各县（市）生活垃圾填埋场（焚烧厂）进行督查，2024年6月已印发检查发现问题的整改通知，目前发现的问题已落实整改要求。</w:t>
            </w:r>
          </w:p>
        </w:tc>
        <w:tc>
          <w:tcPr>
            <w:tcW w:w="651" w:type="pct"/>
            <w:tcBorders>
              <w:top w:val="single" w:color="auto" w:sz="8" w:space="0"/>
              <w:left w:val="single" w:color="auto" w:sz="8" w:space="0"/>
              <w:bottom w:val="single" w:color="auto" w:sz="8" w:space="0"/>
              <w:right w:val="single" w:color="auto" w:sz="8" w:space="0"/>
            </w:tcBorders>
            <w:vAlign w:val="center"/>
          </w:tcPr>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□已验收销号</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☑已完成</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□达到时序进度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□未达时序进度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□尚未启动</w:t>
            </w:r>
          </w:p>
        </w:tc>
      </w:tr>
      <w:tr>
        <w:tblPrEx>
          <w:tblCellMar>
            <w:top w:w="0" w:type="dxa"/>
            <w:left w:w="108" w:type="dxa"/>
            <w:bottom w:w="0" w:type="dxa"/>
            <w:right w:w="108" w:type="dxa"/>
          </w:tblCellMar>
        </w:tblPrEx>
        <w:trPr>
          <w:trHeight w:val="1782" w:hRule="atLeast"/>
          <w:jc w:val="center"/>
        </w:trPr>
        <w:tc>
          <w:tcPr>
            <w:tcW w:w="184" w:type="pct"/>
            <w:vMerge w:val="restart"/>
            <w:tcBorders>
              <w:top w:val="single" w:color="auto" w:sz="8" w:space="0"/>
              <w:left w:val="single" w:color="auto" w:sz="8" w:space="0"/>
              <w:right w:val="single" w:color="auto" w:sz="8" w:space="0"/>
            </w:tcBorders>
            <w:vAlign w:val="center"/>
          </w:tcPr>
          <w:p>
            <w:pPr>
              <w:spacing w:line="300" w:lineRule="exact"/>
              <w:jc w:val="center"/>
              <w:rPr>
                <w:rFonts w:ascii="仿宋_GB2312" w:hAnsi="仿宋_GB2312" w:cs="仿宋_GB2312"/>
                <w:color w:val="auto"/>
                <w:sz w:val="21"/>
                <w:szCs w:val="21"/>
              </w:rPr>
            </w:pPr>
            <w:r>
              <w:rPr>
                <w:rFonts w:hint="eastAsia" w:ascii="仿宋_GB2312" w:hAnsi="仿宋_GB2312" w:cs="仿宋_GB2312"/>
                <w:color w:val="auto"/>
                <w:sz w:val="21"/>
                <w:szCs w:val="21"/>
              </w:rPr>
              <w:t>15</w:t>
            </w:r>
          </w:p>
        </w:tc>
        <w:tc>
          <w:tcPr>
            <w:tcW w:w="890" w:type="pct"/>
            <w:vMerge w:val="restar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四十九、一些填埋场地下水和周边水体受到污染，全省113个垃圾填埋场中有26个存在地下水超标问题。清远市8个垃圾填埋场中就有5个地下水超标，其中佛冈县垃圾填埋场2020年3月填埋区防渗膜破损，地下水受到严重污染，此次督察进驻时，氨氮浓度仍高达47.6毫克/升，超地下水环境质量Ⅲ类标准94.2倍。</w:t>
            </w:r>
          </w:p>
        </w:tc>
        <w:tc>
          <w:tcPr>
            <w:tcW w:w="270" w:type="pct"/>
            <w:vMerge w:val="restart"/>
            <w:tcBorders>
              <w:top w:val="single" w:color="auto" w:sz="8" w:space="0"/>
              <w:left w:val="single" w:color="auto" w:sz="8" w:space="0"/>
              <w:bottom w:val="single" w:color="auto" w:sz="8" w:space="0"/>
              <w:right w:val="single" w:color="auto" w:sz="8" w:space="0"/>
            </w:tcBorders>
            <w:vAlign w:val="center"/>
          </w:tcPr>
          <w:p>
            <w:pPr>
              <w:widowControl/>
              <w:snapToGrid w:val="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2025年年底前</w:t>
            </w:r>
          </w:p>
        </w:tc>
        <w:tc>
          <w:tcPr>
            <w:tcW w:w="1262"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（三）各地市规范生活垃圾作业和渗滤液处理设施运行管理，定期开展监测分析，对存在地下水超标的，查明原因，分类处置，消除污染隐患。</w:t>
            </w:r>
          </w:p>
        </w:tc>
        <w:tc>
          <w:tcPr>
            <w:tcW w:w="1740"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ind w:left="0" w:leftChars="0" w:firstLine="420" w:firstLineChars="200"/>
              <w:rPr>
                <w:rFonts w:ascii="仿宋_GB2312" w:hAnsi="仿宋_GB2312" w:cs="仿宋_GB2312"/>
                <w:color w:val="auto"/>
                <w:sz w:val="21"/>
                <w:szCs w:val="21"/>
              </w:rPr>
            </w:pPr>
            <w:r>
              <w:rPr>
                <w:rFonts w:hint="eastAsia" w:ascii="仿宋_GB2312" w:hAnsi="仿宋_GB2312" w:cs="仿宋_GB2312"/>
                <w:color w:val="auto"/>
                <w:sz w:val="21"/>
                <w:szCs w:val="21"/>
              </w:rPr>
              <w:t>各县（市）环卫部门已督促运营单位按照生活垃圾填埋场（焚烧厂）运营规范要求，进一步规范填埋场（焚烧厂）日常管理，委托第三方检测单位定期对地下水、周边水体、大气等项目进行监测，加强动态管理。</w:t>
            </w:r>
          </w:p>
        </w:tc>
        <w:tc>
          <w:tcPr>
            <w:tcW w:w="651" w:type="pct"/>
            <w:tcBorders>
              <w:top w:val="single" w:color="auto" w:sz="8" w:space="0"/>
              <w:left w:val="single" w:color="auto" w:sz="8" w:space="0"/>
              <w:bottom w:val="single" w:color="auto" w:sz="8" w:space="0"/>
              <w:right w:val="single" w:color="auto" w:sz="8" w:space="0"/>
            </w:tcBorders>
            <w:vAlign w:val="center"/>
          </w:tcPr>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□已验收销号</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lang w:eastAsia="zh-CN"/>
              </w:rPr>
              <w:t>☑</w:t>
            </w:r>
            <w:r>
              <w:rPr>
                <w:rFonts w:hint="eastAsia" w:ascii="仿宋_GB2312" w:hAnsi="仿宋_GB2312" w:cs="仿宋_GB2312"/>
                <w:color w:val="auto"/>
                <w:sz w:val="21"/>
                <w:szCs w:val="21"/>
              </w:rPr>
              <w:t>已完成</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lang w:eastAsia="zh-CN"/>
              </w:rPr>
              <w:t>□</w:t>
            </w:r>
            <w:r>
              <w:rPr>
                <w:rFonts w:hint="eastAsia" w:ascii="仿宋_GB2312" w:hAnsi="仿宋_GB2312" w:cs="仿宋_GB2312"/>
                <w:color w:val="auto"/>
                <w:sz w:val="21"/>
                <w:szCs w:val="21"/>
              </w:rPr>
              <w:t>达到时序进度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□未达时序进度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□尚未启动</w:t>
            </w:r>
          </w:p>
        </w:tc>
      </w:tr>
      <w:tr>
        <w:tblPrEx>
          <w:tblCellMar>
            <w:top w:w="0" w:type="dxa"/>
            <w:left w:w="108" w:type="dxa"/>
            <w:bottom w:w="0" w:type="dxa"/>
            <w:right w:w="108" w:type="dxa"/>
          </w:tblCellMar>
        </w:tblPrEx>
        <w:trPr>
          <w:trHeight w:val="1886" w:hRule="atLeast"/>
          <w:jc w:val="center"/>
        </w:trPr>
        <w:tc>
          <w:tcPr>
            <w:tcW w:w="184" w:type="pct"/>
            <w:vMerge w:val="continue"/>
            <w:tcBorders>
              <w:left w:val="single" w:color="auto" w:sz="8" w:space="0"/>
              <w:bottom w:val="single" w:color="auto" w:sz="8" w:space="0"/>
              <w:right w:val="single" w:color="auto" w:sz="8" w:space="0"/>
            </w:tcBorders>
            <w:vAlign w:val="center"/>
          </w:tcPr>
          <w:p>
            <w:pPr>
              <w:spacing w:line="300" w:lineRule="exact"/>
              <w:ind w:firstLine="210" w:firstLineChars="100"/>
              <w:jc w:val="center"/>
              <w:rPr>
                <w:rFonts w:ascii="仿宋_GB2312" w:hAnsi="仿宋_GB2312" w:cs="仿宋_GB2312"/>
                <w:color w:val="auto"/>
                <w:sz w:val="21"/>
                <w:szCs w:val="21"/>
              </w:rPr>
            </w:pPr>
          </w:p>
        </w:tc>
        <w:tc>
          <w:tcPr>
            <w:tcW w:w="890" w:type="pct"/>
            <w:vMerge w:val="continue"/>
            <w:tcBorders>
              <w:top w:val="single" w:color="auto" w:sz="8" w:space="0"/>
              <w:left w:val="single" w:color="auto" w:sz="8" w:space="0"/>
              <w:bottom w:val="single" w:color="auto" w:sz="8" w:space="0"/>
              <w:right w:val="single" w:color="auto" w:sz="8" w:space="0"/>
            </w:tcBorders>
            <w:vAlign w:val="center"/>
          </w:tcPr>
          <w:p>
            <w:pPr>
              <w:keepNext w:val="0"/>
              <w:keepLines w:val="0"/>
              <w:pageBreakBefore w:val="0"/>
              <w:kinsoku/>
              <w:wordWrap/>
              <w:overflowPunct/>
              <w:topLinePunct w:val="0"/>
              <w:autoSpaceDE/>
              <w:autoSpaceDN/>
              <w:bidi w:val="0"/>
              <w:adjustRightInd w:val="0"/>
              <w:snapToGrid w:val="0"/>
              <w:spacing w:line="240" w:lineRule="exact"/>
              <w:ind w:firstLine="420" w:firstLineChars="200"/>
              <w:jc w:val="left"/>
              <w:rPr>
                <w:rFonts w:ascii="仿宋_GB2312" w:hAnsi="仿宋_GB2312" w:cs="仿宋_GB2312"/>
                <w:color w:val="auto"/>
                <w:sz w:val="21"/>
                <w:szCs w:val="21"/>
              </w:rPr>
            </w:pPr>
          </w:p>
        </w:tc>
        <w:tc>
          <w:tcPr>
            <w:tcW w:w="270" w:type="pct"/>
            <w:vMerge w:val="continue"/>
            <w:tcBorders>
              <w:top w:val="single" w:color="auto" w:sz="8" w:space="0"/>
              <w:left w:val="single" w:color="auto" w:sz="8" w:space="0"/>
              <w:bottom w:val="single" w:color="auto" w:sz="8" w:space="0"/>
              <w:right w:val="single" w:color="auto" w:sz="8" w:space="0"/>
            </w:tcBorders>
            <w:vAlign w:val="center"/>
          </w:tcPr>
          <w:p>
            <w:pPr>
              <w:snapToGrid w:val="0"/>
              <w:jc w:val="left"/>
              <w:rPr>
                <w:rFonts w:ascii="仿宋_GB2312" w:hAnsi="仿宋_GB2312" w:cs="仿宋_GB2312"/>
                <w:color w:val="auto"/>
                <w:sz w:val="21"/>
                <w:szCs w:val="21"/>
              </w:rPr>
            </w:pPr>
          </w:p>
        </w:tc>
        <w:tc>
          <w:tcPr>
            <w:tcW w:w="1262"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（七）韶关市2022年年底前完成新丰县生活垃圾填埋场渗滤液调节池改造工程，提高厂区渗滤液调节能力，防止渗滤液渗漏污染；排查该场地下水超标原因，制定整改方案，开展污染治理。</w:t>
            </w:r>
          </w:p>
        </w:tc>
        <w:tc>
          <w:tcPr>
            <w:tcW w:w="1740"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ind w:left="0" w:leftChars="0" w:firstLine="420" w:firstLineChars="200"/>
              <w:rPr>
                <w:rFonts w:ascii="仿宋_GB2312" w:hAnsi="仿宋_GB2312" w:cs="仿宋_GB2312"/>
                <w:color w:val="auto"/>
                <w:sz w:val="21"/>
                <w:szCs w:val="21"/>
              </w:rPr>
            </w:pPr>
            <w:r>
              <w:rPr>
                <w:rFonts w:hint="eastAsia" w:ascii="仿宋_GB2312" w:hAnsi="仿宋_GB2312" w:cs="仿宋_GB2312"/>
                <w:color w:val="auto"/>
                <w:sz w:val="21"/>
                <w:szCs w:val="21"/>
              </w:rPr>
              <w:t>新丰县生活垃圾填埋场（二期）渗滤液调节池改造工程于2022年8月完成了竣工验收工作，已正式投入运行。经开展地下水超标原因排查，原因主要是填埋区使用年限较久和超负荷填埋造成，地下水污染指标主要涉及氨氮、锰等，污染情况未恶化，总体风险可控。根据地下水超标原因，制定了《新丰县生活垃圾填埋场“一场一策”治理方案》，明确“临时封场+后期开挖转运”方案，已采取以下措施进行整治：一是加强对垃圾堆体的整修和排水系统的维护整改，完成填埋区覆盖膜焊接不到位的整改。二是2024年启动了新丰江流域(新丰县城)水环境综合治理工程--生活垃圾填埋场至二污厂配套污水管网工程建设，于2025年1月开始试运行，将填埋场（一期）地下水及填埋场渗滤液处理达标后的尾水至第二污水处理厂进一步处理，有效降低了填埋场渗滤液处理达标尾水以及地下水对新丰江水质的影响。三是加快存量垃圾渗滤液的处理，控制渗滤液调节池液位，为汛期预留足够空间；新丰县垃圾填埋场渗滤液调节池设计存储量8000立方米，控制渗滤液存量约2400立方米。四是新丰县生活垃圾填埋场(一期)垃圾渗滤液应急治理工程建设主体已完工，有效减少了渗滤液外渗风险。五是已于2025年9月开始将生活垃圾运往翁源垃圾焚烧厂进行焚烧。</w:t>
            </w:r>
          </w:p>
        </w:tc>
        <w:tc>
          <w:tcPr>
            <w:tcW w:w="651" w:type="pct"/>
            <w:tcBorders>
              <w:top w:val="single" w:color="auto" w:sz="8" w:space="0"/>
              <w:left w:val="single" w:color="auto" w:sz="8" w:space="0"/>
              <w:bottom w:val="single" w:color="auto" w:sz="8" w:space="0"/>
              <w:right w:val="single" w:color="auto" w:sz="8" w:space="0"/>
            </w:tcBorders>
            <w:vAlign w:val="center"/>
          </w:tcPr>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□已验收销号</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☑已完成</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□达到时序进度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□未达时序进度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□尚未启动</w:t>
            </w:r>
          </w:p>
        </w:tc>
      </w:tr>
      <w:tr>
        <w:tblPrEx>
          <w:tblCellMar>
            <w:top w:w="0" w:type="dxa"/>
            <w:left w:w="108" w:type="dxa"/>
            <w:bottom w:w="0" w:type="dxa"/>
            <w:right w:w="108" w:type="dxa"/>
          </w:tblCellMar>
        </w:tblPrEx>
        <w:trPr>
          <w:trHeight w:val="3960" w:hRule="atLeast"/>
          <w:jc w:val="center"/>
        </w:trPr>
        <w:tc>
          <w:tcPr>
            <w:tcW w:w="184" w:type="pct"/>
            <w:tcBorders>
              <w:top w:val="single" w:color="auto" w:sz="8" w:space="0"/>
              <w:left w:val="single" w:color="auto" w:sz="8" w:space="0"/>
              <w:bottom w:val="single" w:color="auto" w:sz="8" w:space="0"/>
              <w:right w:val="single" w:color="auto" w:sz="8" w:space="0"/>
            </w:tcBorders>
            <w:vAlign w:val="center"/>
          </w:tcPr>
          <w:p>
            <w:pPr>
              <w:spacing w:line="300" w:lineRule="exact"/>
              <w:jc w:val="center"/>
              <w:rPr>
                <w:rFonts w:ascii="仿宋_GB2312" w:hAnsi="仿宋_GB2312" w:cs="仿宋_GB2312"/>
                <w:color w:val="auto"/>
                <w:sz w:val="21"/>
                <w:szCs w:val="21"/>
              </w:rPr>
            </w:pPr>
            <w:r>
              <w:rPr>
                <w:rFonts w:hint="eastAsia" w:ascii="仿宋_GB2312" w:hAnsi="仿宋_GB2312" w:cs="仿宋_GB2312"/>
                <w:color w:val="auto"/>
                <w:sz w:val="21"/>
                <w:szCs w:val="21"/>
              </w:rPr>
              <w:t>16</w:t>
            </w:r>
          </w:p>
        </w:tc>
        <w:tc>
          <w:tcPr>
            <w:tcW w:w="890"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五十一、固体废物处置能力亟待加强。2018年以来，广东省重点部署了39个危险废物处置项目建设，其中中山市绿色工业服务等6个危险废物处置项目截至督察进驻时尚未建成，进度滞后。已建成的33个目前也尚未发挥应有效用。全省危险废物处置能力结构性、区域性失衡仍未完全解决，生活垃圾焚烧飞灰、铝灰渣处置能力不足，贮存量分别高达6.7万吨、7.1万吨。</w:t>
            </w:r>
          </w:p>
        </w:tc>
        <w:tc>
          <w:tcPr>
            <w:tcW w:w="270" w:type="pct"/>
            <w:tcBorders>
              <w:top w:val="single" w:color="auto" w:sz="8" w:space="0"/>
              <w:left w:val="single" w:color="auto" w:sz="8" w:space="0"/>
              <w:bottom w:val="single" w:color="auto" w:sz="8" w:space="0"/>
              <w:right w:val="single" w:color="auto" w:sz="8" w:space="0"/>
            </w:tcBorders>
            <w:vAlign w:val="center"/>
          </w:tcPr>
          <w:p>
            <w:pPr>
              <w:widowControl/>
              <w:snapToGrid w:val="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2025年年底前</w:t>
            </w:r>
          </w:p>
        </w:tc>
        <w:tc>
          <w:tcPr>
            <w:tcW w:w="1262"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（九）韶关市2024年年底前建成2个铝灰渣利用处置项目，新增处理能力2.2万吨/年。</w:t>
            </w:r>
          </w:p>
        </w:tc>
        <w:tc>
          <w:tcPr>
            <w:tcW w:w="1740"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kinsoku/>
              <w:wordWrap/>
              <w:overflowPunct/>
              <w:topLinePunct w:val="0"/>
              <w:autoSpaceDE/>
              <w:autoSpaceDN/>
              <w:bidi w:val="0"/>
              <w:adjustRightInd w:val="0"/>
              <w:snapToGrid w:val="0"/>
              <w:spacing w:line="240" w:lineRule="auto"/>
              <w:ind w:left="0" w:leftChars="0" w:firstLine="420" w:firstLineChars="200"/>
              <w:rPr>
                <w:rFonts w:ascii="仿宋_GB2312" w:hAnsi="仿宋_GB2312" w:cs="仿宋_GB2312"/>
                <w:color w:val="auto"/>
                <w:sz w:val="21"/>
                <w:szCs w:val="21"/>
              </w:rPr>
            </w:pPr>
            <w:r>
              <w:rPr>
                <w:rFonts w:hint="eastAsia" w:ascii="仿宋_GB2312" w:hAnsi="仿宋_GB2312" w:cs="仿宋_GB2312"/>
                <w:color w:val="auto"/>
                <w:sz w:val="21"/>
                <w:szCs w:val="21"/>
              </w:rPr>
              <w:t>1.乳源东阳光优艾希杰精箔有限公司铝灰渣综合利用项目2021年10月份投入使用，新增铝灰渣处置能力1万吨/年；广东金亿合金制品有限公司铝灰渣处理处置项目2022年4月建成，2022年12月投产，后该公司扩建铝灰渣综合利用项目，新增铝灰渣处置能力13万吨/年。全市新增铝灰渣处置能力14万吨/年。</w:t>
            </w:r>
          </w:p>
          <w:p>
            <w:pPr>
              <w:keepNext w:val="0"/>
              <w:keepLines w:val="0"/>
              <w:pageBreakBefore w:val="0"/>
              <w:kinsoku/>
              <w:wordWrap/>
              <w:overflowPunct/>
              <w:topLinePunct w:val="0"/>
              <w:autoSpaceDE/>
              <w:autoSpaceDN/>
              <w:bidi w:val="0"/>
              <w:adjustRightInd w:val="0"/>
              <w:snapToGrid w:val="0"/>
              <w:spacing w:line="240" w:lineRule="auto"/>
              <w:ind w:left="0" w:leftChars="0" w:firstLine="420" w:firstLineChars="200"/>
              <w:rPr>
                <w:rFonts w:hint="eastAsia" w:ascii="仿宋_GB2312" w:hAnsi="仿宋_GB2312" w:eastAsia="仿宋_GB2312" w:cs="仿宋_GB2312"/>
                <w:color w:val="auto"/>
                <w:sz w:val="21"/>
                <w:szCs w:val="21"/>
                <w:lang w:eastAsia="zh-CN"/>
              </w:rPr>
            </w:pPr>
            <w:r>
              <w:rPr>
                <w:rFonts w:hint="eastAsia" w:ascii="仿宋_GB2312" w:hAnsi="仿宋_GB2312" w:cs="仿宋_GB2312"/>
                <w:color w:val="auto"/>
                <w:sz w:val="21"/>
                <w:szCs w:val="21"/>
              </w:rPr>
              <w:t>2.韶关鸿丰绿色工业服务中心水泥窑工业资源化综合利用项目2023年4月建成并投入运行</w:t>
            </w:r>
            <w:r>
              <w:rPr>
                <w:rFonts w:hint="eastAsia" w:ascii="仿宋_GB2312" w:hAnsi="仿宋_GB2312" w:cs="仿宋_GB2312"/>
                <w:color w:val="auto"/>
                <w:sz w:val="21"/>
                <w:szCs w:val="21"/>
                <w:lang w:eastAsia="zh-CN"/>
              </w:rPr>
              <w:t>，危废处置能力18.06万吨/年。</w:t>
            </w:r>
          </w:p>
          <w:p>
            <w:pPr>
              <w:keepNext w:val="0"/>
              <w:keepLines w:val="0"/>
              <w:pageBreakBefore w:val="0"/>
              <w:kinsoku/>
              <w:wordWrap/>
              <w:overflowPunct/>
              <w:topLinePunct w:val="0"/>
              <w:autoSpaceDE/>
              <w:autoSpaceDN/>
              <w:bidi w:val="0"/>
              <w:adjustRightInd w:val="0"/>
              <w:snapToGrid w:val="0"/>
              <w:spacing w:line="240" w:lineRule="auto"/>
              <w:ind w:left="0" w:leftChars="0" w:firstLine="420" w:firstLineChars="200"/>
              <w:rPr>
                <w:color w:val="auto"/>
              </w:rPr>
            </w:pPr>
            <w:r>
              <w:rPr>
                <w:rFonts w:hint="eastAsia" w:ascii="仿宋_GB2312" w:hAnsi="仿宋_GB2312" w:cs="仿宋_GB2312"/>
                <w:color w:val="auto"/>
                <w:sz w:val="21"/>
                <w:szCs w:val="21"/>
              </w:rPr>
              <w:t>3.丹霞冶炼厂炼锌渣绿色化升级改造工程项目主体工程已完成建设并投入运营，危废处置能力15.6万吨/年。</w:t>
            </w:r>
          </w:p>
        </w:tc>
        <w:tc>
          <w:tcPr>
            <w:tcW w:w="651" w:type="pct"/>
            <w:tcBorders>
              <w:top w:val="single" w:color="auto" w:sz="8" w:space="0"/>
              <w:left w:val="single" w:color="auto" w:sz="8" w:space="0"/>
              <w:bottom w:val="single" w:color="auto" w:sz="8" w:space="0"/>
              <w:right w:val="single" w:color="auto" w:sz="8" w:space="0"/>
            </w:tcBorders>
            <w:vAlign w:val="center"/>
          </w:tcPr>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□已验收销号</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☑已完成</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□达到时序进度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□未达时序进度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□尚未启动</w:t>
            </w:r>
          </w:p>
        </w:tc>
      </w:tr>
      <w:tr>
        <w:tblPrEx>
          <w:tblCellMar>
            <w:top w:w="0" w:type="dxa"/>
            <w:left w:w="108" w:type="dxa"/>
            <w:bottom w:w="0" w:type="dxa"/>
            <w:right w:w="108" w:type="dxa"/>
          </w:tblCellMar>
        </w:tblPrEx>
        <w:trPr>
          <w:trHeight w:val="3620" w:hRule="atLeast"/>
          <w:jc w:val="center"/>
        </w:trPr>
        <w:tc>
          <w:tcPr>
            <w:tcW w:w="184" w:type="pct"/>
            <w:tcBorders>
              <w:top w:val="single" w:color="auto" w:sz="8" w:space="0"/>
              <w:left w:val="single" w:color="auto" w:sz="8" w:space="0"/>
              <w:bottom w:val="single" w:color="auto" w:sz="8" w:space="0"/>
              <w:right w:val="single" w:color="auto" w:sz="8" w:space="0"/>
            </w:tcBorders>
            <w:vAlign w:val="center"/>
          </w:tcPr>
          <w:p>
            <w:pPr>
              <w:spacing w:line="300" w:lineRule="exact"/>
              <w:jc w:val="center"/>
              <w:rPr>
                <w:rFonts w:ascii="仿宋_GB2312" w:hAnsi="仿宋_GB2312" w:cs="仿宋_GB2312"/>
                <w:color w:val="auto"/>
                <w:sz w:val="21"/>
                <w:szCs w:val="21"/>
              </w:rPr>
            </w:pPr>
            <w:r>
              <w:rPr>
                <w:rFonts w:hint="eastAsia" w:ascii="仿宋_GB2312" w:hAnsi="仿宋_GB2312" w:cs="仿宋_GB2312"/>
                <w:color w:val="auto"/>
                <w:sz w:val="21"/>
                <w:szCs w:val="21"/>
              </w:rPr>
              <w:t>17</w:t>
            </w:r>
          </w:p>
        </w:tc>
        <w:tc>
          <w:tcPr>
            <w:tcW w:w="890"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exact"/>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五十二、非法转移倾倒仍时有发生，2018年以来，全省涉危险废物倾倒案件400余起，其中跨省倾倒26起，仅肇庆市就发生跨省转移倾倒11起，倾倒危险废物765吨。一些危险废物经营单位高价接收危险废物却不规范处置， 广东恒兆环保公司将东莞市委托处置的316吨危险废物，分散倾倒在湖南省宜章县，造成6处12亩山地污染。</w:t>
            </w:r>
          </w:p>
        </w:tc>
        <w:tc>
          <w:tcPr>
            <w:tcW w:w="270" w:type="pct"/>
            <w:tcBorders>
              <w:top w:val="single" w:color="auto" w:sz="8" w:space="0"/>
              <w:left w:val="single" w:color="auto" w:sz="8" w:space="0"/>
              <w:bottom w:val="single" w:color="auto" w:sz="8" w:space="0"/>
              <w:right w:val="single" w:color="auto" w:sz="8" w:space="0"/>
            </w:tcBorders>
            <w:vAlign w:val="center"/>
          </w:tcPr>
          <w:p>
            <w:pPr>
              <w:widowControl/>
              <w:snapToGrid w:val="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立行立改，长期坚持</w:t>
            </w:r>
          </w:p>
        </w:tc>
        <w:tc>
          <w:tcPr>
            <w:tcW w:w="1262" w:type="pct"/>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val="0"/>
              <w:ind w:firstLine="420" w:firstLineChars="200"/>
              <w:jc w:val="left"/>
              <w:textAlignment w:val="center"/>
              <w:rPr>
                <w:rFonts w:ascii="仿宋_GB2312" w:hAnsi="仿宋_GB2312" w:cs="仿宋_GB2312"/>
                <w:color w:val="auto"/>
                <w:sz w:val="21"/>
                <w:szCs w:val="21"/>
              </w:rPr>
            </w:pPr>
            <w:r>
              <w:rPr>
                <w:rFonts w:hint="eastAsia" w:ascii="仿宋_GB2312" w:hAnsi="仿宋_GB2312" w:cs="仿宋_GB2312"/>
                <w:color w:val="auto"/>
                <w:kern w:val="0"/>
                <w:sz w:val="21"/>
                <w:szCs w:val="21"/>
              </w:rPr>
              <w:t>（四）各地市对已经发现的非法转移倾倒危险废物案件，依法查处涉案企业环境违法行为，妥善处理涉案危险废物，涉嫌构成刑事犯罪的线索及时移送公安机关依法侦办。加大打击工作力度，有效遏制跨省、跨市非法转移倾倒危险废物犯罪势头。</w:t>
            </w:r>
          </w:p>
        </w:tc>
        <w:tc>
          <w:tcPr>
            <w:tcW w:w="1740" w:type="pct"/>
            <w:tcBorders>
              <w:top w:val="single" w:color="auto" w:sz="8" w:space="0"/>
              <w:left w:val="single" w:color="auto" w:sz="8" w:space="0"/>
              <w:bottom w:val="single" w:color="auto" w:sz="8" w:space="0"/>
              <w:right w:val="single" w:color="auto" w:sz="8" w:space="0"/>
            </w:tcBorders>
            <w:vAlign w:val="center"/>
          </w:tcPr>
          <w:p>
            <w:pPr>
              <w:pStyle w:val="6"/>
              <w:keepNext w:val="0"/>
              <w:keepLines w:val="0"/>
              <w:pageBreakBefore w:val="0"/>
              <w:kinsoku/>
              <w:wordWrap/>
              <w:overflowPunct/>
              <w:topLinePunct w:val="0"/>
              <w:autoSpaceDE/>
              <w:autoSpaceDN/>
              <w:bidi w:val="0"/>
              <w:adjustRightInd w:val="0"/>
              <w:snapToGrid w:val="0"/>
              <w:spacing w:line="240" w:lineRule="auto"/>
              <w:ind w:left="0" w:leftChars="0" w:firstLine="420" w:firstLineChars="200"/>
              <w:rPr>
                <w:rFonts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2021年-2025年，韶关市生态环境部门立案查处非法转移倾倒危险废物案件共计17宗，移送公安部门11宗，处罚金额总计153.86万元。韶关市公安部门立案查处共计11宗（2021年7宗，2022年3宗，2023年1宗，2024年0宗，2025年0宗），刑拘人数共计57人，逮捕人数共计37人。依法追究违法单位和个人生态环境损害赔偿责任，2021年-2025年，赔偿金额共计1708.75万元。通过依法查处，严厉打击，韶关市近几年非法转移倾倒危险废物案件大幅下降，保持在低位水平。</w:t>
            </w:r>
          </w:p>
        </w:tc>
        <w:tc>
          <w:tcPr>
            <w:tcW w:w="651" w:type="pct"/>
            <w:tcBorders>
              <w:top w:val="single" w:color="auto" w:sz="8" w:space="0"/>
              <w:left w:val="single" w:color="auto" w:sz="8" w:space="0"/>
              <w:bottom w:val="single" w:color="auto" w:sz="8" w:space="0"/>
              <w:right w:val="single" w:color="auto" w:sz="8" w:space="0"/>
            </w:tcBorders>
            <w:vAlign w:val="center"/>
          </w:tcPr>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□已验收销号</w:t>
            </w:r>
          </w:p>
          <w:p>
            <w:pPr>
              <w:spacing w:line="300" w:lineRule="exact"/>
              <w:rPr>
                <w:rFonts w:ascii="仿宋_GB2312" w:hAnsi="仿宋_GB2312" w:cs="仿宋_GB2312"/>
                <w:color w:val="auto"/>
                <w:sz w:val="21"/>
                <w:szCs w:val="21"/>
              </w:rPr>
            </w:pPr>
            <w:r>
              <w:rPr>
                <w:rFonts w:ascii="Segoe UI Symbol" w:hAnsi="Segoe UI Symbol" w:cs="Segoe UI Symbol"/>
                <w:color w:val="auto"/>
                <w:sz w:val="21"/>
                <w:szCs w:val="21"/>
              </w:rPr>
              <w:t>☑</w:t>
            </w:r>
            <w:r>
              <w:rPr>
                <w:rFonts w:hint="eastAsia" w:ascii="仿宋_GB2312" w:hAnsi="仿宋_GB2312" w:cs="仿宋_GB2312"/>
                <w:color w:val="auto"/>
                <w:sz w:val="21"/>
                <w:szCs w:val="21"/>
              </w:rPr>
              <w:t>已完成</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□达到时序进度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□未达时序进度</w:t>
            </w:r>
          </w:p>
          <w:p>
            <w:pPr>
              <w:spacing w:line="300" w:lineRule="exact"/>
              <w:rPr>
                <w:rFonts w:ascii="仿宋_GB2312" w:hAnsi="仿宋_GB2312" w:cs="仿宋_GB2312"/>
                <w:color w:val="auto"/>
                <w:sz w:val="21"/>
                <w:szCs w:val="21"/>
              </w:rPr>
            </w:pPr>
            <w:r>
              <w:rPr>
                <w:rFonts w:hint="eastAsia" w:ascii="仿宋_GB2312" w:hAnsi="仿宋_GB2312" w:cs="仿宋_GB2312"/>
                <w:color w:val="auto"/>
                <w:sz w:val="21"/>
                <w:szCs w:val="21"/>
              </w:rPr>
              <w:t>□尚未启动</w:t>
            </w:r>
          </w:p>
        </w:tc>
      </w:tr>
    </w:tbl>
    <w:p>
      <w:pPr>
        <w:rPr>
          <w:rFonts w:ascii="仿宋_GB2312" w:hAnsi="仿宋_GB2312" w:eastAsia="宋体" w:cs="仿宋_GB2312"/>
          <w:color w:val="auto"/>
          <w:sz w:val="21"/>
          <w:szCs w:val="21"/>
        </w:rPr>
      </w:pPr>
    </w:p>
    <w:sectPr>
      <w:footerReference r:id="rId3" w:type="default"/>
      <w:pgSz w:w="16838" w:h="11906" w:orient="landscape"/>
      <w:pgMar w:top="1134" w:right="1474" w:bottom="1134" w:left="1474" w:header="851" w:footer="992" w:gutter="0"/>
      <w:pgNumType w:fmt="decimal"/>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Segoe UI Symbol">
    <w:panose1 w:val="020B0502040204020203"/>
    <w:charset w:val="00"/>
    <w:family w:val="swiss"/>
    <w:pitch w:val="default"/>
    <w:sig w:usb0="800001E3" w:usb1="1200FFEF" w:usb2="00040000" w:usb3="04000000" w:csb0="00000001" w:csb1="40000000"/>
  </w:font>
  <w:font w:name="MS Mincho">
    <w:panose1 w:val="02020609040205080304"/>
    <w:charset w:val="80"/>
    <w:family w:val="modern"/>
    <w:pitch w:val="default"/>
    <w:sig w:usb0="E00002FF" w:usb1="6AC7FDFB" w:usb2="08000012" w:usb3="00000000" w:csb0="4002009F" w:csb1="DFD70000"/>
  </w:font>
  <w:font w:name="方正兰亭大黑简体">
    <w:panose1 w:val="02000000000000000000"/>
    <w:charset w:val="86"/>
    <w:family w:val="auto"/>
    <w:pitch w:val="default"/>
    <w:sig w:usb0="A00002BF" w:usb1="184F6CFA" w:usb2="00000012" w:usb3="00000000" w:csb0="00040001" w:csb1="00000000"/>
  </w:font>
  <w:font w:name="新宋体">
    <w:panose1 w:val="02010609030101010101"/>
    <w:charset w:val="86"/>
    <w:family w:val="auto"/>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方正书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8"/>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540"/>
    <w:rsid w:val="00006446"/>
    <w:rsid w:val="000214B0"/>
    <w:rsid w:val="00034824"/>
    <w:rsid w:val="000351A8"/>
    <w:rsid w:val="000565E4"/>
    <w:rsid w:val="00057462"/>
    <w:rsid w:val="00085230"/>
    <w:rsid w:val="000902E8"/>
    <w:rsid w:val="00093087"/>
    <w:rsid w:val="00093BD1"/>
    <w:rsid w:val="000A1035"/>
    <w:rsid w:val="000B2174"/>
    <w:rsid w:val="000D156D"/>
    <w:rsid w:val="001001DC"/>
    <w:rsid w:val="00105518"/>
    <w:rsid w:val="00106D64"/>
    <w:rsid w:val="00107522"/>
    <w:rsid w:val="001238E9"/>
    <w:rsid w:val="00132A45"/>
    <w:rsid w:val="001369A4"/>
    <w:rsid w:val="00157456"/>
    <w:rsid w:val="00166971"/>
    <w:rsid w:val="001701C1"/>
    <w:rsid w:val="00187204"/>
    <w:rsid w:val="00191073"/>
    <w:rsid w:val="001B0162"/>
    <w:rsid w:val="001C3425"/>
    <w:rsid w:val="001D640A"/>
    <w:rsid w:val="001F208D"/>
    <w:rsid w:val="001F2EC6"/>
    <w:rsid w:val="001F5751"/>
    <w:rsid w:val="00232133"/>
    <w:rsid w:val="0023768B"/>
    <w:rsid w:val="002429C4"/>
    <w:rsid w:val="002436B4"/>
    <w:rsid w:val="00244599"/>
    <w:rsid w:val="00244A57"/>
    <w:rsid w:val="002456DE"/>
    <w:rsid w:val="00246507"/>
    <w:rsid w:val="00250B5D"/>
    <w:rsid w:val="002748C7"/>
    <w:rsid w:val="00287819"/>
    <w:rsid w:val="002924C4"/>
    <w:rsid w:val="002951F1"/>
    <w:rsid w:val="002A227E"/>
    <w:rsid w:val="002C07F3"/>
    <w:rsid w:val="002C31F9"/>
    <w:rsid w:val="002D2CAA"/>
    <w:rsid w:val="002D59C3"/>
    <w:rsid w:val="002F5358"/>
    <w:rsid w:val="00302874"/>
    <w:rsid w:val="00312938"/>
    <w:rsid w:val="003222F9"/>
    <w:rsid w:val="00341C64"/>
    <w:rsid w:val="003622C4"/>
    <w:rsid w:val="0036779E"/>
    <w:rsid w:val="003715DE"/>
    <w:rsid w:val="00372F28"/>
    <w:rsid w:val="00374FB4"/>
    <w:rsid w:val="00381E06"/>
    <w:rsid w:val="003A019C"/>
    <w:rsid w:val="003B4E71"/>
    <w:rsid w:val="003B6998"/>
    <w:rsid w:val="003D1FE2"/>
    <w:rsid w:val="003E07E5"/>
    <w:rsid w:val="003E306E"/>
    <w:rsid w:val="003F6E80"/>
    <w:rsid w:val="004136A0"/>
    <w:rsid w:val="00415363"/>
    <w:rsid w:val="00425856"/>
    <w:rsid w:val="004456E9"/>
    <w:rsid w:val="0045320C"/>
    <w:rsid w:val="004821DC"/>
    <w:rsid w:val="004A240F"/>
    <w:rsid w:val="004D14C3"/>
    <w:rsid w:val="004D2D4C"/>
    <w:rsid w:val="004E0267"/>
    <w:rsid w:val="004E1696"/>
    <w:rsid w:val="005139D9"/>
    <w:rsid w:val="00516BD1"/>
    <w:rsid w:val="005412FB"/>
    <w:rsid w:val="00551063"/>
    <w:rsid w:val="005665F7"/>
    <w:rsid w:val="00572EE0"/>
    <w:rsid w:val="005B36A1"/>
    <w:rsid w:val="005B3827"/>
    <w:rsid w:val="005B3F06"/>
    <w:rsid w:val="005B4485"/>
    <w:rsid w:val="005E209F"/>
    <w:rsid w:val="005F517A"/>
    <w:rsid w:val="00600B5E"/>
    <w:rsid w:val="00605B6D"/>
    <w:rsid w:val="006330FC"/>
    <w:rsid w:val="00633D99"/>
    <w:rsid w:val="0063783B"/>
    <w:rsid w:val="006444E7"/>
    <w:rsid w:val="0065340E"/>
    <w:rsid w:val="00694BE6"/>
    <w:rsid w:val="006A1E13"/>
    <w:rsid w:val="006B270D"/>
    <w:rsid w:val="006C4646"/>
    <w:rsid w:val="006E4BD7"/>
    <w:rsid w:val="006F45A5"/>
    <w:rsid w:val="00710911"/>
    <w:rsid w:val="00721AF6"/>
    <w:rsid w:val="00734EF0"/>
    <w:rsid w:val="00775147"/>
    <w:rsid w:val="00780572"/>
    <w:rsid w:val="007813FE"/>
    <w:rsid w:val="007A5AB1"/>
    <w:rsid w:val="007B6EB1"/>
    <w:rsid w:val="007D3BD1"/>
    <w:rsid w:val="007D5249"/>
    <w:rsid w:val="007E46B3"/>
    <w:rsid w:val="007E5759"/>
    <w:rsid w:val="0080095D"/>
    <w:rsid w:val="0080693D"/>
    <w:rsid w:val="008108B8"/>
    <w:rsid w:val="00831D80"/>
    <w:rsid w:val="00850B6E"/>
    <w:rsid w:val="00866D4F"/>
    <w:rsid w:val="00881542"/>
    <w:rsid w:val="008C1E7E"/>
    <w:rsid w:val="008C64B4"/>
    <w:rsid w:val="008C7692"/>
    <w:rsid w:val="008D3DAD"/>
    <w:rsid w:val="008E6F90"/>
    <w:rsid w:val="008F11BC"/>
    <w:rsid w:val="0091103E"/>
    <w:rsid w:val="00921F69"/>
    <w:rsid w:val="009229BD"/>
    <w:rsid w:val="00931CBC"/>
    <w:rsid w:val="009338CA"/>
    <w:rsid w:val="009636F5"/>
    <w:rsid w:val="00973282"/>
    <w:rsid w:val="009842A8"/>
    <w:rsid w:val="00992B98"/>
    <w:rsid w:val="00997A27"/>
    <w:rsid w:val="009A3F55"/>
    <w:rsid w:val="009A6714"/>
    <w:rsid w:val="009A79B3"/>
    <w:rsid w:val="009B08C5"/>
    <w:rsid w:val="009C6151"/>
    <w:rsid w:val="009D36E6"/>
    <w:rsid w:val="009D6D43"/>
    <w:rsid w:val="009D7BB0"/>
    <w:rsid w:val="009E0511"/>
    <w:rsid w:val="009F136B"/>
    <w:rsid w:val="009F2902"/>
    <w:rsid w:val="009F5E08"/>
    <w:rsid w:val="00A17366"/>
    <w:rsid w:val="00A2093B"/>
    <w:rsid w:val="00A265F5"/>
    <w:rsid w:val="00A37648"/>
    <w:rsid w:val="00A60C44"/>
    <w:rsid w:val="00A73228"/>
    <w:rsid w:val="00A77272"/>
    <w:rsid w:val="00A903BE"/>
    <w:rsid w:val="00AA508A"/>
    <w:rsid w:val="00AD509E"/>
    <w:rsid w:val="00AE640C"/>
    <w:rsid w:val="00B52E63"/>
    <w:rsid w:val="00B542AD"/>
    <w:rsid w:val="00B608C9"/>
    <w:rsid w:val="00B65174"/>
    <w:rsid w:val="00B738CA"/>
    <w:rsid w:val="00B740EC"/>
    <w:rsid w:val="00B9508B"/>
    <w:rsid w:val="00BA1AEC"/>
    <w:rsid w:val="00BB5DC8"/>
    <w:rsid w:val="00BC1A91"/>
    <w:rsid w:val="00BC74B6"/>
    <w:rsid w:val="00BD5363"/>
    <w:rsid w:val="00BF08DB"/>
    <w:rsid w:val="00BF55E7"/>
    <w:rsid w:val="00BF6C77"/>
    <w:rsid w:val="00C01BC7"/>
    <w:rsid w:val="00C27CCD"/>
    <w:rsid w:val="00C3563A"/>
    <w:rsid w:val="00C35898"/>
    <w:rsid w:val="00C55498"/>
    <w:rsid w:val="00C71781"/>
    <w:rsid w:val="00C738BB"/>
    <w:rsid w:val="00C93195"/>
    <w:rsid w:val="00C93540"/>
    <w:rsid w:val="00CA2BC6"/>
    <w:rsid w:val="00CA4AA4"/>
    <w:rsid w:val="00CB2732"/>
    <w:rsid w:val="00CB594E"/>
    <w:rsid w:val="00D221CF"/>
    <w:rsid w:val="00D34EB4"/>
    <w:rsid w:val="00D34FA8"/>
    <w:rsid w:val="00DA2106"/>
    <w:rsid w:val="00DC17E3"/>
    <w:rsid w:val="00DE5D72"/>
    <w:rsid w:val="00DF0129"/>
    <w:rsid w:val="00E03AA8"/>
    <w:rsid w:val="00E25B52"/>
    <w:rsid w:val="00E31D43"/>
    <w:rsid w:val="00E33B0E"/>
    <w:rsid w:val="00E33F2A"/>
    <w:rsid w:val="00E35826"/>
    <w:rsid w:val="00E40A1A"/>
    <w:rsid w:val="00E44DBC"/>
    <w:rsid w:val="00E70CEA"/>
    <w:rsid w:val="00E833EC"/>
    <w:rsid w:val="00E94E46"/>
    <w:rsid w:val="00EA097A"/>
    <w:rsid w:val="00EA5F5D"/>
    <w:rsid w:val="00EC2BB8"/>
    <w:rsid w:val="00ED73F8"/>
    <w:rsid w:val="00EE760D"/>
    <w:rsid w:val="00F15C45"/>
    <w:rsid w:val="00F20DE9"/>
    <w:rsid w:val="00F22C2C"/>
    <w:rsid w:val="00F47701"/>
    <w:rsid w:val="00F53E6E"/>
    <w:rsid w:val="00F567C9"/>
    <w:rsid w:val="00F735F1"/>
    <w:rsid w:val="00F909AC"/>
    <w:rsid w:val="00F92391"/>
    <w:rsid w:val="00F94808"/>
    <w:rsid w:val="00F97A78"/>
    <w:rsid w:val="00FA2557"/>
    <w:rsid w:val="00FA5C6C"/>
    <w:rsid w:val="00FA7392"/>
    <w:rsid w:val="00FE241E"/>
    <w:rsid w:val="00FE383C"/>
    <w:rsid w:val="00FF115E"/>
    <w:rsid w:val="00FF5433"/>
    <w:rsid w:val="01AB333C"/>
    <w:rsid w:val="02293FA5"/>
    <w:rsid w:val="02B03A4D"/>
    <w:rsid w:val="02F07896"/>
    <w:rsid w:val="02F85C9E"/>
    <w:rsid w:val="048556E4"/>
    <w:rsid w:val="050304FE"/>
    <w:rsid w:val="0580179B"/>
    <w:rsid w:val="06624407"/>
    <w:rsid w:val="06B063D2"/>
    <w:rsid w:val="07126F33"/>
    <w:rsid w:val="071F157D"/>
    <w:rsid w:val="076A6EA4"/>
    <w:rsid w:val="07CE452C"/>
    <w:rsid w:val="087A5674"/>
    <w:rsid w:val="097D1394"/>
    <w:rsid w:val="0A3F383A"/>
    <w:rsid w:val="0B627C26"/>
    <w:rsid w:val="0C3E10B7"/>
    <w:rsid w:val="0D6303CD"/>
    <w:rsid w:val="0EF37861"/>
    <w:rsid w:val="0F753717"/>
    <w:rsid w:val="10D04A8C"/>
    <w:rsid w:val="118162AF"/>
    <w:rsid w:val="127B0069"/>
    <w:rsid w:val="13057FB3"/>
    <w:rsid w:val="13134977"/>
    <w:rsid w:val="13847A65"/>
    <w:rsid w:val="14926EC0"/>
    <w:rsid w:val="159F6C9B"/>
    <w:rsid w:val="15DA6055"/>
    <w:rsid w:val="167A30AA"/>
    <w:rsid w:val="168B0B64"/>
    <w:rsid w:val="182609B1"/>
    <w:rsid w:val="185B5B23"/>
    <w:rsid w:val="18AF2EC3"/>
    <w:rsid w:val="18B22CF7"/>
    <w:rsid w:val="19196BBD"/>
    <w:rsid w:val="19204BB9"/>
    <w:rsid w:val="193C76EE"/>
    <w:rsid w:val="19535D86"/>
    <w:rsid w:val="198C6478"/>
    <w:rsid w:val="1A4850A4"/>
    <w:rsid w:val="1B7836E5"/>
    <w:rsid w:val="1D6A46C2"/>
    <w:rsid w:val="1DC94708"/>
    <w:rsid w:val="1DED37CB"/>
    <w:rsid w:val="1EB343E3"/>
    <w:rsid w:val="1EF25657"/>
    <w:rsid w:val="1F392E73"/>
    <w:rsid w:val="1FD36E9B"/>
    <w:rsid w:val="21057F3A"/>
    <w:rsid w:val="21150C47"/>
    <w:rsid w:val="21D2680D"/>
    <w:rsid w:val="226625C1"/>
    <w:rsid w:val="22735E8E"/>
    <w:rsid w:val="231B25E2"/>
    <w:rsid w:val="232C6D04"/>
    <w:rsid w:val="2371335B"/>
    <w:rsid w:val="23C654D0"/>
    <w:rsid w:val="23F15CC9"/>
    <w:rsid w:val="243B5CC6"/>
    <w:rsid w:val="24900F70"/>
    <w:rsid w:val="24A5529A"/>
    <w:rsid w:val="24FA7F1C"/>
    <w:rsid w:val="25B13B2D"/>
    <w:rsid w:val="25ED33D6"/>
    <w:rsid w:val="26E53F53"/>
    <w:rsid w:val="27523147"/>
    <w:rsid w:val="27944EBF"/>
    <w:rsid w:val="27E35848"/>
    <w:rsid w:val="28251BFB"/>
    <w:rsid w:val="282F215D"/>
    <w:rsid w:val="2860305B"/>
    <w:rsid w:val="286B0808"/>
    <w:rsid w:val="2926137B"/>
    <w:rsid w:val="29B47F25"/>
    <w:rsid w:val="2B005989"/>
    <w:rsid w:val="2BC30BB4"/>
    <w:rsid w:val="2C5D2E46"/>
    <w:rsid w:val="2CF600BA"/>
    <w:rsid w:val="2D0832EC"/>
    <w:rsid w:val="2D381F7B"/>
    <w:rsid w:val="2D691E8F"/>
    <w:rsid w:val="2E4C4B66"/>
    <w:rsid w:val="2E65068A"/>
    <w:rsid w:val="2F2E2B1B"/>
    <w:rsid w:val="2FA11D59"/>
    <w:rsid w:val="2FE814F9"/>
    <w:rsid w:val="30A91D66"/>
    <w:rsid w:val="31324FC9"/>
    <w:rsid w:val="313D1EDF"/>
    <w:rsid w:val="31747F55"/>
    <w:rsid w:val="317F1EC5"/>
    <w:rsid w:val="31956DCB"/>
    <w:rsid w:val="31FD5D34"/>
    <w:rsid w:val="3280290E"/>
    <w:rsid w:val="335B669D"/>
    <w:rsid w:val="33752A5D"/>
    <w:rsid w:val="33F173EF"/>
    <w:rsid w:val="34573BD5"/>
    <w:rsid w:val="34FD084A"/>
    <w:rsid w:val="3555668A"/>
    <w:rsid w:val="35A85234"/>
    <w:rsid w:val="37093DF9"/>
    <w:rsid w:val="3730646E"/>
    <w:rsid w:val="373F089A"/>
    <w:rsid w:val="37E8384E"/>
    <w:rsid w:val="3AB671DC"/>
    <w:rsid w:val="3ADE3CE7"/>
    <w:rsid w:val="3B91355D"/>
    <w:rsid w:val="3D497D41"/>
    <w:rsid w:val="3E246D7A"/>
    <w:rsid w:val="3E59499F"/>
    <w:rsid w:val="3E7942BC"/>
    <w:rsid w:val="3F5347AA"/>
    <w:rsid w:val="3F7059B9"/>
    <w:rsid w:val="3FB66C0E"/>
    <w:rsid w:val="3FE13F7A"/>
    <w:rsid w:val="40B13A01"/>
    <w:rsid w:val="41444EB9"/>
    <w:rsid w:val="419866B0"/>
    <w:rsid w:val="428E2155"/>
    <w:rsid w:val="42F4679D"/>
    <w:rsid w:val="435D7EA4"/>
    <w:rsid w:val="438A1F2C"/>
    <w:rsid w:val="44DD2C7F"/>
    <w:rsid w:val="44EE07D4"/>
    <w:rsid w:val="450D2141"/>
    <w:rsid w:val="467F48E2"/>
    <w:rsid w:val="46EE42A0"/>
    <w:rsid w:val="47687D2C"/>
    <w:rsid w:val="47715120"/>
    <w:rsid w:val="47C955BD"/>
    <w:rsid w:val="481E0902"/>
    <w:rsid w:val="48785F88"/>
    <w:rsid w:val="48C15E9B"/>
    <w:rsid w:val="4990249E"/>
    <w:rsid w:val="4C3B0BE9"/>
    <w:rsid w:val="4D1E2254"/>
    <w:rsid w:val="4D465A48"/>
    <w:rsid w:val="4D471BE9"/>
    <w:rsid w:val="4E905A96"/>
    <w:rsid w:val="4F3D7148"/>
    <w:rsid w:val="4F4562F1"/>
    <w:rsid w:val="4FE93751"/>
    <w:rsid w:val="50F61F74"/>
    <w:rsid w:val="50FC3C4E"/>
    <w:rsid w:val="51943798"/>
    <w:rsid w:val="52946479"/>
    <w:rsid w:val="5435709E"/>
    <w:rsid w:val="543D4EEB"/>
    <w:rsid w:val="56393B6E"/>
    <w:rsid w:val="56835337"/>
    <w:rsid w:val="57A553F9"/>
    <w:rsid w:val="58170234"/>
    <w:rsid w:val="58180F71"/>
    <w:rsid w:val="58F72CEC"/>
    <w:rsid w:val="59E67C05"/>
    <w:rsid w:val="5A662F73"/>
    <w:rsid w:val="5A9320E2"/>
    <w:rsid w:val="5AA23403"/>
    <w:rsid w:val="5B220DA2"/>
    <w:rsid w:val="5C100E41"/>
    <w:rsid w:val="5C3966C7"/>
    <w:rsid w:val="5C3F15B3"/>
    <w:rsid w:val="5CD55CD5"/>
    <w:rsid w:val="5CD8383E"/>
    <w:rsid w:val="5D8D7369"/>
    <w:rsid w:val="5DB5614C"/>
    <w:rsid w:val="5DC55DA8"/>
    <w:rsid w:val="5E926D87"/>
    <w:rsid w:val="5F734CE7"/>
    <w:rsid w:val="60205F52"/>
    <w:rsid w:val="60694DA0"/>
    <w:rsid w:val="62064773"/>
    <w:rsid w:val="62507F33"/>
    <w:rsid w:val="62AD3FAF"/>
    <w:rsid w:val="62BC2C84"/>
    <w:rsid w:val="6343361F"/>
    <w:rsid w:val="63FF7B72"/>
    <w:rsid w:val="650B7F14"/>
    <w:rsid w:val="66016881"/>
    <w:rsid w:val="66EC3E25"/>
    <w:rsid w:val="66FE52E7"/>
    <w:rsid w:val="67320746"/>
    <w:rsid w:val="67D81798"/>
    <w:rsid w:val="6829697E"/>
    <w:rsid w:val="685B6903"/>
    <w:rsid w:val="6913268E"/>
    <w:rsid w:val="69573AE8"/>
    <w:rsid w:val="698D48FE"/>
    <w:rsid w:val="69CF4401"/>
    <w:rsid w:val="69DE4944"/>
    <w:rsid w:val="69E334A5"/>
    <w:rsid w:val="6A5C156C"/>
    <w:rsid w:val="6BE217A9"/>
    <w:rsid w:val="6C0E0C69"/>
    <w:rsid w:val="6CC17223"/>
    <w:rsid w:val="6CCF4013"/>
    <w:rsid w:val="6CEB63CD"/>
    <w:rsid w:val="6E32308A"/>
    <w:rsid w:val="6F841338"/>
    <w:rsid w:val="704B4D77"/>
    <w:rsid w:val="70E85E6E"/>
    <w:rsid w:val="71AB6C89"/>
    <w:rsid w:val="71C3275A"/>
    <w:rsid w:val="72165950"/>
    <w:rsid w:val="72254258"/>
    <w:rsid w:val="725C5856"/>
    <w:rsid w:val="73B2482D"/>
    <w:rsid w:val="73CA18FB"/>
    <w:rsid w:val="742D0C0F"/>
    <w:rsid w:val="74A62D9E"/>
    <w:rsid w:val="74BD268F"/>
    <w:rsid w:val="74BD3B2B"/>
    <w:rsid w:val="75702550"/>
    <w:rsid w:val="75CF1DED"/>
    <w:rsid w:val="76F95899"/>
    <w:rsid w:val="77B27D08"/>
    <w:rsid w:val="782B39B3"/>
    <w:rsid w:val="79081C89"/>
    <w:rsid w:val="794C0808"/>
    <w:rsid w:val="7B186C5B"/>
    <w:rsid w:val="7EB47DE0"/>
    <w:rsid w:val="7F022520"/>
    <w:rsid w:val="7F290022"/>
    <w:rsid w:val="7FB9333D"/>
    <w:rsid w:val="7FC10C10"/>
    <w:rsid w:val="7FED44F4"/>
    <w:rsid w:val="DDFC52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iPriority="39" w:semiHidden="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3"/>
    <w:basedOn w:val="1"/>
    <w:next w:val="1"/>
    <w:qFormat/>
    <w:uiPriority w:val="9"/>
    <w:pPr>
      <w:spacing w:line="572" w:lineRule="exact"/>
      <w:jc w:val="center"/>
      <w:outlineLvl w:val="2"/>
    </w:pPr>
    <w:rPr>
      <w:rFonts w:ascii="宋体" w:hAnsi="宋体" w:eastAsia="方正小标宋简体" w:cs="宋体"/>
      <w:kern w:val="0"/>
      <w:sz w:val="44"/>
      <w:szCs w:val="4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4"/>
    <w:link w:val="19"/>
    <w:qFormat/>
    <w:uiPriority w:val="99"/>
    <w:pPr>
      <w:spacing w:after="120"/>
    </w:pPr>
  </w:style>
  <w:style w:type="paragraph" w:styleId="4">
    <w:name w:val="Title"/>
    <w:basedOn w:val="1"/>
    <w:next w:val="1"/>
    <w:link w:val="43"/>
    <w:qFormat/>
    <w:uiPriority w:val="99"/>
    <w:pPr>
      <w:jc w:val="center"/>
      <w:outlineLvl w:val="0"/>
    </w:pPr>
    <w:rPr>
      <w:rFonts w:ascii="方正小标宋_GBK" w:hAnsi="方正小标宋_GBK" w:eastAsia="方正小标宋_GBK" w:cs="方正小标宋_GBK"/>
      <w:sz w:val="44"/>
      <w:szCs w:val="44"/>
    </w:rPr>
  </w:style>
  <w:style w:type="paragraph" w:styleId="5">
    <w:name w:val="toc 5"/>
    <w:basedOn w:val="1"/>
    <w:next w:val="1"/>
    <w:unhideWhenUsed/>
    <w:qFormat/>
    <w:uiPriority w:val="39"/>
    <w:pPr>
      <w:ind w:left="1680" w:leftChars="800"/>
    </w:pPr>
  </w:style>
  <w:style w:type="paragraph" w:styleId="6">
    <w:name w:val="Body Text Indent 2"/>
    <w:basedOn w:val="1"/>
    <w:next w:val="3"/>
    <w:link w:val="20"/>
    <w:qFormat/>
    <w:uiPriority w:val="0"/>
    <w:pPr>
      <w:ind w:firstLine="664" w:firstLineChars="200"/>
    </w:pPr>
    <w:rPr>
      <w:rFonts w:eastAsia="楷体_GB2312"/>
      <w:color w:val="000000"/>
    </w:rPr>
  </w:style>
  <w:style w:type="paragraph" w:styleId="7">
    <w:name w:val="Balloon Text"/>
    <w:basedOn w:val="1"/>
    <w:link w:val="39"/>
    <w:semiHidden/>
    <w:unhideWhenUsed/>
    <w:qFormat/>
    <w:uiPriority w:val="99"/>
    <w:rPr>
      <w:sz w:val="18"/>
      <w:szCs w:val="18"/>
    </w:rPr>
  </w:style>
  <w:style w:type="paragraph" w:styleId="8">
    <w:name w:val="footer"/>
    <w:basedOn w:val="1"/>
    <w:link w:val="32"/>
    <w:semiHidden/>
    <w:unhideWhenUsed/>
    <w:qFormat/>
    <w:uiPriority w:val="99"/>
    <w:pPr>
      <w:tabs>
        <w:tab w:val="center" w:pos="4153"/>
        <w:tab w:val="right" w:pos="8306"/>
      </w:tabs>
      <w:snapToGrid w:val="0"/>
      <w:jc w:val="left"/>
    </w:pPr>
    <w:rPr>
      <w:sz w:val="18"/>
      <w:szCs w:val="18"/>
    </w:rPr>
  </w:style>
  <w:style w:type="paragraph" w:styleId="9">
    <w:name w:val="header"/>
    <w:basedOn w:val="1"/>
    <w:link w:val="3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HTML Preformatted"/>
    <w:basedOn w:val="1"/>
    <w:link w:val="2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kern w:val="0"/>
      <w:sz w:val="24"/>
    </w:rPr>
  </w:style>
  <w:style w:type="paragraph" w:styleId="11">
    <w:name w:val="Normal (Web)"/>
    <w:basedOn w:val="1"/>
    <w:qFormat/>
    <w:uiPriority w:val="0"/>
    <w:rPr>
      <w:sz w:val="24"/>
    </w:rPr>
  </w:style>
  <w:style w:type="table" w:styleId="13">
    <w:name w:val="Table Grid"/>
    <w:basedOn w:val="1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customStyle="1" w:styleId="15">
    <w:name w:val="正文首行缩进 21"/>
    <w:basedOn w:val="16"/>
    <w:qFormat/>
    <w:uiPriority w:val="0"/>
    <w:pPr>
      <w:spacing w:line="360" w:lineRule="auto"/>
    </w:pPr>
    <w:rPr>
      <w:sz w:val="24"/>
    </w:rPr>
  </w:style>
  <w:style w:type="paragraph" w:customStyle="1" w:styleId="16">
    <w:name w:val="Body Text Indent1"/>
    <w:basedOn w:val="17"/>
    <w:qFormat/>
    <w:uiPriority w:val="0"/>
    <w:pPr>
      <w:spacing w:line="150" w:lineRule="atLeast"/>
      <w:ind w:firstLine="420" w:firstLineChars="200"/>
      <w:textAlignment w:val="baseline"/>
    </w:pPr>
  </w:style>
  <w:style w:type="paragraph" w:customStyle="1" w:styleId="17">
    <w:name w:val="正文 New"/>
    <w:next w:val="18"/>
    <w:qFormat/>
    <w:uiPriority w:val="0"/>
    <w:pPr>
      <w:widowControl w:val="0"/>
      <w:autoSpaceDE w:val="0"/>
      <w:autoSpaceDN w:val="0"/>
      <w:adjustRightInd w:val="0"/>
      <w:spacing w:line="315" w:lineRule="atLeast"/>
    </w:pPr>
    <w:rPr>
      <w:rFonts w:ascii="宋体" w:hAnsi="Times New Roman" w:eastAsia="宋体" w:cs="Times New Roman"/>
      <w:sz w:val="21"/>
      <w:lang w:val="en-US" w:eastAsia="zh-CN" w:bidi="ar-SA"/>
    </w:rPr>
  </w:style>
  <w:style w:type="paragraph" w:customStyle="1" w:styleId="18">
    <w:name w:val="正文首行缩进 22"/>
    <w:basedOn w:val="16"/>
    <w:qFormat/>
    <w:uiPriority w:val="0"/>
    <w:pPr>
      <w:spacing w:line="360" w:lineRule="auto"/>
    </w:pPr>
    <w:rPr>
      <w:sz w:val="24"/>
    </w:rPr>
  </w:style>
  <w:style w:type="character" w:customStyle="1" w:styleId="19">
    <w:name w:val="正文文本 字符"/>
    <w:basedOn w:val="14"/>
    <w:link w:val="3"/>
    <w:qFormat/>
    <w:uiPriority w:val="0"/>
    <w:rPr>
      <w:rFonts w:ascii="Times New Roman" w:hAnsi="Times New Roman" w:eastAsia="仿宋_GB2312" w:cs="Times New Roman"/>
      <w:sz w:val="32"/>
      <w:szCs w:val="24"/>
    </w:rPr>
  </w:style>
  <w:style w:type="character" w:customStyle="1" w:styleId="20">
    <w:name w:val="正文文本缩进 2 字符"/>
    <w:basedOn w:val="14"/>
    <w:link w:val="6"/>
    <w:qFormat/>
    <w:uiPriority w:val="0"/>
    <w:rPr>
      <w:rFonts w:ascii="Times New Roman" w:hAnsi="Times New Roman" w:eastAsia="楷体_GB2312" w:cs="Times New Roman"/>
      <w:color w:val="000000"/>
      <w:sz w:val="32"/>
      <w:szCs w:val="24"/>
    </w:rPr>
  </w:style>
  <w:style w:type="character" w:customStyle="1" w:styleId="21">
    <w:name w:val="HTML 预设格式 字符"/>
    <w:basedOn w:val="14"/>
    <w:link w:val="10"/>
    <w:qFormat/>
    <w:uiPriority w:val="0"/>
    <w:rPr>
      <w:rFonts w:ascii="宋体" w:hAnsi="宋体" w:eastAsia="仿宋_GB2312" w:cs="Times New Roman"/>
      <w:kern w:val="0"/>
      <w:sz w:val="24"/>
      <w:szCs w:val="24"/>
    </w:rPr>
  </w:style>
  <w:style w:type="character" w:customStyle="1" w:styleId="22">
    <w:name w:val="font61"/>
    <w:qFormat/>
    <w:uiPriority w:val="0"/>
    <w:rPr>
      <w:rFonts w:hint="default" w:ascii="楷体_GB2312" w:eastAsia="楷体_GB2312" w:cs="楷体_GB2312"/>
      <w:color w:val="000000"/>
      <w:sz w:val="21"/>
      <w:szCs w:val="21"/>
      <w:u w:val="none"/>
    </w:rPr>
  </w:style>
  <w:style w:type="character" w:customStyle="1" w:styleId="23">
    <w:name w:val="font71"/>
    <w:qFormat/>
    <w:uiPriority w:val="0"/>
    <w:rPr>
      <w:rFonts w:ascii="Calibri" w:hAnsi="Calibri" w:cs="Calibri"/>
      <w:color w:val="000000"/>
      <w:sz w:val="21"/>
      <w:szCs w:val="21"/>
      <w:u w:val="none"/>
    </w:rPr>
  </w:style>
  <w:style w:type="character" w:customStyle="1" w:styleId="24">
    <w:name w:val="font51"/>
    <w:qFormat/>
    <w:uiPriority w:val="0"/>
    <w:rPr>
      <w:rFonts w:hint="default" w:ascii="楷体_GB2312" w:eastAsia="楷体_GB2312" w:cs="楷体_GB2312"/>
      <w:color w:val="FF0000"/>
      <w:sz w:val="21"/>
      <w:szCs w:val="21"/>
      <w:u w:val="none"/>
    </w:rPr>
  </w:style>
  <w:style w:type="character" w:customStyle="1" w:styleId="25">
    <w:name w:val="font81"/>
    <w:qFormat/>
    <w:uiPriority w:val="0"/>
    <w:rPr>
      <w:rFonts w:ascii="Calibri" w:hAnsi="Calibri" w:cs="Calibri"/>
      <w:color w:val="auto"/>
      <w:sz w:val="21"/>
      <w:szCs w:val="21"/>
      <w:u w:val="none"/>
    </w:rPr>
  </w:style>
  <w:style w:type="character" w:customStyle="1" w:styleId="26">
    <w:name w:val="font91"/>
    <w:qFormat/>
    <w:uiPriority w:val="0"/>
    <w:rPr>
      <w:rFonts w:hint="default" w:ascii="Calibri" w:hAnsi="Calibri" w:cs="Calibri"/>
      <w:color w:val="FF0000"/>
      <w:sz w:val="21"/>
      <w:szCs w:val="21"/>
      <w:u w:val="none"/>
    </w:rPr>
  </w:style>
  <w:style w:type="paragraph" w:customStyle="1" w:styleId="27">
    <w:name w:val="正文文本 New"/>
    <w:basedOn w:val="28"/>
    <w:next w:val="30"/>
    <w:qFormat/>
    <w:uiPriority w:val="0"/>
  </w:style>
  <w:style w:type="paragraph" w:customStyle="1" w:styleId="28">
    <w:name w:val="正文 New New"/>
    <w:next w:val="29"/>
    <w:qFormat/>
    <w:uiPriority w:val="0"/>
    <w:pPr>
      <w:widowControl w:val="0"/>
      <w:jc w:val="both"/>
    </w:pPr>
    <w:rPr>
      <w:rFonts w:ascii="Calibri" w:hAnsi="Calibri" w:eastAsia="宋体" w:cs="Times New Roman"/>
      <w:kern w:val="2"/>
      <w:sz w:val="21"/>
      <w:szCs w:val="24"/>
      <w:lang w:val="en-US" w:eastAsia="zh-CN" w:bidi="ar-SA"/>
    </w:rPr>
  </w:style>
  <w:style w:type="paragraph" w:customStyle="1" w:styleId="29">
    <w:name w:val="正文文本缩进 2 New"/>
    <w:basedOn w:val="28"/>
    <w:next w:val="27"/>
    <w:qFormat/>
    <w:uiPriority w:val="0"/>
    <w:pPr>
      <w:ind w:firstLine="664" w:firstLineChars="200"/>
    </w:pPr>
    <w:rPr>
      <w:rFonts w:eastAsia="楷体_GB2312"/>
      <w:color w:val="000000"/>
    </w:rPr>
  </w:style>
  <w:style w:type="paragraph" w:customStyle="1" w:styleId="30">
    <w:name w:val="目录 5 New"/>
    <w:basedOn w:val="28"/>
    <w:next w:val="28"/>
    <w:qFormat/>
    <w:uiPriority w:val="0"/>
    <w:pPr>
      <w:ind w:left="1680"/>
    </w:pPr>
  </w:style>
  <w:style w:type="character" w:customStyle="1" w:styleId="31">
    <w:name w:val="页眉 字符"/>
    <w:basedOn w:val="14"/>
    <w:link w:val="9"/>
    <w:semiHidden/>
    <w:qFormat/>
    <w:uiPriority w:val="99"/>
    <w:rPr>
      <w:rFonts w:eastAsia="仿宋_GB2312"/>
      <w:kern w:val="2"/>
      <w:sz w:val="18"/>
      <w:szCs w:val="18"/>
    </w:rPr>
  </w:style>
  <w:style w:type="character" w:customStyle="1" w:styleId="32">
    <w:name w:val="页脚 字符"/>
    <w:basedOn w:val="14"/>
    <w:link w:val="8"/>
    <w:semiHidden/>
    <w:qFormat/>
    <w:uiPriority w:val="99"/>
    <w:rPr>
      <w:rFonts w:eastAsia="仿宋_GB2312"/>
      <w:kern w:val="2"/>
      <w:sz w:val="18"/>
      <w:szCs w:val="18"/>
    </w:rPr>
  </w:style>
  <w:style w:type="paragraph" w:customStyle="1" w:styleId="33">
    <w:name w:val="正文1"/>
    <w:qFormat/>
    <w:uiPriority w:val="0"/>
    <w:pPr>
      <w:jc w:val="both"/>
    </w:pPr>
    <w:rPr>
      <w:rFonts w:ascii="Calibri" w:hAnsi="Calibri" w:eastAsia="宋体" w:cs="宋体"/>
      <w:kern w:val="2"/>
      <w:sz w:val="21"/>
      <w:szCs w:val="21"/>
      <w:lang w:val="en-US" w:eastAsia="zh-CN" w:bidi="ar-SA"/>
    </w:rPr>
  </w:style>
  <w:style w:type="paragraph" w:customStyle="1" w:styleId="34">
    <w:name w:val="正文2"/>
    <w:qFormat/>
    <w:uiPriority w:val="0"/>
    <w:pPr>
      <w:jc w:val="both"/>
    </w:pPr>
    <w:rPr>
      <w:rFonts w:ascii="Times New Roman" w:hAnsi="Times New Roman" w:eastAsia="宋体" w:cs="Times New Roman"/>
      <w:kern w:val="2"/>
      <w:sz w:val="21"/>
      <w:szCs w:val="21"/>
      <w:lang w:val="en-US" w:eastAsia="zh-CN" w:bidi="ar-SA"/>
    </w:rPr>
  </w:style>
  <w:style w:type="paragraph" w:customStyle="1" w:styleId="35">
    <w:name w:val="正文3"/>
    <w:qFormat/>
    <w:uiPriority w:val="0"/>
    <w:pPr>
      <w:jc w:val="both"/>
    </w:pPr>
    <w:rPr>
      <w:rFonts w:ascii="Calibri" w:hAnsi="Calibri" w:eastAsia="宋体" w:cs="宋体"/>
      <w:kern w:val="2"/>
      <w:sz w:val="21"/>
      <w:szCs w:val="21"/>
      <w:lang w:val="en-US" w:eastAsia="zh-CN" w:bidi="ar-SA"/>
    </w:rPr>
  </w:style>
  <w:style w:type="paragraph" w:customStyle="1" w:styleId="36">
    <w:name w:val="正文4"/>
    <w:basedOn w:val="1"/>
    <w:qFormat/>
    <w:uiPriority w:val="0"/>
    <w:pPr>
      <w:widowControl/>
    </w:pPr>
    <w:rPr>
      <w:rFonts w:ascii="Calibri" w:hAnsi="Calibri" w:eastAsia="宋体" w:cs="宋体"/>
      <w:sz w:val="21"/>
      <w:szCs w:val="21"/>
    </w:rPr>
  </w:style>
  <w:style w:type="paragraph" w:customStyle="1" w:styleId="37">
    <w:name w:val="正文5"/>
    <w:qFormat/>
    <w:uiPriority w:val="0"/>
    <w:pPr>
      <w:jc w:val="both"/>
    </w:pPr>
    <w:rPr>
      <w:rFonts w:ascii="Calibri" w:hAnsi="Calibri" w:eastAsia="宋体" w:cs="宋体"/>
      <w:kern w:val="2"/>
      <w:sz w:val="21"/>
      <w:szCs w:val="21"/>
      <w:lang w:val="en-US" w:eastAsia="zh-CN" w:bidi="ar-SA"/>
    </w:rPr>
  </w:style>
  <w:style w:type="paragraph" w:customStyle="1" w:styleId="38">
    <w:name w:val="正文6"/>
    <w:qFormat/>
    <w:uiPriority w:val="0"/>
    <w:pPr>
      <w:jc w:val="both"/>
    </w:pPr>
    <w:rPr>
      <w:rFonts w:ascii="Calibri" w:hAnsi="Calibri" w:eastAsia="宋体" w:cs="宋体"/>
      <w:kern w:val="2"/>
      <w:sz w:val="21"/>
      <w:szCs w:val="21"/>
      <w:lang w:val="en-US" w:eastAsia="zh-CN" w:bidi="ar-SA"/>
    </w:rPr>
  </w:style>
  <w:style w:type="character" w:customStyle="1" w:styleId="39">
    <w:name w:val="批注框文本 字符"/>
    <w:basedOn w:val="14"/>
    <w:link w:val="7"/>
    <w:semiHidden/>
    <w:qFormat/>
    <w:uiPriority w:val="99"/>
    <w:rPr>
      <w:rFonts w:ascii="Times New Roman" w:hAnsi="Times New Roman" w:eastAsia="仿宋_GB2312"/>
      <w:kern w:val="2"/>
      <w:sz w:val="18"/>
      <w:szCs w:val="18"/>
    </w:rPr>
  </w:style>
  <w:style w:type="paragraph" w:customStyle="1" w:styleId="40">
    <w:name w:val="正文7"/>
    <w:qFormat/>
    <w:uiPriority w:val="0"/>
    <w:pPr>
      <w:jc w:val="both"/>
    </w:pPr>
    <w:rPr>
      <w:rFonts w:ascii="Calibri" w:hAnsi="Calibri" w:eastAsia="宋体" w:cs="Calibri"/>
      <w:kern w:val="2"/>
      <w:sz w:val="21"/>
      <w:szCs w:val="21"/>
      <w:lang w:val="en-US" w:eastAsia="zh-CN" w:bidi="ar-SA"/>
    </w:rPr>
  </w:style>
  <w:style w:type="paragraph" w:customStyle="1" w:styleId="41">
    <w:name w:val="正文8"/>
    <w:qFormat/>
    <w:uiPriority w:val="0"/>
    <w:pPr>
      <w:jc w:val="both"/>
    </w:pPr>
    <w:rPr>
      <w:rFonts w:ascii="Calibri" w:hAnsi="Calibri" w:eastAsia="宋体" w:cs="Calibri"/>
      <w:kern w:val="2"/>
      <w:sz w:val="21"/>
      <w:szCs w:val="21"/>
      <w:lang w:val="en-US" w:eastAsia="zh-CN" w:bidi="ar-SA"/>
    </w:rPr>
  </w:style>
  <w:style w:type="paragraph" w:customStyle="1" w:styleId="42">
    <w:name w:val="正文9"/>
    <w:qFormat/>
    <w:uiPriority w:val="0"/>
    <w:pPr>
      <w:jc w:val="both"/>
    </w:pPr>
    <w:rPr>
      <w:rFonts w:ascii="Calibri" w:hAnsi="Calibri" w:eastAsia="宋体" w:cs="Calibri"/>
      <w:kern w:val="2"/>
      <w:sz w:val="21"/>
      <w:szCs w:val="21"/>
      <w:lang w:val="en-US" w:eastAsia="zh-CN" w:bidi="ar-SA"/>
    </w:rPr>
  </w:style>
  <w:style w:type="character" w:customStyle="1" w:styleId="43">
    <w:name w:val="标题 字符"/>
    <w:basedOn w:val="14"/>
    <w:link w:val="4"/>
    <w:qFormat/>
    <w:uiPriority w:val="99"/>
    <w:rPr>
      <w:rFonts w:ascii="方正小标宋_GBK" w:hAnsi="方正小标宋_GBK" w:eastAsia="方正小标宋_GBK" w:cs="方正小标宋_GBK"/>
      <w:kern w:val="2"/>
      <w:sz w:val="44"/>
      <w:szCs w:val="44"/>
    </w:rPr>
  </w:style>
  <w:style w:type="paragraph" w:customStyle="1" w:styleId="44">
    <w:name w:val="正文10"/>
    <w:qFormat/>
    <w:uiPriority w:val="0"/>
    <w:pPr>
      <w:jc w:val="both"/>
    </w:pPr>
    <w:rPr>
      <w:rFonts w:ascii="Calibri" w:hAnsi="Calibri" w:eastAsia="宋体" w:cs="Calibri"/>
      <w:kern w:val="2"/>
      <w:sz w:val="21"/>
      <w:szCs w:val="21"/>
      <w:lang w:val="en-US" w:eastAsia="zh-CN" w:bidi="ar-SA"/>
    </w:rPr>
  </w:style>
  <w:style w:type="paragraph" w:customStyle="1" w:styleId="45">
    <w:name w:val="正文11"/>
    <w:qFormat/>
    <w:uiPriority w:val="0"/>
    <w:pPr>
      <w:jc w:val="both"/>
    </w:pPr>
    <w:rPr>
      <w:rFonts w:ascii="Calibri" w:hAnsi="Calibri" w:eastAsia="宋体" w:cs="Calibri"/>
      <w:kern w:val="2"/>
      <w:sz w:val="21"/>
      <w:szCs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2200</Words>
  <Characters>12540</Characters>
  <Lines>104</Lines>
  <Paragraphs>29</Paragraphs>
  <TotalTime>1</TotalTime>
  <ScaleCrop>false</ScaleCrop>
  <LinksUpToDate>false</LinksUpToDate>
  <CharactersWithSpaces>14711</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2024-03-11T10:30:00Z</dcterms:created>
  <dc:creator>xbany</dc:creator>
  <cp:lastModifiedBy>王帆</cp:lastModifiedBy>
  <dcterms:modified xsi:type="dcterms:W3CDTF">2026-08-07T02:05:00Z</dcterms:modified>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B3028FC37719458B860088902736B583</vt:lpwstr>
  </property>
  <property fmtid="{D5CDD505-2E9C-101B-9397-08002B2CF9AE}" pid="4" name="ribbonExt">
    <vt:lpwstr>{"WPSExtOfficeTab":{"OnGetEnabled":false,"OnGetVisible":false}}</vt:lpwstr>
  </property>
  <property fmtid="{D5CDD505-2E9C-101B-9397-08002B2CF9AE}" pid="5" name="KSOTemplateDocerSaveRecord">
    <vt:lpwstr>eyJoZGlkIjoiZmMzOGQ3NWE5OThhMjEzMzZhYWRhZGM0YzUwZDE0NjEifQ==</vt:lpwstr>
  </property>
  <property fmtid="{D5CDD505-2E9C-101B-9397-08002B2CF9AE}" pid="6" name="showFlag">
    <vt:bool>false</vt:bool>
  </property>
  <property fmtid="{D5CDD505-2E9C-101B-9397-08002B2CF9AE}" pid="7" name="userName">
    <vt:lpwstr>向丽霞</vt:lpwstr>
  </property>
</Properties>
</file>