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D32F7">
      <w:pPr>
        <w:spacing w:line="360" w:lineRule="auto"/>
        <w:jc w:val="center"/>
        <w:rPr>
          <w:rFonts w:hint="eastAsia" w:ascii="宋体" w:hAnsi="宋体" w:eastAsia="宋体" w:cs="宋体"/>
          <w:b/>
          <w:bCs/>
          <w:sz w:val="44"/>
          <w:szCs w:val="44"/>
        </w:rPr>
      </w:pPr>
    </w:p>
    <w:p w14:paraId="3BB67045">
      <w:pPr>
        <w:spacing w:line="360" w:lineRule="auto"/>
        <w:jc w:val="center"/>
        <w:rPr>
          <w:rFonts w:hint="eastAsia" w:ascii="方正小标宋简体" w:hAnsi="方正小标宋简体" w:eastAsia="方正小标宋简体" w:cs="方正小标宋简体"/>
          <w:b/>
          <w:bCs/>
          <w:color w:val="auto"/>
          <w:kern w:val="2"/>
          <w:sz w:val="44"/>
          <w:szCs w:val="44"/>
          <w:lang w:val="en-US" w:eastAsia="zh-CN" w:bidi="ar-SA"/>
        </w:rPr>
      </w:pPr>
      <w:r>
        <w:rPr>
          <w:rFonts w:hint="eastAsia" w:ascii="方正小标宋简体" w:hAnsi="方正小标宋简体" w:eastAsia="方正小标宋简体" w:cs="方正小标宋简体"/>
          <w:b/>
          <w:bCs/>
          <w:color w:val="auto"/>
          <w:kern w:val="2"/>
          <w:sz w:val="44"/>
          <w:szCs w:val="44"/>
          <w:lang w:val="en-US" w:eastAsia="zh-CN" w:bidi="ar-SA"/>
        </w:rPr>
        <w:t>市未保中心2026年“丹心护童”之精神关爱监护支持系列活动暨留守、流动和困</w:t>
      </w:r>
    </w:p>
    <w:p w14:paraId="295B3558">
      <w:pPr>
        <w:spacing w:line="360" w:lineRule="auto"/>
        <w:jc w:val="center"/>
        <w:rPr>
          <w:rFonts w:hint="eastAsia" w:ascii="方正小标宋简体" w:hAnsi="方正小标宋简体" w:eastAsia="方正小标宋简体" w:cs="方正小标宋简体"/>
          <w:b/>
          <w:bCs/>
          <w:color w:val="auto"/>
          <w:kern w:val="2"/>
          <w:sz w:val="44"/>
          <w:szCs w:val="44"/>
          <w:lang w:val="en-US" w:eastAsia="zh-CN" w:bidi="ar-SA"/>
        </w:rPr>
      </w:pPr>
      <w:r>
        <w:rPr>
          <w:rFonts w:hint="eastAsia" w:ascii="方正小标宋简体" w:hAnsi="方正小标宋简体" w:eastAsia="方正小标宋简体" w:cs="方正小标宋简体"/>
          <w:b/>
          <w:bCs/>
          <w:color w:val="auto"/>
          <w:kern w:val="2"/>
          <w:sz w:val="44"/>
          <w:szCs w:val="44"/>
          <w:lang w:val="en-US" w:eastAsia="zh-CN" w:bidi="ar-SA"/>
        </w:rPr>
        <w:t>境未成年人成长课堂活动方案</w:t>
      </w:r>
    </w:p>
    <w:p w14:paraId="5B293F1E">
      <w:pPr>
        <w:spacing w:line="360" w:lineRule="auto"/>
        <w:jc w:val="center"/>
        <w:rPr>
          <w:rFonts w:hint="eastAsia" w:ascii="宋体" w:hAnsi="宋体" w:eastAsia="宋体" w:cs="宋体"/>
          <w:b/>
          <w:bCs/>
          <w:sz w:val="44"/>
          <w:szCs w:val="44"/>
        </w:rPr>
      </w:pPr>
    </w:p>
    <w:p w14:paraId="42E24CEC">
      <w:pPr>
        <w:keepNext w:val="0"/>
        <w:keepLines w:val="0"/>
        <w:widowControl/>
        <w:suppressLineNumbers w:val="0"/>
        <w:ind w:firstLine="640" w:firstLineChars="200"/>
        <w:jc w:val="left"/>
        <w:rPr>
          <w:rFonts w:hint="default" w:ascii="仿宋" w:hAnsi="仿宋" w:eastAsia="仿宋" w:cs="仿宋"/>
          <w:color w:val="000000" w:themeColor="text1"/>
          <w:sz w:val="32"/>
          <w:szCs w:val="32"/>
          <w:lang w:val="en-US" w:eastAsia="zh-CN"/>
          <w14:textFill>
            <w14:solidFill>
              <w14:schemeClr w14:val="tx1"/>
            </w14:solidFill>
          </w14:textFill>
        </w:rPr>
      </w:pPr>
      <w:bookmarkStart w:id="0" w:name="_GoBack"/>
      <w:r>
        <w:rPr>
          <w:rFonts w:ascii="仿宋" w:hAnsi="仿宋" w:eastAsia="仿宋" w:cs="仿宋"/>
          <w:color w:val="000000" w:themeColor="text1"/>
          <w:sz w:val="32"/>
          <w:szCs w:val="32"/>
          <w14:textFill>
            <w14:solidFill>
              <w14:schemeClr w14:val="tx1"/>
            </w14:solidFill>
          </w14:textFill>
        </w:rPr>
        <w:t>为了深入实</w:t>
      </w:r>
      <w:r>
        <w:rPr>
          <w:rFonts w:hint="eastAsia" w:ascii="仿宋" w:hAnsi="仿宋" w:eastAsia="仿宋" w:cs="仿宋"/>
          <w:color w:val="000000" w:themeColor="text1"/>
          <w:kern w:val="2"/>
          <w:sz w:val="32"/>
          <w:szCs w:val="32"/>
          <w:lang w:val="en-US" w:eastAsia="zh-CN" w:bidi="ar-SA"/>
          <w14:textFill>
            <w14:solidFill>
              <w14:schemeClr w14:val="tx1"/>
            </w14:solidFill>
          </w14:textFill>
          <w14:ligatures w14:val="standardContextual"/>
        </w:rPr>
        <w:t>施习近平总书记关于儿童工作的重要指示精神，根据《国务院办公厅关于进一步加强困境儿童福利保障工作的意见》（国办发〔2025〕18号）文件精神，</w:t>
      </w:r>
      <w:r>
        <w:rPr>
          <w:rFonts w:hint="eastAsia" w:ascii="仿宋" w:hAnsi="仿宋" w:eastAsia="仿宋" w:cs="仿宋"/>
          <w:color w:val="000000" w:themeColor="text1"/>
          <w:sz w:val="32"/>
          <w:szCs w:val="32"/>
          <w:lang w:val="en-US" w:eastAsia="zh-CN"/>
          <w14:textFill>
            <w14:solidFill>
              <w14:schemeClr w14:val="tx1"/>
            </w14:solidFill>
          </w14:textFill>
        </w:rPr>
        <w:t>落实</w:t>
      </w:r>
      <w:r>
        <w:rPr>
          <w:rFonts w:ascii="仿宋" w:hAnsi="仿宋" w:eastAsia="仿宋" w:cs="仿宋"/>
          <w:color w:val="000000" w:themeColor="text1"/>
          <w:sz w:val="32"/>
          <w:szCs w:val="32"/>
          <w14:textFill>
            <w14:solidFill>
              <w14:schemeClr w14:val="tx1"/>
            </w14:solidFill>
          </w14:textFill>
        </w:rPr>
        <w:t>《广东省农村留守儿童和困境儿童关爱服务质量提升三年行动实施方案》</w:t>
      </w:r>
      <w:r>
        <w:rPr>
          <w:rFonts w:hint="eastAsia" w:ascii="仿宋" w:hAnsi="仿宋" w:eastAsia="仿宋" w:cs="仿宋"/>
          <w:color w:val="000000" w:themeColor="text1"/>
          <w:sz w:val="32"/>
          <w:szCs w:val="32"/>
          <w:lang w:eastAsia="zh-CN"/>
          <w14:textFill>
            <w14:solidFill>
              <w14:schemeClr w14:val="tx1"/>
            </w14:solidFill>
          </w14:textFill>
        </w:rPr>
        <w:t>、</w:t>
      </w:r>
      <w:r>
        <w:rPr>
          <w:rFonts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韶关市</w:t>
      </w:r>
      <w:r>
        <w:rPr>
          <w:rFonts w:ascii="仿宋" w:hAnsi="仿宋" w:eastAsia="仿宋" w:cs="仿宋"/>
          <w:color w:val="000000" w:themeColor="text1"/>
          <w:sz w:val="32"/>
          <w:szCs w:val="32"/>
          <w14:textFill>
            <w14:solidFill>
              <w14:schemeClr w14:val="tx1"/>
            </w14:solidFill>
          </w14:textFill>
        </w:rPr>
        <w:t>农村留守儿童和困境儿童关爱服务质量提升三年行动实施方案》</w:t>
      </w:r>
      <w:r>
        <w:rPr>
          <w:rFonts w:hint="eastAsia" w:ascii="仿宋" w:hAnsi="仿宋" w:eastAsia="仿宋" w:cs="仿宋"/>
          <w:color w:val="000000" w:themeColor="text1"/>
          <w:sz w:val="32"/>
          <w:szCs w:val="32"/>
          <w:lang w:val="en-US" w:eastAsia="zh-CN"/>
          <w14:textFill>
            <w14:solidFill>
              <w14:schemeClr w14:val="tx1"/>
            </w14:solidFill>
          </w14:textFill>
        </w:rPr>
        <w:t>以及</w:t>
      </w:r>
      <w:r>
        <w:rPr>
          <w:rFonts w:ascii="仿宋" w:hAnsi="仿宋" w:eastAsia="仿宋" w:cs="仿宋"/>
          <w:color w:val="000000" w:themeColor="text1"/>
          <w:sz w:val="32"/>
          <w:szCs w:val="32"/>
          <w:lang w:val="en-US" w:eastAsia="zh-CN"/>
          <w14:textFill>
            <w14:solidFill>
              <w14:schemeClr w14:val="tx1"/>
            </w14:solidFill>
          </w14:textFill>
        </w:rPr>
        <w:t>《韶关市民政局关于印发</w:t>
      </w:r>
      <w:r>
        <w:rPr>
          <w:rFonts w:hint="eastAsia" w:ascii="仿宋" w:hAnsi="仿宋" w:eastAsia="仿宋" w:cs="仿宋"/>
          <w:color w:val="000000" w:themeColor="text1"/>
          <w:sz w:val="32"/>
          <w:szCs w:val="32"/>
          <w:lang w:val="en-US" w:eastAsia="zh-CN"/>
          <w14:textFill>
            <w14:solidFill>
              <w14:schemeClr w14:val="tx1"/>
            </w14:solidFill>
          </w14:textFill>
        </w:rPr>
        <w:t>〈</w:t>
      </w:r>
      <w:r>
        <w:rPr>
          <w:rFonts w:ascii="仿宋" w:hAnsi="仿宋" w:eastAsia="仿宋" w:cs="仿宋"/>
          <w:color w:val="000000" w:themeColor="text1"/>
          <w:sz w:val="32"/>
          <w:szCs w:val="32"/>
          <w:lang w:val="en-US" w:eastAsia="zh-CN"/>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ascii="仿宋" w:hAnsi="仿宋" w:eastAsia="仿宋" w:cs="仿宋"/>
          <w:color w:val="000000" w:themeColor="text1"/>
          <w:sz w:val="32"/>
          <w:szCs w:val="32"/>
          <w:lang w:val="en-US" w:eastAsia="zh-CN"/>
          <w14:textFill>
            <w14:solidFill>
              <w14:schemeClr w14:val="tx1"/>
            </w14:solidFill>
          </w14:textFill>
        </w:rPr>
        <w:t>年韶关</w:t>
      </w:r>
      <w:r>
        <w:rPr>
          <w:rFonts w:hint="eastAsia" w:ascii="仿宋" w:hAnsi="仿宋" w:eastAsia="仿宋" w:cs="仿宋"/>
          <w:color w:val="000000" w:themeColor="text1"/>
          <w:sz w:val="32"/>
          <w:szCs w:val="32"/>
          <w:lang w:val="en-US" w:eastAsia="zh-CN"/>
          <w14:textFill>
            <w14:solidFill>
              <w14:schemeClr w14:val="tx1"/>
            </w14:solidFill>
          </w14:textFill>
        </w:rPr>
        <w:t>民政工作要点〉的通知》要求</w:t>
      </w:r>
      <w:r>
        <w:rPr>
          <w:rFonts w:ascii="仿宋_GB2312" w:hAnsi="宋体" w:eastAsia="仿宋_GB2312" w:cs="仿宋_GB2312"/>
          <w:color w:val="000000" w:themeColor="text1"/>
          <w:kern w:val="0"/>
          <w:sz w:val="31"/>
          <w:szCs w:val="31"/>
          <w:lang w:val="en-US" w:eastAsia="zh-CN" w:bidi="ar"/>
          <w14:textFill>
            <w14:solidFill>
              <w14:schemeClr w14:val="tx1"/>
            </w14:solidFill>
          </w14:textFill>
          <w14:ligatures w14:val="standardContextual"/>
        </w:rPr>
        <w:t>面向困境儿童、留守</w:t>
      </w:r>
      <w:r>
        <w:rPr>
          <w:rFonts w:hint="eastAsia" w:ascii="仿宋_GB2312" w:hAnsi="宋体" w:eastAsia="仿宋_GB2312" w:cs="仿宋_GB2312"/>
          <w:color w:val="000000" w:themeColor="text1"/>
          <w:kern w:val="0"/>
          <w:sz w:val="31"/>
          <w:szCs w:val="31"/>
          <w:lang w:val="en-US" w:eastAsia="zh-CN" w:bidi="ar"/>
          <w14:textFill>
            <w14:solidFill>
              <w14:schemeClr w14:val="tx1"/>
            </w14:solidFill>
          </w14:textFill>
          <w14:ligatures w14:val="standardContextual"/>
        </w:rPr>
        <w:t>、流动</w:t>
      </w:r>
      <w:r>
        <w:rPr>
          <w:rFonts w:ascii="仿宋_GB2312" w:hAnsi="宋体" w:eastAsia="仿宋_GB2312" w:cs="仿宋_GB2312"/>
          <w:color w:val="000000" w:themeColor="text1"/>
          <w:kern w:val="0"/>
          <w:sz w:val="31"/>
          <w:szCs w:val="31"/>
          <w:lang w:val="en-US" w:eastAsia="zh-CN" w:bidi="ar"/>
          <w14:textFill>
            <w14:solidFill>
              <w14:schemeClr w14:val="tx1"/>
            </w14:solidFill>
          </w14:textFill>
          <w14:ligatures w14:val="standardContextual"/>
        </w:rPr>
        <w:t>儿童开展心理关爱服务、监护支持、安全教育和社会融入服务</w:t>
      </w:r>
      <w:r>
        <w:rPr>
          <w:rFonts w:hint="eastAsia" w:ascii="仿宋_GB2312" w:hAnsi="宋体" w:eastAsia="仿宋_GB2312" w:cs="仿宋_GB2312"/>
          <w:color w:val="000000" w:themeColor="text1"/>
          <w:kern w:val="0"/>
          <w:sz w:val="31"/>
          <w:szCs w:val="31"/>
          <w:lang w:val="en-US" w:eastAsia="zh-CN" w:bidi="ar"/>
          <w14:textFill>
            <w14:solidFill>
              <w14:schemeClr w14:val="tx1"/>
            </w14:solidFill>
          </w14:textFill>
          <w14:ligatures w14:val="standardContextual"/>
        </w:rPr>
        <w:t>，</w:t>
      </w:r>
      <w:r>
        <w:rPr>
          <w:rFonts w:ascii="仿宋_GB2312" w:hAnsi="宋体" w:eastAsia="仿宋_GB2312" w:cs="仿宋_GB2312"/>
          <w:color w:val="000000" w:themeColor="text1"/>
          <w:kern w:val="0"/>
          <w:sz w:val="31"/>
          <w:szCs w:val="31"/>
          <w:lang w:val="en-US" w:eastAsia="zh-CN" w:bidi="ar"/>
          <w14:textFill>
            <w14:solidFill>
              <w14:schemeClr w14:val="tx1"/>
            </w14:solidFill>
          </w14:textFill>
          <w14:ligatures w14:val="standardContextual"/>
        </w:rPr>
        <w:t>持续开展“丹心护童”儿童关爱保护系列活动</w:t>
      </w:r>
      <w:r>
        <w:rPr>
          <w:rFonts w:hint="eastAsia" w:ascii="仿宋_GB2312" w:hAnsi="宋体" w:eastAsia="仿宋_GB2312" w:cs="仿宋_GB2312"/>
          <w:color w:val="000000" w:themeColor="text1"/>
          <w:kern w:val="0"/>
          <w:sz w:val="31"/>
          <w:szCs w:val="31"/>
          <w:lang w:val="en-US" w:eastAsia="zh-CN" w:bidi="ar"/>
          <w14:textFill>
            <w14:solidFill>
              <w14:schemeClr w14:val="tx1"/>
            </w14:solidFill>
          </w14:textFill>
          <w14:ligatures w14:val="standardContextual"/>
        </w:rPr>
        <w:t>，</w:t>
      </w:r>
      <w:r>
        <w:rPr>
          <w:rFonts w:ascii="仿宋" w:hAnsi="仿宋" w:eastAsia="仿宋" w:cs="仿宋"/>
          <w:color w:val="000000" w:themeColor="text1"/>
          <w:sz w:val="32"/>
          <w:szCs w:val="32"/>
          <w14:textFill>
            <w14:solidFill>
              <w14:schemeClr w14:val="tx1"/>
            </w14:solidFill>
          </w14:textFill>
        </w:rPr>
        <w:t>加强</w:t>
      </w:r>
      <w:r>
        <w:rPr>
          <w:rFonts w:hint="eastAsia" w:ascii="仿宋" w:hAnsi="仿宋" w:eastAsia="仿宋" w:cs="仿宋"/>
          <w:color w:val="000000" w:themeColor="text1"/>
          <w:sz w:val="32"/>
          <w:szCs w:val="32"/>
          <w:lang w:val="en-US" w:eastAsia="zh-CN"/>
          <w14:textFill>
            <w14:solidFill>
              <w14:schemeClr w14:val="tx1"/>
            </w14:solidFill>
          </w14:textFill>
        </w:rPr>
        <w:t>对留守、流动和困境未成年人</w:t>
      </w:r>
      <w:r>
        <w:rPr>
          <w:rFonts w:ascii="仿宋" w:hAnsi="仿宋" w:eastAsia="仿宋" w:cs="仿宋"/>
          <w:color w:val="000000" w:themeColor="text1"/>
          <w:sz w:val="32"/>
          <w:szCs w:val="32"/>
          <w14:textFill>
            <w14:solidFill>
              <w14:schemeClr w14:val="tx1"/>
            </w14:solidFill>
          </w14:textFill>
        </w:rPr>
        <w:t>精神关爱</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心理健康和安全防范，</w:t>
      </w:r>
      <w:r>
        <w:rPr>
          <w:rFonts w:ascii="仿宋" w:hAnsi="仿宋" w:eastAsia="仿宋" w:cs="仿宋"/>
          <w:color w:val="000000" w:themeColor="text1"/>
          <w:sz w:val="32"/>
          <w:szCs w:val="32"/>
          <w14:textFill>
            <w14:solidFill>
              <w14:schemeClr w14:val="tx1"/>
            </w14:solidFill>
          </w14:textFill>
        </w:rPr>
        <w:t>提高他们的</w:t>
      </w:r>
      <w:r>
        <w:rPr>
          <w:rFonts w:hint="eastAsia" w:ascii="仿宋" w:hAnsi="仿宋" w:eastAsia="仿宋" w:cs="仿宋"/>
          <w:color w:val="000000" w:themeColor="text1"/>
          <w:sz w:val="32"/>
          <w:szCs w:val="32"/>
          <w:lang w:val="en-US" w:eastAsia="zh-CN"/>
          <w14:textFill>
            <w14:solidFill>
              <w14:schemeClr w14:val="tx1"/>
            </w14:solidFill>
          </w14:textFill>
        </w:rPr>
        <w:t>心理健康、</w:t>
      </w:r>
      <w:r>
        <w:rPr>
          <w:rFonts w:ascii="仿宋" w:hAnsi="仿宋" w:eastAsia="仿宋" w:cs="仿宋"/>
          <w:color w:val="000000" w:themeColor="text1"/>
          <w:sz w:val="32"/>
          <w:szCs w:val="32"/>
          <w14:textFill>
            <w14:solidFill>
              <w14:schemeClr w14:val="tx1"/>
            </w14:solidFill>
          </w14:textFill>
        </w:rPr>
        <w:t>安全意识，增强</w:t>
      </w:r>
      <w:r>
        <w:rPr>
          <w:rFonts w:hint="eastAsia" w:ascii="仿宋" w:hAnsi="仿宋" w:eastAsia="仿宋" w:cs="仿宋"/>
          <w:color w:val="000000" w:themeColor="text1"/>
          <w:sz w:val="32"/>
          <w:szCs w:val="32"/>
          <w:lang w:val="en-US" w:eastAsia="zh-CN"/>
          <w14:textFill>
            <w14:solidFill>
              <w14:schemeClr w14:val="tx1"/>
            </w14:solidFill>
          </w14:textFill>
        </w:rPr>
        <w:t>他们</w:t>
      </w:r>
      <w:r>
        <w:rPr>
          <w:rFonts w:ascii="仿宋" w:hAnsi="仿宋" w:eastAsia="仿宋" w:cs="仿宋"/>
          <w:color w:val="000000" w:themeColor="text1"/>
          <w:sz w:val="32"/>
          <w:szCs w:val="32"/>
          <w14:textFill>
            <w14:solidFill>
              <w14:schemeClr w14:val="tx1"/>
            </w14:solidFill>
          </w14:textFill>
        </w:rPr>
        <w:t>自我保护能力，</w:t>
      </w:r>
      <w:r>
        <w:rPr>
          <w:rFonts w:hint="eastAsia" w:ascii="仿宋" w:hAnsi="仿宋" w:eastAsia="仿宋" w:cs="仿宋"/>
          <w:color w:val="000000" w:themeColor="text1"/>
          <w:sz w:val="32"/>
          <w:szCs w:val="32"/>
          <w:lang w:val="en-US" w:eastAsia="zh-CN"/>
          <w14:textFill>
            <w14:solidFill>
              <w14:schemeClr w14:val="tx1"/>
            </w14:solidFill>
          </w14:textFill>
        </w:rPr>
        <w:t>提升监护人监护能力，</w:t>
      </w:r>
      <w:r>
        <w:rPr>
          <w:rFonts w:ascii="仿宋" w:hAnsi="仿宋" w:eastAsia="仿宋" w:cs="仿宋"/>
          <w:color w:val="000000" w:themeColor="text1"/>
          <w:sz w:val="32"/>
          <w:szCs w:val="32"/>
          <w14:textFill>
            <w14:solidFill>
              <w14:schemeClr w14:val="tx1"/>
            </w14:solidFill>
          </w14:textFill>
        </w:rPr>
        <w:t>预防和减少我市</w:t>
      </w:r>
      <w:r>
        <w:rPr>
          <w:rFonts w:hint="eastAsia" w:ascii="仿宋" w:hAnsi="仿宋" w:eastAsia="仿宋" w:cs="仿宋"/>
          <w:color w:val="000000" w:themeColor="text1"/>
          <w:sz w:val="32"/>
          <w:szCs w:val="32"/>
          <w:lang w:eastAsia="zh-CN"/>
          <w14:textFill>
            <w14:solidFill>
              <w14:schemeClr w14:val="tx1"/>
            </w14:solidFill>
          </w14:textFill>
        </w:rPr>
        <w:t>留守、</w:t>
      </w:r>
      <w:r>
        <w:rPr>
          <w:rFonts w:hint="eastAsia" w:ascii="仿宋" w:hAnsi="仿宋" w:eastAsia="仿宋" w:cs="仿宋"/>
          <w:color w:val="000000" w:themeColor="text1"/>
          <w:sz w:val="32"/>
          <w:szCs w:val="32"/>
          <w:lang w:val="en-US" w:eastAsia="zh-CN"/>
          <w14:textFill>
            <w14:solidFill>
              <w14:schemeClr w14:val="tx1"/>
            </w14:solidFill>
          </w14:textFill>
        </w:rPr>
        <w:t>流动</w:t>
      </w:r>
      <w:r>
        <w:rPr>
          <w:rFonts w:hint="eastAsia" w:ascii="仿宋" w:hAnsi="仿宋" w:eastAsia="仿宋" w:cs="仿宋"/>
          <w:color w:val="000000" w:themeColor="text1"/>
          <w:sz w:val="32"/>
          <w:szCs w:val="32"/>
          <w:lang w:eastAsia="zh-CN"/>
          <w14:textFill>
            <w14:solidFill>
              <w14:schemeClr w14:val="tx1"/>
            </w14:solidFill>
          </w14:textFill>
        </w:rPr>
        <w:t>和困境</w:t>
      </w:r>
      <w:r>
        <w:rPr>
          <w:rFonts w:ascii="仿宋" w:hAnsi="仿宋" w:eastAsia="仿宋" w:cs="仿宋"/>
          <w:color w:val="000000" w:themeColor="text1"/>
          <w:sz w:val="32"/>
          <w:szCs w:val="32"/>
          <w14:textFill>
            <w14:solidFill>
              <w14:schemeClr w14:val="tx1"/>
            </w14:solidFill>
          </w14:textFill>
        </w:rPr>
        <w:t>未成年人面临的风险，</w:t>
      </w:r>
      <w:r>
        <w:rPr>
          <w:rFonts w:hint="eastAsia" w:ascii="仿宋" w:hAnsi="仿宋" w:eastAsia="仿宋" w:cs="仿宋"/>
          <w:color w:val="000000" w:themeColor="text1"/>
          <w:sz w:val="32"/>
          <w:szCs w:val="32"/>
          <w:lang w:val="en-US" w:eastAsia="zh-CN"/>
          <w14:textFill>
            <w14:solidFill>
              <w14:schemeClr w14:val="tx1"/>
            </w14:solidFill>
          </w14:textFill>
        </w:rPr>
        <w:t>使留守、流动和困境</w:t>
      </w:r>
      <w:r>
        <w:rPr>
          <w:rFonts w:ascii="仿宋" w:hAnsi="仿宋" w:eastAsia="仿宋" w:cs="仿宋"/>
          <w:color w:val="000000" w:themeColor="text1"/>
          <w:sz w:val="32"/>
          <w:szCs w:val="32"/>
          <w14:textFill>
            <w14:solidFill>
              <w14:schemeClr w14:val="tx1"/>
            </w14:solidFill>
          </w14:textFill>
        </w:rPr>
        <w:t>未成年人的合法权益得到有效保障。韶关市未成年人救助保护中心（以下简称</w:t>
      </w:r>
      <w:r>
        <w:rPr>
          <w:rFonts w:hint="eastAsia" w:ascii="仿宋" w:hAnsi="仿宋" w:eastAsia="仿宋" w:cs="仿宋"/>
          <w:color w:val="000000" w:themeColor="text1"/>
          <w:sz w:val="32"/>
          <w:szCs w:val="32"/>
          <w:lang w:val="en-US" w:eastAsia="zh-CN"/>
          <w14:textFill>
            <w14:solidFill>
              <w14:schemeClr w14:val="tx1"/>
            </w14:solidFill>
          </w14:textFill>
        </w:rPr>
        <w:t>市</w:t>
      </w:r>
      <w:r>
        <w:rPr>
          <w:rFonts w:ascii="仿宋" w:hAnsi="仿宋" w:eastAsia="仿宋" w:cs="仿宋"/>
          <w:color w:val="000000" w:themeColor="text1"/>
          <w:sz w:val="32"/>
          <w:szCs w:val="32"/>
          <w14:textFill>
            <w14:solidFill>
              <w14:schemeClr w14:val="tx1"/>
            </w14:solidFill>
          </w14:textFill>
        </w:rPr>
        <w:t>未保中心）202</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ascii="仿宋" w:hAnsi="仿宋" w:eastAsia="仿宋" w:cs="仿宋"/>
          <w:color w:val="000000" w:themeColor="text1"/>
          <w:sz w:val="32"/>
          <w:szCs w:val="32"/>
          <w14:textFill>
            <w14:solidFill>
              <w14:schemeClr w14:val="tx1"/>
            </w14:solidFill>
          </w14:textFill>
        </w:rPr>
        <w:t>年</w:t>
      </w:r>
      <w:r>
        <w:rPr>
          <w:rFonts w:hint="eastAsia" w:ascii="仿宋" w:hAnsi="仿宋" w:eastAsia="仿宋" w:cs="仿宋"/>
          <w:color w:val="000000" w:themeColor="text1"/>
          <w:sz w:val="32"/>
          <w:szCs w:val="32"/>
          <w:lang w:val="en-US" w:eastAsia="zh-CN"/>
          <w14:textFill>
            <w14:solidFill>
              <w14:schemeClr w14:val="tx1"/>
            </w14:solidFill>
          </w14:textFill>
        </w:rPr>
        <w:t>继续开展</w:t>
      </w:r>
      <w:r>
        <w:rPr>
          <w:rFonts w:ascii="仿宋" w:hAnsi="仿宋" w:eastAsia="仿宋" w:cs="仿宋"/>
          <w:color w:val="000000" w:themeColor="text1"/>
          <w:sz w:val="32"/>
          <w:szCs w:val="32"/>
          <w14:textFill>
            <w14:solidFill>
              <w14:schemeClr w14:val="tx1"/>
            </w14:solidFill>
          </w14:textFill>
        </w:rPr>
        <w:t>成长课堂项目</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方案如下：</w:t>
      </w:r>
    </w:p>
    <w:p w14:paraId="18F661C3">
      <w:pPr>
        <w:pStyle w:val="45"/>
        <w:numPr>
          <w:ilvl w:val="0"/>
          <w:numId w:val="0"/>
        </w:numPr>
        <w:ind w:firstLine="64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一、</w:t>
      </w:r>
      <w:r>
        <w:rPr>
          <w:rFonts w:hint="eastAsia"/>
          <w:color w:val="000000" w:themeColor="text1"/>
          <w14:textFill>
            <w14:solidFill>
              <w14:schemeClr w14:val="tx1"/>
            </w14:solidFill>
          </w14:textFill>
        </w:rPr>
        <w:t>工作背景</w:t>
      </w:r>
    </w:p>
    <w:p w14:paraId="56F59A06">
      <w:pPr>
        <w:spacing w:line="360" w:lineRule="auto"/>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留守、</w:t>
      </w:r>
      <w:r>
        <w:rPr>
          <w:rFonts w:hint="eastAsia" w:ascii="仿宋" w:hAnsi="仿宋" w:eastAsia="仿宋" w:cs="仿宋"/>
          <w:color w:val="000000" w:themeColor="text1"/>
          <w:sz w:val="32"/>
          <w:szCs w:val="32"/>
          <w:lang w:val="en-US" w:eastAsia="zh-CN"/>
          <w14:textFill>
            <w14:solidFill>
              <w14:schemeClr w14:val="tx1"/>
            </w14:solidFill>
          </w14:textFill>
        </w:rPr>
        <w:t>流动</w:t>
      </w:r>
      <w:r>
        <w:rPr>
          <w:rFonts w:hint="eastAsia" w:ascii="仿宋" w:hAnsi="仿宋" w:eastAsia="仿宋" w:cs="仿宋"/>
          <w:color w:val="000000" w:themeColor="text1"/>
          <w:sz w:val="32"/>
          <w:szCs w:val="32"/>
          <w:lang w:eastAsia="zh-CN"/>
          <w14:textFill>
            <w14:solidFill>
              <w14:schemeClr w14:val="tx1"/>
            </w14:solidFill>
          </w14:textFill>
        </w:rPr>
        <w:t>和困境</w:t>
      </w:r>
      <w:r>
        <w:rPr>
          <w:rFonts w:ascii="仿宋" w:hAnsi="仿宋" w:eastAsia="仿宋" w:cs="仿宋"/>
          <w:color w:val="000000" w:themeColor="text1"/>
          <w:sz w:val="32"/>
          <w:szCs w:val="32"/>
          <w14:textFill>
            <w14:solidFill>
              <w14:schemeClr w14:val="tx1"/>
            </w14:solidFill>
          </w14:textFill>
        </w:rPr>
        <w:t>未成年人由于</w:t>
      </w:r>
      <w:r>
        <w:rPr>
          <w:rFonts w:hint="eastAsia" w:ascii="仿宋" w:hAnsi="仿宋" w:eastAsia="仿宋" w:cs="仿宋"/>
          <w:color w:val="000000" w:themeColor="text1"/>
          <w:sz w:val="32"/>
          <w:szCs w:val="32"/>
          <w:lang w:val="en-US" w:eastAsia="zh-CN"/>
          <w14:textFill>
            <w14:solidFill>
              <w14:schemeClr w14:val="tx1"/>
            </w14:solidFill>
          </w14:textFill>
        </w:rPr>
        <w:t>父母的缺位或其他监护人监护不当、监护能力不足导致家庭教育和关怀的缺失等原因，导致在成长过程中精神关爱、心理健康教育和安全教育等方面的力度不足，心理健康、安全意识相对薄弱，自我保护能力不强，迫切需要加强教育和引导。特别是近年来，留守、流动和困境未成年人溺水、被侵犯、家庭消防隐患引发的事故等事件时有发生，引起了党和国</w:t>
      </w:r>
      <w:r>
        <w:rPr>
          <w:rFonts w:ascii="仿宋" w:hAnsi="仿宋" w:eastAsia="仿宋" w:cs="仿宋"/>
          <w:color w:val="000000" w:themeColor="text1"/>
          <w:sz w:val="32"/>
          <w:szCs w:val="32"/>
          <w14:textFill>
            <w14:solidFill>
              <w14:schemeClr w14:val="tx1"/>
            </w14:solidFill>
          </w14:textFill>
        </w:rPr>
        <w:t>家的高度关注</w:t>
      </w:r>
      <w:r>
        <w:rPr>
          <w:rFonts w:hint="eastAsia" w:ascii="仿宋" w:hAnsi="仿宋" w:eastAsia="仿宋" w:cs="仿宋"/>
          <w:color w:val="000000" w:themeColor="text1"/>
          <w:sz w:val="32"/>
          <w:szCs w:val="32"/>
          <w:lang w:eastAsia="zh-CN"/>
          <w14:textFill>
            <w14:solidFill>
              <w14:schemeClr w14:val="tx1"/>
            </w14:solidFill>
          </w14:textFill>
        </w:rPr>
        <w:t>，</w:t>
      </w:r>
      <w:r>
        <w:rPr>
          <w:rFonts w:ascii="仿宋" w:hAnsi="仿宋" w:eastAsia="仿宋" w:cs="仿宋"/>
          <w:color w:val="000000" w:themeColor="text1"/>
          <w:sz w:val="32"/>
          <w:szCs w:val="32"/>
          <w14:textFill>
            <w14:solidFill>
              <w14:schemeClr w14:val="tx1"/>
            </w14:solidFill>
          </w14:textFill>
        </w:rPr>
        <w:t>各级政府和相关部门纷纷要求加强未成年人的安全保护工作。因此，我们将继续开展</w:t>
      </w:r>
      <w:r>
        <w:rPr>
          <w:rFonts w:hint="eastAsia" w:ascii="仿宋" w:hAnsi="仿宋" w:eastAsia="仿宋" w:cs="仿宋"/>
          <w:color w:val="000000" w:themeColor="text1"/>
          <w:sz w:val="32"/>
          <w:szCs w:val="32"/>
          <w:lang w:eastAsia="zh-CN"/>
          <w14:textFill>
            <w14:solidFill>
              <w14:schemeClr w14:val="tx1"/>
            </w14:solidFill>
          </w14:textFill>
        </w:rPr>
        <w:t>留守、</w:t>
      </w:r>
      <w:r>
        <w:rPr>
          <w:rFonts w:hint="eastAsia" w:ascii="仿宋" w:hAnsi="仿宋" w:eastAsia="仿宋" w:cs="仿宋"/>
          <w:color w:val="000000" w:themeColor="text1"/>
          <w:sz w:val="32"/>
          <w:szCs w:val="32"/>
          <w:lang w:val="en-US" w:eastAsia="zh-CN"/>
          <w14:textFill>
            <w14:solidFill>
              <w14:schemeClr w14:val="tx1"/>
            </w14:solidFill>
          </w14:textFill>
        </w:rPr>
        <w:t>流动</w:t>
      </w:r>
      <w:r>
        <w:rPr>
          <w:rFonts w:hint="eastAsia" w:ascii="仿宋" w:hAnsi="仿宋" w:eastAsia="仿宋" w:cs="仿宋"/>
          <w:color w:val="000000" w:themeColor="text1"/>
          <w:sz w:val="32"/>
          <w:szCs w:val="32"/>
          <w:lang w:eastAsia="zh-CN"/>
          <w14:textFill>
            <w14:solidFill>
              <w14:schemeClr w14:val="tx1"/>
            </w14:solidFill>
          </w14:textFill>
        </w:rPr>
        <w:t>和困境</w:t>
      </w:r>
      <w:r>
        <w:rPr>
          <w:rFonts w:ascii="仿宋" w:hAnsi="仿宋" w:eastAsia="仿宋" w:cs="仿宋"/>
          <w:color w:val="000000" w:themeColor="text1"/>
          <w:sz w:val="32"/>
          <w:szCs w:val="32"/>
          <w14:textFill>
            <w14:solidFill>
              <w14:schemeClr w14:val="tx1"/>
            </w14:solidFill>
          </w14:textFill>
        </w:rPr>
        <w:t>未成年人成长课堂，不断提升他们的</w:t>
      </w:r>
      <w:r>
        <w:rPr>
          <w:rFonts w:hint="eastAsia" w:ascii="仿宋" w:hAnsi="仿宋" w:eastAsia="仿宋" w:cs="仿宋"/>
          <w:color w:val="000000" w:themeColor="text1"/>
          <w:sz w:val="32"/>
          <w:szCs w:val="32"/>
          <w:lang w:val="en-US" w:eastAsia="zh-CN"/>
          <w14:textFill>
            <w14:solidFill>
              <w14:schemeClr w14:val="tx1"/>
            </w14:solidFill>
          </w14:textFill>
        </w:rPr>
        <w:t>心理健康、</w:t>
      </w:r>
      <w:r>
        <w:rPr>
          <w:rFonts w:ascii="仿宋" w:hAnsi="仿宋" w:eastAsia="仿宋" w:cs="仿宋"/>
          <w:color w:val="000000" w:themeColor="text1"/>
          <w:sz w:val="32"/>
          <w:szCs w:val="32"/>
          <w14:textFill>
            <w14:solidFill>
              <w14:schemeClr w14:val="tx1"/>
            </w14:solidFill>
          </w14:textFill>
        </w:rPr>
        <w:t>安全意识和自我保护能力，形成全社会共同关心和保护未成年人的有效机制和良好风尚，全力推动新时代未成年人保护工作的高质量发展。</w:t>
      </w:r>
      <w:r>
        <w:rPr>
          <w:rFonts w:hint="eastAsia" w:ascii="仿宋" w:hAnsi="仿宋" w:eastAsia="仿宋" w:cs="仿宋"/>
          <w:color w:val="000000" w:themeColor="text1"/>
          <w:sz w:val="32"/>
          <w:szCs w:val="32"/>
          <w14:textFill>
            <w14:solidFill>
              <w14:schemeClr w14:val="tx1"/>
            </w14:solidFill>
          </w14:textFill>
        </w:rPr>
        <w:t xml:space="preserve"> </w:t>
      </w:r>
    </w:p>
    <w:p w14:paraId="10ECEA87">
      <w:pPr>
        <w:pStyle w:val="45"/>
        <w:numPr>
          <w:ilvl w:val="0"/>
          <w:numId w:val="0"/>
        </w:numPr>
        <w:ind w:firstLine="64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二、</w:t>
      </w:r>
      <w:r>
        <w:rPr>
          <w:rFonts w:hint="eastAsia"/>
          <w:color w:val="000000" w:themeColor="text1"/>
          <w14:textFill>
            <w14:solidFill>
              <w14:schemeClr w14:val="tx1"/>
            </w14:solidFill>
          </w14:textFill>
        </w:rPr>
        <w:t>指导思想</w:t>
      </w:r>
    </w:p>
    <w:p w14:paraId="0B92FF3F">
      <w:pPr>
        <w:spacing w:line="360" w:lineRule="auto"/>
        <w:ind w:firstLine="640" w:firstLineChars="200"/>
        <w:rPr>
          <w:rFonts w:hint="eastAsia"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z w:val="32"/>
          <w:szCs w:val="32"/>
          <w14:textFill>
            <w14:solidFill>
              <w14:schemeClr w14:val="tx1"/>
            </w14:solidFill>
          </w14:textFill>
        </w:rPr>
        <w:t>以</w:t>
      </w:r>
      <w:r>
        <w:rPr>
          <w:rFonts w:hint="eastAsia" w:ascii="仿宋" w:hAnsi="仿宋" w:eastAsia="仿宋" w:cs="仿宋"/>
          <w:color w:val="000000" w:themeColor="text1"/>
          <w:sz w:val="32"/>
          <w:szCs w:val="32"/>
          <w:lang w:val="en-US" w:eastAsia="zh-CN"/>
          <w14:textFill>
            <w14:solidFill>
              <w14:schemeClr w14:val="tx1"/>
            </w14:solidFill>
          </w14:textFill>
        </w:rPr>
        <w:t>习近平</w:t>
      </w:r>
      <w:r>
        <w:rPr>
          <w:rFonts w:ascii="仿宋" w:hAnsi="仿宋" w:eastAsia="仿宋" w:cs="仿宋"/>
          <w:color w:val="000000" w:themeColor="text1"/>
          <w:sz w:val="32"/>
          <w:szCs w:val="32"/>
          <w14:textFill>
            <w14:solidFill>
              <w14:schemeClr w14:val="tx1"/>
            </w14:solidFill>
          </w14:textFill>
        </w:rPr>
        <w:t>新时代中国特色社会主义思想为指导，深入学习和贯彻习近平总书记关于儿童工作的重要指示精神，持续</w:t>
      </w:r>
      <w:r>
        <w:rPr>
          <w:rFonts w:hint="eastAsia" w:ascii="仿宋" w:hAnsi="仿宋" w:eastAsia="仿宋" w:cs="仿宋"/>
          <w:color w:val="000000" w:themeColor="text1"/>
          <w:sz w:val="32"/>
          <w:szCs w:val="32"/>
          <w:lang w:val="en-US" w:eastAsia="zh-CN"/>
          <w14:textFill>
            <w14:solidFill>
              <w14:schemeClr w14:val="tx1"/>
            </w14:solidFill>
          </w14:textFill>
        </w:rPr>
        <w:t>落实</w:t>
      </w:r>
      <w:r>
        <w:rPr>
          <w:rFonts w:ascii="仿宋" w:hAnsi="仿宋" w:eastAsia="仿宋" w:cs="仿宋"/>
          <w:color w:val="000000" w:themeColor="text1"/>
          <w:sz w:val="32"/>
          <w:szCs w:val="32"/>
          <w14:textFill>
            <w14:solidFill>
              <w14:schemeClr w14:val="tx1"/>
            </w14:solidFill>
          </w14:textFill>
        </w:rPr>
        <w:t>《中华人民共和国未成年人保护法》以及未成年人关爱保护和保障政策法规。顺应新时代儿童身心发展的特点，致力于不断完善关爱服务措施，全面提高关爱服务质量，以促进留守</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流动</w:t>
      </w:r>
      <w:r>
        <w:rPr>
          <w:rFonts w:ascii="仿宋" w:hAnsi="仿宋" w:eastAsia="仿宋" w:cs="仿宋"/>
          <w:color w:val="000000" w:themeColor="text1"/>
          <w:sz w:val="32"/>
          <w:szCs w:val="32"/>
          <w14:textFill>
            <w14:solidFill>
              <w14:schemeClr w14:val="tx1"/>
            </w14:solidFill>
          </w14:textFill>
        </w:rPr>
        <w:t>和困境儿童的健康成长，并确保</w:t>
      </w:r>
      <w:r>
        <w:rPr>
          <w:rFonts w:hint="eastAsia" w:ascii="仿宋" w:hAnsi="仿宋" w:eastAsia="仿宋" w:cs="仿宋"/>
          <w:color w:val="000000" w:themeColor="text1"/>
          <w:sz w:val="32"/>
          <w:szCs w:val="32"/>
          <w:lang w:val="en-US" w:eastAsia="zh-CN"/>
          <w14:textFill>
            <w14:solidFill>
              <w14:schemeClr w14:val="tx1"/>
            </w14:solidFill>
          </w14:textFill>
        </w:rPr>
        <w:t>他们</w:t>
      </w:r>
      <w:r>
        <w:rPr>
          <w:rFonts w:ascii="仿宋" w:hAnsi="仿宋" w:eastAsia="仿宋" w:cs="仿宋"/>
          <w:color w:val="000000" w:themeColor="text1"/>
          <w:sz w:val="32"/>
          <w:szCs w:val="32"/>
          <w14:textFill>
            <w14:solidFill>
              <w14:schemeClr w14:val="tx1"/>
            </w14:solidFill>
          </w14:textFill>
        </w:rPr>
        <w:t>的合法权益得到有效保障。</w:t>
      </w:r>
      <w:r>
        <w:rPr>
          <w:rFonts w:hint="eastAsia" w:ascii="仿宋" w:hAnsi="仿宋" w:eastAsia="仿宋" w:cs="仿宋"/>
          <w:color w:val="000000" w:themeColor="text1"/>
          <w:sz w:val="32"/>
          <w:szCs w:val="32"/>
          <w14:textFill>
            <w14:solidFill>
              <w14:schemeClr w14:val="tx1"/>
            </w14:solidFill>
          </w14:textFill>
        </w:rPr>
        <w:t xml:space="preserve"> </w:t>
      </w:r>
    </w:p>
    <w:p w14:paraId="68F22D09">
      <w:pPr>
        <w:pStyle w:val="45"/>
        <w:numPr>
          <w:ilvl w:val="0"/>
          <w:numId w:val="0"/>
        </w:numPr>
        <w:ind w:firstLine="64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w:t>
      </w:r>
      <w:r>
        <w:rPr>
          <w:rFonts w:hint="eastAsia"/>
          <w:color w:val="000000" w:themeColor="text1"/>
          <w14:textFill>
            <w14:solidFill>
              <w14:schemeClr w14:val="tx1"/>
            </w14:solidFill>
          </w14:textFill>
        </w:rPr>
        <w:t>活动目标</w:t>
      </w:r>
    </w:p>
    <w:p w14:paraId="4A534DCB">
      <w:pPr>
        <w:spacing w:line="360" w:lineRule="auto"/>
        <w:ind w:firstLine="640" w:firstLineChars="200"/>
        <w:rPr>
          <w:rFonts w:hint="eastAsia"/>
          <w:color w:val="000000" w:themeColor="text1"/>
          <w14:textFill>
            <w14:solidFill>
              <w14:schemeClr w14:val="tx1"/>
            </w14:solidFill>
          </w14:textFill>
        </w:rPr>
      </w:pPr>
      <w:r>
        <w:rPr>
          <w:rFonts w:ascii="仿宋" w:hAnsi="仿宋" w:eastAsia="仿宋" w:cs="仿宋"/>
          <w:color w:val="000000" w:themeColor="text1"/>
          <w:sz w:val="32"/>
          <w:szCs w:val="32"/>
          <w14:textFill>
            <w14:solidFill>
              <w14:schemeClr w14:val="tx1"/>
            </w14:solidFill>
          </w14:textFill>
        </w:rPr>
        <w:t>关爱与保护深入县、镇(街)、村(居)，加强</w:t>
      </w:r>
      <w:r>
        <w:rPr>
          <w:rFonts w:hint="eastAsia" w:ascii="仿宋" w:hAnsi="仿宋" w:eastAsia="仿宋" w:cs="仿宋"/>
          <w:color w:val="000000" w:themeColor="text1"/>
          <w:sz w:val="32"/>
          <w:szCs w:val="32"/>
          <w:lang w:eastAsia="zh-CN"/>
          <w14:textFill>
            <w14:solidFill>
              <w14:schemeClr w14:val="tx1"/>
            </w14:solidFill>
          </w14:textFill>
        </w:rPr>
        <w:t>留守、</w:t>
      </w:r>
      <w:r>
        <w:rPr>
          <w:rFonts w:hint="eastAsia" w:ascii="仿宋" w:hAnsi="仿宋" w:eastAsia="仿宋" w:cs="仿宋"/>
          <w:color w:val="000000" w:themeColor="text1"/>
          <w:sz w:val="32"/>
          <w:szCs w:val="32"/>
          <w:lang w:val="en-US" w:eastAsia="zh-CN"/>
          <w14:textFill>
            <w14:solidFill>
              <w14:schemeClr w14:val="tx1"/>
            </w14:solidFill>
          </w14:textFill>
        </w:rPr>
        <w:t>流动</w:t>
      </w:r>
      <w:r>
        <w:rPr>
          <w:rFonts w:hint="eastAsia" w:ascii="仿宋" w:hAnsi="仿宋" w:eastAsia="仿宋" w:cs="仿宋"/>
          <w:color w:val="000000" w:themeColor="text1"/>
          <w:sz w:val="32"/>
          <w:szCs w:val="32"/>
          <w:lang w:eastAsia="zh-CN"/>
          <w14:textFill>
            <w14:solidFill>
              <w14:schemeClr w14:val="tx1"/>
            </w14:solidFill>
          </w14:textFill>
        </w:rPr>
        <w:t>和困境</w:t>
      </w:r>
      <w:r>
        <w:rPr>
          <w:rFonts w:ascii="仿宋" w:hAnsi="仿宋" w:eastAsia="仿宋" w:cs="仿宋"/>
          <w:color w:val="000000" w:themeColor="text1"/>
          <w:sz w:val="32"/>
          <w:szCs w:val="32"/>
          <w14:textFill>
            <w14:solidFill>
              <w14:schemeClr w14:val="tx1"/>
            </w14:solidFill>
          </w14:textFill>
        </w:rPr>
        <w:t>未成年人的安全意识及心理健康教育，提升他们面对安全威胁和紧急情况时的防护与应对能力。同时，开展爱国主义知识教育，引导他们将社会主义核心价值观内化于心，外化于行。</w:t>
      </w:r>
      <w:r>
        <w:rPr>
          <w:rFonts w:hint="eastAsia"/>
          <w:color w:val="000000" w:themeColor="text1"/>
          <w14:textFill>
            <w14:solidFill>
              <w14:schemeClr w14:val="tx1"/>
            </w14:solidFill>
          </w14:textFill>
        </w:rPr>
        <w:t xml:space="preserve"> </w:t>
      </w:r>
    </w:p>
    <w:p w14:paraId="7C0454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四、活动方式</w:t>
      </w:r>
    </w:p>
    <w:p w14:paraId="6E48F87D">
      <w:pPr>
        <w:pStyle w:val="45"/>
        <w:numPr>
          <w:ilvl w:val="0"/>
          <w:numId w:val="0"/>
        </w:numPr>
        <w:ind w:firstLine="640" w:firstLineChars="200"/>
        <w:rPr>
          <w:rFonts w:hint="eastAsia" w:ascii="仿宋" w:hAnsi="仿宋" w:eastAsia="仿宋" w:cs="仿宋"/>
          <w:color w:val="000000" w:themeColor="text1"/>
          <w:kern w:val="2"/>
          <w:sz w:val="32"/>
          <w:szCs w:val="32"/>
          <w:lang w:val="en-US" w:eastAsia="zh-CN" w:bidi="ar-SA"/>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通过政府购买服务类项目的方式，交由第三方机构承接该项活动，第三方承接机构由办公室按政府采购等相关规定采购确定。</w:t>
      </w:r>
    </w:p>
    <w:p w14:paraId="6CFFBA14">
      <w:pPr>
        <w:pStyle w:val="45"/>
        <w:numPr>
          <w:ilvl w:val="0"/>
          <w:numId w:val="0"/>
        </w:numPr>
        <w:ind w:firstLine="64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五、</w:t>
      </w:r>
      <w:r>
        <w:rPr>
          <w:rFonts w:hint="eastAsia"/>
          <w:color w:val="000000" w:themeColor="text1"/>
          <w14:textFill>
            <w14:solidFill>
              <w14:schemeClr w14:val="tx1"/>
            </w14:solidFill>
          </w14:textFill>
        </w:rPr>
        <w:t>活动对象</w:t>
      </w:r>
    </w:p>
    <w:p w14:paraId="04BAA761">
      <w:pPr>
        <w:spacing w:line="360" w:lineRule="auto"/>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我市留守</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流动</w:t>
      </w:r>
      <w:r>
        <w:rPr>
          <w:rFonts w:hint="eastAsia" w:ascii="仿宋" w:hAnsi="仿宋" w:eastAsia="仿宋" w:cs="仿宋"/>
          <w:color w:val="000000" w:themeColor="text1"/>
          <w:sz w:val="32"/>
          <w:szCs w:val="32"/>
          <w14:textFill>
            <w14:solidFill>
              <w14:schemeClr w14:val="tx1"/>
            </w14:solidFill>
          </w14:textFill>
        </w:rPr>
        <w:t>和困境未成年人及其监护人。</w:t>
      </w:r>
    </w:p>
    <w:p w14:paraId="4E50889E">
      <w:pPr>
        <w:pStyle w:val="45"/>
        <w:numPr>
          <w:ilvl w:val="0"/>
          <w:numId w:val="0"/>
        </w:numPr>
        <w:ind w:firstLine="64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六、活动</w:t>
      </w:r>
      <w:r>
        <w:rPr>
          <w:rFonts w:hint="eastAsia"/>
          <w:color w:val="000000" w:themeColor="text1"/>
          <w14:textFill>
            <w14:solidFill>
              <w14:schemeClr w14:val="tx1"/>
            </w14:solidFill>
          </w14:textFill>
        </w:rPr>
        <w:t>场次</w:t>
      </w:r>
      <w:r>
        <w:rPr>
          <w:rFonts w:hint="eastAsia"/>
          <w:color w:val="000000" w:themeColor="text1"/>
          <w:lang w:val="en-US" w:eastAsia="zh-CN"/>
          <w14:textFill>
            <w14:solidFill>
              <w14:schemeClr w14:val="tx1"/>
            </w14:solidFill>
          </w14:textFill>
        </w:rPr>
        <w:t>和</w:t>
      </w:r>
      <w:r>
        <w:rPr>
          <w:rFonts w:hint="eastAsia"/>
          <w:color w:val="000000" w:themeColor="text1"/>
          <w14:textFill>
            <w14:solidFill>
              <w14:schemeClr w14:val="tx1"/>
            </w14:solidFill>
          </w14:textFill>
        </w:rPr>
        <w:t>活动对象的确定</w:t>
      </w:r>
    </w:p>
    <w:p w14:paraId="51B3D2BE">
      <w:pPr>
        <w:spacing w:line="360" w:lineRule="auto"/>
        <w:ind w:firstLine="640" w:firstLineChars="200"/>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在</w:t>
      </w:r>
      <w:r>
        <w:rPr>
          <w:rFonts w:hint="eastAsia" w:ascii="仿宋" w:hAnsi="仿宋" w:eastAsia="仿宋" w:cs="仿宋"/>
          <w:color w:val="000000" w:themeColor="text1"/>
          <w:sz w:val="32"/>
          <w:szCs w:val="32"/>
          <w:lang w:val="en-US" w:eastAsia="zh-CN"/>
          <w14:textFill>
            <w14:solidFill>
              <w14:schemeClr w14:val="tx1"/>
            </w14:solidFill>
          </w14:textFill>
        </w:rPr>
        <w:t>我市10个县（市、区）各</w:t>
      </w:r>
      <w:r>
        <w:rPr>
          <w:rFonts w:hint="eastAsia" w:ascii="仿宋" w:hAnsi="仿宋" w:eastAsia="仿宋" w:cs="仿宋"/>
          <w:color w:val="000000" w:themeColor="text1"/>
          <w:sz w:val="32"/>
          <w:szCs w:val="32"/>
          <w14:textFill>
            <w14:solidFill>
              <w14:schemeClr w14:val="tx1"/>
            </w14:solidFill>
          </w14:textFill>
        </w:rPr>
        <w:t>开展</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场(合计</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0场)成长课堂活动，每场人均招募留守</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流动</w:t>
      </w:r>
      <w:r>
        <w:rPr>
          <w:rFonts w:hint="eastAsia" w:ascii="仿宋" w:hAnsi="仿宋" w:eastAsia="仿宋" w:cs="仿宋"/>
          <w:color w:val="000000" w:themeColor="text1"/>
          <w:sz w:val="32"/>
          <w:szCs w:val="32"/>
          <w14:textFill>
            <w14:solidFill>
              <w14:schemeClr w14:val="tx1"/>
            </w14:solidFill>
          </w14:textFill>
        </w:rPr>
        <w:t>和困境未成年人原则</w:t>
      </w:r>
      <w:r>
        <w:rPr>
          <w:rFonts w:hint="eastAsia" w:ascii="仿宋" w:hAnsi="仿宋" w:eastAsia="仿宋" w:cs="仿宋"/>
          <w:color w:val="000000" w:themeColor="text1"/>
          <w:sz w:val="32"/>
          <w:szCs w:val="32"/>
          <w:lang w:val="en-US" w:eastAsia="zh-CN"/>
          <w14:textFill>
            <w14:solidFill>
              <w14:schemeClr w14:val="tx1"/>
            </w14:solidFill>
          </w14:textFill>
        </w:rPr>
        <w:t>上</w:t>
      </w:r>
      <w:r>
        <w:rPr>
          <w:rFonts w:hint="eastAsia" w:ascii="仿宋" w:hAnsi="仿宋" w:eastAsia="仿宋" w:cs="仿宋"/>
          <w:color w:val="000000" w:themeColor="text1"/>
          <w:sz w:val="32"/>
          <w:szCs w:val="32"/>
          <w14:textFill>
            <w14:solidFill>
              <w14:schemeClr w14:val="tx1"/>
            </w14:solidFill>
          </w14:textFill>
        </w:rPr>
        <w:t>不少</w:t>
      </w:r>
      <w:r>
        <w:rPr>
          <w:rFonts w:hint="eastAsia" w:ascii="仿宋" w:hAnsi="仿宋" w:eastAsia="仿宋" w:cs="仿宋"/>
          <w:color w:val="000000" w:themeColor="text1"/>
          <w:sz w:val="32"/>
          <w:szCs w:val="32"/>
          <w:highlight w:val="none"/>
          <w14:textFill>
            <w14:solidFill>
              <w14:schemeClr w14:val="tx1"/>
            </w14:solidFill>
          </w14:textFill>
        </w:rPr>
        <w:t>于</w:t>
      </w:r>
      <w:r>
        <w:rPr>
          <w:rFonts w:hint="eastAsia" w:ascii="仿宋" w:hAnsi="仿宋" w:eastAsia="仿宋" w:cs="仿宋"/>
          <w:color w:val="000000" w:themeColor="text1"/>
          <w:sz w:val="32"/>
          <w:szCs w:val="32"/>
          <w:highlight w:val="none"/>
          <w:lang w:val="en-US" w:eastAsia="zh-CN"/>
          <w14:textFill>
            <w14:solidFill>
              <w14:schemeClr w14:val="tx1"/>
            </w14:solidFill>
          </w14:textFill>
        </w:rPr>
        <w:t>20</w:t>
      </w:r>
      <w:r>
        <w:rPr>
          <w:rFonts w:hint="eastAsia" w:ascii="仿宋" w:hAnsi="仿宋" w:eastAsia="仿宋" w:cs="仿宋"/>
          <w:color w:val="000000" w:themeColor="text1"/>
          <w:sz w:val="32"/>
          <w:szCs w:val="32"/>
          <w:highlight w:val="none"/>
          <w14:textFill>
            <w14:solidFill>
              <w14:schemeClr w14:val="tx1"/>
            </w14:solidFill>
          </w14:textFill>
        </w:rPr>
        <w:t>人(合计不少于</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00人)、监护人以自愿原则参</w:t>
      </w:r>
      <w:r>
        <w:rPr>
          <w:rFonts w:hint="eastAsia" w:ascii="仿宋" w:hAnsi="仿宋" w:eastAsia="仿宋" w:cs="仿宋"/>
          <w:color w:val="000000" w:themeColor="text1"/>
          <w:sz w:val="32"/>
          <w:szCs w:val="32"/>
          <w14:textFill>
            <w14:solidFill>
              <w14:schemeClr w14:val="tx1"/>
            </w14:solidFill>
          </w14:textFill>
        </w:rPr>
        <w:t>与，对象由各县（市、区）民政部门与相关部门或单位招募，场地由各县（市、区）民政局协调安排。</w:t>
      </w:r>
      <w:r>
        <w:rPr>
          <w:rFonts w:hint="eastAsia" w:ascii="仿宋" w:hAnsi="仿宋" w:eastAsia="仿宋" w:cs="仿宋"/>
          <w:color w:val="000000" w:themeColor="text1"/>
          <w:sz w:val="32"/>
          <w:szCs w:val="32"/>
          <w:lang w:val="en-US" w:eastAsia="zh-CN"/>
          <w14:textFill>
            <w14:solidFill>
              <w14:schemeClr w14:val="tx1"/>
            </w14:solidFill>
          </w14:textFill>
        </w:rPr>
        <w:t>承接该项活动的第三方需赠送10场公益活动，原则上用于在中心开展的“喘息服务”周末专场活动。</w:t>
      </w:r>
    </w:p>
    <w:p w14:paraId="3D8A0F85">
      <w:pPr>
        <w:pStyle w:val="45"/>
        <w:numPr>
          <w:ilvl w:val="0"/>
          <w:numId w:val="0"/>
        </w:numPr>
        <w:ind w:firstLine="64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七、</w:t>
      </w:r>
      <w:r>
        <w:rPr>
          <w:rFonts w:hint="eastAsia"/>
          <w:color w:val="000000" w:themeColor="text1"/>
          <w14:textFill>
            <w14:solidFill>
              <w14:schemeClr w14:val="tx1"/>
            </w14:solidFill>
          </w14:textFill>
        </w:rPr>
        <w:t>活动内容</w:t>
      </w:r>
    </w:p>
    <w:p w14:paraId="423F54CC">
      <w:pPr>
        <w:spacing w:line="360" w:lineRule="auto"/>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本次成长课程授课内容分为三大版块，每个</w:t>
      </w:r>
      <w:r>
        <w:rPr>
          <w:rFonts w:hint="eastAsia" w:ascii="仿宋" w:hAnsi="仿宋" w:eastAsia="仿宋" w:cs="仿宋"/>
          <w:color w:val="000000" w:themeColor="text1"/>
          <w:sz w:val="32"/>
          <w:szCs w:val="32"/>
          <w:lang w:eastAsia="zh-CN"/>
          <w14:textFill>
            <w14:solidFill>
              <w14:schemeClr w14:val="tx1"/>
            </w14:solidFill>
          </w14:textFill>
        </w:rPr>
        <w:t>版</w:t>
      </w:r>
      <w:r>
        <w:rPr>
          <w:rFonts w:hint="eastAsia" w:ascii="仿宋" w:hAnsi="仿宋" w:eastAsia="仿宋" w:cs="仿宋"/>
          <w:color w:val="000000" w:themeColor="text1"/>
          <w:sz w:val="32"/>
          <w:szCs w:val="32"/>
          <w14:textFill>
            <w14:solidFill>
              <w14:schemeClr w14:val="tx1"/>
            </w14:solidFill>
          </w14:textFill>
        </w:rPr>
        <w:t>块各涵盖四个主题，分别是：</w:t>
      </w:r>
    </w:p>
    <w:p w14:paraId="756578EB">
      <w:pPr>
        <w:pStyle w:val="40"/>
        <w:numPr>
          <w:ilvl w:val="0"/>
          <w:numId w:val="0"/>
        </w:numPr>
        <w:spacing w:line="360" w:lineRule="auto"/>
        <w:ind w:firstLine="640" w:firstLineChars="200"/>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一）</w:t>
      </w:r>
      <w:r>
        <w:rPr>
          <w:rFonts w:hint="eastAsia" w:ascii="仿宋" w:hAnsi="仿宋" w:eastAsia="仿宋" w:cs="仿宋"/>
          <w:color w:val="000000" w:themeColor="text1"/>
          <w:sz w:val="32"/>
          <w:szCs w:val="32"/>
          <w14:textFill>
            <w14:solidFill>
              <w14:schemeClr w14:val="tx1"/>
            </w14:solidFill>
          </w14:textFill>
        </w:rPr>
        <w:t>人身安全版块。活动主题包括：防溺水安全教育、防性侵安全教育、防霸凌安全教育、居家安全隐患安全教育</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公共卫生安全知识。</w:t>
      </w:r>
    </w:p>
    <w:p w14:paraId="2A58B8AC">
      <w:pPr>
        <w:pStyle w:val="40"/>
        <w:numPr>
          <w:ilvl w:val="0"/>
          <w:numId w:val="0"/>
        </w:numPr>
        <w:spacing w:line="360" w:lineRule="auto"/>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二）</w:t>
      </w:r>
      <w:r>
        <w:rPr>
          <w:rFonts w:hint="eastAsia" w:ascii="仿宋" w:hAnsi="仿宋" w:eastAsia="仿宋" w:cs="仿宋"/>
          <w:color w:val="000000" w:themeColor="text1"/>
          <w:sz w:val="32"/>
          <w:szCs w:val="32"/>
          <w14:textFill>
            <w14:solidFill>
              <w14:schemeClr w14:val="tx1"/>
            </w14:solidFill>
          </w14:textFill>
        </w:rPr>
        <w:t>心理健康版块。活动主题包括：压力管理与放松技巧教育、防抑郁教育、社交焦虑缓解教育和抗挫折能力强化训练</w:t>
      </w:r>
      <w:r>
        <w:rPr>
          <w:rFonts w:hint="eastAsia" w:ascii="仿宋" w:hAnsi="仿宋" w:eastAsia="仿宋" w:cs="仿宋"/>
          <w:color w:val="000000" w:themeColor="text1"/>
          <w:sz w:val="32"/>
          <w:szCs w:val="32"/>
          <w:lang w:eastAsia="zh-CN"/>
          <w14:textFill>
            <w14:solidFill>
              <w14:schemeClr w14:val="tx1"/>
            </w14:solidFill>
          </w14:textFill>
        </w:rPr>
        <w:t>。</w:t>
      </w:r>
    </w:p>
    <w:p w14:paraId="0EF07A95">
      <w:pPr>
        <w:pStyle w:val="40"/>
        <w:numPr>
          <w:ilvl w:val="0"/>
          <w:numId w:val="0"/>
        </w:numPr>
        <w:spacing w:line="360" w:lineRule="auto"/>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三）</w:t>
      </w:r>
      <w:r>
        <w:rPr>
          <w:rFonts w:hint="eastAsia" w:ascii="仿宋" w:hAnsi="仿宋" w:eastAsia="仿宋" w:cs="仿宋"/>
          <w:color w:val="000000" w:themeColor="text1"/>
          <w:sz w:val="32"/>
          <w:szCs w:val="32"/>
          <w14:textFill>
            <w14:solidFill>
              <w14:schemeClr w14:val="tx1"/>
            </w14:solidFill>
          </w14:textFill>
        </w:rPr>
        <w:t>品德教育</w:t>
      </w:r>
      <w:r>
        <w:rPr>
          <w:rFonts w:hint="eastAsia" w:ascii="仿宋" w:hAnsi="仿宋" w:eastAsia="仿宋" w:cs="仿宋"/>
          <w:color w:val="000000" w:themeColor="text1"/>
          <w:sz w:val="32"/>
          <w:szCs w:val="32"/>
          <w:lang w:eastAsia="zh-CN"/>
          <w14:textFill>
            <w14:solidFill>
              <w14:schemeClr w14:val="tx1"/>
            </w14:solidFill>
          </w14:textFill>
        </w:rPr>
        <w:t>版</w:t>
      </w:r>
      <w:r>
        <w:rPr>
          <w:rFonts w:hint="eastAsia" w:ascii="仿宋" w:hAnsi="仿宋" w:eastAsia="仿宋" w:cs="仿宋"/>
          <w:color w:val="000000" w:themeColor="text1"/>
          <w:sz w:val="32"/>
          <w:szCs w:val="32"/>
          <w14:textFill>
            <w14:solidFill>
              <w14:schemeClr w14:val="tx1"/>
            </w14:solidFill>
          </w14:textFill>
        </w:rPr>
        <w:t>块。活动主题包括：爱国主义主题教育、诚信主题教育、法治意识启蒙主题教育以及志愿服务主题教育</w:t>
      </w:r>
    </w:p>
    <w:p w14:paraId="05CFE224">
      <w:pPr>
        <w:spacing w:line="360" w:lineRule="auto"/>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每个县(市、区)</w:t>
      </w:r>
      <w:r>
        <w:rPr>
          <w:rFonts w:hint="eastAsia" w:ascii="仿宋" w:hAnsi="仿宋" w:eastAsia="仿宋" w:cs="仿宋"/>
          <w:color w:val="000000" w:themeColor="text1"/>
          <w:sz w:val="32"/>
          <w:szCs w:val="32"/>
          <w:lang w:val="en-US" w:eastAsia="zh-CN"/>
          <w14:textFill>
            <w14:solidFill>
              <w14:schemeClr w14:val="tx1"/>
            </w14:solidFill>
          </w14:textFill>
        </w:rPr>
        <w:t>三场成长课堂活动分别选择以上</w:t>
      </w:r>
      <w:r>
        <w:rPr>
          <w:rFonts w:hint="eastAsia" w:ascii="仿宋" w:hAnsi="仿宋" w:eastAsia="仿宋" w:cs="仿宋"/>
          <w:color w:val="000000" w:themeColor="text1"/>
          <w:sz w:val="32"/>
          <w:szCs w:val="32"/>
          <w14:textFill>
            <w14:solidFill>
              <w14:schemeClr w14:val="tx1"/>
            </w14:solidFill>
          </w14:textFill>
        </w:rPr>
        <w:t>三个版块</w:t>
      </w:r>
      <w:r>
        <w:rPr>
          <w:rFonts w:hint="eastAsia" w:ascii="仿宋" w:hAnsi="仿宋" w:eastAsia="仿宋" w:cs="仿宋"/>
          <w:color w:val="000000" w:themeColor="text1"/>
          <w:sz w:val="32"/>
          <w:szCs w:val="32"/>
          <w:lang w:val="en-US" w:eastAsia="zh-CN"/>
          <w14:textFill>
            <w14:solidFill>
              <w14:schemeClr w14:val="tx1"/>
            </w14:solidFill>
          </w14:textFill>
        </w:rPr>
        <w:t>之一且三场不可重复，</w:t>
      </w:r>
      <w:r>
        <w:rPr>
          <w:rFonts w:hint="eastAsia" w:ascii="仿宋" w:hAnsi="仿宋" w:eastAsia="仿宋" w:cs="仿宋"/>
          <w:color w:val="000000" w:themeColor="text1"/>
          <w:sz w:val="32"/>
          <w:szCs w:val="32"/>
          <w14:textFill>
            <w14:solidFill>
              <w14:schemeClr w14:val="tx1"/>
            </w14:solidFill>
          </w14:textFill>
        </w:rPr>
        <w:t xml:space="preserve">确保专题成长活动能够真正让活动对象受益。 </w:t>
      </w:r>
    </w:p>
    <w:p w14:paraId="5017AE5D">
      <w:pPr>
        <w:pStyle w:val="45"/>
        <w:numPr>
          <w:ilvl w:val="0"/>
          <w:numId w:val="0"/>
        </w:numPr>
        <w:ind w:firstLine="64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八、</w:t>
      </w:r>
      <w:r>
        <w:rPr>
          <w:rFonts w:hint="eastAsia"/>
          <w:color w:val="000000" w:themeColor="text1"/>
          <w14:textFill>
            <w14:solidFill>
              <w14:schemeClr w14:val="tx1"/>
            </w14:solidFill>
          </w14:textFill>
        </w:rPr>
        <w:t>时间安排</w:t>
      </w:r>
    </w:p>
    <w:p w14:paraId="21A77940">
      <w:pPr>
        <w:pStyle w:val="46"/>
        <w:numPr>
          <w:ilvl w:val="0"/>
          <w:numId w:val="6"/>
        </w:numPr>
        <w:ind w:firstLine="64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202</w:t>
      </w:r>
      <w:r>
        <w:rPr>
          <w:rFonts w:hint="eastAsia" w:ascii="仿宋" w:hAnsi="仿宋" w:eastAsia="仿宋" w:cs="仿宋"/>
          <w:color w:val="000000" w:themeColor="text1"/>
          <w:lang w:val="en-US" w:eastAsia="zh-CN"/>
          <w14:textFill>
            <w14:solidFill>
              <w14:schemeClr w14:val="tx1"/>
            </w14:solidFill>
          </w14:textFill>
        </w:rPr>
        <w:t>6</w:t>
      </w:r>
      <w:r>
        <w:rPr>
          <w:rFonts w:hint="eastAsia" w:ascii="仿宋" w:hAnsi="仿宋" w:eastAsia="仿宋" w:cs="仿宋"/>
          <w:color w:val="000000" w:themeColor="text1"/>
          <w14:textFill>
            <w14:solidFill>
              <w14:schemeClr w14:val="tx1"/>
            </w14:solidFill>
          </w14:textFill>
        </w:rPr>
        <w:t>年</w:t>
      </w:r>
      <w:r>
        <w:rPr>
          <w:rFonts w:hint="eastAsia" w:ascii="仿宋" w:hAnsi="仿宋" w:eastAsia="仿宋" w:cs="仿宋"/>
          <w:color w:val="000000" w:themeColor="text1"/>
          <w:lang w:val="en-US" w:eastAsia="zh-CN"/>
          <w14:textFill>
            <w14:solidFill>
              <w14:schemeClr w14:val="tx1"/>
            </w14:solidFill>
          </w14:textFill>
        </w:rPr>
        <w:t>7</w:t>
      </w:r>
      <w:r>
        <w:rPr>
          <w:rFonts w:hint="eastAsia" w:ascii="仿宋" w:hAnsi="仿宋" w:eastAsia="仿宋" w:cs="仿宋"/>
          <w:color w:val="000000" w:themeColor="text1"/>
          <w14:textFill>
            <w14:solidFill>
              <w14:schemeClr w14:val="tx1"/>
            </w14:solidFill>
          </w14:textFill>
        </w:rPr>
        <w:t>月确定活动方案。</w:t>
      </w:r>
    </w:p>
    <w:p w14:paraId="34983EC8">
      <w:pPr>
        <w:pStyle w:val="46"/>
        <w:ind w:firstLine="64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202</w:t>
      </w:r>
      <w:r>
        <w:rPr>
          <w:rFonts w:hint="eastAsia" w:ascii="仿宋" w:hAnsi="仿宋" w:eastAsia="仿宋" w:cs="仿宋"/>
          <w:color w:val="000000" w:themeColor="text1"/>
          <w:lang w:val="en-US" w:eastAsia="zh-CN"/>
          <w14:textFill>
            <w14:solidFill>
              <w14:schemeClr w14:val="tx1"/>
            </w14:solidFill>
          </w14:textFill>
        </w:rPr>
        <w:t>6</w:t>
      </w:r>
      <w:r>
        <w:rPr>
          <w:rFonts w:hint="eastAsia" w:ascii="仿宋" w:hAnsi="仿宋" w:eastAsia="仿宋" w:cs="仿宋"/>
          <w:color w:val="000000" w:themeColor="text1"/>
          <w14:textFill>
            <w14:solidFill>
              <w14:schemeClr w14:val="tx1"/>
            </w14:solidFill>
          </w14:textFill>
        </w:rPr>
        <w:t>年</w:t>
      </w:r>
      <w:r>
        <w:rPr>
          <w:rFonts w:hint="eastAsia" w:ascii="仿宋" w:hAnsi="仿宋" w:eastAsia="仿宋" w:cs="仿宋"/>
          <w:color w:val="000000" w:themeColor="text1"/>
          <w:lang w:val="en-US" w:eastAsia="zh-CN"/>
          <w14:textFill>
            <w14:solidFill>
              <w14:schemeClr w14:val="tx1"/>
            </w14:solidFill>
          </w14:textFill>
        </w:rPr>
        <w:t>8</w:t>
      </w:r>
      <w:r>
        <w:rPr>
          <w:rFonts w:hint="eastAsia" w:ascii="仿宋" w:hAnsi="仿宋" w:eastAsia="仿宋" w:cs="仿宋"/>
          <w:color w:val="000000" w:themeColor="text1"/>
          <w14:textFill>
            <w14:solidFill>
              <w14:schemeClr w14:val="tx1"/>
            </w14:solidFill>
          </w14:textFill>
        </w:rPr>
        <w:t>月确定第三方机构承办活动</w:t>
      </w:r>
    </w:p>
    <w:p w14:paraId="100E451D">
      <w:pPr>
        <w:pStyle w:val="46"/>
        <w:ind w:firstLine="64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202</w:t>
      </w:r>
      <w:r>
        <w:rPr>
          <w:rFonts w:hint="eastAsia" w:ascii="仿宋" w:hAnsi="仿宋" w:eastAsia="仿宋" w:cs="仿宋"/>
          <w:color w:val="000000" w:themeColor="text1"/>
          <w:lang w:val="en-US" w:eastAsia="zh-CN"/>
          <w14:textFill>
            <w14:solidFill>
              <w14:schemeClr w14:val="tx1"/>
            </w14:solidFill>
          </w14:textFill>
        </w:rPr>
        <w:t>6</w:t>
      </w:r>
      <w:r>
        <w:rPr>
          <w:rFonts w:hint="eastAsia" w:ascii="仿宋" w:hAnsi="仿宋" w:eastAsia="仿宋" w:cs="仿宋"/>
          <w:color w:val="000000" w:themeColor="text1"/>
          <w14:textFill>
            <w14:solidFill>
              <w14:schemeClr w14:val="tx1"/>
            </w14:solidFill>
          </w14:textFill>
        </w:rPr>
        <w:t>年</w:t>
      </w:r>
      <w:r>
        <w:rPr>
          <w:rFonts w:hint="eastAsia" w:ascii="仿宋" w:hAnsi="仿宋" w:eastAsia="仿宋" w:cs="仿宋"/>
          <w:color w:val="000000" w:themeColor="text1"/>
          <w:lang w:val="en-US" w:eastAsia="zh-CN"/>
          <w14:textFill>
            <w14:solidFill>
              <w14:schemeClr w14:val="tx1"/>
            </w14:solidFill>
          </w14:textFill>
        </w:rPr>
        <w:t>8月到10</w:t>
      </w:r>
      <w:r>
        <w:rPr>
          <w:rFonts w:hint="eastAsia" w:ascii="仿宋" w:hAnsi="仿宋" w:eastAsia="仿宋" w:cs="仿宋"/>
          <w:color w:val="000000" w:themeColor="text1"/>
          <w14:textFill>
            <w14:solidFill>
              <w14:schemeClr w14:val="tx1"/>
            </w14:solidFill>
          </w14:textFill>
        </w:rPr>
        <w:t>月开展成长课堂活动。</w:t>
      </w:r>
    </w:p>
    <w:p w14:paraId="7B878A9D">
      <w:pPr>
        <w:pStyle w:val="45"/>
        <w:numPr>
          <w:ilvl w:val="0"/>
          <w:numId w:val="0"/>
        </w:numPr>
        <w:ind w:firstLine="64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九、</w:t>
      </w:r>
      <w:r>
        <w:rPr>
          <w:rFonts w:hint="eastAsia"/>
          <w:color w:val="000000" w:themeColor="text1"/>
          <w14:textFill>
            <w14:solidFill>
              <w14:schemeClr w14:val="tx1"/>
            </w14:solidFill>
          </w14:textFill>
        </w:rPr>
        <w:t>资金预算</w:t>
      </w:r>
    </w:p>
    <w:p w14:paraId="3AAA8699">
      <w:pPr>
        <w:spacing w:line="360" w:lineRule="auto"/>
        <w:ind w:firstLine="640" w:firstLineChars="200"/>
        <w:rPr>
          <w:rFonts w:hint="eastAsia" w:ascii="仿宋" w:hAnsi="仿宋" w:eastAsia="仿宋" w:cs="仿宋"/>
          <w:color w:val="000000" w:themeColor="text1"/>
          <w:sz w:val="10"/>
          <w:szCs w:val="10"/>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该项活动总预算元，具体如下:</w:t>
      </w:r>
    </w:p>
    <w:tbl>
      <w:tblPr>
        <w:tblStyle w:val="17"/>
        <w:tblW w:w="8975" w:type="dxa"/>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650"/>
        <w:gridCol w:w="1063"/>
        <w:gridCol w:w="5625"/>
      </w:tblGrid>
      <w:tr w14:paraId="58C6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37" w:type="dxa"/>
            <w:noWrap w:val="0"/>
            <w:vAlign w:val="center"/>
          </w:tcPr>
          <w:p w14:paraId="7411DB21">
            <w:pPr>
              <w:keepNext w:val="0"/>
              <w:keepLines w:val="0"/>
              <w:widowControl/>
              <w:suppressLineNumbers w:val="0"/>
              <w:jc w:val="center"/>
              <w:textAlignment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序号</w:t>
            </w:r>
          </w:p>
        </w:tc>
        <w:tc>
          <w:tcPr>
            <w:tcW w:w="1650" w:type="dxa"/>
            <w:noWrap w:val="0"/>
            <w:vAlign w:val="center"/>
          </w:tcPr>
          <w:p w14:paraId="5C9F69B7">
            <w:pPr>
              <w:keepNext w:val="0"/>
              <w:keepLines w:val="0"/>
              <w:widowControl/>
              <w:suppressLineNumbers w:val="0"/>
              <w:jc w:val="center"/>
              <w:textAlignment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科目名称</w:t>
            </w:r>
          </w:p>
        </w:tc>
        <w:tc>
          <w:tcPr>
            <w:tcW w:w="1063" w:type="dxa"/>
            <w:noWrap w:val="0"/>
            <w:vAlign w:val="center"/>
          </w:tcPr>
          <w:p w14:paraId="15B4D31D">
            <w:pPr>
              <w:keepNext w:val="0"/>
              <w:keepLines w:val="0"/>
              <w:widowControl/>
              <w:suppressLineNumbers w:val="0"/>
              <w:jc w:val="center"/>
              <w:textAlignment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预算（元）</w:t>
            </w:r>
          </w:p>
        </w:tc>
        <w:tc>
          <w:tcPr>
            <w:tcW w:w="5625" w:type="dxa"/>
            <w:noWrap w:val="0"/>
            <w:vAlign w:val="center"/>
          </w:tcPr>
          <w:p w14:paraId="60497F8C">
            <w:pPr>
              <w:keepNext w:val="0"/>
              <w:keepLines w:val="0"/>
              <w:widowControl/>
              <w:suppressLineNumbers w:val="0"/>
              <w:jc w:val="center"/>
              <w:textAlignment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备注（根据实际情况做机动调整）</w:t>
            </w:r>
          </w:p>
        </w:tc>
      </w:tr>
      <w:tr w14:paraId="5A79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37" w:type="dxa"/>
            <w:noWrap w:val="0"/>
            <w:vAlign w:val="center"/>
          </w:tcPr>
          <w:p w14:paraId="4B364BAB">
            <w:pPr>
              <w:keepNext w:val="0"/>
              <w:keepLines w:val="0"/>
              <w:widowControl/>
              <w:suppressLineNumbers w:val="0"/>
              <w:jc w:val="center"/>
              <w:textAlignment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w:t>
            </w:r>
          </w:p>
        </w:tc>
        <w:tc>
          <w:tcPr>
            <w:tcW w:w="1650" w:type="dxa"/>
            <w:noWrap w:val="0"/>
            <w:vAlign w:val="center"/>
          </w:tcPr>
          <w:p w14:paraId="3C1C50CD">
            <w:pPr>
              <w:keepNext w:val="0"/>
              <w:keepLines w:val="0"/>
              <w:widowControl/>
              <w:suppressLineNumbers w:val="0"/>
              <w:jc w:val="center"/>
              <w:textAlignment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师资费</w:t>
            </w:r>
          </w:p>
        </w:tc>
        <w:tc>
          <w:tcPr>
            <w:tcW w:w="1063" w:type="dxa"/>
            <w:noWrap w:val="0"/>
            <w:vAlign w:val="center"/>
          </w:tcPr>
          <w:p w14:paraId="1F011F28">
            <w:pPr>
              <w:keepNext w:val="0"/>
              <w:keepLines w:val="0"/>
              <w:widowControl/>
              <w:suppressLineNumbers w:val="0"/>
              <w:jc w:val="center"/>
              <w:textAlignment w:val="center"/>
              <w:rPr>
                <w:rFonts w:hint="default" w:ascii="仿宋" w:hAnsi="仿宋" w:eastAsia="仿宋" w:cs="仿宋"/>
                <w:color w:val="000000" w:themeColor="text1"/>
                <w:sz w:val="24"/>
                <w:szCs w:val="24"/>
                <w:lang w:val="en-US"/>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52500</w:t>
            </w:r>
          </w:p>
        </w:tc>
        <w:tc>
          <w:tcPr>
            <w:tcW w:w="5625" w:type="dxa"/>
            <w:noWrap w:val="0"/>
            <w:vAlign w:val="top"/>
          </w:tcPr>
          <w:p w14:paraId="433A5E24">
            <w:pPr>
              <w:keepNext w:val="0"/>
              <w:keepLines w:val="0"/>
              <w:widowControl/>
              <w:suppressLineNumbers w:val="0"/>
              <w:jc w:val="both"/>
              <w:textAlignment w:val="top"/>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师资费35000元，10个县（市、区），共计30场小课堂活动。每场开展一个版块课程，每场2.5课时，每课时1名主讲老师、2名助教。主讲老师500元/课时，助教为100元/课时。30场*2.5课时/场*（1人*500元/课时/人+2人*100元/场/人）=52500元</w:t>
            </w:r>
          </w:p>
        </w:tc>
      </w:tr>
      <w:tr w14:paraId="593E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37" w:type="dxa"/>
            <w:vMerge w:val="restart"/>
            <w:noWrap w:val="0"/>
            <w:vAlign w:val="center"/>
          </w:tcPr>
          <w:p w14:paraId="78CEB42D">
            <w:pPr>
              <w:keepNext w:val="0"/>
              <w:keepLines w:val="0"/>
              <w:widowControl/>
              <w:suppressLineNumbers w:val="0"/>
              <w:jc w:val="center"/>
              <w:textAlignment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w:t>
            </w:r>
          </w:p>
        </w:tc>
        <w:tc>
          <w:tcPr>
            <w:tcW w:w="1650" w:type="dxa"/>
            <w:vMerge w:val="restart"/>
            <w:noWrap w:val="0"/>
            <w:vAlign w:val="center"/>
          </w:tcPr>
          <w:p w14:paraId="47BFF1E1">
            <w:pPr>
              <w:keepNext w:val="0"/>
              <w:keepLines w:val="0"/>
              <w:widowControl/>
              <w:suppressLineNumbers w:val="0"/>
              <w:jc w:val="center"/>
              <w:textAlignment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宣讲课堂互动物料费</w:t>
            </w:r>
          </w:p>
        </w:tc>
        <w:tc>
          <w:tcPr>
            <w:tcW w:w="1063" w:type="dxa"/>
            <w:vMerge w:val="restart"/>
            <w:noWrap w:val="0"/>
            <w:vAlign w:val="center"/>
          </w:tcPr>
          <w:p w14:paraId="78F723EF">
            <w:pPr>
              <w:keepNext w:val="0"/>
              <w:keepLines w:val="0"/>
              <w:widowControl/>
              <w:suppressLineNumbers w:val="0"/>
              <w:jc w:val="center"/>
              <w:textAlignment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2100</w:t>
            </w:r>
          </w:p>
        </w:tc>
        <w:tc>
          <w:tcPr>
            <w:tcW w:w="5625" w:type="dxa"/>
            <w:noWrap w:val="0"/>
            <w:vAlign w:val="top"/>
          </w:tcPr>
          <w:p w14:paraId="59DA02C4">
            <w:pPr>
              <w:keepNext w:val="0"/>
              <w:keepLines w:val="0"/>
              <w:widowControl/>
              <w:suppressLineNumbers w:val="0"/>
              <w:jc w:val="both"/>
              <w:textAlignment w:val="top"/>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奖状900份，共300元</w:t>
            </w:r>
          </w:p>
        </w:tc>
      </w:tr>
      <w:tr w14:paraId="2ADC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37" w:type="dxa"/>
            <w:vMerge w:val="continue"/>
            <w:noWrap w:val="0"/>
            <w:vAlign w:val="center"/>
          </w:tcPr>
          <w:p w14:paraId="6A7F9FE9">
            <w:pPr>
              <w:jc w:val="center"/>
              <w:rPr>
                <w:rFonts w:hint="eastAsia" w:ascii="仿宋" w:hAnsi="仿宋" w:eastAsia="仿宋" w:cs="仿宋"/>
                <w:color w:val="000000" w:themeColor="text1"/>
                <w:sz w:val="24"/>
                <w:szCs w:val="24"/>
                <w14:textFill>
                  <w14:solidFill>
                    <w14:schemeClr w14:val="tx1"/>
                  </w14:solidFill>
                </w14:textFill>
              </w:rPr>
            </w:pPr>
          </w:p>
        </w:tc>
        <w:tc>
          <w:tcPr>
            <w:tcW w:w="1650" w:type="dxa"/>
            <w:vMerge w:val="continue"/>
            <w:noWrap w:val="0"/>
            <w:vAlign w:val="center"/>
          </w:tcPr>
          <w:p w14:paraId="2868859E">
            <w:pPr>
              <w:jc w:val="center"/>
              <w:rPr>
                <w:rFonts w:hint="eastAsia" w:ascii="仿宋" w:hAnsi="仿宋" w:eastAsia="仿宋" w:cs="仿宋"/>
                <w:color w:val="000000" w:themeColor="text1"/>
                <w:sz w:val="24"/>
                <w:szCs w:val="24"/>
                <w14:textFill>
                  <w14:solidFill>
                    <w14:schemeClr w14:val="tx1"/>
                  </w14:solidFill>
                </w14:textFill>
              </w:rPr>
            </w:pPr>
          </w:p>
        </w:tc>
        <w:tc>
          <w:tcPr>
            <w:tcW w:w="1063" w:type="dxa"/>
            <w:vMerge w:val="continue"/>
            <w:noWrap w:val="0"/>
            <w:vAlign w:val="center"/>
          </w:tcPr>
          <w:p w14:paraId="4F6240BE">
            <w:pPr>
              <w:jc w:val="center"/>
              <w:rPr>
                <w:rFonts w:hint="eastAsia" w:ascii="仿宋" w:hAnsi="仿宋" w:eastAsia="仿宋" w:cs="仿宋"/>
                <w:color w:val="000000" w:themeColor="text1"/>
                <w:sz w:val="24"/>
                <w:szCs w:val="24"/>
                <w14:textFill>
                  <w14:solidFill>
                    <w14:schemeClr w14:val="tx1"/>
                  </w14:solidFill>
                </w14:textFill>
              </w:rPr>
            </w:pPr>
          </w:p>
        </w:tc>
        <w:tc>
          <w:tcPr>
            <w:tcW w:w="5625" w:type="dxa"/>
            <w:noWrap w:val="0"/>
            <w:vAlign w:val="top"/>
          </w:tcPr>
          <w:p w14:paraId="34B8A301">
            <w:pPr>
              <w:keepNext w:val="0"/>
              <w:keepLines w:val="0"/>
              <w:widowControl/>
              <w:suppressLineNumbers w:val="0"/>
              <w:jc w:val="both"/>
              <w:textAlignment w:val="top"/>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教具费：课程进行过程中所需要的物资，平均一场60元，共计30场*60元/场=1800元</w:t>
            </w:r>
          </w:p>
        </w:tc>
      </w:tr>
      <w:tr w14:paraId="773A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37" w:type="dxa"/>
            <w:vMerge w:val="continue"/>
            <w:noWrap w:val="0"/>
            <w:vAlign w:val="center"/>
          </w:tcPr>
          <w:p w14:paraId="0275325F">
            <w:pPr>
              <w:jc w:val="center"/>
              <w:rPr>
                <w:rFonts w:hint="eastAsia" w:ascii="仿宋" w:hAnsi="仿宋" w:eastAsia="仿宋" w:cs="仿宋"/>
                <w:color w:val="000000" w:themeColor="text1"/>
                <w:sz w:val="24"/>
                <w:szCs w:val="24"/>
                <w14:textFill>
                  <w14:solidFill>
                    <w14:schemeClr w14:val="tx1"/>
                  </w14:solidFill>
                </w14:textFill>
              </w:rPr>
            </w:pPr>
          </w:p>
        </w:tc>
        <w:tc>
          <w:tcPr>
            <w:tcW w:w="1650" w:type="dxa"/>
            <w:vMerge w:val="continue"/>
            <w:noWrap w:val="0"/>
            <w:vAlign w:val="center"/>
          </w:tcPr>
          <w:p w14:paraId="189CB96E">
            <w:pPr>
              <w:jc w:val="center"/>
              <w:rPr>
                <w:rFonts w:hint="eastAsia" w:ascii="仿宋" w:hAnsi="仿宋" w:eastAsia="仿宋" w:cs="仿宋"/>
                <w:color w:val="000000" w:themeColor="text1"/>
                <w:sz w:val="24"/>
                <w:szCs w:val="24"/>
                <w14:textFill>
                  <w14:solidFill>
                    <w14:schemeClr w14:val="tx1"/>
                  </w14:solidFill>
                </w14:textFill>
              </w:rPr>
            </w:pPr>
          </w:p>
        </w:tc>
        <w:tc>
          <w:tcPr>
            <w:tcW w:w="1063" w:type="dxa"/>
            <w:vMerge w:val="continue"/>
            <w:noWrap w:val="0"/>
            <w:vAlign w:val="center"/>
          </w:tcPr>
          <w:p w14:paraId="644E3452">
            <w:pPr>
              <w:jc w:val="center"/>
              <w:rPr>
                <w:rFonts w:hint="eastAsia" w:ascii="仿宋" w:hAnsi="仿宋" w:eastAsia="仿宋" w:cs="仿宋"/>
                <w:color w:val="000000" w:themeColor="text1"/>
                <w:sz w:val="24"/>
                <w:szCs w:val="24"/>
                <w14:textFill>
                  <w14:solidFill>
                    <w14:schemeClr w14:val="tx1"/>
                  </w14:solidFill>
                </w14:textFill>
              </w:rPr>
            </w:pPr>
          </w:p>
        </w:tc>
        <w:tc>
          <w:tcPr>
            <w:tcW w:w="5625" w:type="dxa"/>
            <w:noWrap w:val="0"/>
            <w:vAlign w:val="top"/>
          </w:tcPr>
          <w:p w14:paraId="275C4F4D">
            <w:pPr>
              <w:keepNext w:val="0"/>
              <w:keepLines w:val="0"/>
              <w:widowControl/>
              <w:suppressLineNumbers w:val="0"/>
              <w:jc w:val="both"/>
              <w:textAlignment w:val="top"/>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合计：300元+1800元=2100元</w:t>
            </w:r>
          </w:p>
        </w:tc>
      </w:tr>
      <w:tr w14:paraId="711C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37" w:type="dxa"/>
            <w:vMerge w:val="restart"/>
            <w:noWrap w:val="0"/>
            <w:vAlign w:val="center"/>
          </w:tcPr>
          <w:p w14:paraId="17DDEAFD">
            <w:pPr>
              <w:keepNext w:val="0"/>
              <w:keepLines w:val="0"/>
              <w:widowControl/>
              <w:suppressLineNumbers w:val="0"/>
              <w:jc w:val="center"/>
              <w:textAlignment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3</w:t>
            </w:r>
          </w:p>
        </w:tc>
        <w:tc>
          <w:tcPr>
            <w:tcW w:w="1650" w:type="dxa"/>
            <w:vMerge w:val="restart"/>
            <w:noWrap w:val="0"/>
            <w:vAlign w:val="center"/>
          </w:tcPr>
          <w:p w14:paraId="34C65AC0">
            <w:pPr>
              <w:keepNext w:val="0"/>
              <w:keepLines w:val="0"/>
              <w:widowControl/>
              <w:suppressLineNumbers w:val="0"/>
              <w:jc w:val="center"/>
              <w:textAlignment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饮用水费、儿童礼品、茶歇费</w:t>
            </w:r>
          </w:p>
        </w:tc>
        <w:tc>
          <w:tcPr>
            <w:tcW w:w="1063" w:type="dxa"/>
            <w:vMerge w:val="restart"/>
            <w:noWrap w:val="0"/>
            <w:vAlign w:val="center"/>
          </w:tcPr>
          <w:p w14:paraId="1C7EBA45">
            <w:pPr>
              <w:keepNext w:val="0"/>
              <w:keepLines w:val="0"/>
              <w:widowControl/>
              <w:suppressLineNumbers w:val="0"/>
              <w:jc w:val="center"/>
              <w:textAlignment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22600</w:t>
            </w:r>
          </w:p>
        </w:tc>
        <w:tc>
          <w:tcPr>
            <w:tcW w:w="5625" w:type="dxa"/>
            <w:noWrap w:val="0"/>
            <w:vAlign w:val="top"/>
          </w:tcPr>
          <w:p w14:paraId="55C5B2C3">
            <w:pPr>
              <w:keepNext w:val="0"/>
              <w:keepLines w:val="0"/>
              <w:widowControl/>
              <w:suppressLineNumbers w:val="0"/>
              <w:jc w:val="both"/>
              <w:textAlignment w:val="top"/>
              <w:rPr>
                <w:color w:val="000000" w:themeColor="text1"/>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饮用水费1000元。</w:t>
            </w:r>
          </w:p>
        </w:tc>
      </w:tr>
      <w:tr w14:paraId="0125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37" w:type="dxa"/>
            <w:vMerge w:val="continue"/>
            <w:noWrap w:val="0"/>
            <w:vAlign w:val="center"/>
          </w:tcPr>
          <w:p w14:paraId="5388AB50">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p>
        </w:tc>
        <w:tc>
          <w:tcPr>
            <w:tcW w:w="1650" w:type="dxa"/>
            <w:vMerge w:val="continue"/>
            <w:noWrap w:val="0"/>
            <w:vAlign w:val="center"/>
          </w:tcPr>
          <w:p w14:paraId="23738E34">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p>
        </w:tc>
        <w:tc>
          <w:tcPr>
            <w:tcW w:w="1063" w:type="dxa"/>
            <w:vMerge w:val="continue"/>
            <w:noWrap w:val="0"/>
            <w:vAlign w:val="center"/>
          </w:tcPr>
          <w:p w14:paraId="245FFB4A">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p>
        </w:tc>
        <w:tc>
          <w:tcPr>
            <w:tcW w:w="5625" w:type="dxa"/>
            <w:noWrap w:val="0"/>
            <w:vAlign w:val="center"/>
          </w:tcPr>
          <w:p w14:paraId="0B66FE1F">
            <w:pPr>
              <w:keepNext w:val="0"/>
              <w:keepLines w:val="0"/>
              <w:widowControl/>
              <w:suppressLineNumbers w:val="0"/>
              <w:jc w:val="both"/>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t>30场每场按均20人预算，每人平均礼品费用16元，30场*16元/份*20人/场=9600元（儿童礼品应包含U型扣32开</w:t>
            </w:r>
            <w:r>
              <w:rPr>
                <w:rFonts w:hint="eastAsia" w:ascii="仿宋" w:hAnsi="仿宋" w:eastAsia="仿宋" w:cs="仿宋"/>
                <w:b w:val="0"/>
                <w:bCs w:val="0"/>
                <w:color w:val="000000" w:themeColor="text1"/>
                <w:sz w:val="24"/>
                <w:szCs w:val="24"/>
                <w:highlight w:val="none"/>
                <w:vertAlign w:val="baseline"/>
                <w:lang w:val="en-US" w:eastAsia="zh-CN"/>
                <w14:textFill>
                  <w14:solidFill>
                    <w14:schemeClr w14:val="tx1"/>
                  </w14:solidFill>
                </w14:textFill>
              </w:rPr>
              <w:t>笔记本一本、笔筒一个、钥匙挂件公仔一个、小水杯一个、文具套装一套（尺子）</w:t>
            </w:r>
            <w:r>
              <w:rPr>
                <w:rFonts w:hint="eastAsia"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t>）</w:t>
            </w:r>
          </w:p>
        </w:tc>
      </w:tr>
      <w:tr w14:paraId="4C40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37" w:type="dxa"/>
            <w:vMerge w:val="continue"/>
            <w:noWrap w:val="0"/>
            <w:vAlign w:val="center"/>
          </w:tcPr>
          <w:p w14:paraId="473B9F2C">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p>
        </w:tc>
        <w:tc>
          <w:tcPr>
            <w:tcW w:w="1650" w:type="dxa"/>
            <w:vMerge w:val="continue"/>
            <w:noWrap w:val="0"/>
            <w:vAlign w:val="center"/>
          </w:tcPr>
          <w:p w14:paraId="6EF4CE05">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p>
        </w:tc>
        <w:tc>
          <w:tcPr>
            <w:tcW w:w="1063" w:type="dxa"/>
            <w:vMerge w:val="continue"/>
            <w:noWrap w:val="0"/>
            <w:vAlign w:val="center"/>
          </w:tcPr>
          <w:p w14:paraId="5515BE89">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p>
        </w:tc>
        <w:tc>
          <w:tcPr>
            <w:tcW w:w="5625" w:type="dxa"/>
            <w:noWrap w:val="0"/>
            <w:vAlign w:val="center"/>
          </w:tcPr>
          <w:p w14:paraId="60B3C0F6">
            <w:pPr>
              <w:keepNext w:val="0"/>
              <w:keepLines w:val="0"/>
              <w:widowControl/>
              <w:suppressLineNumbers w:val="0"/>
              <w:jc w:val="both"/>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茶歇费12000元。每场茶歇费400元，包含糕点、水果、糖果、饼干、饮料等，400元/场*30场=12000元</w:t>
            </w:r>
          </w:p>
        </w:tc>
      </w:tr>
      <w:tr w14:paraId="61AA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37" w:type="dxa"/>
            <w:vMerge w:val="continue"/>
            <w:noWrap w:val="0"/>
            <w:vAlign w:val="center"/>
          </w:tcPr>
          <w:p w14:paraId="1DD4AC43">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p>
        </w:tc>
        <w:tc>
          <w:tcPr>
            <w:tcW w:w="1650" w:type="dxa"/>
            <w:vMerge w:val="continue"/>
            <w:noWrap w:val="0"/>
            <w:vAlign w:val="center"/>
          </w:tcPr>
          <w:p w14:paraId="71BEC0BD">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p>
        </w:tc>
        <w:tc>
          <w:tcPr>
            <w:tcW w:w="1063" w:type="dxa"/>
            <w:vMerge w:val="continue"/>
            <w:noWrap w:val="0"/>
            <w:vAlign w:val="center"/>
          </w:tcPr>
          <w:p w14:paraId="4FBBBB8E">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p>
        </w:tc>
        <w:tc>
          <w:tcPr>
            <w:tcW w:w="5625" w:type="dxa"/>
            <w:noWrap w:val="0"/>
            <w:vAlign w:val="center"/>
          </w:tcPr>
          <w:p w14:paraId="066EB775">
            <w:pPr>
              <w:keepNext w:val="0"/>
              <w:keepLines w:val="0"/>
              <w:widowControl/>
              <w:suppressLineNumbers w:val="0"/>
              <w:jc w:val="both"/>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合计：1000+9600+12000=22600元</w:t>
            </w:r>
          </w:p>
        </w:tc>
      </w:tr>
      <w:tr w14:paraId="682E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37" w:type="dxa"/>
            <w:noWrap w:val="0"/>
            <w:vAlign w:val="center"/>
          </w:tcPr>
          <w:p w14:paraId="5F2C4BF4">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4</w:t>
            </w:r>
          </w:p>
        </w:tc>
        <w:tc>
          <w:tcPr>
            <w:tcW w:w="1650" w:type="dxa"/>
            <w:noWrap w:val="0"/>
            <w:vAlign w:val="center"/>
          </w:tcPr>
          <w:p w14:paraId="12B7616F">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横幅</w:t>
            </w:r>
          </w:p>
        </w:tc>
        <w:tc>
          <w:tcPr>
            <w:tcW w:w="1063" w:type="dxa"/>
            <w:noWrap w:val="0"/>
            <w:vAlign w:val="center"/>
          </w:tcPr>
          <w:p w14:paraId="5C003EBC">
            <w:pPr>
              <w:keepNext w:val="0"/>
              <w:keepLines w:val="0"/>
              <w:widowControl/>
              <w:suppressLineNumbers w:val="0"/>
              <w:jc w:val="center"/>
              <w:textAlignment w:val="center"/>
              <w:rPr>
                <w:rFonts w:hint="default"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1800</w:t>
            </w:r>
          </w:p>
        </w:tc>
        <w:tc>
          <w:tcPr>
            <w:tcW w:w="5625" w:type="dxa"/>
            <w:noWrap w:val="0"/>
            <w:vAlign w:val="center"/>
          </w:tcPr>
          <w:p w14:paraId="4EC80DDA">
            <w:pPr>
              <w:keepNext w:val="0"/>
              <w:keepLines w:val="0"/>
              <w:widowControl/>
              <w:suppressLineNumbers w:val="0"/>
              <w:jc w:val="both"/>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宣传横幅1800元。30场*1条/场*60元/条=1800元</w:t>
            </w:r>
          </w:p>
        </w:tc>
      </w:tr>
      <w:tr w14:paraId="6C9AA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637" w:type="dxa"/>
            <w:noWrap w:val="0"/>
            <w:vAlign w:val="center"/>
          </w:tcPr>
          <w:p w14:paraId="339D4B35">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5</w:t>
            </w:r>
          </w:p>
        </w:tc>
        <w:tc>
          <w:tcPr>
            <w:tcW w:w="1650" w:type="dxa"/>
            <w:noWrap w:val="0"/>
            <w:vAlign w:val="center"/>
          </w:tcPr>
          <w:p w14:paraId="01B1AA7B">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交通费</w:t>
            </w:r>
          </w:p>
        </w:tc>
        <w:tc>
          <w:tcPr>
            <w:tcW w:w="1063" w:type="dxa"/>
            <w:noWrap w:val="0"/>
            <w:vAlign w:val="center"/>
          </w:tcPr>
          <w:p w14:paraId="12616E5F">
            <w:pPr>
              <w:keepNext w:val="0"/>
              <w:keepLines w:val="0"/>
              <w:widowControl/>
              <w:suppressLineNumbers w:val="0"/>
              <w:jc w:val="center"/>
              <w:textAlignment w:val="center"/>
              <w:rPr>
                <w:rFonts w:hint="default"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5400</w:t>
            </w:r>
          </w:p>
        </w:tc>
        <w:tc>
          <w:tcPr>
            <w:tcW w:w="5625" w:type="dxa"/>
            <w:noWrap w:val="0"/>
            <w:vAlign w:val="center"/>
          </w:tcPr>
          <w:p w14:paraId="21AC4099">
            <w:pPr>
              <w:keepNext w:val="0"/>
              <w:keepLines w:val="0"/>
              <w:widowControl/>
              <w:suppressLineNumbers w:val="0"/>
              <w:jc w:val="both"/>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授课老师从韶关到各县（市、区）的来回交通费平均每人60元，合计：30场*3人*60元/人=5400元</w:t>
            </w:r>
          </w:p>
        </w:tc>
      </w:tr>
      <w:tr w14:paraId="10A8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637" w:type="dxa"/>
            <w:noWrap w:val="0"/>
            <w:vAlign w:val="center"/>
          </w:tcPr>
          <w:p w14:paraId="615A7D88">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6</w:t>
            </w:r>
          </w:p>
        </w:tc>
        <w:tc>
          <w:tcPr>
            <w:tcW w:w="1650" w:type="dxa"/>
            <w:noWrap w:val="0"/>
            <w:vAlign w:val="center"/>
          </w:tcPr>
          <w:p w14:paraId="1765CCD7">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税费及综合管理费</w:t>
            </w:r>
          </w:p>
        </w:tc>
        <w:tc>
          <w:tcPr>
            <w:tcW w:w="1063" w:type="dxa"/>
            <w:noWrap w:val="0"/>
            <w:vAlign w:val="center"/>
          </w:tcPr>
          <w:p w14:paraId="4317B864">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748</w:t>
            </w:r>
          </w:p>
        </w:tc>
        <w:tc>
          <w:tcPr>
            <w:tcW w:w="5625" w:type="dxa"/>
            <w:noWrap w:val="0"/>
            <w:vAlign w:val="center"/>
          </w:tcPr>
          <w:p w14:paraId="7C8A06E9">
            <w:pPr>
              <w:keepNext w:val="0"/>
              <w:keepLines w:val="0"/>
              <w:widowControl/>
              <w:suppressLineNumbers w:val="0"/>
              <w:jc w:val="both"/>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按项目总额的约1%预算，包含项目管理费、税费等。</w:t>
            </w:r>
          </w:p>
        </w:tc>
      </w:tr>
      <w:tr w14:paraId="0FE2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637" w:type="dxa"/>
            <w:noWrap w:val="0"/>
            <w:vAlign w:val="center"/>
          </w:tcPr>
          <w:p w14:paraId="42C4D72D">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7</w:t>
            </w:r>
          </w:p>
        </w:tc>
        <w:tc>
          <w:tcPr>
            <w:tcW w:w="1650" w:type="dxa"/>
            <w:noWrap w:val="0"/>
            <w:vAlign w:val="center"/>
          </w:tcPr>
          <w:p w14:paraId="6D23CDDC">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合计</w:t>
            </w:r>
          </w:p>
        </w:tc>
        <w:tc>
          <w:tcPr>
            <w:tcW w:w="6688" w:type="dxa"/>
            <w:gridSpan w:val="2"/>
            <w:noWrap w:val="0"/>
            <w:vAlign w:val="center"/>
          </w:tcPr>
          <w:p w14:paraId="58842012">
            <w:pPr>
              <w:keepNext w:val="0"/>
              <w:keepLines w:val="0"/>
              <w:widowControl/>
              <w:suppressLineNumbers w:val="0"/>
              <w:jc w:val="center"/>
              <w:textAlignment w:val="center"/>
              <w:rPr>
                <w:rFonts w:hint="default"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85148</w:t>
            </w:r>
          </w:p>
        </w:tc>
      </w:tr>
    </w:tbl>
    <w:p w14:paraId="0213BD84">
      <w:pPr>
        <w:pStyle w:val="45"/>
        <w:numPr>
          <w:ilvl w:val="0"/>
          <w:numId w:val="0"/>
        </w:numPr>
        <w:ind w:firstLine="640" w:firstLineChars="200"/>
        <w:rPr>
          <w:rFonts w:hint="eastAsia" w:ascii="Times New Roman" w:hAnsi="Times New Roman"/>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十、</w:t>
      </w:r>
      <w:r>
        <w:rPr>
          <w:rFonts w:hint="eastAsia" w:ascii="Times New Roman" w:hAnsi="Times New Roman"/>
          <w:color w:val="000000" w:themeColor="text1"/>
          <w:lang w:val="en-US" w:eastAsia="zh-CN"/>
          <w14:textFill>
            <w14:solidFill>
              <w14:schemeClr w14:val="tx1"/>
            </w14:solidFill>
          </w14:textFill>
        </w:rPr>
        <w:t>经费来源</w:t>
      </w:r>
    </w:p>
    <w:p w14:paraId="0943FCBD">
      <w:pPr>
        <w:pStyle w:val="45"/>
        <w:numPr>
          <w:ilvl w:val="0"/>
          <w:numId w:val="0"/>
        </w:numPr>
        <w:ind w:firstLine="640" w:firstLineChars="200"/>
        <w:rPr>
          <w:rFonts w:hint="eastAsia" w:ascii="仿宋" w:hAnsi="仿宋" w:eastAsia="仿宋" w:cs="仿宋"/>
          <w:color w:val="000000" w:themeColor="text1"/>
          <w:kern w:val="2"/>
          <w:sz w:val="32"/>
          <w:szCs w:val="32"/>
          <w:lang w:val="en-US" w:eastAsia="zh-CN" w:bidi="ar-SA"/>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活动总预算85148元，其中师资费、宣讲课堂互动物料费、饮用水费、茶歇费、横幅、交通费、税费及综合管理费共计75548元从</w:t>
      </w:r>
      <w:r>
        <w:rPr>
          <w:rFonts w:hint="default" w:ascii="仿宋" w:hAnsi="仿宋" w:eastAsia="仿宋" w:cs="仿宋"/>
          <w:color w:val="000000" w:themeColor="text1"/>
          <w:kern w:val="2"/>
          <w:sz w:val="32"/>
          <w:szCs w:val="32"/>
          <w:lang w:val="en-US" w:eastAsia="zh-CN" w:bidi="ar-SA"/>
          <w14:textFill>
            <w14:solidFill>
              <w14:schemeClr w14:val="tx1"/>
            </w14:solidFill>
          </w14:textFill>
        </w:rPr>
        <w:t>提前下达中央集中彩票公益金支持社会福利事业专项资金（2024年度）</w:t>
      </w:r>
      <w:r>
        <w:rPr>
          <w:rFonts w:hint="eastAsia" w:ascii="仿宋" w:hAnsi="仿宋" w:eastAsia="仿宋" w:cs="仿宋"/>
          <w:color w:val="000000" w:themeColor="text1"/>
          <w:kern w:val="2"/>
          <w:sz w:val="32"/>
          <w:szCs w:val="32"/>
          <w:lang w:val="en-US" w:eastAsia="zh-CN" w:bidi="ar-SA"/>
          <w14:textFill>
            <w14:solidFill>
              <w14:schemeClr w14:val="tx1"/>
            </w14:solidFill>
          </w14:textFill>
        </w:rPr>
        <w:t>项目中列支；儿童礼品所需资金预算9600元从中央财政2024年困难群众救助补助预算资金项目中列支。</w:t>
      </w:r>
    </w:p>
    <w:p w14:paraId="7FBB3AC9">
      <w:pPr>
        <w:pStyle w:val="45"/>
        <w:numPr>
          <w:ilvl w:val="0"/>
          <w:numId w:val="0"/>
        </w:numPr>
        <w:ind w:firstLine="64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十一、</w:t>
      </w:r>
      <w:r>
        <w:rPr>
          <w:rFonts w:hint="eastAsia"/>
          <w:color w:val="000000" w:themeColor="text1"/>
          <w14:textFill>
            <w14:solidFill>
              <w14:schemeClr w14:val="tx1"/>
            </w14:solidFill>
          </w14:textFill>
        </w:rPr>
        <w:t>工作要求</w:t>
      </w:r>
    </w:p>
    <w:p w14:paraId="6F546634">
      <w:pPr>
        <w:pStyle w:val="46"/>
        <w:numPr>
          <w:ilvl w:val="0"/>
          <w:numId w:val="0"/>
        </w:numPr>
        <w:ind w:firstLine="640" w:firstLineChars="200"/>
        <w:rPr>
          <w:rFonts w:hint="eastAsia" w:ascii="Times New Roman" w:hAnsi="Times New Roman" w:eastAsia="黑体" w:cstheme="minorBidi"/>
          <w:color w:val="000000" w:themeColor="text1"/>
          <w:kern w:val="2"/>
          <w:sz w:val="32"/>
          <w:szCs w:val="32"/>
          <w:lang w:val="en-US" w:eastAsia="zh-CN" w:bidi="ar-SA"/>
          <w14:textFill>
            <w14:solidFill>
              <w14:schemeClr w14:val="tx1"/>
            </w14:solidFill>
          </w14:textFill>
          <w14:ligatures w14:val="standardContextual"/>
        </w:rPr>
      </w:pPr>
      <w:r>
        <w:rPr>
          <w:rFonts w:hint="eastAsia" w:ascii="Times New Roman" w:hAnsi="Times New Roman" w:eastAsia="黑体" w:cstheme="minorBidi"/>
          <w:color w:val="000000" w:themeColor="text1"/>
          <w:kern w:val="2"/>
          <w:sz w:val="32"/>
          <w:szCs w:val="32"/>
          <w:lang w:val="en-US" w:eastAsia="zh-CN" w:bidi="ar-SA"/>
          <w14:textFill>
            <w14:solidFill>
              <w14:schemeClr w14:val="tx1"/>
            </w14:solidFill>
          </w14:textFill>
          <w14:ligatures w14:val="standardContextual"/>
        </w:rPr>
        <w:t>（一）留档材料</w:t>
      </w:r>
    </w:p>
    <w:p w14:paraId="45F2B5C8">
      <w:pPr>
        <w:pStyle w:val="46"/>
        <w:numPr>
          <w:ilvl w:val="0"/>
          <w:numId w:val="0"/>
        </w:numPr>
        <w:ind w:firstLine="64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在成长课堂活动开展过程中，第三方需提供以下佐证材料进行留档：</w:t>
      </w:r>
    </w:p>
    <w:p w14:paraId="4154B506">
      <w:pPr>
        <w:pStyle w:val="46"/>
        <w:numPr>
          <w:ilvl w:val="0"/>
          <w:numId w:val="7"/>
        </w:numP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成长课堂活动教案</w:t>
      </w:r>
    </w:p>
    <w:p w14:paraId="73945D4C">
      <w:pPr>
        <w:pStyle w:val="46"/>
        <w:numPr>
          <w:ilvl w:val="0"/>
          <w:numId w:val="7"/>
        </w:numP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成长课堂活动</w:t>
      </w:r>
      <w:r>
        <w:rPr>
          <w:rFonts w:hint="eastAsia" w:ascii="仿宋" w:hAnsi="仿宋" w:eastAsia="仿宋" w:cs="仿宋"/>
          <w:color w:val="000000" w:themeColor="text1"/>
          <w:lang w:val="en-US" w:eastAsia="zh-CN"/>
          <w14:textFill>
            <w14:solidFill>
              <w14:schemeClr w14:val="tx1"/>
            </w14:solidFill>
          </w14:textFill>
        </w:rPr>
        <w:t>未成年人</w:t>
      </w:r>
      <w:r>
        <w:rPr>
          <w:rFonts w:hint="eastAsia" w:ascii="仿宋" w:hAnsi="仿宋" w:eastAsia="仿宋" w:cs="仿宋"/>
          <w:color w:val="000000" w:themeColor="text1"/>
          <w14:textFill>
            <w14:solidFill>
              <w14:schemeClr w14:val="tx1"/>
            </w14:solidFill>
          </w14:textFill>
        </w:rPr>
        <w:t>签到表</w:t>
      </w:r>
    </w:p>
    <w:p w14:paraId="1995AC06">
      <w:pPr>
        <w:pStyle w:val="46"/>
        <w:numPr>
          <w:ilvl w:val="0"/>
          <w:numId w:val="7"/>
        </w:numP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成长课堂活动工作人员签到表</w:t>
      </w:r>
    </w:p>
    <w:p w14:paraId="4863B190">
      <w:pPr>
        <w:pStyle w:val="46"/>
        <w:numPr>
          <w:ilvl w:val="0"/>
          <w:numId w:val="7"/>
        </w:numP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成长课堂活动</w:t>
      </w:r>
      <w:r>
        <w:rPr>
          <w:rFonts w:hint="eastAsia" w:ascii="仿宋" w:hAnsi="仿宋" w:eastAsia="仿宋" w:cs="仿宋"/>
          <w:color w:val="000000" w:themeColor="text1"/>
          <w:lang w:val="en-US" w:eastAsia="zh-CN"/>
          <w14:textFill>
            <w14:solidFill>
              <w14:schemeClr w14:val="tx1"/>
            </w14:solidFill>
          </w14:textFill>
        </w:rPr>
        <w:t>礼品</w:t>
      </w:r>
      <w:r>
        <w:rPr>
          <w:rFonts w:hint="eastAsia" w:ascii="仿宋" w:hAnsi="仿宋" w:eastAsia="仿宋" w:cs="仿宋"/>
          <w:color w:val="000000" w:themeColor="text1"/>
          <w14:textFill>
            <w14:solidFill>
              <w14:schemeClr w14:val="tx1"/>
            </w14:solidFill>
          </w14:textFill>
        </w:rPr>
        <w:t>领取表</w:t>
      </w:r>
    </w:p>
    <w:p w14:paraId="6D0687E2">
      <w:pPr>
        <w:pStyle w:val="46"/>
        <w:numPr>
          <w:ilvl w:val="0"/>
          <w:numId w:val="7"/>
        </w:numP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成长课堂活动奖品领取表</w:t>
      </w:r>
    </w:p>
    <w:p w14:paraId="7564D525">
      <w:pPr>
        <w:pStyle w:val="46"/>
        <w:numPr>
          <w:ilvl w:val="0"/>
          <w:numId w:val="7"/>
        </w:numP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成长课堂活动过程照片</w:t>
      </w:r>
    </w:p>
    <w:p w14:paraId="2CDAC580">
      <w:pPr>
        <w:pStyle w:val="46"/>
        <w:numPr>
          <w:ilvl w:val="0"/>
          <w:numId w:val="7"/>
        </w:numP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成长课堂活动物资发票及清单复印件</w:t>
      </w:r>
    </w:p>
    <w:p w14:paraId="0A6B54B5">
      <w:pPr>
        <w:pStyle w:val="46"/>
        <w:numPr>
          <w:ilvl w:val="0"/>
          <w:numId w:val="7"/>
        </w:numP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授课老师及助教名单及授课老师个人资质证书</w:t>
      </w:r>
    </w:p>
    <w:p w14:paraId="776E3FBF">
      <w:pPr>
        <w:pStyle w:val="46"/>
        <w:numPr>
          <w:ilvl w:val="0"/>
          <w:numId w:val="7"/>
        </w:numP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成长课堂活动总结</w:t>
      </w:r>
    </w:p>
    <w:p w14:paraId="47F60FF7">
      <w:pPr>
        <w:pStyle w:val="46"/>
        <w:numPr>
          <w:ilvl w:val="0"/>
          <w:numId w:val="0"/>
        </w:numPr>
        <w:ind w:left="640" w:leftChars="0"/>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10.</w:t>
      </w:r>
      <w:r>
        <w:rPr>
          <w:rFonts w:hint="eastAsia" w:ascii="仿宋" w:hAnsi="仿宋" w:eastAsia="仿宋" w:cs="仿宋"/>
          <w:color w:val="000000" w:themeColor="text1"/>
          <w14:textFill>
            <w14:solidFill>
              <w14:schemeClr w14:val="tx1"/>
            </w14:solidFill>
          </w14:textFill>
        </w:rPr>
        <w:t>成长课堂活动新闻稿</w:t>
      </w:r>
      <w:r>
        <w:rPr>
          <w:rFonts w:hint="eastAsia" w:ascii="仿宋" w:hAnsi="仿宋" w:eastAsia="仿宋" w:cs="仿宋"/>
          <w:color w:val="000000" w:themeColor="text1"/>
          <w:lang w:val="en-US" w:eastAsia="zh-CN"/>
          <w14:textFill>
            <w14:solidFill>
              <w14:schemeClr w14:val="tx1"/>
            </w14:solidFill>
          </w14:textFill>
        </w:rPr>
        <w:t>一</w:t>
      </w:r>
      <w:r>
        <w:rPr>
          <w:rFonts w:hint="eastAsia" w:ascii="仿宋" w:hAnsi="仿宋" w:eastAsia="仿宋" w:cs="仿宋"/>
          <w:color w:val="000000" w:themeColor="text1"/>
          <w14:textFill>
            <w14:solidFill>
              <w14:schemeClr w14:val="tx1"/>
            </w14:solidFill>
          </w14:textFill>
        </w:rPr>
        <w:t>篇</w:t>
      </w:r>
    </w:p>
    <w:p w14:paraId="7C354758">
      <w:pPr>
        <w:pStyle w:val="46"/>
        <w:numPr>
          <w:ilvl w:val="0"/>
          <w:numId w:val="0"/>
        </w:numPr>
        <w:ind w:firstLine="640" w:firstLineChars="200"/>
        <w:rPr>
          <w:rFonts w:hint="eastAsia" w:ascii="Times New Roman" w:hAnsi="Times New Roman" w:eastAsia="黑体" w:cstheme="minorBidi"/>
          <w:color w:val="000000" w:themeColor="text1"/>
          <w:kern w:val="2"/>
          <w:sz w:val="32"/>
          <w:szCs w:val="32"/>
          <w:lang w:val="en-US" w:eastAsia="zh-CN" w:bidi="ar-SA"/>
          <w14:textFill>
            <w14:solidFill>
              <w14:schemeClr w14:val="tx1"/>
            </w14:solidFill>
          </w14:textFill>
          <w14:ligatures w14:val="standardContextual"/>
        </w:rPr>
      </w:pPr>
      <w:r>
        <w:rPr>
          <w:rFonts w:hint="eastAsia" w:ascii="Times New Roman" w:hAnsi="Times New Roman" w:eastAsia="黑体" w:cstheme="minorBidi"/>
          <w:color w:val="000000" w:themeColor="text1"/>
          <w:kern w:val="2"/>
          <w:sz w:val="32"/>
          <w:szCs w:val="32"/>
          <w:lang w:val="en-US" w:eastAsia="zh-CN" w:bidi="ar-SA"/>
          <w14:textFill>
            <w14:solidFill>
              <w14:schemeClr w14:val="tx1"/>
            </w14:solidFill>
          </w14:textFill>
          <w14:ligatures w14:val="standardContextual"/>
        </w:rPr>
        <w:t>（二）注意安全</w:t>
      </w:r>
    </w:p>
    <w:p w14:paraId="1F44C8D1">
      <w:pPr>
        <w:spacing w:line="360" w:lineRule="auto"/>
        <w:ind w:firstLine="640" w:firstLineChars="200"/>
        <w:rPr>
          <w:rFonts w:hint="eastAsia"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z w:val="32"/>
          <w:szCs w:val="32"/>
          <w14:textFill>
            <w14:solidFill>
              <w14:schemeClr w14:val="tx1"/>
            </w14:solidFill>
          </w14:textFill>
        </w:rPr>
        <w:t>在成长课堂的进行过程中，必须特别关注参与者的个人安全，包括确保活动中的交通出行安全。课程结束后，确保将孩子们安全地交还给他们的监护人，并且严格执行交接程序。在活动进行期间，工作人员应迅速采取恰当的措施，妥善应对各种紧急情况，确保孩子们的安全得到切实保障。</w:t>
      </w:r>
      <w:r>
        <w:rPr>
          <w:rFonts w:hint="eastAsia" w:ascii="仿宋" w:hAnsi="仿宋" w:eastAsia="仿宋" w:cs="仿宋"/>
          <w:color w:val="000000" w:themeColor="text1"/>
          <w:sz w:val="32"/>
          <w:szCs w:val="32"/>
          <w14:textFill>
            <w14:solidFill>
              <w14:schemeClr w14:val="tx1"/>
            </w14:solidFill>
          </w14:textFill>
        </w:rPr>
        <w:t xml:space="preserve"> </w:t>
      </w:r>
    </w:p>
    <w:p w14:paraId="685D1EA3">
      <w:pPr>
        <w:pStyle w:val="46"/>
        <w:numPr>
          <w:ilvl w:val="0"/>
          <w:numId w:val="0"/>
        </w:numPr>
        <w:ind w:firstLine="640" w:firstLineChars="200"/>
        <w:rPr>
          <w:rFonts w:hint="eastAsia" w:ascii="Times New Roman" w:hAnsi="Times New Roman" w:eastAsia="黑体" w:cstheme="minorBidi"/>
          <w:color w:val="000000" w:themeColor="text1"/>
          <w:kern w:val="2"/>
          <w:sz w:val="32"/>
          <w:szCs w:val="32"/>
          <w:lang w:val="en-US" w:eastAsia="zh-CN" w:bidi="ar-SA"/>
          <w14:textFill>
            <w14:solidFill>
              <w14:schemeClr w14:val="tx1"/>
            </w14:solidFill>
          </w14:textFill>
          <w14:ligatures w14:val="standardContextual"/>
        </w:rPr>
      </w:pPr>
      <w:r>
        <w:rPr>
          <w:rFonts w:hint="eastAsia" w:ascii="Times New Roman" w:hAnsi="Times New Roman" w:eastAsia="黑体" w:cstheme="minorBidi"/>
          <w:color w:val="000000" w:themeColor="text1"/>
          <w:kern w:val="2"/>
          <w:sz w:val="32"/>
          <w:szCs w:val="32"/>
          <w:lang w:val="en-US" w:eastAsia="zh-CN" w:bidi="ar-SA"/>
          <w14:textFill>
            <w14:solidFill>
              <w14:schemeClr w14:val="tx1"/>
            </w14:solidFill>
          </w14:textFill>
          <w14:ligatures w14:val="standardContextual"/>
        </w:rPr>
        <w:t>（三）遵守纪律</w:t>
      </w:r>
    </w:p>
    <w:p w14:paraId="5538BFFD">
      <w:pPr>
        <w:spacing w:line="360" w:lineRule="auto"/>
        <w:ind w:firstLine="640" w:firstLineChars="200"/>
        <w:rPr>
          <w:rFonts w:hint="eastAsia"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z w:val="32"/>
          <w:szCs w:val="32"/>
          <w14:textFill>
            <w14:solidFill>
              <w14:schemeClr w14:val="tx1"/>
            </w14:solidFill>
          </w14:textFill>
        </w:rPr>
        <w:t>在孩子参与成长课堂活动的过程中，必须重视课堂纪律，遵循助教和主讲老师的规定。若孩子感到身体不适，应立即通知老师。同时，活动工作人员应自觉遵守保密原则，严禁在未经允许的情况下向外界透露服务对象的个人信息、活动照片以及活动细节等。</w:t>
      </w:r>
      <w:r>
        <w:rPr>
          <w:rFonts w:hint="eastAsia" w:ascii="仿宋" w:hAnsi="仿宋" w:eastAsia="仿宋" w:cs="仿宋"/>
          <w:color w:val="000000" w:themeColor="text1"/>
          <w:sz w:val="32"/>
          <w:szCs w:val="32"/>
          <w14:textFill>
            <w14:solidFill>
              <w14:schemeClr w14:val="tx1"/>
            </w14:solidFill>
          </w14:textFill>
        </w:rPr>
        <w:t xml:space="preserve"> </w:t>
      </w:r>
    </w:p>
    <w:p w14:paraId="2AB18616">
      <w:pPr>
        <w:pStyle w:val="45"/>
        <w:numPr>
          <w:ilvl w:val="0"/>
          <w:numId w:val="0"/>
        </w:numPr>
        <w:ind w:firstLine="64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十二、</w:t>
      </w:r>
      <w:r>
        <w:rPr>
          <w:rFonts w:hint="eastAsia"/>
          <w:color w:val="000000" w:themeColor="text1"/>
          <w14:textFill>
            <w14:solidFill>
              <w14:schemeClr w14:val="tx1"/>
            </w14:solidFill>
          </w14:textFill>
        </w:rPr>
        <w:t>主办和协办单位</w:t>
      </w:r>
    </w:p>
    <w:p w14:paraId="39AFD9BB">
      <w:pPr>
        <w:spacing w:line="360" w:lineRule="auto"/>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主办单位:韶关市民政局、韶关市未成年人救助保护中心、各县(市、区)民政局。</w:t>
      </w:r>
    </w:p>
    <w:p w14:paraId="67B0E088">
      <w:pPr>
        <w:spacing w:line="360" w:lineRule="auto"/>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协办单位:镇(街)村(居)。</w:t>
      </w:r>
    </w:p>
    <w:p w14:paraId="5CCC37DF">
      <w:pPr>
        <w:spacing w:line="360" w:lineRule="auto"/>
        <w:ind w:firstLine="640" w:firstLineChars="200"/>
        <w:rPr>
          <w:rFonts w:ascii="仿宋" w:hAnsi="仿宋" w:eastAsia="仿宋" w:cs="仿宋"/>
          <w:color w:val="000000" w:themeColor="text1"/>
          <w:sz w:val="32"/>
          <w:szCs w:val="32"/>
          <w14:textFill>
            <w14:solidFill>
              <w14:schemeClr w14:val="tx1"/>
            </w14:solidFill>
          </w14:textFill>
        </w:rPr>
      </w:pPr>
    </w:p>
    <w:p w14:paraId="3A12708F">
      <w:pPr>
        <w:spacing w:line="360" w:lineRule="auto"/>
        <w:ind w:firstLine="3200" w:firstLineChars="10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韶关市未成年人救助保护中心</w:t>
      </w:r>
    </w:p>
    <w:p w14:paraId="7DFF485A">
      <w:pPr>
        <w:pStyle w:val="21"/>
        <w:ind w:firstLine="4160" w:firstLineChars="1300"/>
        <w:jc w:val="both"/>
        <w:rPr>
          <w:rFonts w:hint="default" w:ascii="仿宋" w:hAnsi="仿宋" w:eastAsia="仿宋" w:cs="仿宋"/>
          <w:b w:val="0"/>
          <w:bCs w:val="0"/>
          <w:color w:val="000000" w:themeColor="text1"/>
          <w:kern w:val="2"/>
          <w:sz w:val="32"/>
          <w:szCs w:val="32"/>
          <w:lang w:val="en-US" w:eastAsia="zh-CN" w:bidi="ar-SA"/>
          <w14:textFill>
            <w14:solidFill>
              <w14:schemeClr w14:val="tx1"/>
            </w14:solidFill>
          </w14:textFill>
          <w14:ligatures w14:val="standardContextua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14:ligatures w14:val="standardContextual"/>
        </w:rPr>
        <w:t>2026年7月1日</w:t>
      </w:r>
    </w:p>
    <w:bookmarkEnd w:id="0"/>
    <w:sectPr>
      <w:footerReference r:id="rId3" w:type="default"/>
      <w:pgSz w:w="11907" w:h="16840"/>
      <w:pgMar w:top="1440" w:right="1797" w:bottom="1440" w:left="1797" w:header="851" w:footer="992" w:gutter="0"/>
      <w:cols w:space="425" w:num="1"/>
      <w:docGrid w:type="lines" w:linePitch="321" w:charSpace="6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国标宋体-超大字符集扩">
    <w:panose1 w:val="000005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等线 Light">
    <w:altName w:val="C059"/>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519E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FB6E9D">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FB6E9D">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600px;height:356px" o:bullet="t">
        <v:imagedata r:id="rId1" o:title=""/>
      </v:shape>
    </w:pict>
  </w:numPicBullet>
  <w:abstractNum w:abstractNumId="0">
    <w:nsid w:val="B2D7D5B2"/>
    <w:multiLevelType w:val="singleLevel"/>
    <w:tmpl w:val="B2D7D5B2"/>
    <w:lvl w:ilvl="0" w:tentative="0">
      <w:start w:val="1"/>
      <w:numFmt w:val="chineseCounting"/>
      <w:pStyle w:val="46"/>
      <w:suff w:val="nothing"/>
      <w:lvlText w:val="（%1）"/>
      <w:lvlJc w:val="left"/>
      <w:pPr>
        <w:ind w:left="0" w:firstLine="0"/>
      </w:pPr>
      <w:rPr>
        <w:rFonts w:hint="eastAsia"/>
      </w:rPr>
    </w:lvl>
  </w:abstractNum>
  <w:abstractNum w:abstractNumId="1">
    <w:nsid w:val="BBF4A830"/>
    <w:multiLevelType w:val="singleLevel"/>
    <w:tmpl w:val="BBF4A830"/>
    <w:lvl w:ilvl="0" w:tentative="0">
      <w:start w:val="1"/>
      <w:numFmt w:val="decimal"/>
      <w:pStyle w:val="48"/>
      <w:suff w:val="nothing"/>
      <w:lvlText w:val="（%1）"/>
      <w:lvlJc w:val="left"/>
      <w:pPr>
        <w:ind w:left="0" w:firstLine="0"/>
      </w:pPr>
      <w:rPr>
        <w:rFonts w:hint="default"/>
      </w:rPr>
    </w:lvl>
  </w:abstractNum>
  <w:abstractNum w:abstractNumId="2">
    <w:nsid w:val="BD1A4BDA"/>
    <w:multiLevelType w:val="singleLevel"/>
    <w:tmpl w:val="BD1A4BDA"/>
    <w:lvl w:ilvl="0" w:tentative="0">
      <w:start w:val="1"/>
      <w:numFmt w:val="decimal"/>
      <w:pStyle w:val="47"/>
      <w:suff w:val="nothing"/>
      <w:lvlText w:val="%1."/>
      <w:lvlJc w:val="left"/>
      <w:pPr>
        <w:ind w:left="0" w:firstLine="0"/>
      </w:pPr>
      <w:rPr>
        <w:rFonts w:hint="default"/>
      </w:rPr>
    </w:lvl>
  </w:abstractNum>
  <w:abstractNum w:abstractNumId="3">
    <w:nsid w:val="2B116B20"/>
    <w:multiLevelType w:val="multilevel"/>
    <w:tmpl w:val="2B116B20"/>
    <w:lvl w:ilvl="0" w:tentative="0">
      <w:start w:val="1"/>
      <w:numFmt w:val="decimal"/>
      <w:lvlText w:val="%1."/>
      <w:lvlJc w:val="left"/>
      <w:pPr>
        <w:ind w:left="1000" w:hanging="36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4">
    <w:nsid w:val="4C268AA8"/>
    <w:multiLevelType w:val="singleLevel"/>
    <w:tmpl w:val="4C268AA8"/>
    <w:lvl w:ilvl="0" w:tentative="0">
      <w:start w:val="1"/>
      <w:numFmt w:val="chineseCounting"/>
      <w:pStyle w:val="45"/>
      <w:suff w:val="nothing"/>
      <w:lvlText w:val="%1、"/>
      <w:lvlJc w:val="left"/>
      <w:pPr>
        <w:ind w:left="0" w:firstLine="0"/>
      </w:pPr>
      <w:rPr>
        <w:rFonts w:hint="eastAsia"/>
      </w:rPr>
    </w:lvl>
  </w:abstractNum>
  <w:abstractNum w:abstractNumId="5">
    <w:nsid w:val="7E415E2D"/>
    <w:multiLevelType w:val="multilevel"/>
    <w:tmpl w:val="7E415E2D"/>
    <w:lvl w:ilvl="0" w:tentative="0">
      <w:start w:val="1"/>
      <w:numFmt w:val="bullet"/>
      <w:pStyle w:val="24"/>
      <w:lvlText w:val=""/>
      <w:lvlPicBulletId w:val="0"/>
      <w:lvlJc w:val="left"/>
      <w:pPr>
        <w:ind w:left="420" w:hanging="420"/>
      </w:pPr>
      <w:rPr>
        <w:rFonts w:hint="default" w:ascii="Symbol" w:hAnsi="Symbol"/>
        <w:color w:val="auto"/>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num w:numId="1">
    <w:abstractNumId w:val="5"/>
  </w:num>
  <w:num w:numId="2">
    <w:abstractNumId w:val="4"/>
  </w:num>
  <w:num w:numId="3">
    <w:abstractNumId w:val="0"/>
  </w:num>
  <w:num w:numId="4">
    <w:abstractNumId w:val="2"/>
  </w:num>
  <w:num w:numId="5">
    <w:abstractNumId w:val="1"/>
  </w:num>
  <w:num w:numId="6">
    <w:abstractNumId w:val="0"/>
    <w:lvlOverride w:ilvl="0">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FmM2EzZmYxMGVkNGQ4ZTlmMTQ5ZGEzMDgwMTY4ODYifQ=="/>
  </w:docVars>
  <w:rsids>
    <w:rsidRoot w:val="00A35E2D"/>
    <w:rsid w:val="000121D1"/>
    <w:rsid w:val="000545F5"/>
    <w:rsid w:val="000A72D5"/>
    <w:rsid w:val="000B5DAE"/>
    <w:rsid w:val="001000FB"/>
    <w:rsid w:val="001045CE"/>
    <w:rsid w:val="00122464"/>
    <w:rsid w:val="00141F7B"/>
    <w:rsid w:val="00143A83"/>
    <w:rsid w:val="00191E8A"/>
    <w:rsid w:val="001D23F5"/>
    <w:rsid w:val="001E306B"/>
    <w:rsid w:val="001F58A8"/>
    <w:rsid w:val="00207154"/>
    <w:rsid w:val="00254685"/>
    <w:rsid w:val="0027474A"/>
    <w:rsid w:val="002907FE"/>
    <w:rsid w:val="0029372B"/>
    <w:rsid w:val="002D3F28"/>
    <w:rsid w:val="002E0F16"/>
    <w:rsid w:val="002F55D5"/>
    <w:rsid w:val="003727A7"/>
    <w:rsid w:val="00386AEC"/>
    <w:rsid w:val="003C115C"/>
    <w:rsid w:val="003E30D6"/>
    <w:rsid w:val="003F334A"/>
    <w:rsid w:val="003F43DE"/>
    <w:rsid w:val="004161CD"/>
    <w:rsid w:val="004712C0"/>
    <w:rsid w:val="00481283"/>
    <w:rsid w:val="0049795A"/>
    <w:rsid w:val="004B2BF8"/>
    <w:rsid w:val="004B68B9"/>
    <w:rsid w:val="00553DBF"/>
    <w:rsid w:val="00561BE3"/>
    <w:rsid w:val="00577BFD"/>
    <w:rsid w:val="00595FDE"/>
    <w:rsid w:val="006105C1"/>
    <w:rsid w:val="00642ACB"/>
    <w:rsid w:val="00654E3E"/>
    <w:rsid w:val="00694DF0"/>
    <w:rsid w:val="006F080C"/>
    <w:rsid w:val="00763F7B"/>
    <w:rsid w:val="00775DB1"/>
    <w:rsid w:val="00780545"/>
    <w:rsid w:val="007A4540"/>
    <w:rsid w:val="0082535D"/>
    <w:rsid w:val="00871898"/>
    <w:rsid w:val="0089443C"/>
    <w:rsid w:val="008C5F72"/>
    <w:rsid w:val="008D2AA8"/>
    <w:rsid w:val="008D340F"/>
    <w:rsid w:val="00905CD3"/>
    <w:rsid w:val="00916896"/>
    <w:rsid w:val="00982796"/>
    <w:rsid w:val="00995E95"/>
    <w:rsid w:val="009D4556"/>
    <w:rsid w:val="00A266EA"/>
    <w:rsid w:val="00A35E2D"/>
    <w:rsid w:val="00A85571"/>
    <w:rsid w:val="00AB5C09"/>
    <w:rsid w:val="00AD3CCB"/>
    <w:rsid w:val="00B51F6E"/>
    <w:rsid w:val="00B6491F"/>
    <w:rsid w:val="00B83AA1"/>
    <w:rsid w:val="00B869C8"/>
    <w:rsid w:val="00B909F9"/>
    <w:rsid w:val="00BB32CC"/>
    <w:rsid w:val="00BD41C0"/>
    <w:rsid w:val="00BE5BAA"/>
    <w:rsid w:val="00BF0AEC"/>
    <w:rsid w:val="00C532E5"/>
    <w:rsid w:val="00C558C5"/>
    <w:rsid w:val="00C835B0"/>
    <w:rsid w:val="00C944B0"/>
    <w:rsid w:val="00CD4F92"/>
    <w:rsid w:val="00CE1F57"/>
    <w:rsid w:val="00CE52EE"/>
    <w:rsid w:val="00CE73D2"/>
    <w:rsid w:val="00CF650C"/>
    <w:rsid w:val="00D01765"/>
    <w:rsid w:val="00D653CC"/>
    <w:rsid w:val="00D90470"/>
    <w:rsid w:val="00DC65CD"/>
    <w:rsid w:val="00E02397"/>
    <w:rsid w:val="00E17727"/>
    <w:rsid w:val="00E93D78"/>
    <w:rsid w:val="00EA235F"/>
    <w:rsid w:val="00EE3E27"/>
    <w:rsid w:val="00EF38BA"/>
    <w:rsid w:val="00F4582B"/>
    <w:rsid w:val="00F77AF6"/>
    <w:rsid w:val="00FA1CAA"/>
    <w:rsid w:val="00FB1DFF"/>
    <w:rsid w:val="00FB2565"/>
    <w:rsid w:val="0136732D"/>
    <w:rsid w:val="02532161"/>
    <w:rsid w:val="03240D29"/>
    <w:rsid w:val="035A307B"/>
    <w:rsid w:val="03F11C32"/>
    <w:rsid w:val="05571444"/>
    <w:rsid w:val="062E2CC9"/>
    <w:rsid w:val="08A96637"/>
    <w:rsid w:val="08B73A59"/>
    <w:rsid w:val="090A5A61"/>
    <w:rsid w:val="09EF276F"/>
    <w:rsid w:val="0BFB2D57"/>
    <w:rsid w:val="0CC933B7"/>
    <w:rsid w:val="0DEB76F2"/>
    <w:rsid w:val="0DF26CD2"/>
    <w:rsid w:val="0E547096"/>
    <w:rsid w:val="0F53554E"/>
    <w:rsid w:val="101E7C05"/>
    <w:rsid w:val="1077526D"/>
    <w:rsid w:val="110929CD"/>
    <w:rsid w:val="11551A52"/>
    <w:rsid w:val="11716160"/>
    <w:rsid w:val="11AB1672"/>
    <w:rsid w:val="12525F91"/>
    <w:rsid w:val="13625F73"/>
    <w:rsid w:val="13A24CF6"/>
    <w:rsid w:val="13CC4249"/>
    <w:rsid w:val="1481490C"/>
    <w:rsid w:val="148443FC"/>
    <w:rsid w:val="14E76E65"/>
    <w:rsid w:val="15DB004C"/>
    <w:rsid w:val="16565448"/>
    <w:rsid w:val="1672275E"/>
    <w:rsid w:val="16C1240B"/>
    <w:rsid w:val="185F0CFA"/>
    <w:rsid w:val="18822A00"/>
    <w:rsid w:val="18BE612E"/>
    <w:rsid w:val="193006AE"/>
    <w:rsid w:val="19434886"/>
    <w:rsid w:val="19570331"/>
    <w:rsid w:val="19C07C84"/>
    <w:rsid w:val="1A4F57EF"/>
    <w:rsid w:val="1CEE4B08"/>
    <w:rsid w:val="1D3C4961"/>
    <w:rsid w:val="1E764DB5"/>
    <w:rsid w:val="1EEB7551"/>
    <w:rsid w:val="20967991"/>
    <w:rsid w:val="20983709"/>
    <w:rsid w:val="20B32785"/>
    <w:rsid w:val="20E406FC"/>
    <w:rsid w:val="233D2346"/>
    <w:rsid w:val="235F050E"/>
    <w:rsid w:val="23C95987"/>
    <w:rsid w:val="23CB6940"/>
    <w:rsid w:val="23DA1943"/>
    <w:rsid w:val="243A0633"/>
    <w:rsid w:val="24942439"/>
    <w:rsid w:val="252217F3"/>
    <w:rsid w:val="26CD04E6"/>
    <w:rsid w:val="2751016E"/>
    <w:rsid w:val="29037B8D"/>
    <w:rsid w:val="29437F8A"/>
    <w:rsid w:val="29C46232"/>
    <w:rsid w:val="2A582313"/>
    <w:rsid w:val="2A756869"/>
    <w:rsid w:val="2C1874AC"/>
    <w:rsid w:val="2C87796B"/>
    <w:rsid w:val="2CFC5020"/>
    <w:rsid w:val="2E093550"/>
    <w:rsid w:val="2E70537D"/>
    <w:rsid w:val="2EA25753"/>
    <w:rsid w:val="2FA641FC"/>
    <w:rsid w:val="3078676B"/>
    <w:rsid w:val="30C776F3"/>
    <w:rsid w:val="312F5922"/>
    <w:rsid w:val="32180206"/>
    <w:rsid w:val="33C10429"/>
    <w:rsid w:val="359C2EFC"/>
    <w:rsid w:val="35D501BC"/>
    <w:rsid w:val="35DE1766"/>
    <w:rsid w:val="35E84393"/>
    <w:rsid w:val="385478DB"/>
    <w:rsid w:val="38A071A7"/>
    <w:rsid w:val="39AC4133"/>
    <w:rsid w:val="3AEA64B7"/>
    <w:rsid w:val="3B3140E6"/>
    <w:rsid w:val="3B9023D8"/>
    <w:rsid w:val="3BEA6050"/>
    <w:rsid w:val="3C011D0B"/>
    <w:rsid w:val="3C8446EA"/>
    <w:rsid w:val="3CCA5F9E"/>
    <w:rsid w:val="3D54230E"/>
    <w:rsid w:val="3FE3B510"/>
    <w:rsid w:val="40860A30"/>
    <w:rsid w:val="40B25CC9"/>
    <w:rsid w:val="41483D32"/>
    <w:rsid w:val="41684496"/>
    <w:rsid w:val="41E41EB2"/>
    <w:rsid w:val="43560B8E"/>
    <w:rsid w:val="43F02200"/>
    <w:rsid w:val="447D214A"/>
    <w:rsid w:val="44F92119"/>
    <w:rsid w:val="48284AC3"/>
    <w:rsid w:val="48335942"/>
    <w:rsid w:val="4A653DAC"/>
    <w:rsid w:val="4AB75DDA"/>
    <w:rsid w:val="4C485734"/>
    <w:rsid w:val="4CE0771A"/>
    <w:rsid w:val="4E402B66"/>
    <w:rsid w:val="4EE259CC"/>
    <w:rsid w:val="4FDB610F"/>
    <w:rsid w:val="50096F88"/>
    <w:rsid w:val="50C17863"/>
    <w:rsid w:val="5196484B"/>
    <w:rsid w:val="51AF604B"/>
    <w:rsid w:val="530E3233"/>
    <w:rsid w:val="53397B84"/>
    <w:rsid w:val="53A2397B"/>
    <w:rsid w:val="55173EF5"/>
    <w:rsid w:val="55F14746"/>
    <w:rsid w:val="575C02E5"/>
    <w:rsid w:val="57F4051E"/>
    <w:rsid w:val="58DF2F7C"/>
    <w:rsid w:val="591E5852"/>
    <w:rsid w:val="592D1F39"/>
    <w:rsid w:val="5A90452E"/>
    <w:rsid w:val="5ADF3707"/>
    <w:rsid w:val="5CA93FCD"/>
    <w:rsid w:val="5CB43170"/>
    <w:rsid w:val="5DD45079"/>
    <w:rsid w:val="5E323B4E"/>
    <w:rsid w:val="5F0E45BB"/>
    <w:rsid w:val="5F797C86"/>
    <w:rsid w:val="5FBC7B73"/>
    <w:rsid w:val="60011A2A"/>
    <w:rsid w:val="60770DA3"/>
    <w:rsid w:val="62E23D94"/>
    <w:rsid w:val="647D7B67"/>
    <w:rsid w:val="64B733BE"/>
    <w:rsid w:val="66083B12"/>
    <w:rsid w:val="6615622F"/>
    <w:rsid w:val="68572B2F"/>
    <w:rsid w:val="68C61A62"/>
    <w:rsid w:val="6C700663"/>
    <w:rsid w:val="6D875C64"/>
    <w:rsid w:val="6E9028F6"/>
    <w:rsid w:val="6FB2689C"/>
    <w:rsid w:val="700417EE"/>
    <w:rsid w:val="700C2451"/>
    <w:rsid w:val="70CC1BE0"/>
    <w:rsid w:val="70EC5DDE"/>
    <w:rsid w:val="731004AA"/>
    <w:rsid w:val="738467A2"/>
    <w:rsid w:val="74DB0643"/>
    <w:rsid w:val="7621477C"/>
    <w:rsid w:val="76C92E49"/>
    <w:rsid w:val="76DB492B"/>
    <w:rsid w:val="77514BED"/>
    <w:rsid w:val="77DB72D8"/>
    <w:rsid w:val="78A376CA"/>
    <w:rsid w:val="792738CF"/>
    <w:rsid w:val="79CA11DC"/>
    <w:rsid w:val="79D00993"/>
    <w:rsid w:val="79E61F64"/>
    <w:rsid w:val="7AD87AFF"/>
    <w:rsid w:val="7CE22165"/>
    <w:rsid w:val="7DA95783"/>
    <w:rsid w:val="7DCE51E9"/>
    <w:rsid w:val="7E1C41A7"/>
    <w:rsid w:val="7E3233CB"/>
    <w:rsid w:val="7F271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22"/>
    <w:autoRedefine/>
    <w:qFormat/>
    <w:uiPriority w:val="9"/>
    <w:pPr>
      <w:keepNext/>
      <w:pBdr>
        <w:bottom w:val="single" w:color="auto" w:sz="18" w:space="1"/>
      </w:pBdr>
      <w:snapToGrid w:val="0"/>
      <w:spacing w:before="50" w:beforeLines="50" w:after="50" w:afterLines="50"/>
      <w:outlineLvl w:val="0"/>
    </w:pPr>
    <w:rPr>
      <w:rFonts w:ascii="Arial" w:hAnsi="Arial" w:eastAsia="微软雅黑"/>
      <w:b/>
      <w:sz w:val="32"/>
    </w:rPr>
  </w:style>
  <w:style w:type="paragraph" w:styleId="3">
    <w:name w:val="heading 2"/>
    <w:basedOn w:val="1"/>
    <w:next w:val="1"/>
    <w:link w:val="23"/>
    <w:autoRedefine/>
    <w:unhideWhenUsed/>
    <w:qFormat/>
    <w:uiPriority w:val="9"/>
    <w:pPr>
      <w:keepNext/>
      <w:pBdr>
        <w:left w:val="single" w:color="auto" w:sz="24" w:space="0"/>
      </w:pBdr>
      <w:snapToGrid w:val="0"/>
      <w:spacing w:before="50" w:beforeLines="50" w:after="50" w:afterLines="50"/>
      <w:ind w:left="80" w:leftChars="80"/>
      <w:outlineLvl w:val="1"/>
    </w:pPr>
    <w:rPr>
      <w:rFonts w:ascii="Arial" w:hAnsi="Arial" w:eastAsia="微软雅黑"/>
      <w:b/>
      <w:sz w:val="28"/>
      <w:szCs w:val="30"/>
    </w:rPr>
  </w:style>
  <w:style w:type="paragraph" w:styleId="4">
    <w:name w:val="heading 3"/>
    <w:basedOn w:val="1"/>
    <w:next w:val="1"/>
    <w:link w:val="25"/>
    <w:autoRedefine/>
    <w:unhideWhenUsed/>
    <w:qFormat/>
    <w:uiPriority w:val="9"/>
    <w:pPr>
      <w:keepNext/>
      <w:snapToGrid w:val="0"/>
      <w:spacing w:before="50" w:beforeLines="50" w:after="50" w:afterLines="50"/>
      <w:outlineLvl w:val="2"/>
    </w:pPr>
    <w:rPr>
      <w:rFonts w:ascii="Arial" w:hAnsi="Arial" w:eastAsia="微软雅黑"/>
      <w:b/>
      <w:sz w:val="24"/>
    </w:rPr>
  </w:style>
  <w:style w:type="paragraph" w:styleId="5">
    <w:name w:val="heading 4"/>
    <w:basedOn w:val="1"/>
    <w:next w:val="1"/>
    <w:link w:val="30"/>
    <w:autoRedefine/>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1"/>
    <w:autoRedefine/>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32"/>
    <w:autoRedefine/>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33"/>
    <w:autoRedefine/>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4"/>
    <w:autoRedefine/>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5"/>
    <w:autoRedefine/>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11">
    <w:name w:val="footer"/>
    <w:basedOn w:val="1"/>
    <w:link w:val="28"/>
    <w:autoRedefine/>
    <w:unhideWhenUsed/>
    <w:qFormat/>
    <w:uiPriority w:val="99"/>
    <w:pPr>
      <w:tabs>
        <w:tab w:val="center" w:pos="4153"/>
        <w:tab w:val="right" w:pos="8306"/>
      </w:tabs>
      <w:snapToGrid w:val="0"/>
      <w:jc w:val="left"/>
    </w:pPr>
    <w:rPr>
      <w:sz w:val="18"/>
      <w:szCs w:val="18"/>
    </w:rPr>
  </w:style>
  <w:style w:type="paragraph" w:styleId="12">
    <w:name w:val="header"/>
    <w:basedOn w:val="1"/>
    <w:link w:val="2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37"/>
    <w:autoRedefine/>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link w:val="36"/>
    <w:autoRedefine/>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uiPriority w:val="0"/>
    <w:rPr>
      <w:b/>
    </w:rPr>
  </w:style>
  <w:style w:type="character" w:styleId="20">
    <w:name w:val="Hyperlink"/>
    <w:basedOn w:val="18"/>
    <w:autoRedefine/>
    <w:unhideWhenUsed/>
    <w:qFormat/>
    <w:uiPriority w:val="99"/>
    <w:rPr>
      <w:color w:val="467886" w:themeColor="hyperlink"/>
      <w:u w:val="single"/>
      <w14:textFill>
        <w14:solidFill>
          <w14:schemeClr w14:val="hlink"/>
        </w14:solidFill>
      </w14:textFill>
    </w:rPr>
  </w:style>
  <w:style w:type="paragraph" w:customStyle="1" w:styleId="21">
    <w:name w:val="BodyText"/>
    <w:basedOn w:val="1"/>
    <w:next w:val="1"/>
    <w:autoRedefine/>
    <w:qFormat/>
    <w:uiPriority w:val="0"/>
    <w:pPr>
      <w:ind w:right="-26"/>
      <w:jc w:val="center"/>
    </w:pPr>
    <w:rPr>
      <w:rFonts w:ascii="Times New Roman" w:hAnsi="Times New Roman" w:cs="Times New Roman"/>
      <w:b/>
      <w:bCs/>
      <w:kern w:val="2"/>
      <w:sz w:val="84"/>
      <w:szCs w:val="84"/>
      <w:lang w:val="zh-CN"/>
    </w:rPr>
  </w:style>
  <w:style w:type="character" w:customStyle="1" w:styleId="22">
    <w:name w:val="标题 1 字符"/>
    <w:basedOn w:val="18"/>
    <w:link w:val="2"/>
    <w:autoRedefine/>
    <w:qFormat/>
    <w:uiPriority w:val="9"/>
    <w:rPr>
      <w:rFonts w:ascii="Arial" w:hAnsi="Arial" w:eastAsia="微软雅黑"/>
      <w:b/>
      <w:sz w:val="32"/>
      <w14:ligatures w14:val="none"/>
    </w:rPr>
  </w:style>
  <w:style w:type="character" w:customStyle="1" w:styleId="23">
    <w:name w:val="标题 2 字符"/>
    <w:basedOn w:val="18"/>
    <w:link w:val="3"/>
    <w:autoRedefine/>
    <w:qFormat/>
    <w:uiPriority w:val="9"/>
    <w:rPr>
      <w:rFonts w:ascii="Arial" w:hAnsi="Arial" w:eastAsia="微软雅黑"/>
      <w:b/>
      <w:sz w:val="28"/>
      <w:szCs w:val="30"/>
      <w14:ligatures w14:val="none"/>
    </w:rPr>
  </w:style>
  <w:style w:type="paragraph" w:customStyle="1" w:styleId="24">
    <w:name w:val="项目符号列表"/>
    <w:autoRedefine/>
    <w:qFormat/>
    <w:uiPriority w:val="0"/>
    <w:pPr>
      <w:numPr>
        <w:ilvl w:val="0"/>
        <w:numId w:val="1"/>
      </w:numPr>
      <w:spacing w:before="50" w:beforeLines="50" w:after="50" w:afterLines="50"/>
    </w:pPr>
    <w:rPr>
      <w:rFonts w:asciiTheme="minorHAnsi" w:hAnsiTheme="minorHAnsi" w:eastAsiaTheme="minorEastAsia" w:cstheme="minorBidi"/>
      <w:kern w:val="2"/>
      <w:sz w:val="21"/>
      <w:szCs w:val="22"/>
      <w:lang w:val="en-US" w:eastAsia="zh-CN" w:bidi="ar-SA"/>
      <w14:ligatures w14:val="standardContextual"/>
    </w:rPr>
  </w:style>
  <w:style w:type="character" w:customStyle="1" w:styleId="25">
    <w:name w:val="标题 3 字符"/>
    <w:basedOn w:val="18"/>
    <w:link w:val="4"/>
    <w:autoRedefine/>
    <w:qFormat/>
    <w:uiPriority w:val="9"/>
    <w:rPr>
      <w:rFonts w:ascii="Arial" w:hAnsi="Arial" w:eastAsia="微软雅黑"/>
      <w:b/>
      <w:sz w:val="24"/>
      <w14:ligatures w14:val="none"/>
    </w:rPr>
  </w:style>
  <w:style w:type="paragraph" w:customStyle="1" w:styleId="26">
    <w:name w:val="附件正文"/>
    <w:link w:val="27"/>
    <w:autoRedefine/>
    <w:qFormat/>
    <w:uiPriority w:val="0"/>
    <w:pPr>
      <w:spacing w:after="60" w:line="276" w:lineRule="auto"/>
      <w:ind w:firstLine="200" w:firstLineChars="200"/>
      <w:jc w:val="both"/>
    </w:pPr>
    <w:rPr>
      <w:rFonts w:asciiTheme="minorHAnsi" w:hAnsiTheme="minorHAnsi" w:eastAsiaTheme="minorEastAsia" w:cstheme="minorBidi"/>
      <w:sz w:val="21"/>
      <w:szCs w:val="22"/>
      <w:lang w:val="en-US" w:eastAsia="zh-CN" w:bidi="ar-SA"/>
      <w14:ligatures w14:val="standardContextual"/>
    </w:rPr>
  </w:style>
  <w:style w:type="character" w:customStyle="1" w:styleId="27">
    <w:name w:val="附件正文 Char"/>
    <w:basedOn w:val="18"/>
    <w:link w:val="26"/>
    <w:autoRedefine/>
    <w:qFormat/>
    <w:uiPriority w:val="0"/>
    <w:rPr>
      <w:kern w:val="0"/>
    </w:rPr>
  </w:style>
  <w:style w:type="character" w:customStyle="1" w:styleId="28">
    <w:name w:val="页脚 字符"/>
    <w:basedOn w:val="18"/>
    <w:link w:val="11"/>
    <w:autoRedefine/>
    <w:qFormat/>
    <w:uiPriority w:val="99"/>
    <w:rPr>
      <w:sz w:val="18"/>
      <w:szCs w:val="18"/>
      <w14:ligatures w14:val="none"/>
    </w:rPr>
  </w:style>
  <w:style w:type="character" w:customStyle="1" w:styleId="29">
    <w:name w:val="页眉 字符"/>
    <w:basedOn w:val="18"/>
    <w:link w:val="12"/>
    <w:autoRedefine/>
    <w:qFormat/>
    <w:uiPriority w:val="99"/>
    <w:rPr>
      <w:sz w:val="18"/>
      <w:szCs w:val="18"/>
      <w14:ligatures w14:val="none"/>
    </w:rPr>
  </w:style>
  <w:style w:type="character" w:customStyle="1" w:styleId="30">
    <w:name w:val="标题 4 字符"/>
    <w:basedOn w:val="18"/>
    <w:link w:val="5"/>
    <w:autoRedefine/>
    <w:semiHidden/>
    <w:qFormat/>
    <w:uiPriority w:val="9"/>
    <w:rPr>
      <w:rFonts w:cstheme="majorBidi"/>
      <w:color w:val="104862" w:themeColor="accent1" w:themeShade="BF"/>
      <w:sz w:val="28"/>
      <w:szCs w:val="28"/>
    </w:rPr>
  </w:style>
  <w:style w:type="character" w:customStyle="1" w:styleId="31">
    <w:name w:val="标题 5 字符"/>
    <w:basedOn w:val="18"/>
    <w:link w:val="6"/>
    <w:autoRedefine/>
    <w:semiHidden/>
    <w:qFormat/>
    <w:uiPriority w:val="9"/>
    <w:rPr>
      <w:rFonts w:cstheme="majorBidi"/>
      <w:color w:val="104862" w:themeColor="accent1" w:themeShade="BF"/>
      <w:sz w:val="24"/>
      <w:szCs w:val="24"/>
    </w:rPr>
  </w:style>
  <w:style w:type="character" w:customStyle="1" w:styleId="32">
    <w:name w:val="标题 6 字符"/>
    <w:basedOn w:val="18"/>
    <w:link w:val="7"/>
    <w:autoRedefine/>
    <w:semiHidden/>
    <w:qFormat/>
    <w:uiPriority w:val="9"/>
    <w:rPr>
      <w:rFonts w:cstheme="majorBidi"/>
      <w:b/>
      <w:bCs/>
      <w:color w:val="104862" w:themeColor="accent1" w:themeShade="BF"/>
    </w:rPr>
  </w:style>
  <w:style w:type="character" w:customStyle="1" w:styleId="33">
    <w:name w:val="标题 7 字符"/>
    <w:basedOn w:val="18"/>
    <w:link w:val="8"/>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4">
    <w:name w:val="标题 8 字符"/>
    <w:basedOn w:val="18"/>
    <w:link w:val="9"/>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5">
    <w:name w:val="标题 9 字符"/>
    <w:basedOn w:val="18"/>
    <w:link w:val="10"/>
    <w:autoRedefine/>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6">
    <w:name w:val="标题 字符"/>
    <w:basedOn w:val="18"/>
    <w:link w:val="15"/>
    <w:autoRedefine/>
    <w:qFormat/>
    <w:uiPriority w:val="10"/>
    <w:rPr>
      <w:rFonts w:asciiTheme="majorHAnsi" w:hAnsiTheme="majorHAnsi" w:eastAsiaTheme="majorEastAsia" w:cstheme="majorBidi"/>
      <w:spacing w:val="-10"/>
      <w:kern w:val="28"/>
      <w:sz w:val="56"/>
      <w:szCs w:val="56"/>
    </w:rPr>
  </w:style>
  <w:style w:type="character" w:customStyle="1" w:styleId="37">
    <w:name w:val="副标题 字符"/>
    <w:basedOn w:val="18"/>
    <w:link w:val="13"/>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8">
    <w:name w:val="Quote"/>
    <w:basedOn w:val="1"/>
    <w:next w:val="1"/>
    <w:link w:val="39"/>
    <w:autoRedefine/>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9">
    <w:name w:val="引用 字符"/>
    <w:basedOn w:val="18"/>
    <w:link w:val="38"/>
    <w:autoRedefine/>
    <w:qFormat/>
    <w:uiPriority w:val="29"/>
    <w:rPr>
      <w:i/>
      <w:iCs/>
      <w:color w:val="404040" w:themeColor="text1" w:themeTint="BF"/>
      <w14:textFill>
        <w14:solidFill>
          <w14:schemeClr w14:val="tx1">
            <w14:lumMod w14:val="75000"/>
            <w14:lumOff w14:val="25000"/>
          </w14:schemeClr>
        </w14:solidFill>
      </w14:textFill>
    </w:rPr>
  </w:style>
  <w:style w:type="paragraph" w:styleId="40">
    <w:name w:val="List Paragraph"/>
    <w:basedOn w:val="1"/>
    <w:autoRedefine/>
    <w:qFormat/>
    <w:uiPriority w:val="34"/>
    <w:pPr>
      <w:ind w:left="720"/>
      <w:contextualSpacing/>
    </w:pPr>
  </w:style>
  <w:style w:type="character" w:customStyle="1" w:styleId="41">
    <w:name w:val="明显强调1"/>
    <w:basedOn w:val="18"/>
    <w:autoRedefine/>
    <w:qFormat/>
    <w:uiPriority w:val="21"/>
    <w:rPr>
      <w:i/>
      <w:iCs/>
      <w:color w:val="104862" w:themeColor="accent1" w:themeShade="BF"/>
    </w:rPr>
  </w:style>
  <w:style w:type="paragraph" w:styleId="42">
    <w:name w:val="Intense Quote"/>
    <w:basedOn w:val="1"/>
    <w:next w:val="1"/>
    <w:link w:val="43"/>
    <w:autoRedefine/>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3">
    <w:name w:val="明显引用 字符"/>
    <w:basedOn w:val="18"/>
    <w:link w:val="42"/>
    <w:autoRedefine/>
    <w:qFormat/>
    <w:uiPriority w:val="30"/>
    <w:rPr>
      <w:i/>
      <w:iCs/>
      <w:color w:val="104862" w:themeColor="accent1" w:themeShade="BF"/>
    </w:rPr>
  </w:style>
  <w:style w:type="character" w:customStyle="1" w:styleId="44">
    <w:name w:val="明显参考1"/>
    <w:basedOn w:val="18"/>
    <w:autoRedefine/>
    <w:qFormat/>
    <w:uiPriority w:val="32"/>
    <w:rPr>
      <w:b/>
      <w:bCs/>
      <w:smallCaps/>
      <w:color w:val="104862" w:themeColor="accent1" w:themeShade="BF"/>
      <w:spacing w:val="5"/>
    </w:rPr>
  </w:style>
  <w:style w:type="paragraph" w:customStyle="1" w:styleId="45">
    <w:name w:val="公文编号 1"/>
    <w:basedOn w:val="1"/>
    <w:autoRedefine/>
    <w:qFormat/>
    <w:uiPriority w:val="0"/>
    <w:pPr>
      <w:numPr>
        <w:ilvl w:val="0"/>
        <w:numId w:val="2"/>
      </w:numPr>
      <w:overflowPunct w:val="0"/>
      <w:topLinePunct/>
      <w:outlineLvl w:val="0"/>
    </w:pPr>
    <w:rPr>
      <w:rFonts w:ascii="Times New Roman" w:hAnsi="Times New Roman" w:eastAsia="黑体"/>
      <w:sz w:val="32"/>
      <w:szCs w:val="32"/>
    </w:rPr>
  </w:style>
  <w:style w:type="paragraph" w:customStyle="1" w:styleId="46">
    <w:name w:val="公文编号 2"/>
    <w:basedOn w:val="1"/>
    <w:autoRedefine/>
    <w:qFormat/>
    <w:uiPriority w:val="0"/>
    <w:pPr>
      <w:numPr>
        <w:ilvl w:val="0"/>
        <w:numId w:val="3"/>
      </w:numPr>
      <w:overflowPunct w:val="0"/>
      <w:topLinePunct/>
      <w:outlineLvl w:val="1"/>
    </w:pPr>
    <w:rPr>
      <w:rFonts w:ascii="Times New Roman" w:hAnsi="Times New Roman" w:eastAsia="楷体"/>
      <w:sz w:val="32"/>
      <w:szCs w:val="32"/>
    </w:rPr>
  </w:style>
  <w:style w:type="paragraph" w:customStyle="1" w:styleId="47">
    <w:name w:val="公文编号 3"/>
    <w:basedOn w:val="1"/>
    <w:autoRedefine/>
    <w:qFormat/>
    <w:uiPriority w:val="0"/>
    <w:pPr>
      <w:numPr>
        <w:ilvl w:val="0"/>
        <w:numId w:val="4"/>
      </w:numPr>
      <w:overflowPunct w:val="0"/>
      <w:topLinePunct/>
      <w:outlineLvl w:val="2"/>
    </w:pPr>
    <w:rPr>
      <w:rFonts w:ascii="Times New Roman" w:hAnsi="Times New Roman" w:eastAsia="仿宋"/>
      <w:sz w:val="32"/>
      <w:szCs w:val="32"/>
    </w:rPr>
  </w:style>
  <w:style w:type="paragraph" w:customStyle="1" w:styleId="48">
    <w:name w:val="公文编号 4"/>
    <w:basedOn w:val="1"/>
    <w:autoRedefine/>
    <w:qFormat/>
    <w:uiPriority w:val="0"/>
    <w:pPr>
      <w:numPr>
        <w:ilvl w:val="0"/>
        <w:numId w:val="5"/>
      </w:numPr>
      <w:overflowPunct w:val="0"/>
      <w:topLinePunct/>
      <w:outlineLvl w:val="3"/>
    </w:pPr>
    <w:rPr>
      <w:rFonts w:ascii="Times New Roman" w:hAnsi="Times New Roman" w:eastAsia="仿宋"/>
      <w:sz w:val="32"/>
      <w:szCs w:val="32"/>
    </w:rPr>
  </w:style>
  <w:style w:type="character" w:customStyle="1" w:styleId="49">
    <w:name w:val="未处理的提及1"/>
    <w:basedOn w:val="18"/>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9ED870-2117-4BB0-BBB7-C26732764DF8}">
  <ds:schemaRefs/>
</ds:datastoreItem>
</file>

<file path=docProps/app.xml><?xml version="1.0" encoding="utf-8"?>
<Properties xmlns="http://schemas.openxmlformats.org/officeDocument/2006/extended-properties" xmlns:vt="http://schemas.openxmlformats.org/officeDocument/2006/docPropsVTypes">
  <Template>Normal</Template>
  <Pages>7</Pages>
  <Words>2705</Words>
  <Characters>2901</Characters>
  <Lines>19</Lines>
  <Paragraphs>5</Paragraphs>
  <TotalTime>6</TotalTime>
  <ScaleCrop>false</ScaleCrop>
  <LinksUpToDate>false</LinksUpToDate>
  <CharactersWithSpaces>2907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2025-03-29T20:50:00Z</dcterms:created>
  <dc:creator>展鹏 林</dc:creator>
  <cp:lastModifiedBy>平心吴建林</cp:lastModifiedBy>
  <cp:lastPrinted>2025-03-25T13:30:00Z</cp:lastPrinted>
  <dcterms:modified xsi:type="dcterms:W3CDTF">2026-07-28T13:37:46Z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eyJoZGlkIjoiNzc0MWE1NGE5N2M0YjU1ZWJiOTEyNjc5YzM3NTFmMDQiLCJ1c2VySWQiOiIzNjE5MTU2NjAifQ==</vt:lpwstr>
  </property>
  <property fmtid="{D5CDD505-2E9C-101B-9397-08002B2CF9AE}" pid="3" name="KSOProductBuildVer">
    <vt:lpwstr>2052-12.8.2.1119</vt:lpwstr>
  </property>
  <property fmtid="{D5CDD505-2E9C-101B-9397-08002B2CF9AE}" pid="4" name="ICV">
    <vt:lpwstr>E53FA5E6EE5D416BBC26ADF0AD3058CA_13</vt:lpwstr>
  </property>
</Properties>
</file>