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27992">
      <w:pPr>
        <w:spacing w:line="560" w:lineRule="exact"/>
        <w:jc w:val="center"/>
        <w:rPr>
          <w:rFonts w:hint="eastAsia" w:ascii="方正小标宋简体" w:hAnsi="方正小标宋简体" w:eastAsia="方正小标宋简体" w:cs="方正小标宋简体"/>
          <w:sz w:val="44"/>
          <w:szCs w:val="44"/>
        </w:rPr>
      </w:pPr>
    </w:p>
    <w:p w14:paraId="1CEE8C11">
      <w:pPr>
        <w:spacing w:line="560" w:lineRule="exact"/>
        <w:jc w:val="center"/>
        <w:rPr>
          <w:rFonts w:hint="eastAsia" w:ascii="方正小标宋简体" w:hAnsi="方正小标宋简体" w:eastAsia="方正小标宋简体" w:cs="方正小标宋简体"/>
          <w:sz w:val="44"/>
          <w:szCs w:val="44"/>
        </w:rPr>
      </w:pPr>
    </w:p>
    <w:p w14:paraId="06801A3B">
      <w:pPr>
        <w:spacing w:line="560" w:lineRule="exact"/>
        <w:jc w:val="center"/>
        <w:rPr>
          <w:rFonts w:hint="eastAsia" w:ascii="方正小标宋简体" w:hAnsi="方正小标宋简体" w:eastAsia="方正小标宋简体" w:cs="方正小标宋简体"/>
          <w:sz w:val="44"/>
          <w:szCs w:val="44"/>
        </w:rPr>
      </w:pPr>
    </w:p>
    <w:p w14:paraId="7B7B09CB">
      <w:pPr>
        <w:spacing w:line="560" w:lineRule="exact"/>
        <w:jc w:val="center"/>
        <w:rPr>
          <w:rFonts w:hint="eastAsia" w:ascii="方正小标宋简体" w:hAnsi="方正小标宋简体" w:eastAsia="方正小标宋简体" w:cs="方正小标宋简体"/>
          <w:sz w:val="44"/>
          <w:szCs w:val="44"/>
        </w:rPr>
      </w:pPr>
    </w:p>
    <w:p w14:paraId="3A33B213">
      <w:pPr>
        <w:spacing w:line="276" w:lineRule="auto"/>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韶关市综合交通运输“十五五”发展规划</w:t>
      </w:r>
    </w:p>
    <w:p w14:paraId="6C434A28">
      <w:pPr>
        <w:spacing w:line="276"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ascii="方正小标宋简体" w:hAnsi="方正小标宋简体" w:eastAsia="方正小标宋简体" w:cs="方正小标宋简体"/>
          <w:sz w:val="44"/>
          <w:szCs w:val="44"/>
        </w:rPr>
        <w:t>公众咨询稿</w:t>
      </w:r>
      <w:r>
        <w:rPr>
          <w:rFonts w:hint="eastAsia" w:ascii="方正小标宋简体" w:hAnsi="方正小标宋简体" w:eastAsia="方正小标宋简体" w:cs="方正小标宋简体"/>
          <w:sz w:val="44"/>
          <w:szCs w:val="44"/>
        </w:rPr>
        <w:t>）</w:t>
      </w:r>
    </w:p>
    <w:p w14:paraId="6C80D6C4">
      <w:pPr>
        <w:spacing w:line="560" w:lineRule="exact"/>
        <w:jc w:val="center"/>
        <w:rPr>
          <w:rFonts w:hint="eastAsia" w:ascii="方正小标宋简体" w:hAnsi="方正小标宋简体" w:eastAsia="方正小标宋简体" w:cs="方正小标宋简体"/>
          <w:sz w:val="44"/>
          <w:szCs w:val="44"/>
        </w:rPr>
      </w:pPr>
    </w:p>
    <w:p w14:paraId="25BC0F52">
      <w:pPr>
        <w:spacing w:line="560" w:lineRule="exact"/>
        <w:jc w:val="center"/>
        <w:rPr>
          <w:rFonts w:hint="eastAsia" w:ascii="方正小标宋简体" w:hAnsi="方正小标宋简体" w:eastAsia="方正小标宋简体" w:cs="方正小标宋简体"/>
          <w:sz w:val="44"/>
          <w:szCs w:val="44"/>
        </w:rPr>
      </w:pPr>
    </w:p>
    <w:p w14:paraId="3AA488D8">
      <w:pPr>
        <w:spacing w:line="560" w:lineRule="exact"/>
        <w:jc w:val="center"/>
        <w:rPr>
          <w:rFonts w:hint="eastAsia" w:ascii="方正小标宋简体" w:hAnsi="方正小标宋简体" w:eastAsia="方正小标宋简体" w:cs="方正小标宋简体"/>
          <w:sz w:val="44"/>
          <w:szCs w:val="44"/>
        </w:rPr>
      </w:pPr>
    </w:p>
    <w:p w14:paraId="552287F5">
      <w:pPr>
        <w:spacing w:line="560" w:lineRule="exact"/>
        <w:jc w:val="center"/>
        <w:rPr>
          <w:rFonts w:hint="eastAsia" w:ascii="方正小标宋简体" w:hAnsi="方正小标宋简体" w:eastAsia="方正小标宋简体" w:cs="方正小标宋简体"/>
          <w:sz w:val="44"/>
          <w:szCs w:val="44"/>
        </w:rPr>
      </w:pPr>
    </w:p>
    <w:p w14:paraId="28C69267">
      <w:pPr>
        <w:spacing w:line="560" w:lineRule="exact"/>
        <w:jc w:val="center"/>
        <w:rPr>
          <w:rFonts w:hint="eastAsia" w:ascii="方正小标宋简体" w:hAnsi="方正小标宋简体" w:eastAsia="方正小标宋简体" w:cs="方正小标宋简体"/>
          <w:sz w:val="44"/>
          <w:szCs w:val="44"/>
        </w:rPr>
      </w:pPr>
    </w:p>
    <w:p w14:paraId="64EB4F6F">
      <w:pPr>
        <w:spacing w:line="560" w:lineRule="exact"/>
        <w:jc w:val="center"/>
        <w:rPr>
          <w:rFonts w:hint="eastAsia" w:ascii="方正小标宋简体" w:hAnsi="方正小标宋简体" w:eastAsia="方正小标宋简体" w:cs="方正小标宋简体"/>
          <w:sz w:val="44"/>
          <w:szCs w:val="44"/>
        </w:rPr>
      </w:pPr>
    </w:p>
    <w:p w14:paraId="3253433F">
      <w:pPr>
        <w:spacing w:line="560" w:lineRule="exact"/>
        <w:jc w:val="center"/>
        <w:rPr>
          <w:rFonts w:hint="eastAsia" w:ascii="方正小标宋简体" w:hAnsi="方正小标宋简体" w:eastAsia="方正小标宋简体" w:cs="方正小标宋简体"/>
          <w:sz w:val="44"/>
          <w:szCs w:val="44"/>
        </w:rPr>
      </w:pPr>
    </w:p>
    <w:p w14:paraId="3F478D45">
      <w:pPr>
        <w:spacing w:line="560" w:lineRule="exact"/>
        <w:jc w:val="center"/>
        <w:rPr>
          <w:rFonts w:hint="eastAsia" w:ascii="方正小标宋简体" w:hAnsi="方正小标宋简体" w:eastAsia="方正小标宋简体" w:cs="方正小标宋简体"/>
          <w:sz w:val="44"/>
          <w:szCs w:val="44"/>
        </w:rPr>
      </w:pPr>
    </w:p>
    <w:p w14:paraId="3703718D">
      <w:pPr>
        <w:spacing w:line="560" w:lineRule="exact"/>
        <w:jc w:val="center"/>
        <w:rPr>
          <w:rFonts w:hint="eastAsia" w:ascii="方正小标宋简体" w:hAnsi="方正小标宋简体" w:eastAsia="方正小标宋简体" w:cs="方正小标宋简体"/>
          <w:sz w:val="44"/>
          <w:szCs w:val="44"/>
        </w:rPr>
      </w:pPr>
    </w:p>
    <w:p w14:paraId="1A27EDC4">
      <w:pPr>
        <w:spacing w:line="560" w:lineRule="exact"/>
        <w:jc w:val="center"/>
        <w:rPr>
          <w:rFonts w:hint="eastAsia" w:ascii="方正小标宋简体" w:hAnsi="方正小标宋简体" w:eastAsia="方正小标宋简体" w:cs="方正小标宋简体"/>
          <w:sz w:val="44"/>
          <w:szCs w:val="44"/>
        </w:rPr>
      </w:pPr>
    </w:p>
    <w:p w14:paraId="08D92CE2">
      <w:pPr>
        <w:spacing w:line="560" w:lineRule="exact"/>
        <w:jc w:val="center"/>
        <w:rPr>
          <w:rFonts w:hint="eastAsia" w:ascii="方正小标宋简体" w:hAnsi="方正小标宋简体" w:eastAsia="方正小标宋简体" w:cs="方正小标宋简体"/>
          <w:sz w:val="44"/>
          <w:szCs w:val="44"/>
        </w:rPr>
      </w:pPr>
    </w:p>
    <w:p w14:paraId="0E9B81D1">
      <w:pPr>
        <w:spacing w:line="560" w:lineRule="exact"/>
        <w:jc w:val="center"/>
        <w:rPr>
          <w:rFonts w:hint="eastAsia" w:ascii="方正小标宋简体" w:hAnsi="方正小标宋简体" w:eastAsia="方正小标宋简体" w:cs="方正小标宋简体"/>
          <w:sz w:val="44"/>
          <w:szCs w:val="44"/>
        </w:rPr>
      </w:pPr>
    </w:p>
    <w:p w14:paraId="7ECFECBD">
      <w:pPr>
        <w:jc w:val="center"/>
        <w:rPr>
          <w:rFonts w:hint="eastAsia"/>
          <w:b/>
          <w:bCs/>
        </w:rPr>
      </w:pPr>
      <w:r>
        <w:rPr>
          <w:rFonts w:hint="eastAsia"/>
          <w:b/>
          <w:bCs/>
        </w:rPr>
        <w:t>韶关市交通运输局</w:t>
      </w:r>
    </w:p>
    <w:p w14:paraId="09BA093F">
      <w:pPr>
        <w:jc w:val="center"/>
        <w:rPr>
          <w:rFonts w:hint="eastAsia" w:ascii="方正小标宋简体" w:hAnsi="方正小标宋简体" w:eastAsia="方正小标宋简体" w:cs="方正小标宋简体"/>
          <w:b/>
          <w:bCs/>
          <w:sz w:val="44"/>
          <w:szCs w:val="44"/>
        </w:rPr>
      </w:pPr>
      <w:r>
        <w:rPr>
          <w:rFonts w:hint="eastAsia"/>
          <w:b/>
          <w:bCs/>
        </w:rPr>
        <w:t>2026年7月</w:t>
      </w:r>
    </w:p>
    <w:p w14:paraId="41016FA8">
      <w:pPr>
        <w:spacing w:line="560" w:lineRule="exact"/>
        <w:jc w:val="center"/>
        <w:rPr>
          <w:rFonts w:hint="eastAsia" w:ascii="方正小标宋简体" w:hAnsi="方正小标宋简体" w:eastAsia="方正小标宋简体" w:cs="方正小标宋简体"/>
          <w:sz w:val="44"/>
          <w:szCs w:val="44"/>
        </w:rPr>
        <w:sectPr>
          <w:footerReference r:id="rId4" w:type="default"/>
          <w:pgSz w:w="11906" w:h="16838"/>
          <w:pgMar w:top="1418" w:right="1134" w:bottom="1418" w:left="1134" w:header="851" w:footer="851" w:gutter="0"/>
          <w:cols w:space="425" w:num="1"/>
          <w:docGrid w:type="lines" w:linePitch="312" w:charSpace="0"/>
        </w:sectPr>
      </w:pPr>
    </w:p>
    <w:p w14:paraId="6F255B97">
      <w:pPr>
        <w:jc w:val="center"/>
        <w:rPr>
          <w:rFonts w:hint="eastAsia" w:ascii="黑体" w:hAnsi="黑体" w:eastAsia="黑体"/>
        </w:rPr>
      </w:pPr>
    </w:p>
    <w:p w14:paraId="0737AEB6">
      <w:pPr>
        <w:jc w:val="center"/>
        <w:rPr>
          <w:rFonts w:hint="eastAsia" w:ascii="黑体" w:hAnsi="黑体" w:eastAsia="黑体"/>
          <w:sz w:val="40"/>
          <w:szCs w:val="40"/>
        </w:rPr>
      </w:pPr>
      <w:r>
        <w:rPr>
          <w:rFonts w:hint="eastAsia" w:ascii="黑体" w:hAnsi="黑体" w:eastAsia="黑体"/>
          <w:sz w:val="40"/>
          <w:szCs w:val="40"/>
        </w:rPr>
        <w:t>目  录</w:t>
      </w:r>
    </w:p>
    <w:p w14:paraId="7E364385">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rPr>
          <w:rFonts w:hint="eastAsia" w:ascii="仿宋_GB2312" w:hAnsi="黑体" w:eastAsia="仿宋_GB2312"/>
          <w:sz w:val="32"/>
          <w:szCs w:val="32"/>
        </w:rPr>
        <w:fldChar w:fldCharType="begin"/>
      </w:r>
      <w:r>
        <w:rPr>
          <w:rFonts w:hint="eastAsia" w:ascii="仿宋_GB2312" w:hAnsi="黑体" w:eastAsia="仿宋_GB2312"/>
          <w:sz w:val="32"/>
          <w:szCs w:val="32"/>
        </w:rPr>
        <w:instrText xml:space="preserve"> TOC \o "1-2" \h \z \u </w:instrText>
      </w:r>
      <w:r>
        <w:rPr>
          <w:rFonts w:hint="eastAsia" w:ascii="仿宋_GB2312" w:hAnsi="黑体" w:eastAsia="仿宋_GB2312"/>
          <w:sz w:val="32"/>
          <w:szCs w:val="32"/>
        </w:rPr>
        <w:fldChar w:fldCharType="separate"/>
      </w:r>
      <w:r>
        <w:fldChar w:fldCharType="begin"/>
      </w:r>
      <w:r>
        <w:instrText xml:space="preserve"> HYPERLINK \l "_Toc236065632" </w:instrText>
      </w:r>
      <w:r>
        <w:fldChar w:fldCharType="separate"/>
      </w:r>
      <w:r>
        <w:rPr>
          <w:rStyle w:val="31"/>
          <w:rFonts w:hint="eastAsia" w:ascii="仿宋_GB2312" w:hAnsi="黑体" w:eastAsia="仿宋_GB2312" w:cs="Times New Roman"/>
          <w:sz w:val="32"/>
          <w:szCs w:val="32"/>
          <w:lang w:val="zh-CN"/>
        </w:rPr>
        <w:t>一、规划概述</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_Toc236065632 \h </w:instrText>
      </w:r>
      <w:r>
        <w:rPr>
          <w:rFonts w:hint="eastAsia" w:ascii="仿宋_GB2312" w:eastAsia="仿宋_GB2312"/>
          <w:sz w:val="32"/>
          <w:szCs w:val="32"/>
        </w:rPr>
        <w:fldChar w:fldCharType="separate"/>
      </w:r>
      <w:r>
        <w:rPr>
          <w:rFonts w:hint="eastAsia" w:ascii="仿宋_GB2312" w:eastAsia="仿宋_GB2312"/>
          <w:sz w:val="32"/>
          <w:szCs w:val="32"/>
        </w:rPr>
        <w:t>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02C9497E">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"_Toc236065633" </w:instrText>
      </w:r>
      <w:r>
        <w:fldChar w:fldCharType="separate"/>
      </w:r>
      <w:r>
        <w:rPr>
          <w:rStyle w:val="31"/>
          <w:rFonts w:hint="eastAsia" w:ascii="仿宋_GB2312" w:hAnsi="黑体" w:eastAsia="仿宋_GB2312" w:cs="Times New Roman"/>
          <w:sz w:val="32"/>
          <w:szCs w:val="32"/>
          <w:lang w:val="zh-CN"/>
        </w:rPr>
        <w:t>二、发展目标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_Toc236065633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7F152A21">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"_Toc236065634" </w:instrText>
      </w:r>
      <w:r>
        <w:fldChar w:fldCharType="separate"/>
      </w:r>
      <w:r>
        <w:rPr>
          <w:rStyle w:val="31"/>
          <w:rFonts w:hint="eastAsia" w:ascii="仿宋_GB2312" w:eastAsia="仿宋_GB2312"/>
          <w:b/>
          <w:bCs/>
          <w:sz w:val="32"/>
          <w:szCs w:val="32"/>
        </w:rPr>
        <w:t>（一）指导思想。</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_Toc236065634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69FE3F81">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"_Toc236065635" </w:instrText>
      </w:r>
      <w:r>
        <w:fldChar w:fldCharType="separate"/>
      </w:r>
      <w:r>
        <w:rPr>
          <w:rStyle w:val="31"/>
          <w:rFonts w:hint="eastAsia" w:ascii="仿宋_GB2312" w:eastAsia="仿宋_GB2312"/>
          <w:b/>
          <w:bCs/>
          <w:sz w:val="32"/>
          <w:szCs w:val="32"/>
        </w:rPr>
        <w:t>（二）发展原则。</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_Toc236065635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59D73105">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"_Toc236065636" </w:instrText>
      </w:r>
      <w:r>
        <w:fldChar w:fldCharType="separate"/>
      </w:r>
      <w:r>
        <w:rPr>
          <w:rStyle w:val="31"/>
          <w:rFonts w:hint="eastAsia" w:ascii="仿宋_GB2312" w:eastAsia="仿宋_GB2312"/>
          <w:b/>
          <w:bCs/>
          <w:sz w:val="32"/>
          <w:szCs w:val="32"/>
        </w:rPr>
        <w:t>（三）发展目标。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_Toc236065636 \h </w:instrText>
      </w:r>
      <w:r>
        <w:rPr>
          <w:rFonts w:hint="eastAsia" w:ascii="仿宋_GB2312" w:eastAsia="仿宋_GB2312"/>
          <w:sz w:val="32"/>
          <w:szCs w:val="32"/>
        </w:rPr>
        <w:fldChar w:fldCharType="separate"/>
      </w:r>
      <w:r>
        <w:rPr>
          <w:rFonts w:hint="eastAsia" w:ascii="仿宋_GB2312" w:eastAsia="仿宋_GB2312"/>
          <w:sz w:val="32"/>
          <w:szCs w:val="32"/>
        </w:rPr>
        <w:t>3</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F808201">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"_Toc236065637" </w:instrText>
      </w:r>
      <w:r>
        <w:fldChar w:fldCharType="separate"/>
      </w:r>
      <w:r>
        <w:rPr>
          <w:rStyle w:val="31"/>
          <w:rFonts w:hint="eastAsia" w:ascii="仿宋_GB2312" w:hAnsi="黑体" w:eastAsia="仿宋_GB2312" w:cs="Times New Roman"/>
          <w:sz w:val="32"/>
          <w:szCs w:val="32"/>
          <w:lang w:val="zh-CN"/>
        </w:rPr>
        <w:t>三、巩固增强“水陆空”三港功能</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_Toc236065637 \h </w:instrText>
      </w:r>
      <w:r>
        <w:rPr>
          <w:rFonts w:hint="eastAsia" w:ascii="仿宋_GB2312" w:eastAsia="仿宋_GB2312"/>
          <w:sz w:val="32"/>
          <w:szCs w:val="32"/>
        </w:rPr>
        <w:fldChar w:fldCharType="separate"/>
      </w:r>
      <w:r>
        <w:rPr>
          <w:rFonts w:hint="eastAsia" w:ascii="仿宋_GB2312" w:eastAsia="仿宋_GB2312"/>
          <w:sz w:val="32"/>
          <w:szCs w:val="32"/>
        </w:rPr>
        <w:t>4</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70083D7F">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"_Toc236065638" </w:instrText>
      </w:r>
      <w:r>
        <w:fldChar w:fldCharType="separate"/>
      </w:r>
      <w:r>
        <w:rPr>
          <w:rStyle w:val="31"/>
          <w:rFonts w:hint="eastAsia" w:ascii="仿宋_GB2312" w:eastAsia="仿宋_GB2312" w:cs="宋体"/>
          <w:b/>
          <w:kern w:val="0"/>
          <w:sz w:val="32"/>
          <w:szCs w:val="32"/>
        </w:rPr>
        <w:t>（一）建设河港枢纽门户。</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_Toc236065638 \h </w:instrText>
      </w:r>
      <w:r>
        <w:rPr>
          <w:rFonts w:hint="eastAsia" w:ascii="仿宋_GB2312" w:eastAsia="仿宋_GB2312"/>
          <w:sz w:val="32"/>
          <w:szCs w:val="32"/>
        </w:rPr>
        <w:fldChar w:fldCharType="separate"/>
      </w:r>
      <w:r>
        <w:rPr>
          <w:rFonts w:hint="eastAsia" w:ascii="仿宋_GB2312" w:eastAsia="仿宋_GB2312"/>
          <w:sz w:val="32"/>
          <w:szCs w:val="32"/>
        </w:rPr>
        <w:t>4</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072C28E0">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"_Toc236065639" </w:instrText>
      </w:r>
      <w:r>
        <w:fldChar w:fldCharType="separate"/>
      </w:r>
      <w:r>
        <w:rPr>
          <w:rStyle w:val="31"/>
          <w:rFonts w:hint="eastAsia" w:ascii="仿宋_GB2312" w:eastAsia="仿宋_GB2312" w:cs="宋体"/>
          <w:b/>
          <w:kern w:val="0"/>
          <w:sz w:val="32"/>
          <w:szCs w:val="32"/>
        </w:rPr>
        <w:t>（二）提升陆港枢纽能级。</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_Toc236065639 \h </w:instrText>
      </w:r>
      <w:r>
        <w:rPr>
          <w:rFonts w:hint="eastAsia" w:ascii="仿宋_GB2312" w:eastAsia="仿宋_GB2312"/>
          <w:sz w:val="32"/>
          <w:szCs w:val="32"/>
        </w:rPr>
        <w:fldChar w:fldCharType="separate"/>
      </w:r>
      <w:r>
        <w:rPr>
          <w:rFonts w:hint="eastAsia" w:ascii="仿宋_GB2312" w:eastAsia="仿宋_GB2312"/>
          <w:sz w:val="32"/>
          <w:szCs w:val="32"/>
        </w:rPr>
        <w:t>5</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4428D70B">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"_Toc236065640" </w:instrText>
      </w:r>
      <w:r>
        <w:fldChar w:fldCharType="separate"/>
      </w:r>
      <w:r>
        <w:rPr>
          <w:rStyle w:val="31"/>
          <w:rFonts w:hint="eastAsia" w:ascii="仿宋_GB2312" w:eastAsia="仿宋_GB2312" w:cs="宋体"/>
          <w:b/>
          <w:kern w:val="0"/>
          <w:sz w:val="32"/>
          <w:szCs w:val="32"/>
        </w:rPr>
        <w:t>（三）增强空港枢纽功能。</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_Toc236065640 \h </w:instrText>
      </w:r>
      <w:r>
        <w:rPr>
          <w:rFonts w:hint="eastAsia" w:ascii="仿宋_GB2312" w:eastAsia="仿宋_GB2312"/>
          <w:sz w:val="32"/>
          <w:szCs w:val="32"/>
        </w:rPr>
        <w:fldChar w:fldCharType="separate"/>
      </w:r>
      <w:r>
        <w:rPr>
          <w:rFonts w:hint="eastAsia" w:ascii="仿宋_GB2312" w:eastAsia="仿宋_GB2312"/>
          <w:sz w:val="32"/>
          <w:szCs w:val="32"/>
        </w:rPr>
        <w:t>6</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6DCE8747">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"_Toc236065641" </w:instrText>
      </w:r>
      <w:r>
        <w:fldChar w:fldCharType="separate"/>
      </w:r>
      <w:r>
        <w:rPr>
          <w:rStyle w:val="31"/>
          <w:rFonts w:hint="eastAsia" w:ascii="仿宋_GB2312" w:hAnsi="黑体" w:eastAsia="仿宋_GB2312" w:cs="Times New Roman"/>
          <w:sz w:val="32"/>
          <w:szCs w:val="32"/>
          <w:lang w:val="zh-CN"/>
        </w:rPr>
        <w:t>四、扩容提质综合立体交通网络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_Toc236065641 \h </w:instrText>
      </w:r>
      <w:r>
        <w:rPr>
          <w:rFonts w:hint="eastAsia" w:ascii="仿宋_GB2312" w:eastAsia="仿宋_GB2312"/>
          <w:sz w:val="32"/>
          <w:szCs w:val="32"/>
        </w:rPr>
        <w:fldChar w:fldCharType="separate"/>
      </w:r>
      <w:r>
        <w:rPr>
          <w:rFonts w:hint="eastAsia" w:ascii="仿宋_GB2312" w:eastAsia="仿宋_GB2312"/>
          <w:sz w:val="32"/>
          <w:szCs w:val="32"/>
        </w:rPr>
        <w:t>8</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728972C">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"_Toc236065642" </w:instrText>
      </w:r>
      <w:r>
        <w:fldChar w:fldCharType="separate"/>
      </w:r>
      <w:r>
        <w:rPr>
          <w:rStyle w:val="31"/>
          <w:rFonts w:hint="eastAsia" w:ascii="仿宋_GB2312" w:eastAsia="仿宋_GB2312"/>
          <w:b/>
          <w:bCs/>
          <w:sz w:val="32"/>
          <w:szCs w:val="32"/>
        </w:rPr>
        <w:t>（一）完善骨架网。</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_Toc236065642 \h </w:instrText>
      </w:r>
      <w:r>
        <w:rPr>
          <w:rFonts w:hint="eastAsia" w:ascii="仿宋_GB2312" w:eastAsia="仿宋_GB2312"/>
          <w:sz w:val="32"/>
          <w:szCs w:val="32"/>
        </w:rPr>
        <w:fldChar w:fldCharType="separate"/>
      </w:r>
      <w:r>
        <w:rPr>
          <w:rFonts w:hint="eastAsia" w:ascii="仿宋_GB2312" w:eastAsia="仿宋_GB2312"/>
          <w:sz w:val="32"/>
          <w:szCs w:val="32"/>
        </w:rPr>
        <w:t>8</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5B3C2782">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"_Toc236065643" </w:instrText>
      </w:r>
      <w:r>
        <w:fldChar w:fldCharType="separate"/>
      </w:r>
      <w:r>
        <w:rPr>
          <w:rStyle w:val="31"/>
          <w:rFonts w:hint="eastAsia" w:ascii="仿宋_GB2312" w:eastAsia="仿宋_GB2312"/>
          <w:b/>
          <w:bCs/>
          <w:sz w:val="32"/>
          <w:szCs w:val="32"/>
        </w:rPr>
        <w:t>（二）升级干线网。</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_Toc236065643 \h </w:instrText>
      </w:r>
      <w:r>
        <w:rPr>
          <w:rFonts w:hint="eastAsia" w:ascii="仿宋_GB2312" w:eastAsia="仿宋_GB2312"/>
          <w:sz w:val="32"/>
          <w:szCs w:val="32"/>
        </w:rPr>
        <w:fldChar w:fldCharType="separate"/>
      </w:r>
      <w:r>
        <w:rPr>
          <w:rFonts w:hint="eastAsia" w:ascii="仿宋_GB2312" w:eastAsia="仿宋_GB2312"/>
          <w:sz w:val="32"/>
          <w:szCs w:val="32"/>
        </w:rPr>
        <w:t>9</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DC48CBB">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"_Toc236065644" </w:instrText>
      </w:r>
      <w:r>
        <w:fldChar w:fldCharType="separate"/>
      </w:r>
      <w:r>
        <w:rPr>
          <w:rStyle w:val="31"/>
          <w:rFonts w:hint="eastAsia" w:ascii="仿宋_GB2312" w:eastAsia="仿宋_GB2312"/>
          <w:b/>
          <w:bCs/>
          <w:sz w:val="32"/>
          <w:szCs w:val="32"/>
        </w:rPr>
        <w:t>（三）夯实基础网。</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_Toc236065644 \h </w:instrText>
      </w:r>
      <w:r>
        <w:rPr>
          <w:rFonts w:hint="eastAsia" w:ascii="仿宋_GB2312" w:eastAsia="仿宋_GB2312"/>
          <w:sz w:val="32"/>
          <w:szCs w:val="32"/>
        </w:rPr>
        <w:fldChar w:fldCharType="separate"/>
      </w:r>
      <w:r>
        <w:rPr>
          <w:rFonts w:hint="eastAsia" w:ascii="仿宋_GB2312" w:eastAsia="仿宋_GB2312"/>
          <w:sz w:val="32"/>
          <w:szCs w:val="32"/>
        </w:rPr>
        <w:t>11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6857A7FD">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"_Toc236065645" </w:instrText>
      </w:r>
      <w:r>
        <w:fldChar w:fldCharType="separate"/>
      </w:r>
      <w:r>
        <w:rPr>
          <w:rStyle w:val="31"/>
          <w:rFonts w:hint="eastAsia" w:ascii="仿宋_GB2312" w:eastAsia="仿宋_GB2312"/>
          <w:b/>
          <w:bCs/>
          <w:sz w:val="32"/>
          <w:szCs w:val="32"/>
        </w:rPr>
        <w:t>（四）提升集疏运网。</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_Toc236065645 \h </w:instrText>
      </w:r>
      <w:r>
        <w:rPr>
          <w:rFonts w:hint="eastAsia" w:ascii="仿宋_GB2312" w:eastAsia="仿宋_GB2312"/>
          <w:sz w:val="32"/>
          <w:szCs w:val="32"/>
        </w:rPr>
        <w:fldChar w:fldCharType="separate"/>
      </w:r>
      <w:r>
        <w:rPr>
          <w:rFonts w:hint="eastAsia" w:ascii="仿宋_GB2312" w:eastAsia="仿宋_GB2312"/>
          <w:sz w:val="32"/>
          <w:szCs w:val="32"/>
        </w:rPr>
        <w:t>13</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05D48EBF">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"_Toc236065646" </w:instrText>
      </w:r>
      <w:r>
        <w:fldChar w:fldCharType="separate"/>
      </w:r>
      <w:r>
        <w:rPr>
          <w:rStyle w:val="31"/>
          <w:rFonts w:hint="eastAsia" w:ascii="仿宋_GB2312" w:eastAsia="仿宋_GB2312"/>
          <w:b/>
          <w:bCs/>
          <w:sz w:val="32"/>
          <w:szCs w:val="32"/>
        </w:rPr>
        <w:t>（五）打造交旅网。</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_Toc236065646 \h </w:instrText>
      </w:r>
      <w:r>
        <w:rPr>
          <w:rFonts w:hint="eastAsia" w:ascii="仿宋_GB2312" w:eastAsia="仿宋_GB2312"/>
          <w:sz w:val="32"/>
          <w:szCs w:val="32"/>
        </w:rPr>
        <w:fldChar w:fldCharType="separate"/>
      </w:r>
      <w:r>
        <w:rPr>
          <w:rFonts w:hint="eastAsia" w:ascii="仿宋_GB2312" w:eastAsia="仿宋_GB2312"/>
          <w:sz w:val="32"/>
          <w:szCs w:val="32"/>
        </w:rPr>
        <w:t>14</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4674F633">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"_Toc236065647" </w:instrText>
      </w:r>
      <w:r>
        <w:fldChar w:fldCharType="separate"/>
      </w:r>
      <w:r>
        <w:rPr>
          <w:rStyle w:val="31"/>
          <w:rFonts w:hint="eastAsia" w:ascii="仿宋_GB2312" w:hAnsi="黑体" w:eastAsia="仿宋_GB2312" w:cs="Times New Roman"/>
          <w:sz w:val="32"/>
          <w:szCs w:val="32"/>
          <w:lang w:val="zh-CN"/>
        </w:rPr>
        <w:t>五、大力提升综合运输服务质效</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_Toc236065647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1015E0F1">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"_Toc236065648" </w:instrText>
      </w:r>
      <w:r>
        <w:fldChar w:fldCharType="separate"/>
      </w:r>
      <w:r>
        <w:rPr>
          <w:rStyle w:val="31"/>
          <w:rFonts w:hint="eastAsia" w:ascii="仿宋_GB2312" w:eastAsia="仿宋_GB2312"/>
          <w:b/>
          <w:bCs/>
          <w:sz w:val="32"/>
          <w:szCs w:val="32"/>
        </w:rPr>
        <w:t>（一）推动客运服务量质齐升。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_Toc236065648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32632BEF">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"_Toc236065649" </w:instrText>
      </w:r>
      <w:r>
        <w:fldChar w:fldCharType="separate"/>
      </w:r>
      <w:r>
        <w:rPr>
          <w:rStyle w:val="31"/>
          <w:rFonts w:hint="eastAsia" w:ascii="仿宋_GB2312" w:eastAsia="仿宋_GB2312"/>
          <w:b/>
          <w:bCs/>
          <w:sz w:val="32"/>
          <w:szCs w:val="32"/>
        </w:rPr>
        <w:t>（二）加强交通物流降本增效。</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_Toc236065649 \h </w:instrText>
      </w:r>
      <w:r>
        <w:rPr>
          <w:rFonts w:hint="eastAsia" w:ascii="仿宋_GB2312" w:eastAsia="仿宋_GB2312"/>
          <w:sz w:val="32"/>
          <w:szCs w:val="32"/>
        </w:rPr>
        <w:fldChar w:fldCharType="separate"/>
      </w:r>
      <w:r>
        <w:rPr>
          <w:rFonts w:hint="eastAsia" w:ascii="仿宋_GB2312" w:eastAsia="仿宋_GB2312"/>
          <w:sz w:val="32"/>
          <w:szCs w:val="32"/>
        </w:rPr>
        <w:t>19</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1993403">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"_Toc236065650" </w:instrText>
      </w:r>
      <w:r>
        <w:fldChar w:fldCharType="separate"/>
      </w:r>
      <w:r>
        <w:rPr>
          <w:rStyle w:val="31"/>
          <w:rFonts w:hint="eastAsia" w:ascii="仿宋_GB2312" w:hAnsi="黑体" w:eastAsia="仿宋_GB2312" w:cs="Times New Roman"/>
          <w:sz w:val="32"/>
          <w:szCs w:val="32"/>
          <w:lang w:val="zh-CN"/>
        </w:rPr>
        <w:t>六、推动行业新质包容可续发展</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_Toc236065650 \h </w:instrText>
      </w:r>
      <w:r>
        <w:rPr>
          <w:rFonts w:hint="eastAsia" w:ascii="仿宋_GB2312" w:eastAsia="仿宋_GB2312"/>
          <w:sz w:val="32"/>
          <w:szCs w:val="32"/>
        </w:rPr>
        <w:fldChar w:fldCharType="separate"/>
      </w:r>
      <w:r>
        <w:rPr>
          <w:rFonts w:hint="eastAsia" w:ascii="仿宋_GB2312" w:eastAsia="仿宋_GB2312"/>
          <w:sz w:val="32"/>
          <w:szCs w:val="32"/>
        </w:rPr>
        <w:t>22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0D6D15CF">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"_Toc236065651" </w:instrText>
      </w:r>
      <w:r>
        <w:fldChar w:fldCharType="separate"/>
      </w:r>
      <w:r>
        <w:rPr>
          <w:rStyle w:val="31"/>
          <w:rFonts w:hint="eastAsia" w:ascii="仿宋_GB2312" w:eastAsia="仿宋_GB2312"/>
          <w:b/>
          <w:bCs/>
          <w:sz w:val="32"/>
          <w:szCs w:val="32"/>
        </w:rPr>
        <w:t>（一）推动交通产业深度融合。</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_Toc236065651 \h </w:instrText>
      </w:r>
      <w:r>
        <w:rPr>
          <w:rFonts w:hint="eastAsia" w:ascii="仿宋_GB2312" w:eastAsia="仿宋_GB2312"/>
          <w:sz w:val="32"/>
          <w:szCs w:val="32"/>
        </w:rPr>
        <w:fldChar w:fldCharType="separate"/>
      </w:r>
      <w:r>
        <w:rPr>
          <w:rFonts w:hint="eastAsia" w:ascii="仿宋_GB2312" w:eastAsia="仿宋_GB2312"/>
          <w:sz w:val="32"/>
          <w:szCs w:val="32"/>
        </w:rPr>
        <w:t>22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CEA5AF3">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"_Toc236065652" </w:instrText>
      </w:r>
      <w:r>
        <w:fldChar w:fldCharType="separate"/>
      </w:r>
      <w:r>
        <w:rPr>
          <w:rStyle w:val="31"/>
          <w:rFonts w:hint="eastAsia" w:ascii="仿宋_GB2312" w:eastAsia="仿宋_GB2312"/>
          <w:b/>
          <w:bCs/>
          <w:sz w:val="32"/>
          <w:szCs w:val="32"/>
        </w:rPr>
        <w:t>（二）建设先进适用智慧交通。</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_Toc236065652 \h </w:instrText>
      </w:r>
      <w:r>
        <w:rPr>
          <w:rFonts w:hint="eastAsia" w:ascii="仿宋_GB2312" w:eastAsia="仿宋_GB2312"/>
          <w:sz w:val="32"/>
          <w:szCs w:val="32"/>
        </w:rPr>
        <w:fldChar w:fldCharType="separate"/>
      </w:r>
      <w:r>
        <w:rPr>
          <w:rFonts w:hint="eastAsia" w:ascii="仿宋_GB2312" w:eastAsia="仿宋_GB2312"/>
          <w:sz w:val="32"/>
          <w:szCs w:val="32"/>
        </w:rPr>
        <w:t>24</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35AFF152">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"_Toc236065653" </w:instrText>
      </w:r>
      <w:r>
        <w:fldChar w:fldCharType="separate"/>
      </w:r>
      <w:r>
        <w:rPr>
          <w:rStyle w:val="31"/>
          <w:rFonts w:hint="eastAsia" w:ascii="仿宋_GB2312" w:eastAsia="仿宋_GB2312"/>
          <w:b/>
          <w:bCs/>
          <w:sz w:val="32"/>
          <w:szCs w:val="32"/>
        </w:rPr>
        <w:t>（三）促进节能低碳绿色发展。</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_Toc236065653 \h </w:instrText>
      </w:r>
      <w:r>
        <w:rPr>
          <w:rFonts w:hint="eastAsia" w:ascii="仿宋_GB2312" w:eastAsia="仿宋_GB2312"/>
          <w:sz w:val="32"/>
          <w:szCs w:val="32"/>
        </w:rPr>
        <w:fldChar w:fldCharType="separate"/>
      </w:r>
      <w:r>
        <w:rPr>
          <w:rFonts w:hint="eastAsia" w:ascii="仿宋_GB2312" w:eastAsia="仿宋_GB2312"/>
          <w:sz w:val="32"/>
          <w:szCs w:val="32"/>
        </w:rPr>
        <w:t>26</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39C9B6D9">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"_Toc236065654" </w:instrText>
      </w:r>
      <w:r>
        <w:fldChar w:fldCharType="separate"/>
      </w:r>
      <w:r>
        <w:rPr>
          <w:rStyle w:val="31"/>
          <w:rFonts w:hint="eastAsia" w:ascii="仿宋_GB2312" w:eastAsia="仿宋_GB2312"/>
          <w:b/>
          <w:bCs/>
          <w:sz w:val="32"/>
          <w:szCs w:val="32"/>
        </w:rPr>
        <w:t>（四）提升安全韧性保障能力。</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_Toc236065654 \h </w:instrText>
      </w:r>
      <w:r>
        <w:rPr>
          <w:rFonts w:hint="eastAsia" w:ascii="仿宋_GB2312" w:eastAsia="仿宋_GB2312"/>
          <w:sz w:val="32"/>
          <w:szCs w:val="32"/>
        </w:rPr>
        <w:fldChar w:fldCharType="separate"/>
      </w:r>
      <w:r>
        <w:rPr>
          <w:rFonts w:hint="eastAsia" w:ascii="仿宋_GB2312" w:eastAsia="仿宋_GB2312"/>
          <w:sz w:val="32"/>
          <w:szCs w:val="32"/>
        </w:rPr>
        <w:t>28</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0A78776E">
      <w:pPr>
        <w:pStyle w:val="24"/>
        <w:rPr>
          <w:rFonts w:hint="eastAsia" w:ascii="仿宋_GB2312" w:eastAsia="仿宋_GB2312" w:hAnsiTheme="minorHAnsi" w:cstheme="minorBidi"/>
          <w:smallCaps w:val="0"/>
          <w:sz w:val="32"/>
          <w:szCs w:val="32"/>
          <w14:ligatures w14:val="standardContextual"/>
        </w:rPr>
      </w:pPr>
      <w:r>
        <w:fldChar w:fldCharType="begin"/>
      </w:r>
      <w:r>
        <w:instrText xml:space="preserve"> HYPERLINK \l "_Toc236065655" </w:instrText>
      </w:r>
      <w:r>
        <w:fldChar w:fldCharType="separate"/>
      </w:r>
      <w:r>
        <w:rPr>
          <w:rStyle w:val="31"/>
          <w:rFonts w:hint="eastAsia" w:ascii="仿宋_GB2312" w:eastAsia="仿宋_GB2312"/>
          <w:b/>
          <w:bCs/>
          <w:sz w:val="32"/>
          <w:szCs w:val="32"/>
        </w:rPr>
        <w:t>（五）加强行业治理能力建设。</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_Toc236065655 \h </w:instrText>
      </w:r>
      <w:r>
        <w:rPr>
          <w:rFonts w:hint="eastAsia" w:ascii="仿宋_GB2312" w:eastAsia="仿宋_GB2312"/>
          <w:sz w:val="32"/>
          <w:szCs w:val="32"/>
        </w:rPr>
        <w:fldChar w:fldCharType="separate"/>
      </w:r>
      <w:r>
        <w:rPr>
          <w:rFonts w:hint="eastAsia" w:ascii="仿宋_GB2312" w:eastAsia="仿宋_GB2312"/>
          <w:sz w:val="32"/>
          <w:szCs w:val="32"/>
        </w:rPr>
        <w:t>30</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4A8A6D35">
      <w:pPr>
        <w:pStyle w:val="19"/>
        <w:tabs>
          <w:tab w:val="right" w:leader="dot" w:pos="8608"/>
        </w:tabs>
        <w:snapToGrid w:val="0"/>
        <w:spacing w:before="0" w:after="0"/>
        <w:rPr>
          <w:rFonts w:hint="eastAsia" w:ascii="仿宋_GB2312" w:eastAsia="仿宋_GB2312" w:hAnsiTheme="minorHAnsi" w:cstheme="minorBidi"/>
          <w:b w:val="0"/>
          <w:bCs w:val="0"/>
          <w:caps w:val="0"/>
          <w:sz w:val="32"/>
          <w:szCs w:val="32"/>
          <w14:ligatures w14:val="standardContextual"/>
        </w:rPr>
      </w:pPr>
      <w:r>
        <w:fldChar w:fldCharType="begin"/>
      </w:r>
      <w:r>
        <w:instrText xml:space="preserve"> HYPERLINK \l "_Toc236065656" </w:instrText>
      </w:r>
      <w:r>
        <w:fldChar w:fldCharType="separate"/>
      </w:r>
      <w:r>
        <w:rPr>
          <w:rStyle w:val="31"/>
          <w:rFonts w:hint="eastAsia" w:ascii="仿宋_GB2312" w:hAnsi="黑体" w:eastAsia="仿宋_GB2312" w:cs="Times New Roman"/>
          <w:sz w:val="32"/>
          <w:szCs w:val="32"/>
          <w:lang w:val="zh-CN"/>
        </w:rPr>
        <w:t>七、保障措施</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_Toc236065656 \h </w:instrText>
      </w:r>
      <w:r>
        <w:rPr>
          <w:rFonts w:hint="eastAsia" w:ascii="仿宋_GB2312" w:eastAsia="仿宋_GB2312"/>
          <w:sz w:val="32"/>
          <w:szCs w:val="32"/>
        </w:rPr>
        <w:fldChar w:fldCharType="separate"/>
      </w:r>
      <w:r>
        <w:rPr>
          <w:rFonts w:hint="eastAsia" w:ascii="仿宋_GB2312" w:eastAsia="仿宋_GB2312"/>
          <w:sz w:val="32"/>
          <w:szCs w:val="32"/>
        </w:rPr>
        <w:t>31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3B8C7793">
      <w:pPr>
        <w:snapToGrid w:val="0"/>
        <w:jc w:val="center"/>
        <w:rPr>
          <w:rFonts w:hint="eastAsia"/>
        </w:rPr>
        <w:sectPr>
          <w:footerReference r:id="rId5" w:type="default"/>
          <w:pgSz w:w="11906" w:h="16838"/>
          <w:pgMar w:top="1418" w:right="1644" w:bottom="1418" w:left="1644" w:header="851" w:footer="851" w:gutter="0"/>
          <w:cols w:space="425" w:num="1"/>
          <w:docGrid w:type="lines" w:linePitch="312" w:charSpace="0"/>
        </w:sectPr>
      </w:pPr>
      <w:r>
        <w:rPr>
          <w:rFonts w:hint="eastAsia" w:hAnsi="黑体"/>
        </w:rPr>
        <w:fldChar w:fldCharType="end"/>
      </w:r>
    </w:p>
    <w:p w14:paraId="16D41CC5">
      <w:pPr>
        <w:snapToGrid w:val="0"/>
        <w:spacing w:line="360" w:lineRule="auto"/>
        <w:ind w:firstLine="640" w:firstLineChars="200"/>
        <w:outlineLvl w:val="0"/>
        <w:rPr>
          <w:rFonts w:hint="eastAsia" w:ascii="Times New Roman" w:hAnsi="黑体" w:eastAsia="黑体" w:cs="Times New Roman"/>
          <w:bCs/>
          <w:szCs w:val="36"/>
          <w:lang w:val="zh-CN"/>
        </w:rPr>
      </w:pPr>
      <w:bookmarkStart w:id="0" w:name="_Toc77678554"/>
      <w:bookmarkStart w:id="1" w:name="_Toc236065632"/>
      <w:r>
        <w:rPr>
          <w:rFonts w:hint="eastAsia" w:ascii="Times New Roman" w:hAnsi="黑体" w:eastAsia="黑体" w:cs="Times New Roman"/>
          <w:bCs/>
          <w:szCs w:val="36"/>
          <w:lang w:val="zh-CN"/>
        </w:rPr>
        <w:t>一、规划概述</w:t>
      </w:r>
      <w:bookmarkEnd w:id="0"/>
      <w:bookmarkEnd w:id="1"/>
    </w:p>
    <w:p w14:paraId="6260674A">
      <w:pPr>
        <w:ind w:firstLine="640" w:firstLineChars="200"/>
        <w:rPr>
          <w:rFonts w:hint="eastAsia"/>
        </w:rPr>
      </w:pPr>
      <w:bookmarkStart w:id="2" w:name="OLE_LINK38"/>
      <w:r>
        <w:rPr>
          <w:rFonts w:hint="eastAsia"/>
        </w:rPr>
        <w:t>韶关市是</w:t>
      </w:r>
      <w:bookmarkStart w:id="3" w:name="OLE_LINK20"/>
      <w:r>
        <w:rPr>
          <w:rFonts w:hint="eastAsia"/>
        </w:rPr>
        <w:t>国家产业转型升级示范区</w:t>
      </w:r>
      <w:bookmarkEnd w:id="3"/>
      <w:r>
        <w:rPr>
          <w:rFonts w:hint="eastAsia"/>
        </w:rPr>
        <w:t>、粤北门户枢纽城市、历史文化和旅游名城、北部生态发展区区域中心城市；也是</w:t>
      </w:r>
      <w:r>
        <w:rPr>
          <w:rFonts w:hint="eastAsia"/>
          <w:color w:val="333333"/>
          <w:shd w:val="clear" w:color="auto" w:fill="FFFFFF"/>
        </w:rPr>
        <w:t>连接粤港澳大湾区与内陆腹地的枢纽节点</w:t>
      </w:r>
      <w:r>
        <w:rPr>
          <w:rFonts w:hint="eastAsia"/>
        </w:rPr>
        <w:t>，以及</w:t>
      </w:r>
      <w:bookmarkStart w:id="4" w:name="OLE_LINK13"/>
      <w:r>
        <w:rPr>
          <w:rFonts w:hint="eastAsia"/>
        </w:rPr>
        <w:t>陆港型国家物流枢纽承载城市</w:t>
      </w:r>
      <w:bookmarkEnd w:id="4"/>
      <w:r>
        <w:rPr>
          <w:rFonts w:hint="eastAsia"/>
        </w:rPr>
        <w:t>、广东省综合交通枢纽极点城市，</w:t>
      </w:r>
      <w:bookmarkEnd w:id="2"/>
      <w:r>
        <w:rPr>
          <w:rFonts w:hint="eastAsia"/>
        </w:rPr>
        <w:t>在构建以国内大循环为主体、国内国际双循环相互促进的新发展格局中具有独特的交通区位优势。至“十四五”末，韶关市已初步形成公路、铁路、水运、民航等各种交通方式齐备并协调发展的综合交通运输体系，有力地支撑韶关市经济社会发展。</w:t>
      </w:r>
    </w:p>
    <w:p w14:paraId="276764CA">
      <w:pPr>
        <w:ind w:firstLine="640" w:firstLineChars="200"/>
        <w:rPr>
          <w:rFonts w:hint="eastAsia"/>
        </w:rPr>
      </w:pPr>
      <w:r>
        <w:rPr>
          <w:rFonts w:hint="eastAsia"/>
        </w:rPr>
        <w:t>“十五五”时期</w:t>
      </w:r>
      <w:r>
        <w:rPr>
          <w:rFonts w:hint="eastAsia" w:hAnsi="仿宋_GB2312"/>
        </w:rPr>
        <w:t>是</w:t>
      </w:r>
      <w:r>
        <w:rPr>
          <w:rFonts w:hint="eastAsia"/>
        </w:rPr>
        <w:t>韶关市经济争先进位、</w:t>
      </w:r>
      <w:r>
        <w:rPr>
          <w:rFonts w:hint="eastAsia"/>
          <w:color w:val="333333"/>
          <w:shd w:val="clear" w:color="auto" w:fill="FFFFFF"/>
        </w:rPr>
        <w:t>建设具有区域影响力的新韶关</w:t>
      </w:r>
      <w:r>
        <w:rPr>
          <w:rFonts w:hint="eastAsia"/>
        </w:rPr>
        <w:t>的关键期。同时，也是韶关构建现代化集疏运体系、夯实综合交通枢纽极点城市的重要时期。为把握好交通强国、交通强省建设机遇，主动融入国家和省重大战略，构建现代化多式联运集疏运体系，全面提升韶关枢纽节点功能，</w:t>
      </w:r>
      <w:bookmarkStart w:id="5" w:name="OLE_LINK200"/>
      <w:r>
        <w:rPr>
          <w:rFonts w:hint="eastAsia"/>
        </w:rPr>
        <w:t>更好地支撑韶关1个定位（建设具有区域影响力的新韶关）、3大重点（做大工业、做强主城、做优县域）、5大导向（融湾发展、绿色崛起、县域协同、智算赋能、三资盘活）、6个目标（高质量发展实现新突破、城乡发展开创新局面、绿美生态呈现新面貌、改革开放形成新格局、人民生活迈上新台阶、治理效能得到新提升），</w:t>
      </w:r>
      <w:bookmarkEnd w:id="5"/>
      <w:r>
        <w:rPr>
          <w:rFonts w:hint="eastAsia"/>
        </w:rPr>
        <w:t>根据韶关市政府有关“十五五”工作安排，韶关市交通运输局组织编制本规划。</w:t>
      </w:r>
    </w:p>
    <w:p w14:paraId="44926A3B">
      <w:pPr>
        <w:snapToGrid w:val="0"/>
        <w:spacing w:before="240" w:line="360" w:lineRule="auto"/>
        <w:ind w:firstLine="640" w:firstLineChars="200"/>
        <w:outlineLvl w:val="0"/>
        <w:rPr>
          <w:rFonts w:hint="eastAsia" w:ascii="Times New Roman" w:hAnsi="黑体" w:eastAsia="黑体" w:cs="Times New Roman"/>
          <w:bCs/>
          <w:szCs w:val="36"/>
          <w:lang w:val="zh-CN"/>
        </w:rPr>
      </w:pPr>
      <w:bookmarkStart w:id="6" w:name="_Toc236065633"/>
      <w:bookmarkStart w:id="7" w:name="_Toc77678573"/>
      <w:r>
        <w:rPr>
          <w:rFonts w:hint="eastAsia" w:ascii="Times New Roman" w:hAnsi="黑体" w:eastAsia="黑体" w:cs="Times New Roman"/>
          <w:bCs/>
          <w:szCs w:val="36"/>
          <w:lang w:val="zh-CN"/>
        </w:rPr>
        <w:t>二、发展目标</w:t>
      </w:r>
      <w:bookmarkEnd w:id="6"/>
      <w:bookmarkEnd w:id="7"/>
    </w:p>
    <w:p w14:paraId="400232E6">
      <w:pPr>
        <w:pStyle w:val="3"/>
        <w:keepNext w:val="0"/>
        <w:keepLines w:val="0"/>
        <w:spacing w:before="0" w:after="0" w:line="360" w:lineRule="auto"/>
        <w:ind w:firstLine="643" w:firstLineChars="200"/>
        <w:rPr>
          <w:rFonts w:hint="eastAsia" w:ascii="仿宋" w:hAnsi="仿宋" w:eastAsia="仿宋"/>
          <w:b/>
          <w:bCs/>
          <w:color w:val="auto"/>
          <w:sz w:val="32"/>
        </w:rPr>
      </w:pPr>
      <w:bookmarkStart w:id="8" w:name="_Toc77678574"/>
      <w:bookmarkStart w:id="9" w:name="_Toc236065634"/>
      <w:r>
        <w:rPr>
          <w:rFonts w:hint="eastAsia" w:ascii="仿宋" w:hAnsi="仿宋" w:eastAsia="仿宋"/>
          <w:b/>
          <w:bCs/>
          <w:color w:val="auto"/>
          <w:sz w:val="32"/>
        </w:rPr>
        <w:t>（一）指导思想。</w:t>
      </w:r>
      <w:bookmarkEnd w:id="8"/>
      <w:bookmarkEnd w:id="9"/>
    </w:p>
    <w:p w14:paraId="2F6776C0">
      <w:pPr>
        <w:spacing w:line="600" w:lineRule="exact"/>
        <w:ind w:firstLine="640" w:firstLineChars="200"/>
        <w:rPr>
          <w:rFonts w:hint="eastAsia"/>
        </w:rPr>
      </w:pPr>
      <w:bookmarkStart w:id="10" w:name="OLE_LINK158"/>
      <w:r>
        <w:rPr>
          <w:rFonts w:hint="eastAsia"/>
        </w:rPr>
        <w:t>坚持以习近平新时代中国特色社会主义思想为指导，深入贯彻党的二十大和二十届历次全会精神，全面贯彻习近平总书记对广东系列重要讲话和重要指示精神，完整准确全面贯彻新发展理念，全面落实省委“1310” 具体部署、市委“363”工作安排，</w:t>
      </w:r>
      <w:bookmarkStart w:id="11" w:name="OLE_LINK170"/>
      <w:r>
        <w:rPr>
          <w:rFonts w:hint="eastAsia"/>
        </w:rPr>
        <w:t>更好地支撑韶关1个定位、3大重点、5大导向、6个目标，</w:t>
      </w:r>
      <w:bookmarkEnd w:id="11"/>
      <w:r>
        <w:rPr>
          <w:rFonts w:hint="eastAsia"/>
        </w:rPr>
        <w:t>继续发挥交通行业先导性、基础性、保障性作用，主动融入全省“一中心三极点”综合交通枢纽布局，</w:t>
      </w:r>
      <w:bookmarkStart w:id="12" w:name="OLE_LINK191"/>
      <w:r>
        <w:rPr>
          <w:rFonts w:hint="eastAsia"/>
        </w:rPr>
        <w:t>构建集货高效、疏运顺畅、运输便捷的现代化集疏运体系，</w:t>
      </w:r>
      <w:bookmarkEnd w:id="12"/>
      <w:r>
        <w:rPr>
          <w:rFonts w:hint="eastAsia"/>
        </w:rPr>
        <w:t>提升交通枢纽的区域影响力，推动韶关市综合交通运输体系高质量发展，打造全面融入湾区、链接华南华中的枢纽型节点城市，为夯实陆港型国家物流枢纽承载城市地位、建设具有区域影响力的新韶关提供更坚强有力的交通运输保障。</w:t>
      </w:r>
    </w:p>
    <w:bookmarkEnd w:id="10"/>
    <w:p w14:paraId="2F436B62">
      <w:pPr>
        <w:pStyle w:val="3"/>
        <w:keepNext w:val="0"/>
        <w:keepLines w:val="0"/>
        <w:spacing w:before="0" w:after="0" w:line="360" w:lineRule="auto"/>
        <w:ind w:firstLine="643" w:firstLineChars="200"/>
        <w:rPr>
          <w:rFonts w:hint="eastAsia" w:ascii="仿宋" w:hAnsi="仿宋" w:eastAsia="仿宋"/>
          <w:b/>
          <w:bCs/>
          <w:color w:val="auto"/>
          <w:sz w:val="32"/>
        </w:rPr>
      </w:pPr>
      <w:bookmarkStart w:id="13" w:name="_Toc77678575"/>
      <w:bookmarkStart w:id="14" w:name="_Toc236065635"/>
      <w:bookmarkStart w:id="15" w:name="_Toc77678576"/>
      <w:r>
        <w:rPr>
          <w:rFonts w:hint="eastAsia" w:ascii="仿宋" w:hAnsi="仿宋" w:eastAsia="仿宋"/>
          <w:b/>
          <w:bCs/>
          <w:color w:val="auto"/>
          <w:sz w:val="32"/>
        </w:rPr>
        <w:t>（二）发展原则。</w:t>
      </w:r>
      <w:bookmarkEnd w:id="13"/>
      <w:bookmarkEnd w:id="14"/>
    </w:p>
    <w:p w14:paraId="487B5AF4">
      <w:pPr>
        <w:snapToGrid w:val="0"/>
        <w:spacing w:line="360" w:lineRule="auto"/>
        <w:ind w:firstLine="641"/>
        <w:rPr>
          <w:rFonts w:hint="eastAsia" w:hAnsi="仿宋_GB2312"/>
          <w:lang w:bidi="ar"/>
        </w:rPr>
      </w:pPr>
      <w:r>
        <w:rPr>
          <w:rFonts w:hint="eastAsia" w:hAnsi="仿宋_GB2312"/>
          <w:b/>
          <w:bCs/>
          <w:lang w:bidi="ar"/>
        </w:rPr>
        <w:t>服务大局，共享发展。</w:t>
      </w:r>
      <w:r>
        <w:rPr>
          <w:rFonts w:hint="eastAsia" w:hAnsi="仿宋_GB2312"/>
          <w:lang w:bidi="ar"/>
        </w:rPr>
        <w:t>聚焦支撑国家和省重大战略，助力建设</w:t>
      </w:r>
      <w:r>
        <w:rPr>
          <w:rFonts w:hint="eastAsia"/>
        </w:rPr>
        <w:t>具有区域影响力的新韶关</w:t>
      </w:r>
      <w:r>
        <w:rPr>
          <w:rFonts w:hint="eastAsia" w:hAnsi="仿宋_GB2312"/>
          <w:lang w:bidi="ar"/>
        </w:rPr>
        <w:t>，以增强人民群众获得感、幸福感、安全感为出发点和落脚点，持续提高综合交通运输服务能力和品质，建设人民满意交通，实现交通发展成果由人民共享。</w:t>
      </w:r>
    </w:p>
    <w:p w14:paraId="3F5D2000">
      <w:pPr>
        <w:snapToGrid w:val="0"/>
        <w:spacing w:line="360" w:lineRule="auto"/>
        <w:ind w:firstLine="641"/>
        <w:rPr>
          <w:rFonts w:hint="eastAsia"/>
        </w:rPr>
      </w:pPr>
      <w:bookmarkStart w:id="16" w:name="OLE_LINK188"/>
      <w:r>
        <w:rPr>
          <w:rFonts w:hint="eastAsia"/>
          <w:b/>
          <w:bCs/>
        </w:rPr>
        <w:t>统筹协调，融合发展</w:t>
      </w:r>
      <w:bookmarkEnd w:id="16"/>
      <w:r>
        <w:rPr>
          <w:rFonts w:hint="eastAsia"/>
          <w:b/>
          <w:bCs/>
        </w:rPr>
        <w:t>。</w:t>
      </w:r>
      <w:r>
        <w:rPr>
          <w:rFonts w:hint="eastAsia"/>
        </w:rPr>
        <w:t>统筹存量、优化增量，提升综合立体交通网络整体效益效能，降低交通物流成本。推动区域城乡交通一体协调，加强运输方式衔接联通，促进交通与旅游、制造业、现代农业等相关产业融合发展。</w:t>
      </w:r>
    </w:p>
    <w:p w14:paraId="72A18646">
      <w:pPr>
        <w:snapToGrid w:val="0"/>
        <w:spacing w:line="360" w:lineRule="auto"/>
        <w:ind w:firstLine="641"/>
        <w:rPr>
          <w:rFonts w:hint="eastAsia"/>
        </w:rPr>
      </w:pPr>
      <w:bookmarkStart w:id="17" w:name="OLE_LINK189"/>
      <w:r>
        <w:rPr>
          <w:rFonts w:hint="eastAsia"/>
          <w:b/>
          <w:bCs/>
        </w:rPr>
        <w:t>开放包容，创新发展</w:t>
      </w:r>
      <w:bookmarkEnd w:id="17"/>
      <w:r>
        <w:rPr>
          <w:rFonts w:hint="eastAsia"/>
          <w:b/>
          <w:bCs/>
        </w:rPr>
        <w:t>。</w:t>
      </w:r>
      <w:r>
        <w:rPr>
          <w:rFonts w:hint="eastAsia"/>
        </w:rPr>
        <w:t>将改革创新作为综合交通运输发展的根本动力，以先进信息技术赋能交通基础设施和交通运输服务，促进交通数据、物流数据、产业数据开放互联，推动新旧交通业态包容生长，培育发展交通新质生产力。</w:t>
      </w:r>
    </w:p>
    <w:p w14:paraId="39A9294F">
      <w:pPr>
        <w:snapToGrid w:val="0"/>
        <w:spacing w:line="360" w:lineRule="auto"/>
        <w:ind w:firstLine="641"/>
        <w:rPr>
          <w:rFonts w:hint="eastAsia"/>
        </w:rPr>
      </w:pPr>
      <w:bookmarkStart w:id="18" w:name="OLE_LINK190"/>
      <w:r>
        <w:rPr>
          <w:rFonts w:hint="eastAsia"/>
          <w:b/>
          <w:bCs/>
        </w:rPr>
        <w:t>绿色低碳，安全发展</w:t>
      </w:r>
      <w:bookmarkEnd w:id="18"/>
      <w:r>
        <w:rPr>
          <w:rFonts w:hint="eastAsia"/>
          <w:b/>
          <w:bCs/>
        </w:rPr>
        <w:t>。</w:t>
      </w:r>
      <w:r>
        <w:rPr>
          <w:rFonts w:hint="eastAsia"/>
        </w:rPr>
        <w:t>落实碳达峰、碳中和要求，坚持集约节约利用资源，加快形成绿色低碳交通运输方式。统筹高质量发展和高水平安全，加强交通运输安全与应急保障能力建设，将安全发展理念融入交通运输发展各方面和全过程。</w:t>
      </w:r>
    </w:p>
    <w:p w14:paraId="29A29B89">
      <w:pPr>
        <w:pStyle w:val="3"/>
        <w:keepNext w:val="0"/>
        <w:keepLines w:val="0"/>
        <w:spacing w:before="0" w:after="0" w:line="360" w:lineRule="auto"/>
        <w:ind w:firstLine="643" w:firstLineChars="200"/>
        <w:rPr>
          <w:rFonts w:hint="eastAsia" w:ascii="仿宋" w:hAnsi="仿宋" w:eastAsia="仿宋"/>
          <w:b/>
          <w:bCs/>
          <w:color w:val="auto"/>
          <w:sz w:val="32"/>
        </w:rPr>
      </w:pPr>
      <w:bookmarkStart w:id="19" w:name="_Toc236065636"/>
      <w:r>
        <w:rPr>
          <w:rFonts w:hint="eastAsia" w:ascii="仿宋" w:hAnsi="仿宋" w:eastAsia="仿宋"/>
          <w:b/>
          <w:bCs/>
          <w:color w:val="auto"/>
          <w:sz w:val="32"/>
        </w:rPr>
        <w:t>（三）发展目标。</w:t>
      </w:r>
      <w:bookmarkEnd w:id="15"/>
      <w:bookmarkEnd w:id="19"/>
    </w:p>
    <w:p w14:paraId="5E359675">
      <w:pPr>
        <w:snapToGrid w:val="0"/>
        <w:spacing w:line="360" w:lineRule="auto"/>
        <w:ind w:firstLine="640" w:firstLineChars="200"/>
        <w:rPr>
          <w:rFonts w:hint="eastAsia"/>
        </w:rPr>
      </w:pPr>
      <w:bookmarkStart w:id="20" w:name="_Hlk199316640"/>
      <w:r>
        <w:rPr>
          <w:rFonts w:hint="eastAsia"/>
        </w:rPr>
        <w:t>到“十五五”末，</w:t>
      </w:r>
      <w:bookmarkStart w:id="21" w:name="OLE_LINK165"/>
      <w:r>
        <w:rPr>
          <w:rFonts w:hint="eastAsia"/>
        </w:rPr>
        <w:t>韶关市现代化集疏运体系构建取得新成效，</w:t>
      </w:r>
      <w:bookmarkEnd w:id="21"/>
      <w:bookmarkStart w:id="22" w:name="OLE_LINK196"/>
      <w:r>
        <w:rPr>
          <w:rFonts w:hint="eastAsia"/>
        </w:rPr>
        <w:t>现代化综合交通运输体系建设实现新提升</w:t>
      </w:r>
      <w:bookmarkEnd w:id="22"/>
      <w:r>
        <w:rPr>
          <w:rFonts w:hint="eastAsia"/>
        </w:rPr>
        <w:t>，总体形成</w:t>
      </w:r>
      <w:r>
        <w:rPr>
          <w:rFonts w:hint="eastAsia"/>
          <w:b/>
          <w:bCs/>
        </w:rPr>
        <w:t>“12345”</w:t>
      </w:r>
      <w:r>
        <w:rPr>
          <w:rFonts w:hint="eastAsia"/>
        </w:rPr>
        <w:t>综合交通发展新格局，更加有力支撑韶关打造综合交通枢纽极点、夯实陆港型国家物流枢纽承载城市、建设具有区域影响力的新韶关。</w:t>
      </w:r>
    </w:p>
    <w:p w14:paraId="48D9EF7A">
      <w:pPr>
        <w:spacing w:line="360" w:lineRule="auto"/>
        <w:ind w:firstLine="643" w:firstLineChars="200"/>
        <w:rPr>
          <w:rFonts w:hint="eastAsia"/>
        </w:rPr>
      </w:pPr>
      <w:r>
        <w:rPr>
          <w:rFonts w:hint="eastAsia"/>
          <w:b/>
          <w:bCs/>
        </w:rPr>
        <w:t>“12345”</w:t>
      </w:r>
      <w:r>
        <w:rPr>
          <w:rFonts w:hint="eastAsia"/>
        </w:rPr>
        <w:t>是指，</w:t>
      </w:r>
      <w:bookmarkStart w:id="23" w:name="OLE_LINK130"/>
      <w:r>
        <w:rPr>
          <w:rFonts w:hint="eastAsia"/>
        </w:rPr>
        <w:t>夯实一个核心目标（</w:t>
      </w:r>
      <w:bookmarkStart w:id="24" w:name="OLE_LINK25"/>
      <w:r>
        <w:rPr>
          <w:rFonts w:hint="eastAsia"/>
        </w:rPr>
        <w:t>构建集货高效、</w:t>
      </w:r>
      <w:bookmarkStart w:id="25" w:name="_Hlk232778011"/>
      <w:r>
        <w:rPr>
          <w:rFonts w:hint="eastAsia"/>
        </w:rPr>
        <w:t>疏运顺畅、</w:t>
      </w:r>
      <w:bookmarkEnd w:id="25"/>
      <w:r>
        <w:rPr>
          <w:rFonts w:hint="eastAsia"/>
        </w:rPr>
        <w:t>运输便捷的现代化集疏运体系</w:t>
      </w:r>
      <w:bookmarkEnd w:id="24"/>
      <w:r>
        <w:rPr>
          <w:rFonts w:hint="eastAsia"/>
        </w:rPr>
        <w:t>）</w:t>
      </w:r>
      <w:bookmarkEnd w:id="23"/>
      <w:r>
        <w:rPr>
          <w:rFonts w:hint="eastAsia"/>
        </w:rPr>
        <w:t>，完善两大方向通道（纵向融湾、横向联动），增强“三港”（河港、陆港、空港）功能，</w:t>
      </w:r>
      <w:bookmarkStart w:id="26" w:name="_Hlk216031402"/>
      <w:bookmarkStart w:id="27" w:name="OLE_LINK175"/>
      <w:r>
        <w:rPr>
          <w:rFonts w:hint="eastAsia"/>
        </w:rPr>
        <w:t>推进</w:t>
      </w:r>
      <w:bookmarkStart w:id="28" w:name="OLE_LINK176"/>
      <w:bookmarkStart w:id="29" w:name="OLE_LINK182"/>
      <w:r>
        <w:rPr>
          <w:rFonts w:hint="eastAsia"/>
        </w:rPr>
        <w:t>“</w:t>
      </w:r>
      <w:bookmarkEnd w:id="28"/>
      <w:r>
        <w:rPr>
          <w:rFonts w:hint="eastAsia"/>
        </w:rPr>
        <w:t>四化”</w:t>
      </w:r>
      <w:bookmarkEnd w:id="29"/>
      <w:r>
        <w:rPr>
          <w:rFonts w:hint="eastAsia"/>
        </w:rPr>
        <w:t>（</w:t>
      </w:r>
      <w:bookmarkStart w:id="30" w:name="OLE_LINK181"/>
      <w:r>
        <w:rPr>
          <w:rFonts w:hint="eastAsia"/>
        </w:rPr>
        <w:t>一体化融合、安全化提升、数智化升级、绿色化转型</w:t>
      </w:r>
      <w:bookmarkEnd w:id="30"/>
      <w:r>
        <w:rPr>
          <w:rFonts w:hint="eastAsia"/>
        </w:rPr>
        <w:t>）</w:t>
      </w:r>
      <w:bookmarkEnd w:id="26"/>
      <w:r>
        <w:rPr>
          <w:rFonts w:hint="eastAsia"/>
        </w:rPr>
        <w:t>同步</w:t>
      </w:r>
      <w:bookmarkEnd w:id="27"/>
      <w:r>
        <w:rPr>
          <w:rFonts w:hint="eastAsia"/>
        </w:rPr>
        <w:t xml:space="preserve">，打造“五个网络”（骨架网、干线网、基础网、集疏运网、交旅网）。 </w:t>
      </w:r>
    </w:p>
    <w:bookmarkEnd w:id="20"/>
    <w:p w14:paraId="6BC50784">
      <w:pPr>
        <w:snapToGrid w:val="0"/>
        <w:spacing w:before="240" w:line="360" w:lineRule="auto"/>
        <w:ind w:firstLine="640" w:firstLineChars="200"/>
        <w:outlineLvl w:val="0"/>
        <w:rPr>
          <w:rFonts w:hint="eastAsia" w:ascii="Times New Roman" w:hAnsi="黑体" w:eastAsia="黑体" w:cs="Times New Roman"/>
          <w:bCs/>
          <w:szCs w:val="36"/>
          <w:lang w:val="zh-CN"/>
        </w:rPr>
      </w:pPr>
      <w:bookmarkStart w:id="31" w:name="_Toc236065637"/>
      <w:bookmarkStart w:id="32" w:name="_Hlk199317589"/>
      <w:r>
        <w:rPr>
          <w:rFonts w:hint="eastAsia" w:ascii="Times New Roman" w:hAnsi="黑体" w:eastAsia="黑体" w:cs="Times New Roman"/>
          <w:bCs/>
          <w:szCs w:val="36"/>
          <w:lang w:val="zh-CN"/>
        </w:rPr>
        <w:t>三、</w:t>
      </w:r>
      <w:bookmarkStart w:id="33" w:name="OLE_LINK11"/>
      <w:r>
        <w:rPr>
          <w:rFonts w:hint="eastAsia" w:ascii="Times New Roman" w:hAnsi="黑体" w:eastAsia="黑体" w:cs="Times New Roman"/>
          <w:bCs/>
          <w:szCs w:val="36"/>
          <w:lang w:val="zh-CN"/>
        </w:rPr>
        <w:t>巩固增强“水陆空”三港功能</w:t>
      </w:r>
      <w:bookmarkEnd w:id="31"/>
      <w:bookmarkEnd w:id="33"/>
    </w:p>
    <w:p w14:paraId="00BE37E3">
      <w:pPr>
        <w:spacing w:line="360" w:lineRule="auto"/>
        <w:ind w:firstLine="561"/>
        <w:outlineLvl w:val="1"/>
        <w:rPr>
          <w:rFonts w:hint="eastAsia" w:cs="宋体"/>
          <w:b/>
          <w:kern w:val="0"/>
        </w:rPr>
      </w:pPr>
      <w:bookmarkStart w:id="34" w:name="_Toc236065638"/>
      <w:bookmarkStart w:id="35" w:name="_Hlk199317167"/>
      <w:r>
        <w:rPr>
          <w:rFonts w:hint="eastAsia" w:cs="宋体"/>
          <w:b/>
          <w:kern w:val="0"/>
        </w:rPr>
        <w:t>（一）</w:t>
      </w:r>
      <w:bookmarkStart w:id="36" w:name="_Hlk200016677"/>
      <w:r>
        <w:rPr>
          <w:rFonts w:hint="eastAsia" w:cs="宋体"/>
          <w:b/>
          <w:kern w:val="0"/>
        </w:rPr>
        <w:t>建设河港枢纽门户</w:t>
      </w:r>
      <w:bookmarkEnd w:id="36"/>
      <w:r>
        <w:rPr>
          <w:rFonts w:hint="eastAsia" w:cs="宋体"/>
          <w:b/>
          <w:kern w:val="0"/>
        </w:rPr>
        <w:t>。</w:t>
      </w:r>
      <w:bookmarkEnd w:id="34"/>
    </w:p>
    <w:p w14:paraId="1C72A65B">
      <w:pPr>
        <w:spacing w:line="360" w:lineRule="auto"/>
        <w:ind w:firstLine="560"/>
        <w:rPr>
          <w:rFonts w:hAnsi="Times New Roman" w:cs="Times New Roman"/>
          <w:lang w:bidi="ar"/>
        </w:rPr>
      </w:pPr>
      <w:r>
        <w:rPr>
          <w:rFonts w:hint="eastAsia" w:hAnsi="Times New Roman" w:cs="Times New Roman"/>
          <w:b/>
          <w:bCs/>
          <w:kern w:val="0"/>
        </w:rPr>
        <w:t>实施《韶关港总体规划》。</w:t>
      </w:r>
      <w:r>
        <w:rPr>
          <w:rFonts w:hint="eastAsia" w:hAnsi="仿宋_GB2312" w:cs="Times New Roman"/>
        </w:rPr>
        <w:t>着力优化港口布局、扩大港口规模，</w:t>
      </w:r>
      <w:r>
        <w:rPr>
          <w:rFonts w:hint="eastAsia" w:hAnsi="Times New Roman" w:cs="Times New Roman"/>
          <w:kern w:val="0"/>
        </w:rPr>
        <w:t>韶关港</w:t>
      </w:r>
      <w:r>
        <w:rPr>
          <w:rFonts w:hint="eastAsia" w:hAnsi="Times New Roman" w:cs="Times New Roman"/>
          <w:lang w:bidi="ar"/>
        </w:rPr>
        <w:t>规划形成以北江港区为核心，以浈江和武江港区为补充的布置合理、功能完善的“一港三区、11个作业区和若干旅游码头”的总体布局，全力打造北江内河航运枢纽。</w:t>
      </w:r>
    </w:p>
    <w:p w14:paraId="7564AEF3">
      <w:pPr>
        <w:spacing w:line="360" w:lineRule="auto"/>
        <w:ind w:firstLine="560"/>
        <w:rPr>
          <w:rFonts w:hAnsi="Times New Roman" w:cs="Times New Roman"/>
          <w:lang w:bidi="ar"/>
        </w:rPr>
      </w:pPr>
      <w:bookmarkStart w:id="37" w:name="OLE_LINK167"/>
      <w:r>
        <w:rPr>
          <w:rFonts w:hint="eastAsia"/>
          <w:b/>
          <w:bCs/>
        </w:rPr>
        <w:t>推动港口现代化升级</w:t>
      </w:r>
      <w:bookmarkEnd w:id="37"/>
      <w:r>
        <w:rPr>
          <w:rFonts w:hint="eastAsia"/>
          <w:b/>
          <w:bCs/>
        </w:rPr>
        <w:t>。</w:t>
      </w:r>
      <w:r>
        <w:rPr>
          <w:rFonts w:hint="eastAsia" w:hAnsi="宋体" w:cs="宋体"/>
          <w:color w:val="000000"/>
          <w:kern w:val="0"/>
        </w:rPr>
        <w:t>加快建成白土作业区龙头寨码头，</w:t>
      </w:r>
      <w:r>
        <w:rPr>
          <w:rFonts w:hint="eastAsia" w:hAnsi="仿宋_GB2312"/>
        </w:rPr>
        <w:t>推进大坑口作业区码头</w:t>
      </w:r>
      <w:r>
        <w:rPr>
          <w:rFonts w:hint="eastAsia" w:hAnsi="仿宋_GB2312"/>
          <w:kern w:val="0"/>
        </w:rPr>
        <w:t>一期</w:t>
      </w:r>
      <w:r>
        <w:rPr>
          <w:rFonts w:hint="eastAsia" w:hAnsi="仿宋_GB2312"/>
        </w:rPr>
        <w:t>、乌泥角作业区码头建设，进一步强化北江港区水运枢纽核心地位。发挥好北江扩能升级上延工程辐射带动作用，实施乐昌作业区码头一期、乳源作业区码头项目，提升</w:t>
      </w:r>
      <w:r>
        <w:rPr>
          <w:rFonts w:hint="eastAsia" w:hAnsi="Times New Roman" w:cs="Times New Roman"/>
          <w:lang w:bidi="ar"/>
        </w:rPr>
        <w:t>武江港区承载能力。谋划浈江港区开发。</w:t>
      </w:r>
    </w:p>
    <w:p w14:paraId="329886F8">
      <w:pPr>
        <w:spacing w:line="360" w:lineRule="auto"/>
        <w:ind w:firstLine="560"/>
        <w:rPr>
          <w:rFonts w:hint="eastAsia"/>
        </w:rPr>
      </w:pPr>
      <w:r>
        <w:rPr>
          <w:rFonts w:hint="eastAsia"/>
          <w:b/>
          <w:bCs/>
        </w:rPr>
        <w:t>推动“以港促产、以产兴城”。</w:t>
      </w:r>
      <w:r>
        <w:rPr>
          <w:rFonts w:hint="eastAsia"/>
        </w:rPr>
        <w:t>以白土作业区（具备口岸功能）建成、北江扩能升级上延工程建设</w:t>
      </w:r>
      <w:r>
        <w:rPr>
          <w:rFonts w:hint="eastAsia" w:hAnsi="仿宋_GB2312"/>
        </w:rPr>
        <w:t>为契机，</w:t>
      </w:r>
      <w:r>
        <w:rPr>
          <w:rFonts w:hint="eastAsia"/>
        </w:rPr>
        <w:t>进一步挖掘北江航道外贸物流潜力，大力发展内河航运。引导韶关市（</w:t>
      </w:r>
      <w:r>
        <w:rPr>
          <w:rFonts w:ascii="Times New Roman" w:hAnsi="Times New Roman" w:cs="Times New Roman"/>
        </w:rPr>
        <w:t>港航</w:t>
      </w:r>
      <w:r>
        <w:rPr>
          <w:rFonts w:hint="eastAsia" w:ascii="Times New Roman" w:hAnsi="Times New Roman" w:cs="Times New Roman"/>
        </w:rPr>
        <w:t>）</w:t>
      </w:r>
      <w:r>
        <w:rPr>
          <w:rFonts w:hint="eastAsia"/>
        </w:rPr>
        <w:t>装备制造、先进材料等临港偏好型产业向港口集聚、</w:t>
      </w:r>
      <w:r>
        <w:rPr>
          <w:rFonts w:hint="eastAsia" w:hAnsi="仿宋_GB2312"/>
          <w:color w:val="000000"/>
          <w:shd w:val="clear" w:color="auto" w:fill="FFFFFF"/>
        </w:rPr>
        <w:t>沿江布局。规划建设韶关市内河绿色动力船舶制造基地，构建船舶修造、机械装备制造等临港产业体系。</w:t>
      </w:r>
      <w:r>
        <w:rPr>
          <w:rFonts w:hint="eastAsia"/>
        </w:rPr>
        <w:t>谋划建设区域性航运物流中心，</w:t>
      </w:r>
      <w:bookmarkStart w:id="38" w:name="OLE_LINK187"/>
      <w:r>
        <w:rPr>
          <w:rFonts w:hint="eastAsia" w:hAnsi="仿宋_GB2312"/>
        </w:rPr>
        <w:t>发展以港口物流、保税服务、供应链管理为代表的现代航运服务业</w:t>
      </w:r>
      <w:bookmarkEnd w:id="38"/>
      <w:r>
        <w:rPr>
          <w:rFonts w:hint="eastAsia" w:hAnsi="仿宋_GB2312"/>
        </w:rPr>
        <w:t>，</w:t>
      </w:r>
      <w:r>
        <w:rPr>
          <w:rFonts w:hint="eastAsia" w:hAnsi="宋体" w:cs="宋体"/>
          <w:color w:val="000000"/>
          <w:kern w:val="0"/>
        </w:rPr>
        <w:t>将韶关港打造成为联运功能完善、货物集疏便捷的现代化内河重要港口。</w:t>
      </w:r>
    </w:p>
    <w:p w14:paraId="207E9C81">
      <w:pPr>
        <w:spacing w:line="360" w:lineRule="auto"/>
        <w:ind w:firstLine="560"/>
        <w:rPr>
          <w:rFonts w:hint="eastAsia"/>
        </w:rPr>
      </w:pPr>
      <w:bookmarkStart w:id="39" w:name="_Hlk215929892"/>
      <w:r>
        <w:rPr>
          <w:rFonts w:hint="eastAsia" w:cs="宋体"/>
          <w:b/>
          <w:bCs/>
          <w:kern w:val="0"/>
        </w:rPr>
        <w:t>积极参与大湾区组合港建设</w:t>
      </w:r>
      <w:bookmarkEnd w:id="39"/>
      <w:r>
        <w:rPr>
          <w:rFonts w:hint="eastAsia" w:cs="宋体"/>
          <w:b/>
          <w:bCs/>
          <w:kern w:val="0"/>
        </w:rPr>
        <w:t>。</w:t>
      </w:r>
      <w:r>
        <w:rPr>
          <w:rFonts w:hint="eastAsia"/>
        </w:rPr>
        <w:t>加快韶关港与珠三角各市港口合作，努力推动韶关港</w:t>
      </w:r>
      <w:r>
        <w:rPr>
          <w:rFonts w:hint="eastAsia" w:hAnsi="Times New Roman" w:cs="Times New Roman"/>
          <w:lang w:bidi="ar"/>
        </w:rPr>
        <w:t>北江港区</w:t>
      </w:r>
      <w:r>
        <w:rPr>
          <w:rFonts w:hint="eastAsia"/>
        </w:rPr>
        <w:t>与东莞虎门港区、广州南沙港区、佛山港等港口港区打造“组合港”“并行港”，提高韶关港航物流服务质量，提升韶关临港产业市场竞争力。</w:t>
      </w:r>
    </w:p>
    <w:p w14:paraId="3446D47C">
      <w:pPr>
        <w:spacing w:line="360" w:lineRule="auto"/>
        <w:ind w:firstLine="561"/>
        <w:outlineLvl w:val="1"/>
        <w:rPr>
          <w:rFonts w:hint="eastAsia" w:cs="宋体"/>
          <w:b/>
          <w:kern w:val="0"/>
        </w:rPr>
      </w:pPr>
      <w:bookmarkStart w:id="40" w:name="_Toc236065639"/>
      <w:r>
        <w:rPr>
          <w:rFonts w:hint="eastAsia" w:cs="宋体"/>
          <w:b/>
          <w:kern w:val="0"/>
        </w:rPr>
        <w:t>（二）</w:t>
      </w:r>
      <w:bookmarkStart w:id="41" w:name="OLE_LINK30"/>
      <w:r>
        <w:rPr>
          <w:rFonts w:hint="eastAsia" w:cs="宋体"/>
          <w:b/>
          <w:kern w:val="0"/>
        </w:rPr>
        <w:t>提升陆港枢纽能级。</w:t>
      </w:r>
      <w:bookmarkEnd w:id="40"/>
      <w:bookmarkEnd w:id="41"/>
    </w:p>
    <w:p w14:paraId="1C5267CD">
      <w:pPr>
        <w:snapToGrid w:val="0"/>
        <w:spacing w:line="360" w:lineRule="auto"/>
        <w:ind w:firstLine="660"/>
        <w:rPr>
          <w:rFonts w:hint="eastAsia" w:cs="宋体"/>
          <w:kern w:val="0"/>
        </w:rPr>
      </w:pPr>
      <w:bookmarkStart w:id="42" w:name="_Hlk215929902"/>
      <w:bookmarkStart w:id="43" w:name="OLE_LINK77"/>
      <w:r>
        <w:rPr>
          <w:rFonts w:hint="eastAsia"/>
          <w:b/>
          <w:szCs w:val="30"/>
        </w:rPr>
        <w:t>优化物流枢纽布局</w:t>
      </w:r>
      <w:bookmarkEnd w:id="42"/>
      <w:r>
        <w:rPr>
          <w:rFonts w:hint="eastAsia"/>
          <w:b/>
          <w:szCs w:val="30"/>
        </w:rPr>
        <w:t>。</w:t>
      </w:r>
      <w:bookmarkEnd w:id="43"/>
      <w:bookmarkStart w:id="44" w:name="OLE_LINK183"/>
      <w:r>
        <w:rPr>
          <w:rFonts w:hint="eastAsia"/>
          <w:bCs/>
          <w:szCs w:val="30"/>
        </w:rPr>
        <w:t>推进韶关陆港型国家物流枢纽规划建设</w:t>
      </w:r>
      <w:bookmarkEnd w:id="44"/>
      <w:r>
        <w:rPr>
          <w:rFonts w:hint="eastAsia"/>
          <w:bCs/>
          <w:szCs w:val="30"/>
        </w:rPr>
        <w:t>，</w:t>
      </w:r>
      <w:r>
        <w:rPr>
          <w:rFonts w:hint="eastAsia" w:hAnsi="仿宋_GB2312"/>
          <w:color w:val="000000"/>
          <w:shd w:val="clear" w:color="auto" w:fill="FFFFFF"/>
        </w:rPr>
        <w:t>整合马坝、白土两大片区集散能力，实现零散货物规模化集聚，</w:t>
      </w:r>
      <w:r>
        <w:rPr>
          <w:rFonts w:hint="eastAsia" w:cs="宋体"/>
          <w:kern w:val="0"/>
        </w:rPr>
        <w:t>努力把韶关市建设成为高效联通粤港澳大湾区与内地，“南货北运”“北货南运”的区域性物流枢纽节点城市与区域集散枢纽。</w:t>
      </w:r>
    </w:p>
    <w:p w14:paraId="2064D347">
      <w:pPr>
        <w:snapToGrid w:val="0"/>
        <w:spacing w:line="360" w:lineRule="auto"/>
        <w:ind w:firstLine="640" w:firstLineChars="200"/>
        <w:rPr>
          <w:rFonts w:hint="eastAsia"/>
          <w:szCs w:val="30"/>
        </w:rPr>
      </w:pPr>
      <w:r>
        <w:rPr>
          <w:rFonts w:hint="eastAsia"/>
          <w:szCs w:val="30"/>
        </w:rPr>
        <w:t>加快韶关保税物流中心（B型）建设，完善海关监管仓、查验平台等设施。利用铁路与水运优势发展保税仓储、进出口通关等服务，推动口岸功能前置，在陆港型国家物流枢纽范围打造粤北乃至“红三角”区域跨境电商集聚区。</w:t>
      </w:r>
    </w:p>
    <w:p w14:paraId="570A2049">
      <w:pPr>
        <w:snapToGrid w:val="0"/>
        <w:spacing w:line="360" w:lineRule="auto"/>
        <w:ind w:firstLine="660"/>
        <w:rPr>
          <w:rFonts w:hint="eastAsia"/>
          <w:szCs w:val="30"/>
        </w:rPr>
      </w:pPr>
      <w:r>
        <w:rPr>
          <w:rFonts w:hint="eastAsia"/>
          <w:szCs w:val="30"/>
        </w:rPr>
        <w:t>完善物流基地（物流集聚区）、物流园区、物流配送中心三层节点布局，推进新丰横江物流集聚区、</w:t>
      </w:r>
      <w:r>
        <w:rPr>
          <w:rFonts w:hint="eastAsia" w:cs="宋体"/>
          <w:kern w:val="0"/>
        </w:rPr>
        <w:t>翁源现代物流中心、韶关市仁化县格顶物流园、</w:t>
      </w:r>
      <w:r>
        <w:rPr>
          <w:rFonts w:hint="eastAsia" w:hAnsi="仿宋_GB2312"/>
        </w:rPr>
        <w:t>始兴县江口现代物流产业园、丹霞机场航空产业综合物流枢纽</w:t>
      </w:r>
      <w:r>
        <w:rPr>
          <w:rFonts w:hint="eastAsia"/>
          <w:szCs w:val="30"/>
        </w:rPr>
        <w:t>等物流节点建设，打造集仓储、分拨、配送于一体的综合型物流枢纽节点。</w:t>
      </w:r>
    </w:p>
    <w:p w14:paraId="3A857406">
      <w:pPr>
        <w:snapToGrid w:val="0"/>
        <w:spacing w:line="360" w:lineRule="auto"/>
        <w:ind w:firstLine="660"/>
        <w:rPr>
          <w:rFonts w:hint="eastAsia" w:cs="宋体"/>
          <w:kern w:val="0"/>
        </w:rPr>
      </w:pPr>
      <w:bookmarkStart w:id="45" w:name="_Hlk215929915"/>
      <w:bookmarkStart w:id="46" w:name="OLE_LINK99"/>
      <w:r>
        <w:rPr>
          <w:rFonts w:hint="eastAsia" w:cs="宋体"/>
          <w:b/>
          <w:bCs/>
          <w:kern w:val="0"/>
        </w:rPr>
        <w:t>促进铁路货运向铁路物流转型</w:t>
      </w:r>
      <w:bookmarkEnd w:id="45"/>
      <w:r>
        <w:rPr>
          <w:rFonts w:hint="eastAsia" w:cs="宋体"/>
          <w:b/>
          <w:bCs/>
          <w:kern w:val="0"/>
        </w:rPr>
        <w:t>。</w:t>
      </w:r>
      <w:r>
        <w:rPr>
          <w:rFonts w:hint="eastAsia" w:cs="宋体"/>
          <w:kern w:val="0"/>
        </w:rPr>
        <w:t>深入参与铁路物流园区规划发展研究，加快韶关铁路物流基地规划建设，建成功能突出、产业集聚明显、辐射带动力强的区域铁路物流节点。用好存量铁路场站和专用线资源，提高铁路货场设施设备的现代化物流水平，提升站场物流节点功能和运输调度效率，发挥铁路在降低交通物流成本中的重要作用。</w:t>
      </w:r>
      <w:bookmarkStart w:id="47" w:name="_Hlk219466750"/>
    </w:p>
    <w:p w14:paraId="2CC0EC6A">
      <w:pPr>
        <w:snapToGrid w:val="0"/>
        <w:spacing w:line="360" w:lineRule="auto"/>
        <w:ind w:firstLine="660"/>
        <w:rPr>
          <w:rFonts w:hint="eastAsia" w:cs="宋体"/>
          <w:kern w:val="0"/>
        </w:rPr>
      </w:pPr>
      <w:r>
        <w:rPr>
          <w:rFonts w:hint="eastAsia" w:hAnsi="仿宋_GB2312"/>
          <w:color w:val="000000"/>
          <w:shd w:val="clear" w:color="auto" w:fill="FFFFFF"/>
        </w:rPr>
        <w:t>实施韶关东站铁路货运站场扩容改造，提高铁路货运枢纽集聚承载能力；</w:t>
      </w:r>
      <w:bookmarkEnd w:id="47"/>
      <w:r>
        <w:rPr>
          <w:rFonts w:hint="eastAsia" w:hAnsi="仿宋_GB2312"/>
          <w:color w:val="000000"/>
          <w:shd w:val="clear" w:color="auto" w:fill="FFFFFF"/>
        </w:rPr>
        <w:t>同步改造客运站台等设施，满足“绿巨人”车次停靠条件，增强客运集聚功能。</w:t>
      </w:r>
      <w:r>
        <w:rPr>
          <w:rFonts w:hint="eastAsia" w:hAnsi="仿宋_GB2312"/>
        </w:rPr>
        <w:t>在韶关站布局和拓展小批量、高附加值货物运输业务。在韶关东站强化大宗物资及集装箱转运功能，形成“高铁快运+普铁大宗”分工协作的物流体系。</w:t>
      </w:r>
      <w:r>
        <w:rPr>
          <w:rFonts w:hint="eastAsia" w:cs="宋体"/>
          <w:kern w:val="0"/>
        </w:rPr>
        <w:t>研究在具备条件的高铁站增设物流通道和场地，提升现代物流服务功能，打造高铁快递节点。</w:t>
      </w:r>
    </w:p>
    <w:bookmarkEnd w:id="46"/>
    <w:p w14:paraId="003A5702">
      <w:pPr>
        <w:snapToGrid w:val="0"/>
        <w:spacing w:line="360" w:lineRule="auto"/>
        <w:ind w:firstLine="643" w:firstLineChars="200"/>
        <w:rPr>
          <w:rFonts w:ascii="Times New Roman" w:hAnsi="Times New Roman" w:cs="Times New Roman"/>
        </w:rPr>
      </w:pPr>
      <w:bookmarkStart w:id="48" w:name="_Hlk215929930"/>
      <w:r>
        <w:rPr>
          <w:rFonts w:hint="eastAsia" w:hAnsi="宋体" w:cs="宋体"/>
          <w:b/>
          <w:bCs/>
          <w:color w:val="000000"/>
          <w:kern w:val="0"/>
        </w:rPr>
        <w:t>加强省际物流交流合作，</w:t>
      </w:r>
      <w:bookmarkEnd w:id="48"/>
      <w:bookmarkStart w:id="49" w:name="_Hlk207788081"/>
      <w:r>
        <w:rPr>
          <w:rFonts w:hint="eastAsia" w:hAnsi="宋体" w:cs="宋体"/>
          <w:color w:val="000000"/>
          <w:kern w:val="0"/>
        </w:rPr>
        <w:t>持续深化与省能源集团、中南钢铁等重点企业的对接合作，加强与</w:t>
      </w:r>
      <w:r>
        <w:rPr>
          <w:rFonts w:ascii="Times New Roman" w:hAnsi="Times New Roman" w:cs="Times New Roman"/>
        </w:rPr>
        <w:t>珠三角物流枢纽</w:t>
      </w:r>
      <w:r>
        <w:rPr>
          <w:rFonts w:hint="eastAsia" w:ascii="Times New Roman" w:hAnsi="Times New Roman" w:cs="Times New Roman"/>
        </w:rPr>
        <w:t>以及</w:t>
      </w:r>
      <w:r>
        <w:rPr>
          <w:rFonts w:hint="eastAsia" w:hAnsi="宋体" w:cs="宋体"/>
          <w:color w:val="000000"/>
          <w:kern w:val="0"/>
        </w:rPr>
        <w:t>毗邻市郴州陆港、赣州国际陆港</w:t>
      </w:r>
      <w:r>
        <w:rPr>
          <w:rFonts w:ascii="Times New Roman" w:hAnsi="Times New Roman" w:cs="Times New Roman"/>
        </w:rPr>
        <w:t>协作</w:t>
      </w:r>
      <w:r>
        <w:rPr>
          <w:rFonts w:hint="eastAsia" w:ascii="Times New Roman" w:hAnsi="Times New Roman" w:cs="Times New Roman"/>
        </w:rPr>
        <w:t>，</w:t>
      </w:r>
      <w:r>
        <w:rPr>
          <w:rFonts w:ascii="Times New Roman" w:hAnsi="Times New Roman" w:cs="Times New Roman"/>
        </w:rPr>
        <w:t>构建高效联动的区域物流网络体系，实现枢纽间运输规模和频次的持续提升，显著提高骨干物流通道运行效率</w:t>
      </w:r>
      <w:r>
        <w:rPr>
          <w:rFonts w:hint="eastAsia" w:ascii="Times New Roman" w:hAnsi="Times New Roman" w:cs="Times New Roman"/>
        </w:rPr>
        <w:t>，夯实</w:t>
      </w:r>
      <w:bookmarkEnd w:id="49"/>
      <w:r>
        <w:rPr>
          <w:rFonts w:ascii="Times New Roman" w:hAnsi="Times New Roman" w:cs="Times New Roman"/>
        </w:rPr>
        <w:t>陆港型国家物流枢纽承载城市</w:t>
      </w:r>
      <w:r>
        <w:rPr>
          <w:rFonts w:hint="eastAsia" w:ascii="Times New Roman" w:hAnsi="Times New Roman" w:cs="Times New Roman"/>
        </w:rPr>
        <w:t>地位</w:t>
      </w:r>
      <w:r>
        <w:rPr>
          <w:rFonts w:ascii="Times New Roman" w:hAnsi="Times New Roman" w:cs="Times New Roman"/>
        </w:rPr>
        <w:t>。</w:t>
      </w:r>
    </w:p>
    <w:p w14:paraId="5928998D">
      <w:pPr>
        <w:spacing w:line="360" w:lineRule="auto"/>
        <w:ind w:firstLine="561"/>
        <w:outlineLvl w:val="1"/>
        <w:rPr>
          <w:rFonts w:hint="eastAsia" w:cs="宋体"/>
          <w:b/>
          <w:kern w:val="0"/>
        </w:rPr>
      </w:pPr>
      <w:bookmarkStart w:id="50" w:name="_Toc236065640"/>
      <w:r>
        <w:rPr>
          <w:rFonts w:hint="eastAsia" w:cs="宋体"/>
          <w:b/>
          <w:kern w:val="0"/>
        </w:rPr>
        <w:t>（三）增强空港枢纽功能。</w:t>
      </w:r>
      <w:bookmarkEnd w:id="50"/>
    </w:p>
    <w:p w14:paraId="0597AE6A">
      <w:pPr>
        <w:snapToGrid w:val="0"/>
        <w:spacing w:line="360" w:lineRule="auto"/>
        <w:ind w:firstLine="643" w:firstLineChars="200"/>
        <w:rPr>
          <w:rFonts w:hint="eastAsia"/>
          <w:bCs/>
        </w:rPr>
      </w:pPr>
      <w:bookmarkStart w:id="51" w:name="OLE_LINK168"/>
      <w:bookmarkStart w:id="52" w:name="OLE_LINK29"/>
      <w:bookmarkStart w:id="53" w:name="OLE_LINK100"/>
      <w:r>
        <w:rPr>
          <w:rFonts w:hint="eastAsia" w:hAnsi="仿宋_GB2312"/>
          <w:b/>
          <w:bCs/>
          <w:lang w:bidi="ar"/>
        </w:rPr>
        <w:t>“客货并举”打造</w:t>
      </w:r>
      <w:r>
        <w:rPr>
          <w:rFonts w:hint="eastAsia"/>
          <w:b/>
          <w:bCs/>
        </w:rPr>
        <w:t>中小机场标杆</w:t>
      </w:r>
      <w:bookmarkEnd w:id="51"/>
      <w:r>
        <w:rPr>
          <w:rFonts w:hint="eastAsia"/>
          <w:b/>
          <w:bCs/>
        </w:rPr>
        <w:t>。</w:t>
      </w:r>
      <w:r>
        <w:rPr>
          <w:rFonts w:hint="eastAsia" w:hAnsi="仿宋_GB2312"/>
          <w:lang w:bidi="ar"/>
        </w:rPr>
        <w:t>按照“飞起来、好起来、优起来”三步走战略，</w:t>
      </w:r>
      <w:r>
        <w:rPr>
          <w:rFonts w:hint="eastAsia" w:hAnsi="仿宋_GB2312" w:cs="Times New Roman"/>
        </w:rPr>
        <w:t>持续加强丹霞机场运营管理，</w:t>
      </w:r>
      <w:bookmarkEnd w:id="52"/>
      <w:r>
        <w:rPr>
          <w:rFonts w:hint="eastAsia" w:hAnsi="仿宋_GB2312"/>
          <w:lang w:bidi="ar"/>
        </w:rPr>
        <w:t>稳步拓展支线</w:t>
      </w:r>
      <w:r>
        <w:rPr>
          <w:rFonts w:hint="eastAsia"/>
          <w:bCs/>
        </w:rPr>
        <w:t>航线网络，在韶关与京津冀、长三角、成渝、粤东、粤西之间搭建起便捷的空中走廊，构建粤北航空运输节点。</w:t>
      </w:r>
      <w:bookmarkStart w:id="54" w:name="_Hlk215929947"/>
    </w:p>
    <w:p w14:paraId="270AC17F">
      <w:pPr>
        <w:snapToGrid w:val="0"/>
        <w:spacing w:line="360" w:lineRule="auto"/>
        <w:ind w:firstLine="640" w:firstLineChars="200"/>
        <w:rPr>
          <w:rFonts w:hint="eastAsia" w:hAnsi="仿宋_GB2312"/>
          <w:lang w:bidi="ar"/>
        </w:rPr>
      </w:pPr>
      <w:r>
        <w:rPr>
          <w:rFonts w:hint="eastAsia"/>
          <w:bCs/>
        </w:rPr>
        <w:t>积极提升机场客运规模</w:t>
      </w:r>
      <w:bookmarkEnd w:id="54"/>
      <w:r>
        <w:rPr>
          <w:rFonts w:hint="eastAsia"/>
          <w:bCs/>
        </w:rPr>
        <w:t>。开通因时刻限制无法连入大型枢纽机场的支线航班，增加往国内城市群、都市圈的中转航班。</w:t>
      </w:r>
      <w:r>
        <w:rPr>
          <w:rFonts w:hint="eastAsia"/>
          <w:szCs w:val="21"/>
        </w:rPr>
        <w:t>承接广州大型国际枢纽的功能疏解，提升韶关丹霞机场的枢纽功能。</w:t>
      </w:r>
      <w:r>
        <w:rPr>
          <w:rFonts w:hint="eastAsia"/>
          <w:bCs/>
        </w:rPr>
        <w:t>研究航空与文旅融合发展策略，根据旅游季节特点调整航线，开通韶关与国内热门旅游目的地支线机场互飞、环飞航线，定制推广红色旅游、研学旅游航线航班，增加机场旅客吞吐量。</w:t>
      </w:r>
      <w:r>
        <w:rPr>
          <w:rFonts w:hint="eastAsia" w:hAnsi="仿宋_GB2312"/>
          <w:lang w:bidi="ar"/>
        </w:rPr>
        <w:t>发展丹霞机场至各县（</w:t>
      </w:r>
      <w:bookmarkStart w:id="55" w:name="OLE_LINK1"/>
      <w:r>
        <w:rPr>
          <w:rFonts w:hint="eastAsia" w:hAnsi="仿宋_GB2312"/>
          <w:lang w:bidi="ar"/>
        </w:rPr>
        <w:t>市、</w:t>
      </w:r>
      <w:bookmarkEnd w:id="55"/>
      <w:r>
        <w:rPr>
          <w:rFonts w:hint="eastAsia" w:hAnsi="仿宋_GB2312"/>
          <w:lang w:bidi="ar"/>
        </w:rPr>
        <w:t>区）定制客运班线，研究布局各县（市、区）城市候机楼。</w:t>
      </w:r>
    </w:p>
    <w:p w14:paraId="62ADE653">
      <w:pPr>
        <w:snapToGrid w:val="0"/>
        <w:spacing w:line="360" w:lineRule="auto"/>
        <w:ind w:firstLine="640" w:firstLineChars="200"/>
        <w:rPr>
          <w:rFonts w:hint="eastAsia" w:hAnsi="仿宋_GB2312"/>
        </w:rPr>
      </w:pPr>
      <w:r>
        <w:rPr>
          <w:rFonts w:ascii="Times New Roman" w:hAnsi="Times New Roman" w:cs="Times New Roman"/>
        </w:rPr>
        <w:t>提升丹霞机场</w:t>
      </w:r>
      <w:bookmarkStart w:id="56" w:name="_Hlk215929955"/>
      <w:r>
        <w:rPr>
          <w:rFonts w:ascii="Times New Roman" w:hAnsi="Times New Roman" w:cs="Times New Roman"/>
        </w:rPr>
        <w:t>货运</w:t>
      </w:r>
      <w:bookmarkEnd w:id="56"/>
      <w:r>
        <w:rPr>
          <w:rFonts w:hint="eastAsia" w:ascii="Times New Roman" w:hAnsi="Times New Roman" w:cs="Times New Roman"/>
        </w:rPr>
        <w:t>功能。</w:t>
      </w:r>
      <w:r>
        <w:rPr>
          <w:rFonts w:hint="eastAsia" w:hAnsi="仿宋_GB2312"/>
          <w:lang w:bidi="ar"/>
        </w:rPr>
        <w:t>完善机场货运站、物流仓储等基础设施。大力吸引</w:t>
      </w:r>
      <w:r>
        <w:rPr>
          <w:rFonts w:hint="eastAsia"/>
          <w:bCs/>
        </w:rPr>
        <w:t>航空货运企业、大型快递</w:t>
      </w:r>
      <w:r>
        <w:rPr>
          <w:rFonts w:hint="eastAsia" w:hAnsi="仿宋_GB2312"/>
        </w:rPr>
        <w:t>物流企业</w:t>
      </w:r>
      <w:bookmarkStart w:id="57" w:name="OLE_LINK159"/>
      <w:r>
        <w:rPr>
          <w:rFonts w:hint="eastAsia" w:hAnsi="仿宋_GB2312"/>
        </w:rPr>
        <w:t>入驻</w:t>
      </w:r>
      <w:bookmarkEnd w:id="57"/>
      <w:r>
        <w:rPr>
          <w:rFonts w:hint="eastAsia" w:hAnsi="仿宋_GB2312"/>
        </w:rPr>
        <w:t>，服务韶关特色产业以及生物医药与健康战略性新兴产业的高端货运需求。</w:t>
      </w:r>
      <w:bookmarkStart w:id="58" w:name="OLE_LINK118"/>
      <w:r>
        <w:rPr>
          <w:rFonts w:hint="eastAsia" w:hAnsi="仿宋_GB2312"/>
        </w:rPr>
        <w:t>逐步推动丹霞机场打造成为华南地区航空货运中转分拨中心，实现货物“落地韶关、分拨华南”。</w:t>
      </w:r>
      <w:bookmarkEnd w:id="58"/>
      <w:r>
        <w:rPr>
          <w:rFonts w:hint="eastAsia" w:hAnsi="仿宋_GB2312"/>
        </w:rPr>
        <w:t>研究在</w:t>
      </w:r>
      <w:r>
        <w:rPr>
          <w:rFonts w:hint="eastAsia" w:hAnsi="仿宋_GB2312"/>
          <w:color w:val="000000"/>
          <w:shd w:val="clear" w:color="auto" w:fill="FFFFFF"/>
        </w:rPr>
        <w:t>出城端、</w:t>
      </w:r>
      <w:r>
        <w:rPr>
          <w:rFonts w:hint="eastAsia" w:hAnsi="仿宋_GB2312"/>
        </w:rPr>
        <w:t>工业园区、农产品产区布设航空集货点，</w:t>
      </w:r>
      <w:r>
        <w:rPr>
          <w:rFonts w:hint="eastAsia" w:hAnsi="仿宋_GB2312"/>
          <w:color w:val="000000"/>
          <w:shd w:val="clear" w:color="auto" w:fill="FFFFFF"/>
        </w:rPr>
        <w:t>出城端重点集聚电子元器件、生鲜农产品、应急物资等适空货源，</w:t>
      </w:r>
      <w:bookmarkStart w:id="59" w:name="OLE_LINK120"/>
      <w:r>
        <w:rPr>
          <w:rFonts w:hint="eastAsia" w:hAnsi="仿宋_GB2312"/>
          <w:color w:val="000000"/>
          <w:shd w:val="clear" w:color="auto" w:fill="FFFFFF"/>
        </w:rPr>
        <w:t>返程端承接大湾区航空货运外溢的高端消费品、精密零部件、跨境电商包裹等“回头货”</w:t>
      </w:r>
      <w:bookmarkEnd w:id="59"/>
      <w:r>
        <w:rPr>
          <w:rFonts w:hint="eastAsia" w:hAnsi="仿宋_GB2312"/>
          <w:color w:val="000000"/>
          <w:shd w:val="clear" w:color="auto" w:fill="FFFFFF"/>
        </w:rPr>
        <w:t>，为“临空经济”相关产业集聚和发展提供高效物流运输保障，提升粤湘赣区域高时效货物集聚能力与流转效率。</w:t>
      </w:r>
      <w:r>
        <w:rPr>
          <w:rFonts w:hint="eastAsia" w:hAnsi="仿宋_GB2312"/>
          <w:lang w:bidi="ar"/>
        </w:rPr>
        <w:t>提升</w:t>
      </w:r>
      <w:r>
        <w:rPr>
          <w:rFonts w:hint="eastAsia" w:hAnsi="仿宋_GB2312"/>
        </w:rPr>
        <w:t>空陆联运</w:t>
      </w:r>
      <w:r>
        <w:rPr>
          <w:rFonts w:hint="eastAsia" w:hAnsi="仿宋_GB2312"/>
          <w:lang w:bidi="ar"/>
        </w:rPr>
        <w:t>能力，</w:t>
      </w:r>
      <w:r>
        <w:rPr>
          <w:rFonts w:hint="eastAsia" w:hAnsi="仿宋_GB2312"/>
        </w:rPr>
        <w:t>发展“本地特色产业</w:t>
      </w:r>
      <w:r>
        <w:rPr>
          <w:rFonts w:hAnsi="仿宋_GB2312"/>
        </w:rPr>
        <w:t>+</w:t>
      </w:r>
      <w:r>
        <w:rPr>
          <w:rFonts w:hint="eastAsia" w:hAnsi="仿宋_GB2312"/>
        </w:rPr>
        <w:t>航空运输”模式，探索开展卡车航班陆空联运，</w:t>
      </w:r>
      <w:r>
        <w:rPr>
          <w:rFonts w:hint="eastAsia" w:hAnsi="仿宋_GB2312"/>
          <w:lang w:bidi="ar"/>
        </w:rPr>
        <w:t>促进临空经济发展，实现</w:t>
      </w:r>
      <w:r>
        <w:rPr>
          <w:rFonts w:hint="eastAsia" w:hAnsi="仿宋_GB2312"/>
        </w:rPr>
        <w:t>机场可持续发展。</w:t>
      </w:r>
      <w:bookmarkEnd w:id="53"/>
      <w:bookmarkStart w:id="60" w:name="_Hlk215929966"/>
    </w:p>
    <w:p w14:paraId="4469D90A">
      <w:pPr>
        <w:snapToGrid w:val="0"/>
        <w:spacing w:line="360" w:lineRule="auto"/>
        <w:ind w:firstLine="643" w:firstLineChars="200"/>
        <w:rPr>
          <w:rFonts w:hint="eastAsia"/>
        </w:rPr>
      </w:pPr>
      <w:r>
        <w:rPr>
          <w:rFonts w:hint="eastAsia" w:hAnsi="仿宋_GB2312"/>
          <w:b/>
          <w:bCs/>
          <w:lang w:bidi="ar"/>
        </w:rPr>
        <w:t>积极发展通用航空</w:t>
      </w:r>
      <w:bookmarkEnd w:id="60"/>
      <w:r>
        <w:rPr>
          <w:rFonts w:hint="eastAsia" w:hAnsi="仿宋_GB2312"/>
          <w:b/>
          <w:bCs/>
          <w:lang w:bidi="ar"/>
        </w:rPr>
        <w:t>。</w:t>
      </w:r>
      <w:r>
        <w:rPr>
          <w:rFonts w:hint="eastAsia"/>
        </w:rPr>
        <w:t>释放丹霞机场低空通航功能，</w:t>
      </w:r>
      <w:r>
        <w:rPr>
          <w:rFonts w:ascii="Times New Roman" w:hAnsi="Times New Roman" w:cs="Times New Roman"/>
        </w:rPr>
        <w:t>依托丹霞机场发展通用航空和低空经济，</w:t>
      </w:r>
      <w:r>
        <w:rPr>
          <w:rFonts w:hint="eastAsia"/>
        </w:rPr>
        <w:t>加强与通用航空合作，实现机场与通用航空的双赢发展。</w:t>
      </w:r>
      <w:bookmarkStart w:id="61" w:name="_Hlk200016844"/>
      <w:r>
        <w:rPr>
          <w:rFonts w:ascii="Times New Roman" w:hAnsi="Times New Roman" w:cs="Times New Roman"/>
        </w:rPr>
        <w:t>适时推动</w:t>
      </w:r>
      <w:r>
        <w:rPr>
          <w:rFonts w:hint="eastAsia"/>
          <w:bCs/>
        </w:rPr>
        <w:t>韶关“1+3”机场体系建设，推进</w:t>
      </w:r>
      <w:bookmarkStart w:id="62" w:name="_Hlk212319518"/>
      <w:bookmarkStart w:id="63" w:name="_Hlk212319576"/>
      <w:r>
        <w:rPr>
          <w:rFonts w:hint="eastAsia" w:hAnsi="仿宋_GB2312"/>
          <w:lang w:bidi="ar"/>
        </w:rPr>
        <w:t>新丰</w:t>
      </w:r>
      <w:bookmarkEnd w:id="62"/>
      <w:bookmarkEnd w:id="63"/>
      <w:bookmarkStart w:id="64" w:name="OLE_LINK211"/>
      <w:r>
        <w:rPr>
          <w:rFonts w:hint="eastAsia"/>
        </w:rPr>
        <w:t>通用机场</w:t>
      </w:r>
      <w:r>
        <w:rPr>
          <w:rFonts w:hint="eastAsia" w:hAnsi="仿宋_GB2312"/>
          <w:lang w:bidi="ar"/>
        </w:rPr>
        <w:t>、</w:t>
      </w:r>
      <w:r>
        <w:rPr>
          <w:rFonts w:hint="eastAsia"/>
        </w:rPr>
        <w:t>南雄通用机场规划</w:t>
      </w:r>
      <w:bookmarkEnd w:id="64"/>
      <w:r>
        <w:rPr>
          <w:rFonts w:hint="eastAsia"/>
        </w:rPr>
        <w:t>建设，早日实现通用机场零的突破。引导通用机场规划建设低空物流集散中心，打造覆盖山区低空物流网络</w:t>
      </w:r>
      <w:bookmarkEnd w:id="61"/>
      <w:r>
        <w:rPr>
          <w:rFonts w:hint="eastAsia"/>
        </w:rPr>
        <w:t>。</w:t>
      </w:r>
    </w:p>
    <w:p w14:paraId="2BB83B23">
      <w:pPr>
        <w:snapToGrid w:val="0"/>
        <w:spacing w:line="360" w:lineRule="auto"/>
        <w:ind w:firstLine="643" w:firstLineChars="200"/>
        <w:rPr>
          <w:rFonts w:hint="eastAsia"/>
        </w:rPr>
      </w:pPr>
      <w:r>
        <w:rPr>
          <w:rFonts w:hint="eastAsia"/>
          <w:b/>
        </w:rPr>
        <w:t>加强低空经</w:t>
      </w:r>
      <w:r>
        <w:rPr>
          <w:rFonts w:hint="eastAsia" w:hAnsi="仿宋_GB2312"/>
          <w:b/>
          <w:lang w:bidi="ar"/>
        </w:rPr>
        <w:t>济基础设施建设。</w:t>
      </w:r>
      <w:r>
        <w:rPr>
          <w:rFonts w:hint="eastAsia"/>
        </w:rPr>
        <w:t>加快布局各类型垂直起降场（点）。推进建设新丰县低空飞行通用机场项目及粤北应急救援中心。规划在丹霞山景区、高铁韶关站增建中型场，因地制宜在铁路站场、高速服务区、港口码头等布局小型点。推进</w:t>
      </w:r>
      <w:bookmarkStart w:id="65" w:name="_Hlk163459803"/>
      <w:r>
        <w:rPr>
          <w:rFonts w:hint="eastAsia"/>
        </w:rPr>
        <w:t>低空飞行</w:t>
      </w:r>
      <w:bookmarkEnd w:id="65"/>
      <w:r>
        <w:rPr>
          <w:rFonts w:hint="eastAsia"/>
        </w:rPr>
        <w:t>基础设施体系和服务保障体系建设。</w:t>
      </w:r>
      <w:bookmarkStart w:id="66" w:name="_Hlk215929976"/>
    </w:p>
    <w:p w14:paraId="55C173C6">
      <w:pPr>
        <w:snapToGrid w:val="0"/>
        <w:spacing w:line="360" w:lineRule="auto"/>
        <w:ind w:firstLine="643" w:firstLineChars="200"/>
        <w:rPr>
          <w:rFonts w:hint="eastAsia" w:ascii="仿宋" w:eastAsia="仿宋" w:cs="宋体"/>
          <w:color w:val="000000"/>
          <w:kern w:val="0"/>
        </w:rPr>
      </w:pPr>
      <w:r>
        <w:rPr>
          <w:rFonts w:hint="eastAsia" w:ascii="仿宋" w:eastAsia="仿宋" w:cs="宋体"/>
          <w:b/>
          <w:bCs/>
          <w:color w:val="000000"/>
          <w:kern w:val="0"/>
        </w:rPr>
        <w:t>打造低空交通区域枢纽</w:t>
      </w:r>
      <w:bookmarkEnd w:id="66"/>
      <w:r>
        <w:rPr>
          <w:rFonts w:hint="eastAsia" w:ascii="仿宋" w:eastAsia="仿宋" w:cs="宋体"/>
          <w:b/>
          <w:bCs/>
          <w:color w:val="000000"/>
          <w:kern w:val="0"/>
        </w:rPr>
        <w:t>。</w:t>
      </w:r>
      <w:r>
        <w:rPr>
          <w:rFonts w:hint="eastAsia" w:cs="宋体"/>
          <w:color w:val="000000"/>
          <w:kern w:val="0"/>
        </w:rPr>
        <w:t>与湘赣地区加强合作，探索与湘南、赣南等地的城市建立低空飞行联盟，共同规划低空飞行航线，推动开通“郴州－韶关－佛山”跨省低空航线，共同发展低空物流、低空旅游、低空通勤等业态，实现跨省低空交通互联互通，</w:t>
      </w:r>
      <w:bookmarkStart w:id="67" w:name="OLE_LINK101"/>
      <w:r>
        <w:rPr>
          <w:rFonts w:hint="eastAsia" w:cs="宋体"/>
          <w:color w:val="000000"/>
          <w:kern w:val="0"/>
        </w:rPr>
        <w:t>将韶关打造成为联通湘南经济圈、赣南经济圈与粤港澳大湾区的低空交通区域枢纽</w:t>
      </w:r>
      <w:bookmarkEnd w:id="67"/>
      <w:r>
        <w:rPr>
          <w:rFonts w:hint="eastAsia" w:cs="宋体"/>
          <w:color w:val="000000"/>
          <w:kern w:val="0"/>
        </w:rPr>
        <w:t>。</w:t>
      </w:r>
    </w:p>
    <w:bookmarkEnd w:id="35"/>
    <w:p w14:paraId="79834666">
      <w:pPr>
        <w:snapToGrid w:val="0"/>
        <w:spacing w:before="240" w:line="360" w:lineRule="auto"/>
        <w:ind w:firstLine="640" w:firstLineChars="200"/>
        <w:outlineLvl w:val="0"/>
        <w:rPr>
          <w:rFonts w:hint="eastAsia" w:ascii="仿宋" w:eastAsia="仿宋"/>
          <w:b/>
          <w:bCs/>
        </w:rPr>
      </w:pPr>
      <w:bookmarkStart w:id="68" w:name="_Toc236065641"/>
      <w:r>
        <w:rPr>
          <w:rFonts w:hint="eastAsia" w:ascii="Times New Roman" w:hAnsi="黑体" w:eastAsia="黑体" w:cs="Times New Roman"/>
          <w:bCs/>
          <w:szCs w:val="36"/>
          <w:lang w:val="zh-CN"/>
        </w:rPr>
        <w:t>四、</w:t>
      </w:r>
      <w:bookmarkStart w:id="69" w:name="_Hlk232777958"/>
      <w:r>
        <w:rPr>
          <w:rFonts w:hint="eastAsia" w:ascii="Times New Roman" w:hAnsi="黑体" w:eastAsia="黑体" w:cs="Times New Roman"/>
          <w:bCs/>
          <w:szCs w:val="36"/>
          <w:lang w:val="zh-CN"/>
        </w:rPr>
        <w:t>扩容提质综合立体交通网络</w:t>
      </w:r>
      <w:bookmarkEnd w:id="68"/>
      <w:bookmarkEnd w:id="69"/>
    </w:p>
    <w:p w14:paraId="3C309E3B">
      <w:pPr>
        <w:pStyle w:val="3"/>
        <w:keepNext w:val="0"/>
        <w:keepLines w:val="0"/>
        <w:spacing w:before="0" w:after="0" w:line="360" w:lineRule="auto"/>
        <w:ind w:firstLine="643" w:firstLineChars="200"/>
        <w:rPr>
          <w:rFonts w:hint="eastAsia" w:ascii="仿宋" w:hAnsi="仿宋" w:eastAsia="仿宋"/>
          <w:b/>
          <w:bCs/>
          <w:color w:val="auto"/>
          <w:sz w:val="32"/>
        </w:rPr>
      </w:pPr>
      <w:bookmarkStart w:id="70" w:name="_Toc236065642"/>
      <w:r>
        <w:rPr>
          <w:rFonts w:hint="eastAsia" w:ascii="仿宋" w:hAnsi="仿宋" w:eastAsia="仿宋"/>
          <w:b/>
          <w:bCs/>
          <w:color w:val="auto"/>
          <w:sz w:val="32"/>
        </w:rPr>
        <w:t>（一）完善骨架网。</w:t>
      </w:r>
      <w:bookmarkEnd w:id="70"/>
    </w:p>
    <w:p w14:paraId="30331BEB">
      <w:pPr>
        <w:spacing w:line="360" w:lineRule="auto"/>
        <w:ind w:firstLine="643" w:firstLineChars="200"/>
        <w:outlineLvl w:val="3"/>
        <w:rPr>
          <w:rFonts w:hint="eastAsia"/>
          <w:b/>
        </w:rPr>
      </w:pPr>
      <w:r>
        <w:rPr>
          <w:rFonts w:hint="eastAsia"/>
          <w:b/>
        </w:rPr>
        <w:t>1.完善高速公路融湾出省布局。</w:t>
      </w:r>
    </w:p>
    <w:p w14:paraId="33C2E216">
      <w:pPr>
        <w:ind w:firstLine="643" w:firstLineChars="200"/>
        <w:rPr>
          <w:rFonts w:hint="eastAsia" w:hAnsi="宋体" w:cs="宋体"/>
          <w:color w:val="000000"/>
          <w:kern w:val="0"/>
        </w:rPr>
      </w:pPr>
      <w:bookmarkStart w:id="71" w:name="_Hlk215930001"/>
      <w:r>
        <w:rPr>
          <w:rFonts w:hint="eastAsia" w:hAnsi="宋体" w:cs="宋体"/>
          <w:b/>
          <w:bCs/>
          <w:color w:val="000000"/>
          <w:kern w:val="0"/>
        </w:rPr>
        <w:t>增强融湾通道服务能力</w:t>
      </w:r>
      <w:bookmarkEnd w:id="71"/>
      <w:r>
        <w:rPr>
          <w:rFonts w:hint="eastAsia" w:hAnsi="宋体" w:cs="宋体"/>
          <w:b/>
          <w:bCs/>
          <w:color w:val="000000"/>
          <w:kern w:val="0"/>
        </w:rPr>
        <w:t>。</w:t>
      </w:r>
      <w:r>
        <w:rPr>
          <w:rFonts w:hint="eastAsia" w:hAnsi="宋体" w:cs="宋体"/>
          <w:color w:val="000000"/>
          <w:kern w:val="0"/>
        </w:rPr>
        <w:t>加快</w:t>
      </w:r>
      <w:bookmarkStart w:id="72" w:name="OLE_LINK31"/>
      <w:r>
        <w:rPr>
          <w:rFonts w:hint="eastAsia" w:hAnsi="宋体" w:cs="宋体"/>
          <w:color w:val="000000"/>
          <w:kern w:val="0"/>
        </w:rPr>
        <w:t>推进</w:t>
      </w:r>
      <w:bookmarkStart w:id="73" w:name="OLE_LINK184"/>
      <w:r>
        <w:rPr>
          <w:rFonts w:hint="eastAsia" w:hAnsi="宋体" w:cs="宋体"/>
          <w:color w:val="000000"/>
          <w:kern w:val="0"/>
        </w:rPr>
        <w:t>京港澳高速公路粤境韶关武江至清远佛冈段</w:t>
      </w:r>
      <w:bookmarkEnd w:id="73"/>
      <w:r>
        <w:rPr>
          <w:rFonts w:hint="eastAsia" w:hAnsi="宋体" w:cs="宋体"/>
          <w:color w:val="000000"/>
          <w:kern w:val="0"/>
        </w:rPr>
        <w:t>改扩建工程</w:t>
      </w:r>
      <w:bookmarkEnd w:id="72"/>
      <w:r>
        <w:rPr>
          <w:rFonts w:hint="eastAsia" w:hAnsi="宋体" w:cs="宋体"/>
          <w:color w:val="000000"/>
          <w:kern w:val="0"/>
        </w:rPr>
        <w:t>，</w:t>
      </w:r>
      <w:bookmarkStart w:id="74" w:name="_Hlk199318141"/>
      <w:r>
        <w:rPr>
          <w:rFonts w:hint="eastAsia" w:hAnsi="宋体" w:cs="宋体"/>
          <w:color w:val="000000"/>
          <w:kern w:val="0"/>
        </w:rPr>
        <w:t>提升韶关与粤港澳大湾区主要城市的联通效率。</w:t>
      </w:r>
      <w:bookmarkEnd w:id="74"/>
      <w:r>
        <w:rPr>
          <w:rFonts w:hint="eastAsia" w:hAnsi="宋体" w:cs="宋体"/>
          <w:color w:val="000000"/>
          <w:kern w:val="0"/>
        </w:rPr>
        <w:t>配合做好我省“一轴两网”的交通基础设施数字化转型升级，重点开展高速公路智慧隧道、基础设施监测预警、恶劣气象通行安全预警和应急指挥调度等应用场景建设，与湖南省开展跨省域协同联动，实现通道安全增效，提升跨省域服务水平。</w:t>
      </w:r>
    </w:p>
    <w:p w14:paraId="5668260E">
      <w:pPr>
        <w:ind w:firstLine="643" w:firstLineChars="200"/>
        <w:rPr>
          <w:rFonts w:hint="eastAsia" w:hAnsi="仿宋_GB2312" w:cs="Times New Roman"/>
          <w:color w:val="000000" w:themeColor="text1"/>
          <w14:textFill>
            <w14:solidFill>
              <w14:schemeClr w14:val="tx1"/>
            </w14:solidFill>
          </w14:textFill>
        </w:rPr>
      </w:pPr>
      <w:r>
        <w:rPr>
          <w:rFonts w:hint="eastAsia" w:hAnsi="宋体" w:cs="宋体"/>
          <w:b/>
          <w:bCs/>
          <w:color w:val="000000"/>
          <w:kern w:val="0"/>
        </w:rPr>
        <w:t>丰富高速公路省际通道。</w:t>
      </w:r>
      <w:r>
        <w:rPr>
          <w:rFonts w:hint="eastAsia" w:hAnsi="宋体" w:cs="宋体"/>
          <w:color w:val="000000"/>
          <w:kern w:val="0"/>
        </w:rPr>
        <w:t>推动京港澳高速公路粤境北段小塘至甘塘段改扩建工程项目实施，提升京港澳高速公路安全韧性。推进</w:t>
      </w:r>
      <w:r>
        <w:rPr>
          <w:rFonts w:hAnsi="宋体" w:cs="宋体"/>
          <w:color w:val="000000"/>
          <w:kern w:val="0"/>
        </w:rPr>
        <w:t>韶关至江西全南高速</w:t>
      </w:r>
      <w:r>
        <w:rPr>
          <w:rFonts w:hint="eastAsia"/>
        </w:rPr>
        <w:t>开工。推动</w:t>
      </w:r>
      <w:r>
        <w:rPr>
          <w:rFonts w:hAnsi="宋体" w:cs="宋体"/>
          <w:color w:val="000000"/>
          <w:kern w:val="0"/>
        </w:rPr>
        <w:t>韶全高速隘子至新韶段</w:t>
      </w:r>
      <w:r>
        <w:rPr>
          <w:rFonts w:hint="eastAsia" w:hAnsi="宋体" w:cs="宋体"/>
          <w:color w:val="000000"/>
          <w:kern w:val="0"/>
        </w:rPr>
        <w:t>、韶关至贺州高速公路前期工作。</w:t>
      </w:r>
      <w:bookmarkStart w:id="75" w:name="_Hlk200016374"/>
      <w:r>
        <w:rPr>
          <w:rFonts w:hint="eastAsia" w:hAnsi="仿宋_GB2312" w:cs="Times New Roman"/>
          <w:color w:val="000000" w:themeColor="text1"/>
          <w14:textFill>
            <w14:solidFill>
              <w14:schemeClr w14:val="tx1"/>
            </w14:solidFill>
          </w14:textFill>
        </w:rPr>
        <w:t>推进湖南安仁至韶关乐昌高速、井冈山至南雄至全南高速等项目研究论证。</w:t>
      </w:r>
    </w:p>
    <w:bookmarkEnd w:id="75"/>
    <w:p w14:paraId="7488CC89">
      <w:pPr>
        <w:widowControl/>
        <w:ind w:firstLine="643" w:firstLineChars="200"/>
        <w:jc w:val="left"/>
        <w:rPr>
          <w:rFonts w:hint="eastAsia" w:hAnsi="宋体" w:cs="宋体"/>
          <w:color w:val="000000"/>
          <w:kern w:val="0"/>
        </w:rPr>
      </w:pPr>
      <w:r>
        <w:rPr>
          <w:rFonts w:hint="eastAsia" w:hAnsi="宋体" w:cs="宋体"/>
          <w:b/>
          <w:bCs/>
          <w:color w:val="000000"/>
          <w:kern w:val="0"/>
        </w:rPr>
        <w:t>强化市域县际互联。</w:t>
      </w:r>
      <w:r>
        <w:rPr>
          <w:rFonts w:hint="eastAsia" w:hAnsi="宋体" w:cs="宋体"/>
          <w:color w:val="000000"/>
          <w:kern w:val="0"/>
        </w:rPr>
        <w:t>推动雄乐高速乐昌至仁化段项目建设，早日实现绕行较远的毗邻县通高速公路，让高速公路覆盖更多乡镇。</w:t>
      </w:r>
    </w:p>
    <w:p w14:paraId="3F1BA1B9">
      <w:pPr>
        <w:spacing w:line="360" w:lineRule="auto"/>
        <w:ind w:firstLine="643" w:firstLineChars="200"/>
        <w:outlineLvl w:val="3"/>
        <w:rPr>
          <w:rFonts w:hint="eastAsia"/>
          <w:b/>
        </w:rPr>
      </w:pPr>
      <w:r>
        <w:rPr>
          <w:rFonts w:hint="eastAsia"/>
          <w:b/>
        </w:rPr>
        <w:t>2.推动铁路完善纵横通道布局。</w:t>
      </w:r>
    </w:p>
    <w:p w14:paraId="22181D16">
      <w:pPr>
        <w:ind w:firstLine="643" w:firstLineChars="200"/>
        <w:jc w:val="left"/>
        <w:rPr>
          <w:rFonts w:hint="eastAsia"/>
          <w:color w:val="000000"/>
        </w:rPr>
      </w:pPr>
      <w:bookmarkStart w:id="76" w:name="OLE_LINK169"/>
      <w:r>
        <w:rPr>
          <w:rFonts w:ascii="Times New Roman" w:hAnsi="Times New Roman" w:cs="Times New Roman"/>
          <w:b/>
          <w:bCs/>
        </w:rPr>
        <w:t>推动</w:t>
      </w:r>
      <w:r>
        <w:rPr>
          <w:rFonts w:hint="eastAsia" w:ascii="Times New Roman" w:hAnsi="Times New Roman" w:cs="Times New Roman"/>
          <w:b/>
          <w:bCs/>
        </w:rPr>
        <w:t>高</w:t>
      </w:r>
      <w:r>
        <w:rPr>
          <w:rFonts w:ascii="Times New Roman" w:hAnsi="Times New Roman" w:cs="Times New Roman"/>
          <w:b/>
          <w:bCs/>
        </w:rPr>
        <w:t>铁“拓动脉”</w:t>
      </w:r>
      <w:bookmarkEnd w:id="76"/>
      <w:r>
        <w:rPr>
          <w:rFonts w:hint="eastAsia" w:ascii="Times New Roman" w:hAnsi="Times New Roman" w:cs="Times New Roman"/>
          <w:b/>
          <w:bCs/>
        </w:rPr>
        <w:t>。</w:t>
      </w:r>
      <w:r>
        <w:rPr>
          <w:rFonts w:hint="eastAsia"/>
          <w:color w:val="000000"/>
        </w:rPr>
        <w:t>谋划推进</w:t>
      </w:r>
      <w:r>
        <w:rPr>
          <w:rFonts w:hint="eastAsia" w:hAnsi="宋体" w:cs="宋体"/>
          <w:color w:val="000000"/>
          <w:kern w:val="0"/>
        </w:rPr>
        <w:t>韶关至龙川铁路</w:t>
      </w:r>
      <w:r>
        <w:rPr>
          <w:rFonts w:hint="eastAsia"/>
          <w:color w:val="000000"/>
        </w:rPr>
        <w:t>项目前期研究，争取纳入国家中长期铁路网规划（修编），提升韶关站高铁枢纽能级。密切跟踪粤港澳大湾区至京津冀高标准铁路通道规划建设，争取覆盖韶关未通高铁县（市）。</w:t>
      </w:r>
    </w:p>
    <w:p w14:paraId="12209788">
      <w:pPr>
        <w:ind w:firstLine="643" w:firstLineChars="200"/>
        <w:jc w:val="left"/>
        <w:rPr>
          <w:rFonts w:hint="eastAsia"/>
        </w:rPr>
      </w:pPr>
      <w:r>
        <w:rPr>
          <w:rFonts w:ascii="Times New Roman" w:hAnsi="Times New Roman" w:cs="Times New Roman"/>
          <w:b/>
          <w:bCs/>
        </w:rPr>
        <w:t>提升</w:t>
      </w:r>
      <w:r>
        <w:rPr>
          <w:rFonts w:hint="eastAsia" w:ascii="Times New Roman" w:hAnsi="Times New Roman" w:cs="Times New Roman"/>
          <w:b/>
          <w:bCs/>
        </w:rPr>
        <w:t>外</w:t>
      </w:r>
      <w:r>
        <w:rPr>
          <w:rFonts w:ascii="Times New Roman" w:hAnsi="Times New Roman" w:cs="Times New Roman"/>
          <w:b/>
          <w:bCs/>
        </w:rPr>
        <w:t>联</w:t>
      </w:r>
      <w:r>
        <w:rPr>
          <w:rFonts w:hint="eastAsia" w:ascii="Times New Roman" w:hAnsi="Times New Roman" w:cs="Times New Roman"/>
          <w:b/>
          <w:bCs/>
        </w:rPr>
        <w:t>内通</w:t>
      </w:r>
      <w:r>
        <w:rPr>
          <w:rFonts w:ascii="Times New Roman" w:hAnsi="Times New Roman" w:cs="Times New Roman"/>
          <w:b/>
          <w:bCs/>
        </w:rPr>
        <w:t>能力</w:t>
      </w:r>
      <w:r>
        <w:rPr>
          <w:rFonts w:hint="eastAsia"/>
          <w:color w:val="000000"/>
        </w:rPr>
        <w:t>。推动实施赣韶铁路扩能，增强珠三角经韶关连接长三角的货运通道能力。推进韶关至贺州铁路规划建设，构建韶关至西南地区客货运输通道。</w:t>
      </w:r>
    </w:p>
    <w:bookmarkEnd w:id="32"/>
    <w:p w14:paraId="0761FB46">
      <w:pPr>
        <w:pStyle w:val="3"/>
        <w:keepNext w:val="0"/>
        <w:keepLines w:val="0"/>
        <w:spacing w:before="0" w:after="0" w:line="360" w:lineRule="auto"/>
        <w:ind w:firstLine="643" w:firstLineChars="200"/>
        <w:rPr>
          <w:rFonts w:hint="eastAsia" w:ascii="仿宋" w:hAnsi="仿宋" w:eastAsia="仿宋"/>
          <w:b/>
          <w:bCs/>
          <w:color w:val="auto"/>
          <w:sz w:val="32"/>
        </w:rPr>
      </w:pPr>
      <w:bookmarkStart w:id="77" w:name="_Toc236065643"/>
      <w:bookmarkStart w:id="78" w:name="_Hlk199317823"/>
      <w:r>
        <w:rPr>
          <w:rFonts w:hint="eastAsia" w:ascii="仿宋" w:hAnsi="仿宋" w:eastAsia="仿宋"/>
          <w:b/>
          <w:bCs/>
          <w:color w:val="auto"/>
          <w:sz w:val="32"/>
        </w:rPr>
        <w:t>（二）升级干线网。</w:t>
      </w:r>
      <w:bookmarkEnd w:id="77"/>
    </w:p>
    <w:p w14:paraId="54F16F1D">
      <w:pPr>
        <w:spacing w:line="360" w:lineRule="auto"/>
        <w:ind w:firstLine="643" w:firstLineChars="200"/>
        <w:outlineLvl w:val="3"/>
        <w:rPr>
          <w:rFonts w:hint="eastAsia"/>
          <w:b/>
        </w:rPr>
      </w:pPr>
      <w:r>
        <w:rPr>
          <w:rFonts w:hint="eastAsia"/>
          <w:b/>
        </w:rPr>
        <w:t>1.加快普通国省道提质升级。</w:t>
      </w:r>
    </w:p>
    <w:p w14:paraId="4D409EB3">
      <w:pPr>
        <w:ind w:firstLine="646"/>
        <w:rPr>
          <w:rFonts w:hAnsi="Century Gothic"/>
        </w:rPr>
      </w:pPr>
      <w:r>
        <w:rPr>
          <w:rFonts w:hint="eastAsia"/>
          <w:b/>
          <w:bCs/>
        </w:rPr>
        <w:t>推动</w:t>
      </w:r>
      <w:r>
        <w:rPr>
          <w:rFonts w:hint="eastAsia" w:hAnsi="仿宋_GB2312" w:cs="Times New Roman"/>
          <w:b/>
          <w:bCs/>
          <w:color w:val="000000" w:themeColor="text1"/>
          <w14:textFill>
            <w14:solidFill>
              <w14:schemeClr w14:val="tx1"/>
            </w14:solidFill>
          </w14:textFill>
        </w:rPr>
        <w:t>交通拥堵、混合交通严重的穿城镇路段</w:t>
      </w:r>
      <w:r>
        <w:rPr>
          <w:rFonts w:hint="eastAsia"/>
          <w:b/>
          <w:bCs/>
        </w:rPr>
        <w:t>改造</w:t>
      </w:r>
      <w:r>
        <w:rPr>
          <w:rFonts w:hint="eastAsia"/>
        </w:rPr>
        <w:t>，</w:t>
      </w:r>
      <w:bookmarkStart w:id="79" w:name="_Hlk215930097"/>
      <w:r>
        <w:rPr>
          <w:rFonts w:hint="eastAsia"/>
        </w:rPr>
        <w:t>提高国省道</w:t>
      </w:r>
      <w:bookmarkEnd w:id="79"/>
      <w:r>
        <w:rPr>
          <w:rFonts w:hint="eastAsia"/>
        </w:rPr>
        <w:t>与</w:t>
      </w:r>
      <w:r>
        <w:rPr>
          <w:rFonts w:ascii="Times New Roman" w:hAnsi="Times New Roman" w:cs="Times New Roman"/>
        </w:rPr>
        <w:t>经济干线</w:t>
      </w:r>
      <w:r>
        <w:rPr>
          <w:rFonts w:hint="eastAsia" w:ascii="Times New Roman" w:hAnsi="Times New Roman" w:cs="Times New Roman"/>
        </w:rPr>
        <w:t>（连接</w:t>
      </w:r>
      <w:r>
        <w:rPr>
          <w:rFonts w:hint="eastAsia" w:hAnsi="仿宋_GB2312" w:cs="Times New Roman"/>
          <w:color w:val="000000" w:themeColor="text1"/>
          <w14:textFill>
            <w14:solidFill>
              <w14:schemeClr w14:val="tx1"/>
            </w14:solidFill>
          </w14:textFill>
        </w:rPr>
        <w:t>产业园区、旅游景区、港口等重要节点</w:t>
      </w:r>
      <w:r>
        <w:rPr>
          <w:rFonts w:hint="eastAsia" w:ascii="Times New Roman" w:hAnsi="Times New Roman" w:cs="Times New Roman"/>
        </w:rPr>
        <w:t>）</w:t>
      </w:r>
      <w:r>
        <w:rPr>
          <w:rFonts w:hint="eastAsia" w:hAnsi="仿宋_GB2312" w:cs="Times New Roman"/>
          <w:color w:val="000000" w:themeColor="text1"/>
          <w14:textFill>
            <w14:solidFill>
              <w14:schemeClr w14:val="tx1"/>
            </w14:solidFill>
          </w14:textFill>
        </w:rPr>
        <w:t>的</w:t>
      </w:r>
      <w:r>
        <w:rPr>
          <w:rFonts w:hint="eastAsia"/>
        </w:rPr>
        <w:t>联通效率</w:t>
      </w:r>
      <w:bookmarkStart w:id="80" w:name="OLE_LINK157"/>
      <w:r>
        <w:rPr>
          <w:rFonts w:hint="eastAsia" w:hAnsi="Century Gothic"/>
        </w:rPr>
        <w:t>。</w:t>
      </w:r>
      <w:bookmarkEnd w:id="80"/>
    </w:p>
    <w:p w14:paraId="431519D6">
      <w:pPr>
        <w:ind w:firstLine="646"/>
        <w:rPr>
          <w:rFonts w:hint="eastAsia"/>
        </w:rPr>
      </w:pPr>
      <w:r>
        <w:rPr>
          <w:rFonts w:hint="eastAsia"/>
          <w:b/>
          <w:bCs/>
        </w:rPr>
        <w:t>完善县城过境交通网络，</w:t>
      </w:r>
      <w:r>
        <w:rPr>
          <w:rFonts w:hint="eastAsia"/>
        </w:rPr>
        <w:t>实施国道G220线新丰县城段改建工程、国道G323线韶关市区过境段改线工程（湾头至桂头段）等城区改线项目，减轻国道穿城对城区交通影响，助力以县城为重要载体的新型城镇化建设。</w:t>
      </w:r>
    </w:p>
    <w:p w14:paraId="1B8CF44C">
      <w:pPr>
        <w:ind w:firstLine="646"/>
        <w:rPr>
          <w:rFonts w:hint="eastAsia"/>
        </w:rPr>
      </w:pPr>
      <w:r>
        <w:rPr>
          <w:rFonts w:hint="eastAsia"/>
          <w:b/>
          <w:bCs/>
        </w:rPr>
        <w:t>升级改造县城至乡镇的低等级路段</w:t>
      </w:r>
      <w:r>
        <w:rPr>
          <w:rFonts w:hint="eastAsia"/>
        </w:rPr>
        <w:t>，推进国道G535线乐昌乐城至桥头段改建工程、省道S342线南雄市帽子峰至澜河段等项目建设。提高县级城区与毗邻乡镇之间的通勤效率，实施南雄县城至主田镇、江头镇，翁源县城区至周陂镇等。</w:t>
      </w:r>
    </w:p>
    <w:p w14:paraId="0984BB04">
      <w:pPr>
        <w:widowControl/>
        <w:ind w:firstLine="645"/>
        <w:rPr>
          <w:rFonts w:hint="eastAsia"/>
        </w:rPr>
      </w:pPr>
      <w:r>
        <w:rPr>
          <w:rFonts w:hint="eastAsia"/>
          <w:b/>
          <w:bCs/>
        </w:rPr>
        <w:t>提升中心镇、专业镇、特色镇对外</w:t>
      </w:r>
      <w:bookmarkStart w:id="81" w:name="_Hlk215930112"/>
      <w:r>
        <w:rPr>
          <w:rFonts w:hint="eastAsia"/>
          <w:b/>
          <w:bCs/>
        </w:rPr>
        <w:t>通行能力</w:t>
      </w:r>
      <w:bookmarkEnd w:id="81"/>
      <w:r>
        <w:rPr>
          <w:rFonts w:hint="eastAsia"/>
        </w:rPr>
        <w:t>，实施国道G106线翁源新江至官渡段改建工程、</w:t>
      </w:r>
      <w:r>
        <w:rPr>
          <w:rFonts w:hint="eastAsia"/>
          <w:bCs/>
        </w:rPr>
        <w:t>国道G535线乐昌市老坪石</w:t>
      </w:r>
      <w:r>
        <w:rPr>
          <w:rStyle w:val="32"/>
          <w:rFonts w:hint="eastAsia"/>
          <w:bCs/>
        </w:rPr>
        <w:footnoteReference w:id="0"/>
      </w:r>
      <w:r>
        <w:rPr>
          <w:rFonts w:hint="eastAsia"/>
          <w:bCs/>
        </w:rPr>
        <w:t>至上埔村段、</w:t>
      </w:r>
      <w:r>
        <w:rPr>
          <w:rFonts w:hint="eastAsia"/>
        </w:rPr>
        <w:t>新丰县黄</w:t>
      </w:r>
      <w:r>
        <w:rPr>
          <w:rFonts w:hint="eastAsia" w:ascii="微软雅黑" w:hAnsi="微软雅黑" w:eastAsia="微软雅黑" w:cs="微软雅黑"/>
        </w:rPr>
        <w:t>磜</w:t>
      </w:r>
      <w:r>
        <w:rPr>
          <w:rStyle w:val="32"/>
          <w:rFonts w:hint="eastAsia" w:ascii="微软雅黑" w:hAnsi="微软雅黑" w:eastAsia="微软雅黑" w:cs="微软雅黑"/>
        </w:rPr>
        <w:footnoteReference w:id="1"/>
      </w:r>
      <w:r>
        <w:rPr>
          <w:rFonts w:hint="eastAsia" w:hAnsi="仿宋_GB2312"/>
        </w:rPr>
        <w:t>雪梅至马头板岭下公路、</w:t>
      </w:r>
      <w:r>
        <w:rPr>
          <w:rFonts w:hint="eastAsia"/>
        </w:rPr>
        <w:t>省道S244线始兴县凉口至罗坝段、省道S245线回龙鸡岭至遥田石教段公路改建工程等。</w:t>
      </w:r>
    </w:p>
    <w:p w14:paraId="44072CCB">
      <w:pPr>
        <w:ind w:firstLine="646"/>
        <w:rPr>
          <w:rFonts w:hint="eastAsia"/>
        </w:rPr>
      </w:pPr>
      <w:r>
        <w:rPr>
          <w:rFonts w:hint="eastAsia"/>
          <w:b/>
          <w:bCs/>
        </w:rPr>
        <w:t>提高县域对外联通能力，</w:t>
      </w:r>
      <w:r>
        <w:rPr>
          <w:rFonts w:hint="eastAsia"/>
        </w:rPr>
        <w:t>推动国道G535线始兴县下窖至顿岗段、国道G358线翁源陂头至翁源县城段、省道S246线江湾至牛尾岭公路等项目建设，实现高水平县际互联互通。</w:t>
      </w:r>
    </w:p>
    <w:p w14:paraId="624E4541">
      <w:pPr>
        <w:ind w:firstLine="646"/>
        <w:rPr>
          <w:rFonts w:hint="eastAsia"/>
        </w:rPr>
      </w:pPr>
      <w:r>
        <w:rPr>
          <w:rFonts w:hint="eastAsia"/>
          <w:b/>
          <w:bCs/>
        </w:rPr>
        <w:t>提档升级跨省毗邻县衔接路段</w:t>
      </w:r>
      <w:r>
        <w:rPr>
          <w:rFonts w:hint="eastAsia"/>
        </w:rPr>
        <w:t>，推动国道G535线乐昌市上埔村至两界圩段、省道S517线仁化县塘洞至长江段改建工程、</w:t>
      </w:r>
      <w:bookmarkStart w:id="82" w:name="OLE_LINK195"/>
      <w:r>
        <w:rPr>
          <w:rFonts w:hint="eastAsia"/>
        </w:rPr>
        <w:t>省道S247线乐昌市金水湾至龙山温泉段</w:t>
      </w:r>
      <w:bookmarkEnd w:id="82"/>
      <w:r>
        <w:rPr>
          <w:rFonts w:hint="eastAsia"/>
        </w:rPr>
        <w:t>规划建设。</w:t>
      </w:r>
    </w:p>
    <w:p w14:paraId="6FC3C2D3">
      <w:pPr>
        <w:widowControl/>
        <w:ind w:firstLine="643" w:firstLineChars="200"/>
        <w:jc w:val="left"/>
        <w:rPr>
          <w:rFonts w:hint="eastAsia"/>
        </w:rPr>
      </w:pPr>
      <w:r>
        <w:rPr>
          <w:rFonts w:hint="eastAsia"/>
          <w:b/>
          <w:bCs/>
        </w:rPr>
        <w:t>畅通县城到重点产业园区的路网，</w:t>
      </w:r>
      <w:r>
        <w:rPr>
          <w:rFonts w:hint="eastAsia"/>
        </w:rPr>
        <w:t>加快建设国道G535线乐昌市区至廊田段改建工程等项目，推进</w:t>
      </w:r>
      <w:bookmarkStart w:id="83" w:name="OLE_LINK163"/>
      <w:r>
        <w:rPr>
          <w:rFonts w:hint="eastAsia"/>
        </w:rPr>
        <w:t>县域中心与省级及以上工业产业园区核心区</w:t>
      </w:r>
      <w:bookmarkEnd w:id="83"/>
      <w:r>
        <w:rPr>
          <w:rFonts w:hint="eastAsia"/>
        </w:rPr>
        <w:t>高水平互联互通。</w:t>
      </w:r>
    </w:p>
    <w:p w14:paraId="44160E4A">
      <w:pPr>
        <w:spacing w:line="360" w:lineRule="auto"/>
        <w:ind w:firstLine="643" w:firstLineChars="200"/>
        <w:outlineLvl w:val="3"/>
        <w:rPr>
          <w:rFonts w:hint="eastAsia"/>
          <w:b/>
        </w:rPr>
      </w:pPr>
      <w:r>
        <w:rPr>
          <w:rFonts w:hint="eastAsia"/>
          <w:b/>
        </w:rPr>
        <w:t>2.推动高等级航道延伸提级。</w:t>
      </w:r>
    </w:p>
    <w:p w14:paraId="1D2F0D9E">
      <w:pPr>
        <w:ind w:firstLine="643" w:firstLineChars="200"/>
        <w:rPr>
          <w:rFonts w:hint="eastAsia"/>
        </w:rPr>
      </w:pPr>
      <w:bookmarkStart w:id="84" w:name="_Hlk200015973"/>
      <w:r>
        <w:rPr>
          <w:rFonts w:hint="eastAsia"/>
          <w:b/>
          <w:bCs/>
        </w:rPr>
        <w:t>畅通干流、支流航道，</w:t>
      </w:r>
      <w:r>
        <w:rPr>
          <w:rFonts w:hint="eastAsia"/>
        </w:rPr>
        <w:t>落实好国家《推进实施内河水运体系联通工程行动方案》，持续打造韶关市江海联通、干支衔接、兴港宜游的航道网络。</w:t>
      </w:r>
    </w:p>
    <w:p w14:paraId="312A2CFB">
      <w:pPr>
        <w:widowControl/>
        <w:ind w:firstLine="643" w:firstLineChars="200"/>
        <w:jc w:val="left"/>
        <w:rPr>
          <w:rFonts w:hint="eastAsia"/>
        </w:rPr>
      </w:pPr>
      <w:r>
        <w:rPr>
          <w:rFonts w:hint="eastAsia"/>
          <w:b/>
          <w:bCs/>
        </w:rPr>
        <w:t>拓展北江航道辐射带动能力。</w:t>
      </w:r>
      <w:r>
        <w:rPr>
          <w:rFonts w:hint="eastAsia" w:hAnsi="宋体" w:cs="宋体"/>
          <w:color w:val="000000"/>
          <w:kern w:val="0"/>
        </w:rPr>
        <w:t>加快推进北江航道扩能升级上延工程建设，促进开发韶关水运资源</w:t>
      </w:r>
      <w:r>
        <w:rPr>
          <w:rFonts w:hint="eastAsia"/>
        </w:rPr>
        <w:t>。继续配合做好</w:t>
      </w:r>
      <w:r>
        <w:rPr>
          <w:rFonts w:hint="eastAsia" w:hAnsi="宋体" w:cs="宋体"/>
          <w:color w:val="000000"/>
          <w:kern w:val="0"/>
        </w:rPr>
        <w:t>赣粤运河相关前期工作。</w:t>
      </w:r>
    </w:p>
    <w:p w14:paraId="3A0C7712">
      <w:pPr>
        <w:ind w:firstLine="643" w:firstLineChars="200"/>
        <w:jc w:val="left"/>
        <w:rPr>
          <w:rFonts w:hint="eastAsia" w:hAnsi="宋体" w:cs="宋体"/>
          <w:color w:val="000000"/>
          <w:kern w:val="0"/>
        </w:rPr>
      </w:pPr>
      <w:bookmarkStart w:id="85" w:name="_Hlk215930124"/>
      <w:r>
        <w:rPr>
          <w:rFonts w:hint="eastAsia" w:hAnsi="宋体" w:cs="宋体"/>
          <w:b/>
          <w:bCs/>
          <w:color w:val="000000"/>
          <w:kern w:val="0"/>
        </w:rPr>
        <w:t>持续提升水运通道能力</w:t>
      </w:r>
      <w:bookmarkEnd w:id="85"/>
      <w:r>
        <w:rPr>
          <w:rFonts w:hint="eastAsia" w:hAnsi="宋体" w:cs="宋体"/>
          <w:color w:val="000000"/>
          <w:kern w:val="0"/>
        </w:rPr>
        <w:t>。强化北江航道与珠三角高等级航道网的匹配、联动，谋划补齐航道网标准不衔接的短板，</w:t>
      </w:r>
      <w:r>
        <w:rPr>
          <w:rFonts w:hint="eastAsia" w:hAnsi="仿宋_GB2312"/>
        </w:rPr>
        <w:t>韶关浈江段全线按照Ⅱ级航道建设标准规划，</w:t>
      </w:r>
      <w:r>
        <w:rPr>
          <w:rFonts w:hint="eastAsia"/>
        </w:rPr>
        <w:t>谋划</w:t>
      </w:r>
      <w:r>
        <w:rPr>
          <w:rFonts w:hint="eastAsia" w:hAnsi="仿宋_GB2312"/>
        </w:rPr>
        <w:t>北江航道（韶关－英德观音岩段）由Ⅲ级航道提升至Ⅱ级航道，</w:t>
      </w:r>
      <w:r>
        <w:rPr>
          <w:rFonts w:hint="eastAsia"/>
        </w:rPr>
        <w:t>适应</w:t>
      </w:r>
      <w:r>
        <w:rPr>
          <w:rFonts w:hint="eastAsia" w:hAnsi="仿宋_GB2312"/>
        </w:rPr>
        <w:t>内河船舶向2000吨级大型化发展趋势。</w:t>
      </w:r>
    </w:p>
    <w:p w14:paraId="0B40B7DF">
      <w:pPr>
        <w:ind w:firstLine="643" w:firstLineChars="200"/>
        <w:jc w:val="left"/>
        <w:rPr>
          <w:rFonts w:hint="eastAsia" w:hAnsi="宋体" w:cs="宋体"/>
          <w:color w:val="000000"/>
          <w:kern w:val="0"/>
        </w:rPr>
      </w:pPr>
      <w:r>
        <w:rPr>
          <w:rFonts w:hint="eastAsia" w:hAnsi="宋体" w:cs="宋体"/>
          <w:b/>
          <w:bCs/>
          <w:color w:val="000000"/>
          <w:kern w:val="0"/>
        </w:rPr>
        <w:t>挖掘航道旅游观光潜力。</w:t>
      </w:r>
      <w:r>
        <w:rPr>
          <w:rFonts w:hint="eastAsia" w:hAnsi="宋体" w:cs="宋体"/>
          <w:color w:val="000000"/>
          <w:kern w:val="0"/>
        </w:rPr>
        <w:t>围绕高标准打造丹霞山沿江旅游风光带目标，筹措资金推动锦江绿色航道规划建设，打造韶关</w:t>
      </w:r>
      <w:bookmarkEnd w:id="84"/>
      <w:r>
        <w:rPr>
          <w:rFonts w:hint="eastAsia" w:hAnsi="宋体" w:cs="宋体"/>
          <w:color w:val="000000"/>
          <w:kern w:val="0"/>
        </w:rPr>
        <w:t>水陆联游新亮点。</w:t>
      </w:r>
    </w:p>
    <w:bookmarkEnd w:id="78"/>
    <w:p w14:paraId="4CDAA0AE">
      <w:pPr>
        <w:pStyle w:val="3"/>
        <w:keepNext w:val="0"/>
        <w:keepLines w:val="0"/>
        <w:spacing w:before="0" w:after="0" w:line="360" w:lineRule="auto"/>
        <w:ind w:firstLine="643" w:firstLineChars="200"/>
        <w:rPr>
          <w:rFonts w:hint="eastAsia" w:ascii="仿宋" w:hAnsi="仿宋" w:eastAsia="仿宋"/>
          <w:b/>
          <w:bCs/>
          <w:color w:val="auto"/>
          <w:sz w:val="32"/>
        </w:rPr>
      </w:pPr>
      <w:bookmarkStart w:id="86" w:name="_Toc236065644"/>
      <w:bookmarkStart w:id="87" w:name="_Hlk199317838"/>
      <w:r>
        <w:rPr>
          <w:rFonts w:hint="eastAsia" w:ascii="仿宋" w:hAnsi="仿宋" w:eastAsia="仿宋"/>
          <w:b/>
          <w:bCs/>
          <w:color w:val="auto"/>
          <w:sz w:val="32"/>
        </w:rPr>
        <w:t>（三）夯实基础网。</w:t>
      </w:r>
      <w:bookmarkEnd w:id="86"/>
    </w:p>
    <w:p w14:paraId="7A5315AA">
      <w:pPr>
        <w:ind w:firstLine="645"/>
        <w:rPr>
          <w:rFonts w:hint="eastAsia"/>
        </w:rPr>
      </w:pPr>
      <w:bookmarkStart w:id="88" w:name="_Hlk215930152"/>
      <w:r>
        <w:rPr>
          <w:rFonts w:hint="eastAsia"/>
          <w:b/>
          <w:bCs/>
        </w:rPr>
        <w:t>实施好新一轮农村公路提升行动</w:t>
      </w:r>
      <w:bookmarkEnd w:id="88"/>
      <w:r>
        <w:rPr>
          <w:rFonts w:hint="eastAsia"/>
        </w:rPr>
        <w:t>，深入贯彻落实习近平总书记关于“四好农村路”建设重要指示精神，持续推动“四好农村路”高质量发展，服务“百千万工程”。</w:t>
      </w:r>
      <w:bookmarkStart w:id="89" w:name="_Hlk236080764"/>
      <w:r>
        <w:rPr>
          <w:rFonts w:hint="eastAsia"/>
        </w:rPr>
        <w:t>鼓励</w:t>
      </w:r>
      <w:r>
        <w:rPr>
          <w:rFonts w:hint="eastAsia"/>
          <w:color w:val="333333"/>
          <w:shd w:val="clear" w:color="auto" w:fill="FFFFFF"/>
        </w:rPr>
        <w:t>各县（市、区）积极争创“四好农村路”与城乡交通运输一体化示范县。</w:t>
      </w:r>
      <w:bookmarkEnd w:id="89"/>
    </w:p>
    <w:p w14:paraId="3900F695">
      <w:pPr>
        <w:ind w:firstLine="645"/>
        <w:rPr>
          <w:rFonts w:hint="eastAsia"/>
          <w:color w:val="333333"/>
          <w:shd w:val="clear" w:color="auto" w:fill="FFFFFF"/>
        </w:rPr>
      </w:pPr>
      <w:r>
        <w:rPr>
          <w:rFonts w:hint="eastAsia" w:hAnsi="仿宋_GB2312" w:cs="Times New Roman"/>
          <w:b/>
          <w:bCs/>
          <w:color w:val="000000" w:themeColor="text1"/>
          <w14:textFill>
            <w14:solidFill>
              <w14:schemeClr w14:val="tx1"/>
            </w14:solidFill>
          </w14:textFill>
        </w:rPr>
        <w:t>加快县道网升级改造。</w:t>
      </w:r>
      <w:r>
        <w:rPr>
          <w:rFonts w:hint="eastAsia" w:hAnsi="仿宋_GB2312" w:cs="Times New Roman"/>
          <w:color w:val="000000" w:themeColor="text1"/>
          <w14:textFill>
            <w14:solidFill>
              <w14:schemeClr w14:val="tx1"/>
            </w14:solidFill>
          </w14:textFill>
        </w:rPr>
        <w:t>继续实施县道网“四升三”建设工程，提升县道三级以上公路比例。</w:t>
      </w:r>
      <w:r>
        <w:rPr>
          <w:rFonts w:hint="eastAsia"/>
          <w:color w:val="333333"/>
          <w:shd w:val="clear" w:color="auto" w:fill="FFFFFF"/>
        </w:rPr>
        <w:t>有序推进乡镇对外双通道建设和改造。</w:t>
      </w:r>
    </w:p>
    <w:p w14:paraId="75008C0A">
      <w:pPr>
        <w:ind w:firstLine="645"/>
        <w:rPr>
          <w:rFonts w:hint="eastAsia"/>
        </w:rPr>
      </w:pPr>
      <w:r>
        <w:rPr>
          <w:rFonts w:hint="eastAsia"/>
          <w:b/>
          <w:bCs/>
          <w:color w:val="333333"/>
          <w:shd w:val="clear" w:color="auto" w:fill="FFFFFF"/>
        </w:rPr>
        <w:t>提升乡村道通达深度和安全保障力度</w:t>
      </w:r>
      <w:r>
        <w:rPr>
          <w:rFonts w:hint="eastAsia"/>
          <w:color w:val="333333"/>
          <w:shd w:val="clear" w:color="auto" w:fill="FFFFFF"/>
        </w:rPr>
        <w:t>。推进</w:t>
      </w:r>
      <w:r>
        <w:rPr>
          <w:rFonts w:hint="eastAsia"/>
        </w:rPr>
        <w:t>行政村单车道改双车道、</w:t>
      </w:r>
      <w:r>
        <w:t>较大规模人口自然村</w:t>
      </w:r>
      <w:r>
        <w:rPr>
          <w:rFonts w:hint="eastAsia"/>
        </w:rPr>
        <w:t>单车道改双车道。</w:t>
      </w:r>
      <w:r>
        <w:rPr>
          <w:rFonts w:hint="eastAsia"/>
          <w:color w:val="333333"/>
          <w:shd w:val="clear" w:color="auto" w:fill="FFFFFF"/>
        </w:rPr>
        <w:t>改造或重建农村公路危旧桥梁和“老龄化” 桥梁，增强乡镇、农村地区出行安全保障。</w:t>
      </w:r>
    </w:p>
    <w:p w14:paraId="31095AA3">
      <w:pPr>
        <w:ind w:firstLine="645"/>
        <w:rPr>
          <w:rFonts w:hint="eastAsia"/>
        </w:rPr>
      </w:pPr>
      <w:r>
        <w:rPr>
          <w:rFonts w:hint="eastAsia"/>
          <w:b/>
          <w:bCs/>
        </w:rPr>
        <w:t>建设适配高质量发展的农村公路，</w:t>
      </w:r>
      <w:r>
        <w:rPr>
          <w:rFonts w:hint="eastAsia"/>
        </w:rPr>
        <w:t>实施一批</w:t>
      </w:r>
      <w:bookmarkStart w:id="90" w:name="OLE_LINK2"/>
      <w:r>
        <w:rPr>
          <w:rFonts w:hint="eastAsia"/>
        </w:rPr>
        <w:t>资源路、</w:t>
      </w:r>
      <w:bookmarkEnd w:id="90"/>
      <w:r>
        <w:rPr>
          <w:rFonts w:hint="eastAsia"/>
        </w:rPr>
        <w:t>产业路、旅游路及重要联系道路，</w:t>
      </w:r>
      <w:r>
        <w:rPr>
          <w:rFonts w:hint="eastAsia"/>
          <w:color w:val="333333"/>
          <w:shd w:val="clear" w:color="auto" w:fill="FFFFFF"/>
        </w:rPr>
        <w:t>提升专业镇、特色镇及产业、旅游资源等节点的通达水平，</w:t>
      </w:r>
      <w:r>
        <w:rPr>
          <w:rFonts w:hint="eastAsia"/>
        </w:rPr>
        <w:t>助力韶关市各县（市、区）特色资源开发和产业布局。有序</w:t>
      </w:r>
      <w:r>
        <w:rPr>
          <w:rFonts w:hint="eastAsia"/>
          <w:color w:val="333333"/>
          <w:shd w:val="clear" w:color="auto" w:fill="FFFFFF"/>
        </w:rPr>
        <w:t>改造存量次差路，推进“白改黑”，提升路面质量，提高驾乘体验。</w:t>
      </w:r>
      <w:r>
        <w:rPr>
          <w:rFonts w:hint="eastAsia"/>
        </w:rPr>
        <w:t>强化细化农村公路的日常养护工作，及时修复轻微破损路段，保持农村公路良好的通行环境和技术状态。让农村公路成为老百姓家门口的“致富路、幸福路、连心路、振兴路”。有条件的地区逐步完善农村公路观景台等服务设施。</w:t>
      </w:r>
    </w:p>
    <w:p w14:paraId="4EE6F48F">
      <w:pPr>
        <w:pStyle w:val="3"/>
        <w:keepNext w:val="0"/>
        <w:keepLines w:val="0"/>
        <w:spacing w:before="0" w:after="0" w:line="360" w:lineRule="auto"/>
        <w:ind w:firstLine="643" w:firstLineChars="200"/>
        <w:rPr>
          <w:rFonts w:hint="eastAsia" w:ascii="仿宋" w:hAnsi="仿宋" w:eastAsia="仿宋"/>
          <w:b/>
          <w:bCs/>
          <w:color w:val="auto"/>
          <w:sz w:val="32"/>
        </w:rPr>
      </w:pPr>
      <w:bookmarkStart w:id="91" w:name="_Toc236065645"/>
      <w:r>
        <w:rPr>
          <w:rFonts w:hint="eastAsia" w:ascii="仿宋" w:hAnsi="仿宋" w:eastAsia="仿宋"/>
          <w:b/>
          <w:bCs/>
          <w:color w:val="auto"/>
          <w:sz w:val="32"/>
        </w:rPr>
        <w:t>（四）提升集疏运网。</w:t>
      </w:r>
      <w:bookmarkEnd w:id="91"/>
    </w:p>
    <w:p w14:paraId="0D40E785">
      <w:pPr>
        <w:spacing w:line="360" w:lineRule="auto"/>
        <w:ind w:firstLine="643" w:firstLineChars="200"/>
        <w:rPr>
          <w:rFonts w:hint="eastAsia" w:hAnsi="宋体" w:cs="宋体"/>
          <w:b/>
          <w:bCs/>
          <w:color w:val="000000"/>
          <w:kern w:val="0"/>
        </w:rPr>
      </w:pPr>
      <w:bookmarkStart w:id="92" w:name="OLE_LINK172"/>
      <w:r>
        <w:rPr>
          <w:rFonts w:hint="eastAsia" w:hAnsi="宋体" w:cs="宋体"/>
          <w:b/>
          <w:bCs/>
          <w:color w:val="000000"/>
          <w:kern w:val="0"/>
        </w:rPr>
        <w:t>1.加强重要港区、重点园区集疏运路网建设</w:t>
      </w:r>
      <w:bookmarkEnd w:id="92"/>
      <w:r>
        <w:rPr>
          <w:rFonts w:hint="eastAsia" w:hAnsi="宋体" w:cs="宋体"/>
          <w:b/>
          <w:bCs/>
          <w:color w:val="000000"/>
          <w:kern w:val="0"/>
        </w:rPr>
        <w:t>。</w:t>
      </w:r>
    </w:p>
    <w:p w14:paraId="0DFE9D6E">
      <w:pPr>
        <w:spacing w:line="360" w:lineRule="auto"/>
        <w:ind w:firstLine="640" w:firstLineChars="200"/>
        <w:rPr>
          <w:rFonts w:hint="eastAsia" w:hAnsi="仿宋_GB2312"/>
        </w:rPr>
      </w:pPr>
      <w:r>
        <w:rPr>
          <w:rFonts w:hint="eastAsia" w:hAnsi="宋体" w:cs="宋体"/>
          <w:color w:val="000000"/>
          <w:kern w:val="0"/>
        </w:rPr>
        <w:t>系统提升北江港区疏港公路通行能力。实施国道G240线曲江中学至乐广高速乌石出口段改建工程、国道G240线曲江广乐高速乌石出口至英德交界段改建工程、</w:t>
      </w:r>
      <w:bookmarkStart w:id="93" w:name="OLE_LINK3"/>
      <w:r>
        <w:rPr>
          <w:rFonts w:hint="eastAsia" w:hAnsi="宋体" w:cs="宋体"/>
          <w:color w:val="000000"/>
          <w:kern w:val="0"/>
        </w:rPr>
        <w:t>曲江区G240线凯旋城至S248线彩虹门连接线工程</w:t>
      </w:r>
      <w:bookmarkEnd w:id="93"/>
      <w:r>
        <w:rPr>
          <w:rFonts w:hint="eastAsia" w:hAnsi="宋体" w:cs="宋体"/>
          <w:color w:val="000000"/>
          <w:kern w:val="0"/>
        </w:rPr>
        <w:t>、省道S521沙溪至乌石段改建工程等疏港公路，其他港区继续</w:t>
      </w:r>
      <w:r>
        <w:rPr>
          <w:rFonts w:hint="eastAsia" w:hAnsi="仿宋_GB2312"/>
          <w:lang w:bidi="ar"/>
        </w:rPr>
        <w:t>完善各作业区与干线公路（高速公路、国省道）之间的连接线，</w:t>
      </w:r>
      <w:r>
        <w:rPr>
          <w:rFonts w:hint="eastAsia" w:hAnsi="仿宋_GB2312"/>
        </w:rPr>
        <w:t>完善港区周边集疏运道路网络。</w:t>
      </w:r>
    </w:p>
    <w:p w14:paraId="7BEA3CB4">
      <w:pPr>
        <w:spacing w:line="360" w:lineRule="auto"/>
        <w:ind w:firstLine="640" w:firstLineChars="200"/>
        <w:rPr>
          <w:rFonts w:hint="eastAsia" w:hAnsi="仿宋_GB2312"/>
        </w:rPr>
      </w:pPr>
      <w:r>
        <w:rPr>
          <w:rFonts w:hint="eastAsia" w:hAnsi="仿宋_GB2312"/>
          <w:color w:val="000000"/>
          <w:shd w:val="clear" w:color="auto" w:fill="FFFFFF"/>
        </w:rPr>
        <w:t>优化重点产业园疏运衔接网络。建设浈江区生态路项目，强化华南先进装备产业园、东郊片区与韶关东站等便捷联系，实现重点产业园区与铁路货运站场快速通达。实施省道S248犁市至黄岗段改线工程，提升浈江产业园片区与丹霞机场、乳源作业区快速连通能力。实施国道G240线武江区社主至曲江区韶关南出口段建设工程，提升甘棠工业园片区与白土作业区及京港澳高速、乐广高速出口的连通效率。</w:t>
      </w:r>
    </w:p>
    <w:p w14:paraId="6427CAFC">
      <w:pPr>
        <w:spacing w:line="360" w:lineRule="auto"/>
        <w:ind w:firstLine="643" w:firstLineChars="200"/>
        <w:rPr>
          <w:rFonts w:hint="eastAsia" w:hAnsi="仿宋_GB2312"/>
          <w:b/>
          <w:bCs/>
        </w:rPr>
      </w:pPr>
      <w:bookmarkStart w:id="94" w:name="_Hlk215930184"/>
      <w:r>
        <w:rPr>
          <w:rFonts w:hint="eastAsia" w:hAnsi="仿宋_GB2312"/>
          <w:b/>
          <w:bCs/>
        </w:rPr>
        <w:t>2.补强多式联运设施短板</w:t>
      </w:r>
      <w:bookmarkEnd w:id="94"/>
      <w:r>
        <w:rPr>
          <w:rFonts w:hint="eastAsia" w:hAnsi="仿宋_GB2312"/>
          <w:b/>
          <w:bCs/>
        </w:rPr>
        <w:t>。</w:t>
      </w:r>
    </w:p>
    <w:p w14:paraId="65A320A7">
      <w:pPr>
        <w:spacing w:line="360" w:lineRule="auto"/>
        <w:ind w:firstLine="640" w:firstLineChars="200"/>
        <w:rPr>
          <w:rFonts w:hint="eastAsia" w:hAnsi="宋体" w:cs="宋体"/>
          <w:color w:val="000000"/>
          <w:kern w:val="0"/>
        </w:rPr>
      </w:pPr>
      <w:r>
        <w:rPr>
          <w:rFonts w:hint="eastAsia" w:hAnsi="仿宋_GB2312"/>
        </w:rPr>
        <w:t>推进铁路专用线、管带机</w:t>
      </w:r>
      <w:bookmarkStart w:id="95" w:name="OLE_LINK160"/>
      <w:bookmarkStart w:id="96" w:name="_Hlk200016459"/>
      <w:r>
        <w:rPr>
          <w:rFonts w:hint="eastAsia" w:hAnsi="Times New Roman" w:cs="Times New Roman"/>
        </w:rPr>
        <w:t>“进码头”“进企业”，</w:t>
      </w:r>
      <w:r>
        <w:rPr>
          <w:rFonts w:hint="eastAsia" w:hAnsi="宋体" w:cs="宋体"/>
          <w:color w:val="000000"/>
          <w:kern w:val="0"/>
        </w:rPr>
        <w:t>谋划建设乌石作业区铁路专线，</w:t>
      </w:r>
      <w:r>
        <w:rPr>
          <w:rFonts w:hint="eastAsia" w:hAnsi="仿宋_GB2312"/>
        </w:rPr>
        <w:t>推进</w:t>
      </w:r>
      <w:r>
        <w:rPr>
          <w:rFonts w:hint="eastAsia" w:hAnsi="宋体" w:cs="宋体"/>
          <w:color w:val="000000"/>
          <w:kern w:val="0"/>
        </w:rPr>
        <w:t>龙头寨码头管带机前期工作，进一步提升韶关港多式联运功能</w:t>
      </w:r>
      <w:bookmarkEnd w:id="95"/>
      <w:r>
        <w:rPr>
          <w:rFonts w:hint="eastAsia" w:hAnsi="宋体" w:cs="宋体"/>
          <w:color w:val="000000"/>
          <w:kern w:val="0"/>
        </w:rPr>
        <w:t>，</w:t>
      </w:r>
      <w:bookmarkEnd w:id="96"/>
      <w:r>
        <w:rPr>
          <w:rFonts w:hint="eastAsia" w:hAnsi="仿宋_GB2312"/>
          <w:color w:val="000000"/>
          <w:shd w:val="clear" w:color="auto" w:fill="FFFFFF"/>
        </w:rPr>
        <w:t>打通港口码头与韶钢等重点企业（园区）“点对点”转运通道。</w:t>
      </w:r>
    </w:p>
    <w:p w14:paraId="3E289137">
      <w:pPr>
        <w:spacing w:line="360" w:lineRule="auto"/>
        <w:ind w:firstLine="640" w:firstLineChars="200"/>
        <w:rPr>
          <w:rFonts w:hint="eastAsia" w:hAnsi="宋体" w:cs="宋体"/>
          <w:color w:val="000000"/>
          <w:kern w:val="0"/>
        </w:rPr>
      </w:pPr>
      <w:r>
        <w:rPr>
          <w:rFonts w:hint="eastAsia" w:hAnsi="宋体" w:cs="宋体"/>
          <w:color w:val="000000"/>
          <w:kern w:val="0"/>
        </w:rPr>
        <w:t>强化铁路枢纽与陆港型国家物流枢纽的衔接，推动韶关站、韶关东站与白土、马坝等陆港片区联动，构建“铁路枢纽+陆港”集疏运网络。</w:t>
      </w:r>
    </w:p>
    <w:p w14:paraId="3557D00F">
      <w:pPr>
        <w:spacing w:line="360" w:lineRule="auto"/>
        <w:ind w:firstLine="643" w:firstLineChars="200"/>
        <w:rPr>
          <w:rFonts w:hint="eastAsia" w:hAnsi="宋体" w:cs="宋体"/>
          <w:b/>
          <w:bCs/>
          <w:color w:val="000000"/>
          <w:kern w:val="0"/>
        </w:rPr>
      </w:pPr>
      <w:r>
        <w:rPr>
          <w:rFonts w:hint="eastAsia" w:hAnsi="宋体" w:cs="宋体"/>
          <w:b/>
          <w:bCs/>
          <w:color w:val="000000"/>
          <w:kern w:val="0"/>
        </w:rPr>
        <w:t>3.完善机场快速集散路网。</w:t>
      </w:r>
    </w:p>
    <w:p w14:paraId="04D5AA91">
      <w:pPr>
        <w:spacing w:line="360" w:lineRule="auto"/>
        <w:ind w:firstLine="640" w:firstLineChars="200"/>
        <w:rPr>
          <w:rFonts w:hint="eastAsia" w:hAnsi="宋体" w:cs="宋体"/>
          <w:b/>
          <w:bCs/>
          <w:color w:val="000000"/>
          <w:kern w:val="0"/>
        </w:rPr>
      </w:pPr>
      <w:r>
        <w:rPr>
          <w:rFonts w:hint="eastAsia" w:hAnsi="宋体" w:cs="宋体"/>
          <w:color w:val="000000"/>
          <w:kern w:val="0"/>
        </w:rPr>
        <w:t>加快</w:t>
      </w:r>
      <w:r>
        <w:rPr>
          <w:rFonts w:hint="eastAsia"/>
        </w:rPr>
        <w:t>推进市区至丹霞机场道路工程项目规划建设。加强雄乐高速公路等项目谋划，构建高效畅通的机场集疏运路网。</w:t>
      </w:r>
    </w:p>
    <w:p w14:paraId="13FD2B5C">
      <w:pPr>
        <w:widowControl/>
        <w:ind w:firstLine="643" w:firstLineChars="200"/>
        <w:rPr>
          <w:rFonts w:hint="eastAsia"/>
          <w:b/>
          <w:bCs/>
        </w:rPr>
      </w:pPr>
      <w:r>
        <w:rPr>
          <w:rFonts w:hint="eastAsia"/>
          <w:b/>
          <w:bCs/>
        </w:rPr>
        <w:t>4</w:t>
      </w:r>
      <w:bookmarkStart w:id="97" w:name="OLE_LINK173"/>
      <w:r>
        <w:rPr>
          <w:rFonts w:hint="eastAsia"/>
          <w:b/>
          <w:bCs/>
        </w:rPr>
        <w:t>.提升城区高效衔接</w:t>
      </w:r>
      <w:bookmarkEnd w:id="97"/>
      <w:r>
        <w:rPr>
          <w:rFonts w:hint="eastAsia"/>
          <w:b/>
          <w:bCs/>
        </w:rPr>
        <w:t>能力。</w:t>
      </w:r>
    </w:p>
    <w:p w14:paraId="7275221D">
      <w:pPr>
        <w:widowControl/>
        <w:ind w:firstLine="640" w:firstLineChars="200"/>
        <w:rPr>
          <w:rFonts w:hint="eastAsia"/>
        </w:rPr>
      </w:pPr>
      <w:r>
        <w:rPr>
          <w:rFonts w:hint="eastAsia"/>
        </w:rPr>
        <w:t>实施南韶高速公路乐村坪收费站拓宽工程，解决华南先进装备产业园等重点园区大件货物运输上高速堵点问题。</w:t>
      </w:r>
      <w:r>
        <w:rPr>
          <w:rFonts w:hint="eastAsia" w:hAnsi="宋体" w:cs="宋体"/>
          <w:color w:val="000000"/>
          <w:kern w:val="0"/>
        </w:rPr>
        <w:t>规划新增韶关北环高速公路黄浪水互通，升级改造京港澳高速马坝枢纽互通，</w:t>
      </w:r>
      <w:r>
        <w:rPr>
          <w:rFonts w:hint="eastAsia"/>
        </w:rPr>
        <w:t>提升快速通达机场以及车辆进入高速公路的时效性。实施主城区基础设施提升工程，有效缓解主城区交通拥堵问题。</w:t>
      </w:r>
    </w:p>
    <w:p w14:paraId="12AAAD7F">
      <w:pPr>
        <w:pStyle w:val="3"/>
        <w:keepNext w:val="0"/>
        <w:keepLines w:val="0"/>
        <w:spacing w:before="0" w:after="0" w:line="360" w:lineRule="auto"/>
        <w:ind w:firstLine="643" w:firstLineChars="200"/>
        <w:rPr>
          <w:rFonts w:hint="eastAsia" w:ascii="仿宋" w:hAnsi="仿宋" w:eastAsia="仿宋"/>
          <w:b/>
          <w:bCs/>
          <w:color w:val="auto"/>
          <w:sz w:val="32"/>
        </w:rPr>
      </w:pPr>
      <w:bookmarkStart w:id="98" w:name="_Toc236065646"/>
      <w:r>
        <w:rPr>
          <w:rFonts w:hint="eastAsia" w:ascii="仿宋" w:hAnsi="仿宋" w:eastAsia="仿宋"/>
          <w:b/>
          <w:bCs/>
          <w:color w:val="auto"/>
          <w:sz w:val="32"/>
        </w:rPr>
        <w:t>（五）打造交旅网。</w:t>
      </w:r>
      <w:bookmarkEnd w:id="98"/>
    </w:p>
    <w:p w14:paraId="38CE9776">
      <w:pPr>
        <w:ind w:firstLine="643" w:firstLineChars="200"/>
        <w:rPr>
          <w:rFonts w:hint="eastAsia" w:hAnsi="宋体" w:cs="宋体"/>
          <w:color w:val="000000"/>
          <w:kern w:val="0"/>
        </w:rPr>
      </w:pPr>
      <w:bookmarkStart w:id="99" w:name="_Toc527676364"/>
      <w:r>
        <w:rPr>
          <w:rFonts w:hint="eastAsia"/>
          <w:b/>
          <w:bCs/>
        </w:rPr>
        <w:t>统筹开发全域立体交通旅游模式</w:t>
      </w:r>
      <w:r>
        <w:rPr>
          <w:rFonts w:hint="eastAsia"/>
        </w:rPr>
        <w:t>。</w:t>
      </w:r>
      <w:r>
        <w:rPr>
          <w:rFonts w:hint="eastAsia" w:hAnsi="宋体" w:cs="宋体"/>
          <w:color w:val="000000"/>
          <w:kern w:val="0"/>
        </w:rPr>
        <w:t>聚焦“大丹霞、大南华、大珠玑、大南岭”，</w:t>
      </w:r>
      <w:r>
        <w:rPr>
          <w:rFonts w:hint="eastAsia"/>
        </w:rPr>
        <w:t>研究开展韶关市全域旅游交通发展规划，</w:t>
      </w:r>
      <w:r>
        <w:rPr>
          <w:rFonts w:hint="eastAsia" w:hAnsi="宋体" w:cs="宋体"/>
          <w:color w:val="000000"/>
          <w:kern w:val="0"/>
        </w:rPr>
        <w:t>做好交通旅游设施提升工作，</w:t>
      </w:r>
      <w:r>
        <w:rPr>
          <w:rFonts w:hint="eastAsia"/>
        </w:rPr>
        <w:t>发挥韶关</w:t>
      </w:r>
      <w:bookmarkStart w:id="100" w:name="OLE_LINK32"/>
      <w:r>
        <w:rPr>
          <w:rFonts w:hint="eastAsia"/>
        </w:rPr>
        <w:t>市具有“陆水空”交通与旅游场景齐备的优势，打造全域旅游发展新模式。将高铁站、主要来韶通道、高品质酒店与丹霞山、南华寺、梅关古道·珠玑古巷等重点景区串点成线、连线成面，系统打造多主题、常态化的交通与旅游融合产品。不断丰富交旅融合发展业态，利用好</w:t>
      </w:r>
      <w:r>
        <w:rPr>
          <w:rFonts w:hint="eastAsia" w:hAnsi="宋体" w:cs="宋体"/>
          <w:color w:val="000000"/>
          <w:kern w:val="0"/>
        </w:rPr>
        <w:t>南岭生态旅游公路、阅丹公路</w:t>
      </w:r>
      <w:r>
        <w:rPr>
          <w:rFonts w:hint="eastAsia"/>
        </w:rPr>
        <w:t>、</w:t>
      </w:r>
      <w:r>
        <w:rPr>
          <w:rFonts w:hint="eastAsia" w:hAnsi="宋体" w:cs="宋体"/>
          <w:color w:val="000000"/>
          <w:kern w:val="0"/>
        </w:rPr>
        <w:t>绿色</w:t>
      </w:r>
      <w:r>
        <w:rPr>
          <w:rFonts w:hint="eastAsia"/>
        </w:rPr>
        <w:t>航道、低空观光飞行垂直起降场，</w:t>
      </w:r>
      <w:bookmarkEnd w:id="100"/>
      <w:r>
        <w:rPr>
          <w:rFonts w:hint="eastAsia" w:hAnsi="宋体" w:cs="宋体"/>
          <w:color w:val="000000"/>
          <w:kern w:val="0"/>
        </w:rPr>
        <w:t>打造“</w:t>
      </w:r>
      <w:bookmarkStart w:id="101" w:name="OLE_LINK33"/>
      <w:r>
        <w:rPr>
          <w:rFonts w:hint="eastAsia" w:hAnsi="宋体" w:cs="宋体"/>
          <w:color w:val="000000"/>
          <w:kern w:val="0"/>
        </w:rPr>
        <w:t>陆水交通+低空交通</w:t>
      </w:r>
      <w:bookmarkEnd w:id="101"/>
      <w:r>
        <w:rPr>
          <w:rFonts w:hint="eastAsia" w:hAnsi="宋体" w:cs="宋体"/>
          <w:color w:val="000000"/>
          <w:kern w:val="0"/>
        </w:rPr>
        <w:t>”联游等消费新热点和旅游精品航线、特色旅游产品，助力韶关市旅游产业提质升级。</w:t>
      </w:r>
    </w:p>
    <w:p w14:paraId="4455DCFD">
      <w:pPr>
        <w:widowControl/>
        <w:ind w:firstLine="643" w:firstLineChars="200"/>
        <w:rPr>
          <w:rFonts w:hint="eastAsia" w:hAnsi="宋体" w:cs="宋体"/>
          <w:color w:val="000000"/>
          <w:kern w:val="0"/>
        </w:rPr>
      </w:pPr>
      <w:bookmarkStart w:id="102" w:name="OLE_LINK220"/>
      <w:bookmarkStart w:id="103" w:name="OLE_LINK219"/>
      <w:r>
        <w:rPr>
          <w:rFonts w:hint="eastAsia"/>
          <w:b/>
          <w:bCs/>
        </w:rPr>
        <w:t>持续打造绿美交通韶关样板</w:t>
      </w:r>
      <w:bookmarkEnd w:id="102"/>
      <w:r>
        <w:rPr>
          <w:rFonts w:hint="eastAsia"/>
          <w:b/>
          <w:bCs/>
        </w:rPr>
        <w:t>。</w:t>
      </w:r>
      <w:bookmarkEnd w:id="103"/>
      <w:r>
        <w:rPr>
          <w:rFonts w:hint="eastAsia"/>
        </w:rPr>
        <w:t>深入贯彻落实省委绿美广东生态建设相关决策部署，推进“丹霞山－南华寺－梅岭·珠玑巷”周边干线公路绿化品质，持续提升干线公路绿化美化品质，营造沿线景观视觉效果，实现</w:t>
      </w:r>
      <w:bookmarkStart w:id="104" w:name="OLE_LINK34"/>
      <w:r>
        <w:t>高速公路出入口绿化品质提升</w:t>
      </w:r>
      <w:bookmarkEnd w:id="104"/>
      <w:r>
        <w:t>全覆盖。</w:t>
      </w:r>
      <w:r>
        <w:rPr>
          <w:rFonts w:hint="eastAsia"/>
        </w:rPr>
        <w:t>整体推进“农村公路经济带”建设工程，将“修建一条公路，串联一路风景，带动一片产业，造福一方百姓”建设理念贯穿于公路绿美发展全过程。</w:t>
      </w:r>
    </w:p>
    <w:p w14:paraId="2D0BB260">
      <w:pPr>
        <w:ind w:firstLine="645"/>
        <w:rPr>
          <w:rFonts w:hint="eastAsia" w:hAnsi="宋体" w:cs="宋体"/>
          <w:color w:val="000000"/>
          <w:kern w:val="0"/>
        </w:rPr>
      </w:pPr>
      <w:r>
        <w:rPr>
          <w:rFonts w:hint="eastAsia" w:hAnsi="宋体" w:cs="宋体"/>
          <w:b/>
          <w:bCs/>
          <w:color w:val="000000"/>
          <w:kern w:val="0"/>
        </w:rPr>
        <w:t>持续创建高品质公路服务区。</w:t>
      </w:r>
      <w:r>
        <w:rPr>
          <w:rFonts w:hint="eastAsia" w:hAnsi="宋体" w:cs="宋体"/>
          <w:color w:val="000000"/>
          <w:kern w:val="0"/>
        </w:rPr>
        <w:t>加快打造京港澳高速粤北服务区、南韶高速的丹霞服务区、珠玑巷服务区等特色服务区等“交农文旅商”融合发展特色服务区，将其作为展示本地特色文化、展销本地特色产品和品尝本地特色美食的“三个窗口”，争取每个县（市、区）建设一对特色服务区。按“助农兴业”理念全面推进高速公路服务区微改造和服务品质升级，打造“百千万工程”的重要支点。</w:t>
      </w:r>
      <w:bookmarkStart w:id="105" w:name="_Hlk236081239"/>
      <w:r>
        <w:rPr>
          <w:rFonts w:hint="eastAsia" w:hAnsi="仿宋_GB2312"/>
          <w:bCs/>
          <w:color w:val="000000"/>
          <w:szCs w:val="30"/>
        </w:rPr>
        <w:t>稳妥推进高速公路沿线“开放式服务区”建设</w:t>
      </w:r>
      <w:r>
        <w:rPr>
          <w:rFonts w:hint="eastAsia" w:hAnsi="宋体" w:cs="宋体"/>
          <w:color w:val="000000"/>
          <w:kern w:val="0"/>
        </w:rPr>
        <w:t>。</w:t>
      </w:r>
      <w:bookmarkEnd w:id="105"/>
      <w:r>
        <w:rPr>
          <w:rFonts w:hint="eastAsia" w:hAnsi="宋体" w:cs="宋体"/>
          <w:color w:val="000000"/>
          <w:kern w:val="0"/>
        </w:rPr>
        <w:t>普通国省干线公路规划建设一批以A类服务区为主的公路服务区。继续完善服务区“充电”服务保障能力，提高驾乘旅游体验。</w:t>
      </w:r>
    </w:p>
    <w:p w14:paraId="34C6C5E5">
      <w:pPr>
        <w:spacing w:line="360" w:lineRule="auto"/>
        <w:ind w:firstLine="643" w:firstLineChars="200"/>
        <w:rPr>
          <w:rFonts w:hint="eastAsia" w:hAnsi="宋体" w:cs="宋体"/>
          <w:color w:val="000000"/>
          <w:kern w:val="0"/>
        </w:rPr>
      </w:pPr>
      <w:r>
        <w:rPr>
          <w:rFonts w:hint="eastAsia" w:hAnsi="宋体" w:cs="宋体"/>
          <w:b/>
          <w:bCs/>
          <w:color w:val="000000"/>
          <w:kern w:val="0"/>
        </w:rPr>
        <w:t>增强枢纽旅游集散功能</w:t>
      </w:r>
      <w:r>
        <w:rPr>
          <w:rFonts w:hint="eastAsia" w:hAnsi="宋体" w:cs="宋体"/>
          <w:color w:val="000000"/>
          <w:kern w:val="0"/>
        </w:rPr>
        <w:t>。规划市内主要的二级以上客运站增加旅游集散中心功能，规划高铁站建立旅游集散中心，提高旅游交通中转能力。</w:t>
      </w:r>
      <w:bookmarkEnd w:id="99"/>
    </w:p>
    <w:bookmarkEnd w:id="87"/>
    <w:p w14:paraId="48A2C4CC">
      <w:pPr>
        <w:snapToGrid w:val="0"/>
        <w:spacing w:before="240" w:line="360" w:lineRule="auto"/>
        <w:ind w:firstLine="640" w:firstLineChars="200"/>
        <w:outlineLvl w:val="0"/>
        <w:rPr>
          <w:rFonts w:hint="eastAsia" w:ascii="Times New Roman" w:hAnsi="黑体" w:eastAsia="黑体" w:cs="Times New Roman"/>
          <w:bCs/>
          <w:szCs w:val="36"/>
          <w:lang w:val="zh-CN"/>
        </w:rPr>
      </w:pPr>
      <w:bookmarkStart w:id="106" w:name="_Toc77678587"/>
      <w:bookmarkStart w:id="107" w:name="_Toc236065647"/>
      <w:r>
        <w:rPr>
          <w:rFonts w:hint="eastAsia" w:ascii="Times New Roman" w:hAnsi="黑体" w:eastAsia="黑体" w:cs="Times New Roman"/>
          <w:bCs/>
          <w:szCs w:val="36"/>
          <w:lang w:val="zh-CN"/>
        </w:rPr>
        <w:t>五、</w:t>
      </w:r>
      <w:bookmarkStart w:id="108" w:name="_Hlk232778788"/>
      <w:r>
        <w:rPr>
          <w:rFonts w:hint="eastAsia" w:ascii="Times New Roman" w:hAnsi="黑体" w:eastAsia="黑体" w:cs="Times New Roman"/>
          <w:bCs/>
          <w:szCs w:val="36"/>
          <w:lang w:val="zh-CN"/>
        </w:rPr>
        <w:t>大力</w:t>
      </w:r>
      <w:bookmarkStart w:id="109" w:name="_Hlk232778069"/>
      <w:r>
        <w:rPr>
          <w:rFonts w:hint="eastAsia" w:ascii="Times New Roman" w:hAnsi="黑体" w:eastAsia="黑体" w:cs="Times New Roman"/>
          <w:bCs/>
          <w:szCs w:val="36"/>
          <w:lang w:val="zh-CN"/>
        </w:rPr>
        <w:t>提升综合运输服务质效</w:t>
      </w:r>
      <w:bookmarkEnd w:id="106"/>
      <w:bookmarkEnd w:id="107"/>
      <w:bookmarkEnd w:id="108"/>
    </w:p>
    <w:bookmarkEnd w:id="109"/>
    <w:p w14:paraId="2764A173">
      <w:pPr>
        <w:pStyle w:val="3"/>
        <w:keepNext w:val="0"/>
        <w:keepLines w:val="0"/>
        <w:spacing w:before="0" w:after="0" w:line="360" w:lineRule="auto"/>
        <w:ind w:firstLine="643" w:firstLineChars="200"/>
        <w:rPr>
          <w:rFonts w:hint="eastAsia" w:ascii="仿宋" w:hAnsi="仿宋" w:eastAsia="仿宋"/>
          <w:b/>
          <w:bCs/>
          <w:color w:val="auto"/>
          <w:sz w:val="32"/>
        </w:rPr>
      </w:pPr>
      <w:bookmarkStart w:id="110" w:name="_Toc236065648"/>
      <w:bookmarkStart w:id="111" w:name="_Hlk199318445"/>
      <w:bookmarkStart w:id="112" w:name="_Toc77678589"/>
      <w:bookmarkStart w:id="113" w:name="_Hlk199318438"/>
      <w:bookmarkStart w:id="114" w:name="_Toc77678588"/>
      <w:r>
        <w:rPr>
          <w:rFonts w:hint="eastAsia" w:ascii="仿宋" w:hAnsi="仿宋" w:eastAsia="仿宋"/>
          <w:b/>
          <w:bCs/>
          <w:color w:val="auto"/>
          <w:sz w:val="32"/>
        </w:rPr>
        <w:t>（一）</w:t>
      </w:r>
      <w:bookmarkStart w:id="115" w:name="OLE_LINK114"/>
      <w:bookmarkStart w:id="116" w:name="OLE_LINK104"/>
      <w:r>
        <w:rPr>
          <w:rFonts w:hint="eastAsia" w:ascii="仿宋" w:hAnsi="仿宋" w:eastAsia="仿宋"/>
          <w:b/>
          <w:bCs/>
          <w:color w:val="auto"/>
          <w:sz w:val="32"/>
        </w:rPr>
        <w:t>推动客运服务</w:t>
      </w:r>
      <w:bookmarkEnd w:id="115"/>
      <w:r>
        <w:rPr>
          <w:rFonts w:hint="eastAsia" w:ascii="仿宋" w:hAnsi="仿宋" w:eastAsia="仿宋"/>
          <w:b/>
          <w:bCs/>
          <w:color w:val="auto"/>
          <w:sz w:val="32"/>
        </w:rPr>
        <w:t>量质齐升</w:t>
      </w:r>
      <w:bookmarkEnd w:id="116"/>
      <w:r>
        <w:rPr>
          <w:rFonts w:hint="eastAsia" w:ascii="仿宋" w:hAnsi="仿宋" w:eastAsia="仿宋"/>
          <w:b/>
          <w:bCs/>
          <w:color w:val="auto"/>
          <w:sz w:val="32"/>
        </w:rPr>
        <w:t>。</w:t>
      </w:r>
      <w:bookmarkEnd w:id="110"/>
    </w:p>
    <w:bookmarkEnd w:id="111"/>
    <w:p w14:paraId="5A927C5D">
      <w:pPr>
        <w:ind w:firstLine="643" w:firstLineChars="200"/>
        <w:outlineLvl w:val="2"/>
        <w:rPr>
          <w:rFonts w:hint="eastAsia"/>
          <w:b/>
          <w:bCs/>
        </w:rPr>
      </w:pPr>
      <w:bookmarkStart w:id="117" w:name="OLE_LINK115"/>
      <w:bookmarkStart w:id="118" w:name="OLE_LINK105"/>
      <w:r>
        <w:rPr>
          <w:rFonts w:hint="eastAsia"/>
          <w:b/>
          <w:bCs/>
        </w:rPr>
        <w:t>1.完善基本公共交通服务。</w:t>
      </w:r>
    </w:p>
    <w:p w14:paraId="40B9CF7B">
      <w:pPr>
        <w:ind w:firstLine="643" w:firstLineChars="200"/>
        <w:rPr>
          <w:rFonts w:hint="eastAsia"/>
        </w:rPr>
      </w:pPr>
      <w:r>
        <w:rPr>
          <w:rFonts w:hint="eastAsia"/>
          <w:b/>
          <w:bCs/>
        </w:rPr>
        <w:t>确保基本出行服务可持续发展。</w:t>
      </w:r>
      <w:r>
        <w:rPr>
          <w:rFonts w:hint="eastAsia"/>
        </w:rPr>
        <w:t>建立健全韶关市公交服务质量评价体系，将评价结果作为政府购买服务、发放财政补贴及行业准入退出的重要依据，确保基本公交“兜底线、保基本、可持续”。</w:t>
      </w:r>
    </w:p>
    <w:p w14:paraId="33597767">
      <w:pPr>
        <w:ind w:firstLine="643" w:firstLineChars="200"/>
        <w:rPr>
          <w:rFonts w:hint="eastAsia"/>
          <w:b/>
          <w:bCs/>
        </w:rPr>
      </w:pPr>
      <w:r>
        <w:rPr>
          <w:rFonts w:hint="eastAsia"/>
          <w:b/>
          <w:bCs/>
        </w:rPr>
        <w:t>保障高铁站接驳客运服务。</w:t>
      </w:r>
      <w:r>
        <w:rPr>
          <w:rFonts w:hint="eastAsia"/>
        </w:rPr>
        <w:t>以高铁站为中心，增开短途接驳公交和微循环线路，完善高铁站通达县城的公交和客运线路。</w:t>
      </w:r>
      <w:bookmarkStart w:id="119" w:name="OLE_LINK106"/>
      <w:r>
        <w:rPr>
          <w:rFonts w:hint="eastAsia"/>
        </w:rPr>
        <w:t>开通高铁站与大数据集群、南华寺、丹霞山等重要节点之间直达专线。</w:t>
      </w:r>
      <w:bookmarkEnd w:id="119"/>
    </w:p>
    <w:p w14:paraId="0A467C78">
      <w:pPr>
        <w:ind w:firstLine="643" w:firstLineChars="200"/>
        <w:rPr>
          <w:rFonts w:ascii="Times New Roman" w:hAnsi="Times New Roman" w:cs="Times New Roman"/>
          <w:color w:val="000000"/>
          <w:kern w:val="0"/>
          <w:lang w:bidi="ar"/>
        </w:rPr>
      </w:pPr>
      <w:r>
        <w:rPr>
          <w:rFonts w:hint="eastAsia"/>
          <w:b/>
          <w:bCs/>
        </w:rPr>
        <w:t>巩固拓展具备条件的乡镇和建制村通客车成果。</w:t>
      </w:r>
      <w:r>
        <w:rPr>
          <w:rFonts w:hint="eastAsia" w:ascii="Times New Roman" w:hAnsi="Times New Roman" w:cs="Times New Roman"/>
          <w:color w:val="000000"/>
          <w:kern w:val="0"/>
          <w:lang w:bidi="ar"/>
        </w:rPr>
        <w:t>建立健全农村客运可持续发展长效机制，以服务质量为导向，将补贴资金与服务质量指标挂钩。加强对偏远山区等区域的政策倾斜，切实兜牢农村群众基本出行底线。</w:t>
      </w:r>
      <w:r>
        <w:rPr>
          <w:rFonts w:ascii="Times New Roman" w:hAnsi="Times New Roman"/>
          <w:color w:val="000000"/>
        </w:rPr>
        <w:t>提升农村客运车辆</w:t>
      </w:r>
      <w:r>
        <w:rPr>
          <w:rFonts w:hint="eastAsia"/>
          <w:color w:val="000000"/>
        </w:rPr>
        <w:t>“</w:t>
      </w:r>
      <w:r>
        <w:rPr>
          <w:rFonts w:ascii="Times New Roman" w:hAnsi="Times New Roman"/>
          <w:color w:val="000000"/>
        </w:rPr>
        <w:t>一卡通</w:t>
      </w:r>
      <w:r>
        <w:rPr>
          <w:rFonts w:hint="eastAsia"/>
          <w:color w:val="000000"/>
        </w:rPr>
        <w:t>”</w:t>
      </w:r>
      <w:r>
        <w:rPr>
          <w:rFonts w:ascii="Times New Roman" w:hAnsi="Times New Roman"/>
          <w:color w:val="000000"/>
        </w:rPr>
        <w:t>终端覆盖面。</w:t>
      </w:r>
    </w:p>
    <w:p w14:paraId="4D21B719">
      <w:pPr>
        <w:spacing w:line="360" w:lineRule="auto"/>
        <w:ind w:firstLine="646"/>
        <w:outlineLvl w:val="2"/>
        <w:rPr>
          <w:rFonts w:hint="eastAsia"/>
          <w:b/>
          <w:bCs/>
        </w:rPr>
      </w:pPr>
      <w:r>
        <w:rPr>
          <w:rFonts w:hint="eastAsia" w:ascii="Times New Roman" w:hAnsi="Times New Roman" w:cs="Times New Roman"/>
          <w:color w:val="000000"/>
          <w:kern w:val="0"/>
          <w:lang w:bidi="ar"/>
        </w:rPr>
        <w:t>2.</w:t>
      </w:r>
      <w:r>
        <w:rPr>
          <w:rFonts w:hint="eastAsia" w:ascii="Times New Roman" w:hAnsi="Times New Roman" w:cs="Times New Roman"/>
          <w:b/>
          <w:bCs/>
          <w:color w:val="000000"/>
          <w:kern w:val="0"/>
          <w:lang w:bidi="ar"/>
        </w:rPr>
        <w:t>持续</w:t>
      </w:r>
      <w:r>
        <w:rPr>
          <w:rFonts w:hint="eastAsia"/>
          <w:b/>
          <w:bCs/>
        </w:rPr>
        <w:t>提升出行服务品质。</w:t>
      </w:r>
    </w:p>
    <w:p w14:paraId="217A1A11">
      <w:pPr>
        <w:ind w:firstLine="643" w:firstLineChars="200"/>
        <w:rPr>
          <w:rFonts w:hint="eastAsia"/>
        </w:rPr>
      </w:pPr>
      <w:bookmarkStart w:id="120" w:name="OLE_LINK109"/>
      <w:r>
        <w:rPr>
          <w:rFonts w:hint="eastAsia" w:hAnsi="微软雅黑"/>
          <w:b/>
          <w:bCs/>
          <w:color w:val="333333"/>
          <w:shd w:val="clear" w:color="auto" w:fill="FFFFFF"/>
        </w:rPr>
        <w:t>促进城市客运优化发展</w:t>
      </w:r>
      <w:r>
        <w:rPr>
          <w:rFonts w:hint="eastAsia" w:hAnsi="微软雅黑"/>
          <w:color w:val="333333"/>
          <w:shd w:val="clear" w:color="auto" w:fill="FFFFFF"/>
        </w:rPr>
        <w:t>。</w:t>
      </w:r>
      <w:r>
        <w:rPr>
          <w:rFonts w:hint="eastAsia"/>
        </w:rPr>
        <w:t>紧跟城市发展和人口变化趋势，及时优化调整公交线网布局，加密招呼站、停靠点等站点布局。提升老龄化运输服务供给，为老年群体提供“零痛点”出行体验。指导公交企业积极推进“互联网+”定制公交服务，</w:t>
      </w:r>
      <w:r>
        <w:rPr>
          <w:rFonts w:ascii="Times New Roman" w:hAnsi="Times New Roman" w:cs="Times New Roman"/>
          <w:color w:val="000000"/>
          <w:kern w:val="0"/>
          <w:lang w:bidi="ar"/>
        </w:rPr>
        <w:t>探索开展随需而至的公交服务</w:t>
      </w:r>
      <w:r>
        <w:rPr>
          <w:rFonts w:hint="eastAsia" w:ascii="Times New Roman" w:hAnsi="Times New Roman" w:cs="Times New Roman"/>
          <w:color w:val="000000"/>
          <w:kern w:val="0"/>
          <w:lang w:bidi="ar"/>
        </w:rPr>
        <w:t>。</w:t>
      </w:r>
      <w:bookmarkStart w:id="121" w:name="OLE_LINK110"/>
      <w:r>
        <w:rPr>
          <w:rFonts w:hint="eastAsia"/>
        </w:rPr>
        <w:t>完善“巡游+网约”融合出租汽车“韶关模式”，促进出租汽车行业健康可持续发展。</w:t>
      </w:r>
    </w:p>
    <w:p w14:paraId="6446CBCD">
      <w:pPr>
        <w:ind w:firstLine="643" w:firstLineChars="200"/>
        <w:rPr>
          <w:rFonts w:hint="eastAsia"/>
        </w:rPr>
      </w:pPr>
      <w:bookmarkStart w:id="122" w:name="OLE_LINK174"/>
      <w:r>
        <w:rPr>
          <w:rFonts w:hint="eastAsia"/>
          <w:b/>
          <w:bCs/>
        </w:rPr>
        <w:t>提升联程出行服务品质</w:t>
      </w:r>
      <w:bookmarkEnd w:id="122"/>
      <w:r>
        <w:rPr>
          <w:rFonts w:hint="eastAsia"/>
          <w:b/>
          <w:bCs/>
        </w:rPr>
        <w:t>。</w:t>
      </w:r>
      <w:r>
        <w:rPr>
          <w:rFonts w:hint="eastAsia"/>
        </w:rPr>
        <w:t>深化韶关联程客运试点，</w:t>
      </w:r>
      <w:bookmarkStart w:id="123" w:name="OLE_LINK107"/>
      <w:r>
        <w:rPr>
          <w:rFonts w:hint="eastAsia"/>
        </w:rPr>
        <w:t>打造韶关（市区及各区县）至大湾区城市“一票式”出行服务</w:t>
      </w:r>
      <w:bookmarkEnd w:id="123"/>
      <w:r>
        <w:rPr>
          <w:rFonts w:hint="eastAsia"/>
        </w:rPr>
        <w:t>。推动各县（市、区）建设城市候机楼，暂无高铁覆盖的县（市）建设高铁无轨站。</w:t>
      </w:r>
    </w:p>
    <w:p w14:paraId="0B055835">
      <w:pPr>
        <w:ind w:firstLine="643" w:firstLineChars="200"/>
        <w:rPr>
          <w:rFonts w:hint="eastAsia"/>
        </w:rPr>
      </w:pPr>
      <w:r>
        <w:rPr>
          <w:rFonts w:hint="eastAsia"/>
          <w:b/>
          <w:bCs/>
        </w:rPr>
        <w:t>提升城乡交通一体化服务。</w:t>
      </w:r>
      <w:r>
        <w:rPr>
          <w:rFonts w:hint="eastAsia"/>
        </w:rPr>
        <w:t>鼓励有条件的县（市）发展县城区周边乡村“微公交”。</w:t>
      </w:r>
      <w:r>
        <w:rPr>
          <w:rFonts w:ascii="Times New Roman" w:hAnsi="Times New Roman" w:cs="Times New Roman"/>
          <w:color w:val="000000"/>
          <w:kern w:val="0"/>
          <w:lang w:bidi="ar"/>
        </w:rPr>
        <w:t>通过线路延伸、增加中途站点、调整站点位置等方式</w:t>
      </w:r>
      <w:r>
        <w:rPr>
          <w:rFonts w:hint="eastAsia" w:ascii="Times New Roman" w:hAnsi="Times New Roman" w:cs="Times New Roman"/>
          <w:color w:val="000000"/>
          <w:kern w:val="0"/>
          <w:lang w:bidi="ar"/>
        </w:rPr>
        <w:t>为较大人口</w:t>
      </w:r>
      <w:r>
        <w:rPr>
          <w:rFonts w:ascii="Times New Roman" w:hAnsi="Times New Roman" w:cs="Times New Roman"/>
          <w:color w:val="000000"/>
          <w:kern w:val="0"/>
          <w:lang w:bidi="ar"/>
        </w:rPr>
        <w:t>自然村</w:t>
      </w:r>
      <w:r>
        <w:rPr>
          <w:rFonts w:hint="eastAsia" w:ascii="Times New Roman" w:hAnsi="Times New Roman" w:cs="Times New Roman"/>
          <w:color w:val="000000"/>
          <w:kern w:val="0"/>
          <w:lang w:bidi="ar"/>
        </w:rPr>
        <w:t>提供客运</w:t>
      </w:r>
      <w:r>
        <w:rPr>
          <w:rFonts w:ascii="Times New Roman" w:hAnsi="Times New Roman" w:cs="Times New Roman"/>
          <w:color w:val="000000"/>
          <w:kern w:val="0"/>
          <w:lang w:bidi="ar"/>
        </w:rPr>
        <w:t>服务。</w:t>
      </w:r>
      <w:r>
        <w:rPr>
          <w:rFonts w:hint="eastAsia"/>
        </w:rPr>
        <w:t>统筹县级以下各类运输资源，引导县域内农村客运企业通过兼并、重组、联盟等方式实现规模化整合。</w:t>
      </w:r>
    </w:p>
    <w:p w14:paraId="6715AFD6">
      <w:pPr>
        <w:spacing w:line="360" w:lineRule="auto"/>
        <w:ind w:firstLine="646"/>
        <w:outlineLvl w:val="2"/>
        <w:rPr>
          <w:rFonts w:hint="eastAsia"/>
          <w:b/>
          <w:bCs/>
        </w:rPr>
      </w:pPr>
      <w:r>
        <w:rPr>
          <w:rFonts w:hint="eastAsia" w:ascii="Times New Roman" w:hAnsi="Times New Roman" w:cs="Times New Roman"/>
          <w:color w:val="000000"/>
          <w:kern w:val="0"/>
          <w:lang w:bidi="ar"/>
        </w:rPr>
        <w:t>3.</w:t>
      </w:r>
      <w:r>
        <w:rPr>
          <w:rFonts w:hint="eastAsia" w:ascii="Times New Roman" w:hAnsi="Times New Roman" w:cs="Times New Roman"/>
          <w:b/>
          <w:bCs/>
          <w:color w:val="000000"/>
          <w:kern w:val="0"/>
          <w:lang w:bidi="ar"/>
        </w:rPr>
        <w:t>推动</w:t>
      </w:r>
      <w:r>
        <w:rPr>
          <w:rFonts w:hint="eastAsia"/>
          <w:b/>
          <w:bCs/>
        </w:rPr>
        <w:t>客运行业改革创新。</w:t>
      </w:r>
    </w:p>
    <w:p w14:paraId="460782A1">
      <w:pPr>
        <w:ind w:firstLine="643" w:firstLineChars="200"/>
        <w:rPr>
          <w:rFonts w:hint="eastAsia"/>
          <w:b/>
          <w:bCs/>
        </w:rPr>
      </w:pPr>
      <w:bookmarkStart w:id="124" w:name="_Hlk215930348"/>
      <w:r>
        <w:rPr>
          <w:rFonts w:hint="eastAsia"/>
          <w:b/>
          <w:bCs/>
        </w:rPr>
        <w:t>探索灵活多样的出行服务产品</w:t>
      </w:r>
      <w:r>
        <w:rPr>
          <w:rFonts w:hint="eastAsia"/>
        </w:rPr>
        <w:t>。以市场化方式推动定制公交、互联网包车、定制客运融合发展。</w:t>
      </w:r>
      <w:r>
        <w:rPr>
          <w:shd w:val="clear" w:color="auto" w:fill="FFFFFF"/>
        </w:rPr>
        <w:t>引导有</w:t>
      </w:r>
      <w:r>
        <w:rPr>
          <w:rFonts w:hint="eastAsia"/>
          <w:shd w:val="clear" w:color="auto" w:fill="FFFFFF"/>
        </w:rPr>
        <w:t>发展</w:t>
      </w:r>
      <w:r>
        <w:rPr>
          <w:shd w:val="clear" w:color="auto" w:fill="FFFFFF"/>
        </w:rPr>
        <w:t>潜力、有发展意向的头部互联网企业参与</w:t>
      </w:r>
      <w:r>
        <w:rPr>
          <w:rFonts w:hint="eastAsia"/>
          <w:shd w:val="clear" w:color="auto" w:fill="FFFFFF"/>
        </w:rPr>
        <w:t>“</w:t>
      </w:r>
      <w:r>
        <w:rPr>
          <w:shd w:val="clear" w:color="auto" w:fill="FFFFFF"/>
        </w:rPr>
        <w:t>客运</w:t>
      </w:r>
      <w:r>
        <w:rPr>
          <w:rFonts w:hint="eastAsia"/>
          <w:shd w:val="clear" w:color="auto" w:fill="FFFFFF"/>
        </w:rPr>
        <w:t>+旅游”</w:t>
      </w:r>
      <w:r>
        <w:rPr>
          <w:shd w:val="clear" w:color="auto" w:fill="FFFFFF"/>
        </w:rPr>
        <w:t>经营</w:t>
      </w:r>
      <w:r>
        <w:rPr>
          <w:rFonts w:hint="eastAsia"/>
          <w:shd w:val="clear" w:color="auto" w:fill="FFFFFF"/>
        </w:rPr>
        <w:t>，</w:t>
      </w:r>
      <w:r>
        <w:rPr>
          <w:shd w:val="clear" w:color="auto" w:fill="FFFFFF"/>
        </w:rPr>
        <w:t>推动</w:t>
      </w:r>
      <w:r>
        <w:rPr>
          <w:rFonts w:hint="eastAsia"/>
          <w:shd w:val="clear" w:color="auto" w:fill="FFFFFF"/>
        </w:rPr>
        <w:t>形成“高铁至</w:t>
      </w:r>
      <w:bookmarkStart w:id="125" w:name="OLE_LINK35"/>
      <w:r>
        <w:rPr>
          <w:rFonts w:hint="eastAsia"/>
          <w:shd w:val="clear" w:color="auto" w:fill="FFFFFF"/>
        </w:rPr>
        <w:t>丹霞山</w:t>
      </w:r>
      <w:bookmarkEnd w:id="125"/>
      <w:r>
        <w:rPr>
          <w:rFonts w:hint="eastAsia"/>
          <w:shd w:val="clear" w:color="auto" w:fill="FFFFFF"/>
        </w:rPr>
        <w:t>旅游专线+丹霞山旅游公交”的旅游接驳专线。</w:t>
      </w:r>
    </w:p>
    <w:p w14:paraId="292B24D2">
      <w:pPr>
        <w:spacing w:line="360" w:lineRule="auto"/>
        <w:ind w:firstLine="645"/>
        <w:rPr>
          <w:rFonts w:hint="eastAsia"/>
        </w:rPr>
      </w:pPr>
      <w:r>
        <w:rPr>
          <w:rFonts w:hint="eastAsia"/>
          <w:b/>
          <w:bCs/>
        </w:rPr>
        <w:t>推进“客运公交化”“公交客运化”发展。</w:t>
      </w:r>
      <w:r>
        <w:rPr>
          <w:rFonts w:hint="eastAsia"/>
        </w:rPr>
        <w:t>打造客运、公交出行一体化运营模式，推动将具备跨市通勤特征的定制客运、互联网包车纳入定制公交范畴融合发展，实现“客运公交化”运营；将不具备通勤特征的跨市定制公交纳入互联网客运范畴融合发展，实现“公交客运化”运营。</w:t>
      </w:r>
      <w:r>
        <w:rPr>
          <w:rFonts w:hint="eastAsia" w:ascii="Times New Roman" w:hAnsi="Times New Roman" w:cs="Times New Roman"/>
          <w:color w:val="000000"/>
          <w:kern w:val="0"/>
          <w:lang w:bidi="ar"/>
        </w:rPr>
        <w:t>支持客运车型小型化发展。</w:t>
      </w:r>
    </w:p>
    <w:bookmarkEnd w:id="124"/>
    <w:p w14:paraId="773046F4">
      <w:pPr>
        <w:ind w:firstLine="643" w:firstLineChars="200"/>
        <w:rPr>
          <w:rFonts w:hint="eastAsia"/>
          <w:shd w:val="clear" w:color="auto" w:fill="FFFFFF"/>
        </w:rPr>
      </w:pPr>
      <w:r>
        <w:rPr>
          <w:rFonts w:hint="eastAsia"/>
          <w:b/>
          <w:bCs/>
          <w:shd w:val="clear" w:color="auto" w:fill="FFFFFF"/>
        </w:rPr>
        <w:t>推进“班包”融合发展。</w:t>
      </w:r>
      <w:r>
        <w:rPr>
          <w:rFonts w:hint="eastAsia"/>
          <w:shd w:val="clear" w:color="auto" w:fill="FFFFFF"/>
        </w:rPr>
        <w:t>申请纳入省班车包车融合改革试点</w:t>
      </w:r>
      <w:r>
        <w:rPr>
          <w:rStyle w:val="32"/>
          <w:rFonts w:hint="eastAsia"/>
          <w:shd w:val="clear" w:color="auto" w:fill="FFFFFF"/>
        </w:rPr>
        <w:footnoteReference w:id="2"/>
      </w:r>
      <w:r>
        <w:rPr>
          <w:rFonts w:hint="eastAsia"/>
          <w:shd w:val="clear" w:color="auto" w:fill="FFFFFF"/>
        </w:rPr>
        <w:t>，通过</w:t>
      </w:r>
      <w:r>
        <w:rPr>
          <w:shd w:val="clear" w:color="auto" w:fill="FFFFFF"/>
        </w:rPr>
        <w:t>客运标志牌跨原类别或跨范围使用，</w:t>
      </w:r>
      <w:r>
        <w:rPr>
          <w:rFonts w:hint="eastAsia"/>
          <w:shd w:val="clear" w:color="auto" w:fill="FFFFFF"/>
        </w:rPr>
        <w:t>盘活运力资源，激活</w:t>
      </w:r>
      <w:r>
        <w:rPr>
          <w:shd w:val="clear" w:color="auto" w:fill="FFFFFF"/>
        </w:rPr>
        <w:t>企业包转班需求，提升运输市场活力。</w:t>
      </w:r>
    </w:p>
    <w:p w14:paraId="121F0776">
      <w:pPr>
        <w:spacing w:line="360" w:lineRule="auto"/>
        <w:ind w:firstLine="645"/>
        <w:rPr>
          <w:rFonts w:ascii="Times New Roman" w:hAnsi="Times New Roman" w:cs="Times New Roman"/>
          <w:color w:val="000000"/>
          <w:kern w:val="0"/>
          <w:lang w:bidi="ar"/>
        </w:rPr>
      </w:pPr>
      <w:bookmarkStart w:id="126" w:name="OLE_LINK111"/>
      <w:r>
        <w:rPr>
          <w:rFonts w:hint="eastAsia"/>
          <w:b/>
          <w:bCs/>
          <w:shd w:val="clear" w:color="auto" w:fill="FFFFFF"/>
        </w:rPr>
        <w:t>挖掘存量公路客运站场价值</w:t>
      </w:r>
      <w:bookmarkEnd w:id="126"/>
      <w:r>
        <w:rPr>
          <w:rFonts w:hint="eastAsia"/>
          <w:shd w:val="clear" w:color="auto" w:fill="FFFFFF"/>
        </w:rPr>
        <w:t>。</w:t>
      </w:r>
      <w:bookmarkStart w:id="127" w:name="OLE_LINK112"/>
      <w:r>
        <w:rPr>
          <w:rFonts w:hint="eastAsia"/>
          <w:shd w:val="clear" w:color="auto" w:fill="FFFFFF"/>
        </w:rPr>
        <w:t>原则上规划一个县级城区保留一个公路客运站。</w:t>
      </w:r>
      <w:bookmarkEnd w:id="127"/>
      <w:r>
        <w:rPr>
          <w:rFonts w:hint="eastAsia"/>
        </w:rPr>
        <w:t xml:space="preserve">鼓励在保留客运服务基本功能的基础上，建设充换电设施， </w:t>
      </w:r>
      <w:bookmarkStart w:id="128" w:name="OLE_LINK117"/>
      <w:r>
        <w:rPr>
          <w:rFonts w:hint="eastAsia"/>
        </w:rPr>
        <w:t>拓展</w:t>
      </w:r>
      <w:bookmarkEnd w:id="128"/>
      <w:r>
        <w:rPr>
          <w:rFonts w:hint="eastAsia"/>
        </w:rPr>
        <w:t>旅游咨询、旅客集散、公交首末站、货物邮件仓储分拣、汽车销售、商品展销等</w:t>
      </w:r>
      <w:bookmarkStart w:id="129" w:name="OLE_LINK119"/>
      <w:r>
        <w:rPr>
          <w:rFonts w:hint="eastAsia"/>
        </w:rPr>
        <w:t>服务</w:t>
      </w:r>
      <w:bookmarkEnd w:id="129"/>
      <w:r>
        <w:rPr>
          <w:rFonts w:hint="eastAsia"/>
        </w:rPr>
        <w:t>，盘活站场资源。</w:t>
      </w:r>
      <w:bookmarkStart w:id="130" w:name="OLE_LINK116"/>
      <w:r>
        <w:rPr>
          <w:rFonts w:hint="eastAsia"/>
        </w:rPr>
        <w:t>研究腾退或降级其他闲置客运站场，规划调整为公交场站或停车场。</w:t>
      </w:r>
      <w:bookmarkEnd w:id="130"/>
      <w:r>
        <w:rPr>
          <w:rFonts w:hint="eastAsia"/>
        </w:rPr>
        <w:t>研究客运站土地资源在公共交通领域的重新分配和再利用。推动道路客运场站与城市公交场站开放共享共用。</w:t>
      </w:r>
    </w:p>
    <w:bookmarkEnd w:id="117"/>
    <w:bookmarkEnd w:id="118"/>
    <w:bookmarkEnd w:id="120"/>
    <w:bookmarkEnd w:id="121"/>
    <w:p w14:paraId="4B6E076B">
      <w:pPr>
        <w:pStyle w:val="3"/>
        <w:keepNext w:val="0"/>
        <w:keepLines w:val="0"/>
        <w:spacing w:before="0" w:after="0" w:line="360" w:lineRule="auto"/>
        <w:ind w:firstLine="643" w:firstLineChars="200"/>
        <w:rPr>
          <w:rFonts w:hint="eastAsia" w:ascii="仿宋" w:hAnsi="仿宋" w:eastAsia="仿宋"/>
          <w:b/>
          <w:bCs/>
          <w:color w:val="auto"/>
          <w:sz w:val="32"/>
        </w:rPr>
      </w:pPr>
      <w:bookmarkStart w:id="131" w:name="_Toc236065649"/>
      <w:r>
        <w:rPr>
          <w:rFonts w:hint="eastAsia" w:ascii="仿宋" w:hAnsi="仿宋" w:eastAsia="仿宋"/>
          <w:b/>
          <w:bCs/>
          <w:color w:val="auto"/>
          <w:sz w:val="32"/>
        </w:rPr>
        <w:t>（二）</w:t>
      </w:r>
      <w:bookmarkStart w:id="132" w:name="OLE_LINK102"/>
      <w:r>
        <w:rPr>
          <w:rFonts w:hint="eastAsia" w:ascii="仿宋" w:hAnsi="仿宋" w:eastAsia="仿宋"/>
          <w:b/>
          <w:bCs/>
          <w:color w:val="auto"/>
          <w:sz w:val="32"/>
        </w:rPr>
        <w:t>加强交通物流降本增效</w:t>
      </w:r>
      <w:bookmarkEnd w:id="132"/>
      <w:r>
        <w:rPr>
          <w:rFonts w:hint="eastAsia" w:ascii="仿宋" w:hAnsi="仿宋" w:eastAsia="仿宋"/>
          <w:b/>
          <w:bCs/>
          <w:color w:val="auto"/>
          <w:sz w:val="32"/>
        </w:rPr>
        <w:t>。</w:t>
      </w:r>
      <w:bookmarkEnd w:id="112"/>
      <w:bookmarkEnd w:id="131"/>
    </w:p>
    <w:bookmarkEnd w:id="113"/>
    <w:p w14:paraId="571F6DA2">
      <w:pPr>
        <w:ind w:firstLine="643" w:firstLineChars="200"/>
        <w:outlineLvl w:val="2"/>
        <w:rPr>
          <w:rFonts w:hint="eastAsia"/>
          <w:b/>
          <w:bCs/>
        </w:rPr>
      </w:pPr>
      <w:bookmarkStart w:id="133" w:name="_Hlk215930294"/>
      <w:r>
        <w:rPr>
          <w:rFonts w:hint="eastAsia"/>
          <w:b/>
          <w:bCs/>
        </w:rPr>
        <w:t>1.加快运输结构调整与多式联运发展。</w:t>
      </w:r>
    </w:p>
    <w:p w14:paraId="6BBDD0EA">
      <w:pPr>
        <w:spacing w:line="360" w:lineRule="auto"/>
        <w:ind w:firstLine="645"/>
        <w:rPr>
          <w:rFonts w:hint="eastAsia"/>
        </w:rPr>
      </w:pPr>
      <w:r>
        <w:rPr>
          <w:rFonts w:hint="eastAsia"/>
          <w:b/>
          <w:bCs/>
        </w:rPr>
        <w:t>深化运输结构调整</w:t>
      </w:r>
      <w:r>
        <w:rPr>
          <w:rFonts w:hint="eastAsia"/>
        </w:rPr>
        <w:t>。</w:t>
      </w:r>
      <w:r>
        <w:rPr>
          <w:rFonts w:hint="eastAsia" w:ascii="Times New Roman"/>
          <w:lang w:bidi="ar"/>
        </w:rPr>
        <w:t>引导具备条件的工矿、粮食、钢材、煤炭等企业将货物“散改集”，逐步将大宗物资中长距离运输转向铁路、水路。</w:t>
      </w:r>
      <w:r>
        <w:rPr>
          <w:rFonts w:hint="eastAsia"/>
        </w:rPr>
        <w:t>组织开行大宗货物直达列车，推动重点企业大宗物资“公转铁”“公转水”。推动港口大宗物资绿色运输，提升韶关港大宗物资绿色疏运比例。</w:t>
      </w:r>
    </w:p>
    <w:p w14:paraId="6C04A4E1">
      <w:pPr>
        <w:pStyle w:val="62"/>
        <w:adjustRightInd w:val="0"/>
        <w:snapToGrid w:val="0"/>
        <w:spacing w:line="600" w:lineRule="exact"/>
        <w:ind w:firstLine="643"/>
        <w:contextualSpacing/>
        <w:rPr>
          <w:rFonts w:hint="eastAsia" w:hAnsi="仿宋_GB2312" w:cs="仿宋_GB2312"/>
          <w:szCs w:val="32"/>
          <w:shd w:val="clear" w:color="auto" w:fill="FFFFFF"/>
        </w:rPr>
      </w:pPr>
      <w:r>
        <w:rPr>
          <w:rFonts w:hint="eastAsia" w:ascii="Times New Roman"/>
          <w:b/>
          <w:bCs/>
          <w:lang w:bidi="ar"/>
        </w:rPr>
        <w:t>提升</w:t>
      </w:r>
      <w:r>
        <w:rPr>
          <w:rFonts w:hint="eastAsia"/>
          <w:b/>
          <w:bCs/>
        </w:rPr>
        <w:t>多式</w:t>
      </w:r>
      <w:r>
        <w:rPr>
          <w:rFonts w:hint="eastAsia" w:ascii="Times New Roman"/>
          <w:b/>
          <w:bCs/>
          <w:lang w:bidi="ar"/>
        </w:rPr>
        <w:t>联运效率</w:t>
      </w:r>
      <w:r>
        <w:rPr>
          <w:rFonts w:hint="eastAsia" w:ascii="Times New Roman"/>
          <w:b/>
          <w:bCs/>
          <w:color w:val="auto"/>
          <w:kern w:val="2"/>
          <w:szCs w:val="32"/>
          <w:lang w:bidi="ar"/>
        </w:rPr>
        <w:t>。</w:t>
      </w:r>
      <w:bookmarkEnd w:id="133"/>
      <w:r>
        <w:rPr>
          <w:rFonts w:hint="eastAsia" w:hAnsi="仿宋_GB2312"/>
          <w:shd w:val="clear" w:color="auto" w:fill="FFFFFF"/>
        </w:rPr>
        <w:t>提升</w:t>
      </w:r>
      <w:r>
        <w:rPr>
          <w:rFonts w:hint="eastAsia" w:hAnsi="仿宋_GB2312" w:cs="仿宋_GB2312"/>
          <w:szCs w:val="32"/>
          <w:shd w:val="clear" w:color="auto" w:fill="FFFFFF"/>
        </w:rPr>
        <w:t>北江沿线港口对大宗散货和集装箱的就近集拼能力，</w:t>
      </w:r>
      <w:r>
        <w:rPr>
          <w:rFonts w:hint="eastAsia" w:ascii="Times New Roman"/>
          <w:color w:val="auto"/>
          <w:kern w:val="2"/>
          <w:szCs w:val="32"/>
          <w:lang w:bidi="ar"/>
        </w:rPr>
        <w:t>在北江港区、武江港区等大力发展“枢纽集拼”业务，</w:t>
      </w:r>
      <w:r>
        <w:rPr>
          <w:rFonts w:hint="eastAsia" w:hAnsi="仿宋_GB2312" w:cs="仿宋_GB2312"/>
          <w:szCs w:val="32"/>
          <w:shd w:val="clear" w:color="auto" w:fill="FFFFFF"/>
        </w:rPr>
        <w:t>解决货源分散、集货半径过大等问题，</w:t>
      </w:r>
      <w:r>
        <w:rPr>
          <w:rFonts w:hint="eastAsia" w:ascii="Times New Roman"/>
          <w:color w:val="auto"/>
          <w:kern w:val="2"/>
          <w:szCs w:val="32"/>
          <w:lang w:bidi="ar"/>
        </w:rPr>
        <w:t>吸引粤湘赣区域的出口货物在韶集聚、分拨和拼箱</w:t>
      </w:r>
      <w:r>
        <w:rPr>
          <w:rFonts w:hint="eastAsia" w:hAnsi="仿宋_GB2312" w:cs="仿宋_GB2312"/>
          <w:szCs w:val="32"/>
          <w:shd w:val="clear" w:color="auto" w:fill="FFFFFF"/>
        </w:rPr>
        <w:t>。</w:t>
      </w:r>
      <w:r>
        <w:rPr>
          <w:rFonts w:hint="eastAsia" w:ascii="Times New Roman"/>
          <w:color w:val="auto"/>
          <w:kern w:val="2"/>
          <w:szCs w:val="32"/>
          <w:lang w:bidi="ar"/>
        </w:rPr>
        <w:t>协商推动铁路运输企业和港口企业</w:t>
      </w:r>
      <w:r>
        <w:rPr>
          <w:rFonts w:ascii="Times New Roman"/>
          <w:color w:val="auto"/>
          <w:kern w:val="2"/>
          <w:szCs w:val="32"/>
          <w:lang w:bidi="ar"/>
        </w:rPr>
        <w:t>减少铁路编组、货场码头装卸等环节和作业时间，优化班列、班轮运输组织</w:t>
      </w:r>
      <w:r>
        <w:rPr>
          <w:rFonts w:hint="eastAsia" w:ascii="Times New Roman"/>
          <w:color w:val="auto"/>
          <w:kern w:val="2"/>
          <w:szCs w:val="32"/>
          <w:lang w:bidi="ar"/>
        </w:rPr>
        <w:t>。</w:t>
      </w:r>
      <w:r>
        <w:rPr>
          <w:rFonts w:ascii="Times New Roman"/>
          <w:color w:val="auto"/>
          <w:kern w:val="2"/>
          <w:szCs w:val="32"/>
          <w:lang w:bidi="ar"/>
        </w:rPr>
        <w:t>推动港口优化作业流程，压缩货物堆存、转运时间。</w:t>
      </w:r>
      <w:bookmarkStart w:id="134" w:name="_Hlk232846905"/>
      <w:r>
        <w:rPr>
          <w:rFonts w:hint="eastAsia" w:ascii="Times New Roman"/>
          <w:color w:val="auto"/>
          <w:kern w:val="2"/>
          <w:szCs w:val="32"/>
          <w:lang w:bidi="ar"/>
        </w:rPr>
        <w:t>推广标准化托盘等装载单元。</w:t>
      </w:r>
      <w:bookmarkEnd w:id="134"/>
    </w:p>
    <w:p w14:paraId="09363FF5">
      <w:pPr>
        <w:pStyle w:val="62"/>
        <w:widowControl w:val="0"/>
        <w:snapToGrid w:val="0"/>
        <w:ind w:firstLine="643"/>
        <w:rPr>
          <w:rFonts w:hint="eastAsia" w:hAnsi="仿宋_GB2312" w:cs="仿宋_GB2312"/>
          <w:szCs w:val="32"/>
          <w:shd w:val="clear" w:color="auto" w:fill="FFFFFF"/>
        </w:rPr>
      </w:pPr>
      <w:bookmarkStart w:id="135" w:name="OLE_LINK22"/>
      <w:r>
        <w:rPr>
          <w:rFonts w:hint="eastAsia"/>
          <w:b/>
          <w:bCs/>
        </w:rPr>
        <w:t>创新多式联运模式。</w:t>
      </w:r>
      <w:r>
        <w:rPr>
          <w:rFonts w:hint="eastAsia"/>
        </w:rPr>
        <w:t>支持韶关港主要作业区</w:t>
      </w:r>
      <w:bookmarkStart w:id="136" w:name="OLE_LINK185"/>
      <w:r>
        <w:rPr>
          <w:rFonts w:hint="eastAsia"/>
        </w:rPr>
        <w:t>探索推进“船边直提”和“抵港直装”模式，鼓励应用“预渡柜”等模式提升联运效率，加快“一单制”“一箱制”发展，</w:t>
      </w:r>
      <w:bookmarkEnd w:id="136"/>
      <w:r>
        <w:rPr>
          <w:rFonts w:hint="eastAsia"/>
        </w:rPr>
        <w:t>拓展韶关港联运辐射范围。</w:t>
      </w:r>
      <w:r>
        <w:rPr>
          <w:rFonts w:hint="eastAsia" w:hAnsi="仿宋_GB2312" w:cs="仿宋_GB2312"/>
          <w:szCs w:val="32"/>
          <w:shd w:val="clear" w:color="auto" w:fill="FFFFFF"/>
        </w:rPr>
        <w:t>深化与广州港、深圳港合作，建立“韶关港—沿海港口”江海联运协作机制，实现“一次报关、一次查验、一次放行”，将韶关港打造为大湾区港口群的内陆喂给港。</w:t>
      </w:r>
    </w:p>
    <w:p w14:paraId="014042FE">
      <w:pPr>
        <w:ind w:firstLine="643" w:firstLineChars="200"/>
        <w:outlineLvl w:val="2"/>
        <w:rPr>
          <w:rFonts w:hint="eastAsia"/>
          <w:b/>
          <w:bCs/>
        </w:rPr>
      </w:pPr>
      <w:r>
        <w:rPr>
          <w:rFonts w:hint="eastAsia"/>
          <w:b/>
          <w:bCs/>
        </w:rPr>
        <w:t>2.</w:t>
      </w:r>
      <w:bookmarkStart w:id="137" w:name="_Hlk215930306"/>
      <w:r>
        <w:rPr>
          <w:rFonts w:hint="eastAsia" w:ascii="Times New Roman"/>
          <w:b/>
          <w:bCs/>
          <w:lang w:bidi="ar"/>
        </w:rPr>
        <w:t>用好存量铁路货运能力资源</w:t>
      </w:r>
      <w:bookmarkEnd w:id="137"/>
      <w:r>
        <w:rPr>
          <w:rFonts w:hint="eastAsia" w:ascii="Times New Roman"/>
          <w:b/>
          <w:bCs/>
          <w:lang w:bidi="ar"/>
        </w:rPr>
        <w:t>。</w:t>
      </w:r>
    </w:p>
    <w:p w14:paraId="1956CB77">
      <w:pPr>
        <w:pStyle w:val="62"/>
        <w:widowControl w:val="0"/>
        <w:snapToGrid w:val="0"/>
        <w:ind w:firstLine="640"/>
        <w:rPr>
          <w:lang w:bidi="ar"/>
        </w:rPr>
      </w:pPr>
      <w:bookmarkStart w:id="138" w:name="OLE_LINK171"/>
      <w:r>
        <w:rPr>
          <w:rFonts w:hint="eastAsia"/>
        </w:rPr>
        <w:t>推进韶关高铁客运枢纽适货改造，协商铁路运输企业开展韶关高铁快运，推动公铁联运发展</w:t>
      </w:r>
      <w:bookmarkEnd w:id="138"/>
      <w:r>
        <w:rPr>
          <w:rFonts w:hint="eastAsia"/>
        </w:rPr>
        <w:t>。</w:t>
      </w:r>
      <w:bookmarkEnd w:id="135"/>
    </w:p>
    <w:p w14:paraId="31C848C2">
      <w:pPr>
        <w:pStyle w:val="62"/>
        <w:adjustRightInd w:val="0"/>
        <w:snapToGrid w:val="0"/>
        <w:spacing w:line="600" w:lineRule="exact"/>
        <w:ind w:firstLine="640"/>
        <w:contextualSpacing/>
        <w:rPr>
          <w:rFonts w:ascii="Times New Roman"/>
          <w:lang w:bidi="ar"/>
        </w:rPr>
      </w:pPr>
      <w:r>
        <w:rPr>
          <w:rFonts w:hint="eastAsia" w:ascii="Times New Roman"/>
          <w:color w:val="auto"/>
          <w:kern w:val="2"/>
          <w:szCs w:val="32"/>
          <w:lang w:bidi="ar"/>
        </w:rPr>
        <w:t>推动韶赣铁路增运上量，加强与重点能源企业对接合作，推行铁路物流总包业务</w:t>
      </w:r>
      <w:r>
        <w:rPr>
          <w:rStyle w:val="32"/>
          <w:rFonts w:ascii="Times New Roman"/>
          <w:color w:val="auto"/>
          <w:kern w:val="2"/>
          <w:szCs w:val="32"/>
          <w:lang w:bidi="ar"/>
        </w:rPr>
        <w:footnoteReference w:id="3"/>
      </w:r>
      <w:r>
        <w:rPr>
          <w:rFonts w:hint="eastAsia" w:ascii="Times New Roman"/>
          <w:color w:val="auto"/>
          <w:kern w:val="2"/>
          <w:szCs w:val="32"/>
          <w:lang w:bidi="ar"/>
        </w:rPr>
        <w:t>、“合同制”物流业务，</w:t>
      </w:r>
      <w:r>
        <w:rPr>
          <w:rFonts w:hint="eastAsia" w:ascii="Times New Roman"/>
          <w:lang w:bidi="ar"/>
        </w:rPr>
        <w:t>实施阶段性运量、运力、运价互保机制（淡季共同应对市场，旺季给予企业一定程度的运力、运价回馈），促进路企共赢。</w:t>
      </w:r>
    </w:p>
    <w:p w14:paraId="6B9C061D">
      <w:pPr>
        <w:pStyle w:val="62"/>
        <w:adjustRightInd w:val="0"/>
        <w:snapToGrid w:val="0"/>
        <w:spacing w:line="600" w:lineRule="exact"/>
        <w:ind w:firstLine="640"/>
        <w:contextualSpacing/>
        <w:rPr>
          <w:rFonts w:ascii="Times New Roman"/>
          <w:lang w:bidi="ar"/>
        </w:rPr>
      </w:pPr>
      <w:r>
        <w:rPr>
          <w:rFonts w:hint="eastAsia" w:ascii="Times New Roman"/>
          <w:lang w:bidi="ar"/>
        </w:rPr>
        <w:t>推动铁路专用线启复用上量，聚焦韶关市较大规模的闲置铁路专用线，全覆盖摸排线路闲置原因，针对韶关市内</w:t>
      </w:r>
      <w:r>
        <w:rPr>
          <w:rFonts w:hint="eastAsia" w:ascii="Times New Roman"/>
          <w:color w:val="auto"/>
          <w:kern w:val="2"/>
          <w:szCs w:val="32"/>
          <w:lang w:bidi="ar"/>
        </w:rPr>
        <w:t>大型工矿企业，</w:t>
      </w:r>
      <w:r>
        <w:rPr>
          <w:rFonts w:hint="eastAsia" w:ascii="Times New Roman"/>
          <w:lang w:bidi="ar"/>
        </w:rPr>
        <w:t>开发有潜在发运意向的客户，积极宣讲铁路运费下浮优惠政策。完善复用的铁路专用线的设备整治及手续办理，确保闲置铁路专用线正常使用，提高闲置资产利用价值。</w:t>
      </w:r>
    </w:p>
    <w:p w14:paraId="5BA3819B">
      <w:pPr>
        <w:ind w:firstLine="643" w:firstLineChars="200"/>
        <w:outlineLvl w:val="2"/>
        <w:rPr>
          <w:rFonts w:hint="eastAsia"/>
          <w:b/>
          <w:bCs/>
        </w:rPr>
      </w:pPr>
      <w:bookmarkStart w:id="139" w:name="OLE_LINK37"/>
      <w:r>
        <w:rPr>
          <w:rFonts w:hint="eastAsia"/>
          <w:b/>
          <w:bCs/>
        </w:rPr>
        <w:t>3.加强集约化专业化物流建设</w:t>
      </w:r>
      <w:r>
        <w:rPr>
          <w:rFonts w:hint="eastAsia" w:ascii="Times New Roman"/>
          <w:b/>
          <w:bCs/>
          <w:lang w:bidi="ar"/>
        </w:rPr>
        <w:t>。</w:t>
      </w:r>
    </w:p>
    <w:p w14:paraId="2AAFEB4E">
      <w:pPr>
        <w:spacing w:line="360" w:lineRule="auto"/>
        <w:ind w:firstLine="645"/>
        <w:rPr>
          <w:rFonts w:hint="eastAsia"/>
          <w:lang w:bidi="ar"/>
        </w:rPr>
      </w:pPr>
      <w:r>
        <w:rPr>
          <w:rFonts w:hint="eastAsia"/>
          <w:b/>
          <w:bCs/>
        </w:rPr>
        <w:t>培育韶关本地现代物流龙头企业</w:t>
      </w:r>
      <w:r>
        <w:rPr>
          <w:rFonts w:hint="eastAsia"/>
        </w:rPr>
        <w:t>。鼓励港航企业通过兼并、重组、入股等方式进行资源优化整合，参与国际联运、跨境物流等投资运营，提升资源配置能力。研究出台优惠政策，吸引大湾区龙头物流企业落户韶关。</w:t>
      </w:r>
    </w:p>
    <w:p w14:paraId="39E2DA91">
      <w:pPr>
        <w:pStyle w:val="62"/>
        <w:widowControl w:val="0"/>
        <w:snapToGrid w:val="0"/>
        <w:ind w:firstLine="643"/>
        <w:rPr>
          <w:rFonts w:hint="eastAsia" w:ascii="仿宋" w:hAnsi="仿宋" w:cs="仿宋"/>
          <w:b/>
          <w:bCs/>
        </w:rPr>
      </w:pPr>
      <w:r>
        <w:rPr>
          <w:rFonts w:hint="eastAsia"/>
          <w:b/>
          <w:bCs/>
        </w:rPr>
        <w:t>完善专业化物流节点布局。</w:t>
      </w:r>
      <w:r>
        <w:rPr>
          <w:rFonts w:hint="eastAsia" w:ascii="仿宋" w:cs="仿宋"/>
        </w:rPr>
        <w:t>积极</w:t>
      </w:r>
      <w:r>
        <w:rPr>
          <w:rFonts w:hint="eastAsia"/>
        </w:rPr>
        <w:t>引进专业物流、快递龙头企业在韶关设置</w:t>
      </w:r>
      <w:r>
        <w:rPr>
          <w:rFonts w:hint="eastAsia"/>
          <w:szCs w:val="32"/>
        </w:rPr>
        <w:t>分拨中心</w:t>
      </w:r>
      <w:r>
        <w:rPr>
          <w:rFonts w:hint="eastAsia"/>
        </w:rPr>
        <w:t>，形成粤北</w:t>
      </w:r>
      <w:r>
        <w:rPr>
          <w:rFonts w:hint="eastAsia"/>
          <w:szCs w:val="32"/>
        </w:rPr>
        <w:t>地区的中转功能。研究</w:t>
      </w:r>
      <w:r>
        <w:rPr>
          <w:rFonts w:ascii="Times New Roman"/>
          <w:lang w:bidi="ar"/>
        </w:rPr>
        <w:t>依托高速公路服务区打造高速公路物流骨干节点网络</w:t>
      </w:r>
      <w:r>
        <w:rPr>
          <w:rFonts w:hint="eastAsia" w:ascii="Times New Roman"/>
          <w:lang w:bidi="ar"/>
        </w:rPr>
        <w:t>，鼓励</w:t>
      </w:r>
      <w:r>
        <w:rPr>
          <w:rFonts w:hint="eastAsia" w:ascii="Times New Roman"/>
          <w:lang w:eastAsia="zh" w:bidi="ar"/>
        </w:rPr>
        <w:t>物流企业</w:t>
      </w:r>
      <w:r>
        <w:rPr>
          <w:rFonts w:ascii="Times New Roman"/>
          <w:lang w:bidi="ar"/>
        </w:rPr>
        <w:t>建设物流服务型高速公路</w:t>
      </w:r>
      <w:r>
        <w:rPr>
          <w:rFonts w:hint="eastAsia"/>
          <w:lang w:bidi="ar"/>
        </w:rPr>
        <w:t>服务区。</w:t>
      </w:r>
    </w:p>
    <w:p w14:paraId="4EE7AE3D">
      <w:pPr>
        <w:pStyle w:val="62"/>
        <w:adjustRightInd w:val="0"/>
        <w:snapToGrid w:val="0"/>
        <w:spacing w:line="600" w:lineRule="exact"/>
        <w:ind w:firstLine="643"/>
        <w:contextualSpacing/>
        <w:rPr>
          <w:color w:val="auto"/>
          <w:kern w:val="2"/>
          <w:szCs w:val="32"/>
          <w:lang w:bidi="ar"/>
        </w:rPr>
      </w:pPr>
      <w:r>
        <w:rPr>
          <w:rFonts w:hint="eastAsia" w:ascii="仿宋" w:hAnsi="仿宋" w:cs="仿宋"/>
          <w:b/>
          <w:bCs/>
        </w:rPr>
        <w:t>大力发展冷链物流。</w:t>
      </w:r>
      <w:r>
        <w:rPr>
          <w:rFonts w:hint="eastAsia"/>
        </w:rPr>
        <w:t>加快韶关农产品冷链运输基础设施升级改造，</w:t>
      </w:r>
      <w:r>
        <w:rPr>
          <w:rFonts w:hint="eastAsia"/>
          <w:color w:val="auto"/>
          <w:kern w:val="2"/>
          <w:szCs w:val="32"/>
          <w:lang w:bidi="ar"/>
        </w:rPr>
        <w:t>优化冷链物流基础设施骨干网，完善浈江农产品冷链物流园、曲江农产品冷链物流中心周边路网，培育以广东亚北农副品有限公司、广东雪印集团有限公司等为代表的冷链物流企业，开展集种植养殖、分拣加工、冷链仓储、配送等功能的冷链全链条服务。</w:t>
      </w:r>
    </w:p>
    <w:p w14:paraId="29143187">
      <w:pPr>
        <w:pStyle w:val="62"/>
        <w:adjustRightInd w:val="0"/>
        <w:snapToGrid w:val="0"/>
        <w:spacing w:line="600" w:lineRule="exact"/>
        <w:ind w:firstLine="640"/>
        <w:contextualSpacing/>
        <w:outlineLvl w:val="2"/>
        <w:rPr>
          <w:color w:val="auto"/>
          <w:kern w:val="2"/>
          <w:szCs w:val="32"/>
          <w:lang w:bidi="ar"/>
        </w:rPr>
      </w:pPr>
      <w:r>
        <w:rPr>
          <w:rFonts w:hint="eastAsia"/>
          <w:color w:val="auto"/>
          <w:kern w:val="2"/>
          <w:szCs w:val="32"/>
          <w:lang w:bidi="ar"/>
        </w:rPr>
        <w:t>4.</w:t>
      </w:r>
      <w:r>
        <w:rPr>
          <w:rFonts w:hint="eastAsia" w:hAnsi="仿宋" w:cs="仿宋_GB2312"/>
          <w:b/>
          <w:bCs/>
          <w:szCs w:val="32"/>
        </w:rPr>
        <w:t>提升城乡物流一体化发展水平</w:t>
      </w:r>
    </w:p>
    <w:bookmarkEnd w:id="139"/>
    <w:p w14:paraId="06BCD9F2">
      <w:pPr>
        <w:pStyle w:val="62"/>
        <w:widowControl w:val="0"/>
        <w:snapToGrid w:val="0"/>
        <w:ind w:firstLine="643"/>
        <w:rPr>
          <w:rFonts w:hint="eastAsia" w:hAnsi="仿宋_GB2312" w:cs="仿宋_GB2312"/>
          <w:szCs w:val="32"/>
          <w:shd w:val="clear" w:color="auto" w:fill="FFFFFF"/>
        </w:rPr>
      </w:pPr>
      <w:bookmarkStart w:id="140" w:name="OLE_LINK39"/>
      <w:r>
        <w:rPr>
          <w:rFonts w:hint="eastAsia"/>
          <w:b/>
          <w:bCs/>
          <w:lang w:bidi="ar"/>
        </w:rPr>
        <w:t>推进城市绿色货运配送发展。</w:t>
      </w:r>
      <w:r>
        <w:rPr>
          <w:rFonts w:ascii="Times New Roman"/>
        </w:rPr>
        <w:t>依托东环线商贸带打造具有城市配送功能的物流集中发展区</w:t>
      </w:r>
      <w:r>
        <w:rPr>
          <w:rFonts w:hint="eastAsia" w:ascii="Times New Roman"/>
        </w:rPr>
        <w:t>。</w:t>
      </w:r>
      <w:r>
        <w:rPr>
          <w:rFonts w:hint="eastAsia"/>
          <w:lang w:bidi="ar"/>
        </w:rPr>
        <w:t>鼓励利用公路客运站、公交首末站等拓展快递物流、城市配送等服务。</w:t>
      </w:r>
      <w:r>
        <w:rPr>
          <w:rFonts w:hint="eastAsia" w:hAnsi="微软雅黑"/>
          <w:color w:val="333333"/>
          <w:shd w:val="clear" w:color="auto" w:fill="FFFFFF"/>
        </w:rPr>
        <w:t>推动公交企业与快递龙头企业合作，推进人力资源共享、公交运力复用、场站融合升级等方面合作，探索构建“公交+物流+生态”布局，盘活道路客运、城市公交闲置资源。</w:t>
      </w:r>
      <w:r>
        <w:rPr>
          <w:rFonts w:hint="eastAsia"/>
          <w:lang w:bidi="ar"/>
        </w:rPr>
        <w:t>推动城市物流配送向乡村延伸拓展。</w:t>
      </w:r>
    </w:p>
    <w:bookmarkEnd w:id="140"/>
    <w:p w14:paraId="1601BA7C">
      <w:pPr>
        <w:pStyle w:val="62"/>
        <w:adjustRightInd w:val="0"/>
        <w:snapToGrid w:val="0"/>
        <w:spacing w:line="600" w:lineRule="exact"/>
        <w:ind w:firstLine="643"/>
        <w:rPr>
          <w:color w:val="auto"/>
          <w:kern w:val="2"/>
          <w:szCs w:val="32"/>
          <w:lang w:bidi="ar"/>
        </w:rPr>
      </w:pPr>
      <w:bookmarkStart w:id="141" w:name="OLE_LINK41"/>
      <w:r>
        <w:rPr>
          <w:rFonts w:hint="eastAsia"/>
          <w:b/>
          <w:bCs/>
          <w:color w:val="auto"/>
          <w:kern w:val="2"/>
          <w:szCs w:val="32"/>
          <w:lang w:bidi="ar"/>
        </w:rPr>
        <w:t>推进农村三级交通物流节点建设。</w:t>
      </w:r>
      <w:r>
        <w:rPr>
          <w:rFonts w:hint="eastAsia"/>
          <w:color w:val="auto"/>
          <w:kern w:val="2"/>
          <w:szCs w:val="32"/>
          <w:lang w:bidi="ar"/>
        </w:rPr>
        <w:t>加快推进“快递进村”，推动实现寄递物流“村村通”全覆盖。完善农村寄递物流体系，促进无人物流配送车、无人机、智能快件箱等新质生产力应用，实现村级服务站覆盖率达100%。</w:t>
      </w:r>
    </w:p>
    <w:bookmarkEnd w:id="141"/>
    <w:p w14:paraId="5B5BE8E8">
      <w:pPr>
        <w:pStyle w:val="62"/>
        <w:widowControl w:val="0"/>
        <w:adjustRightInd w:val="0"/>
        <w:snapToGrid w:val="0"/>
        <w:spacing w:line="600" w:lineRule="exact"/>
        <w:ind w:firstLine="643"/>
      </w:pPr>
      <w:bookmarkStart w:id="142" w:name="_Hlk215930322"/>
      <w:bookmarkStart w:id="143" w:name="OLE_LINK51"/>
      <w:r>
        <w:rPr>
          <w:rFonts w:hint="eastAsia"/>
          <w:b/>
          <w:bCs/>
        </w:rPr>
        <w:t>推动客货邮融合可持续发展</w:t>
      </w:r>
      <w:bookmarkEnd w:id="142"/>
      <w:r>
        <w:rPr>
          <w:rFonts w:hint="eastAsia"/>
          <w:b/>
          <w:bCs/>
        </w:rPr>
        <w:t>。</w:t>
      </w:r>
      <w:r>
        <w:rPr>
          <w:rFonts w:hint="eastAsia"/>
        </w:rPr>
        <w:t>具备条件的县（市、区）逐步实现农村客货邮融合发展全覆盖。建设好南雄市省首批农村客货邮融合发展试点县，</w:t>
      </w:r>
      <w:r>
        <w:rPr>
          <w:rFonts w:ascii="Times New Roman"/>
          <w:color w:val="auto"/>
          <w:kern w:val="2"/>
          <w:szCs w:val="32"/>
          <w:lang w:bidi="ar"/>
        </w:rPr>
        <w:t>打造农村客货邮融合发展样板县</w:t>
      </w:r>
      <w:r>
        <w:rPr>
          <w:rFonts w:hint="eastAsia" w:ascii="Times New Roman"/>
          <w:color w:val="auto"/>
          <w:kern w:val="2"/>
          <w:szCs w:val="32"/>
          <w:lang w:bidi="ar"/>
        </w:rPr>
        <w:t>、</w:t>
      </w:r>
      <w:r>
        <w:rPr>
          <w:rFonts w:ascii="Times New Roman"/>
          <w:color w:val="auto"/>
          <w:kern w:val="2"/>
          <w:szCs w:val="32"/>
          <w:lang w:bidi="ar"/>
        </w:rPr>
        <w:t>农村物流服务品牌</w:t>
      </w:r>
      <w:r>
        <w:rPr>
          <w:rFonts w:hint="eastAsia" w:ascii="Times New Roman"/>
          <w:lang w:bidi="ar"/>
        </w:rPr>
        <w:t>，</w:t>
      </w:r>
      <w:r>
        <w:rPr>
          <w:rFonts w:hint="eastAsia"/>
        </w:rPr>
        <w:t>鼓励其他市县积极申报试点。</w:t>
      </w:r>
      <w:r>
        <w:rPr>
          <w:rFonts w:hint="eastAsia" w:ascii="Times New Roman"/>
          <w:color w:val="auto"/>
          <w:kern w:val="2"/>
          <w:szCs w:val="32"/>
          <w:lang w:bidi="ar"/>
        </w:rPr>
        <w:t>有条件的地区打造客货邮无人值守综合智慧驿站。</w:t>
      </w:r>
      <w:r>
        <w:rPr>
          <w:rFonts w:hint="eastAsia"/>
        </w:rPr>
        <w:t>持续优化“客货邮＋”融合发展模式，引导和支持相关电商、农特产品企业入驻交通运输场站，统筹解决农村地区群众出行、物流配送、寄递服务三个“最后一公里”难题。结合韶关各地特色农产品、特色村落、特色民宿，探索“客货邮＋民宿、电商直播”“三员合一”等融合发展模式。</w:t>
      </w:r>
      <w:bookmarkEnd w:id="143"/>
    </w:p>
    <w:bookmarkEnd w:id="114"/>
    <w:p w14:paraId="7002FF85">
      <w:pPr>
        <w:snapToGrid w:val="0"/>
        <w:spacing w:line="360" w:lineRule="auto"/>
        <w:ind w:firstLine="640" w:firstLineChars="200"/>
        <w:outlineLvl w:val="0"/>
        <w:rPr>
          <w:rFonts w:hint="eastAsia" w:ascii="Times New Roman" w:hAnsi="黑体" w:eastAsia="黑体" w:cs="Times New Roman"/>
          <w:szCs w:val="36"/>
          <w:lang w:val="zh-CN"/>
        </w:rPr>
      </w:pPr>
      <w:bookmarkStart w:id="144" w:name="_Toc236065650"/>
      <w:bookmarkStart w:id="145" w:name="_Toc77678591"/>
      <w:r>
        <w:rPr>
          <w:rFonts w:hint="eastAsia" w:ascii="Times New Roman" w:hAnsi="黑体" w:eastAsia="黑体" w:cs="Times New Roman"/>
          <w:bCs/>
          <w:szCs w:val="36"/>
          <w:lang w:val="zh-CN"/>
        </w:rPr>
        <w:t>六、</w:t>
      </w:r>
      <w:bookmarkStart w:id="146" w:name="OLE_LINK124"/>
      <w:r>
        <w:rPr>
          <w:rFonts w:hint="eastAsia" w:ascii="Times New Roman" w:hAnsi="黑体" w:eastAsia="黑体" w:cs="Times New Roman"/>
          <w:bCs/>
          <w:szCs w:val="36"/>
          <w:lang w:val="zh-CN"/>
        </w:rPr>
        <w:t>推动行业新质包容可续发展</w:t>
      </w:r>
      <w:bookmarkEnd w:id="144"/>
      <w:bookmarkEnd w:id="145"/>
      <w:bookmarkEnd w:id="146"/>
    </w:p>
    <w:p w14:paraId="3E117918">
      <w:pPr>
        <w:pStyle w:val="3"/>
        <w:keepNext w:val="0"/>
        <w:keepLines w:val="0"/>
        <w:spacing w:before="0" w:after="0" w:line="360" w:lineRule="auto"/>
        <w:ind w:firstLine="643" w:firstLineChars="200"/>
        <w:rPr>
          <w:rFonts w:hint="eastAsia" w:ascii="仿宋_GB2312" w:hAnsi="仿宋" w:eastAsia="仿宋_GB2312"/>
          <w:b/>
          <w:bCs/>
          <w:color w:val="auto"/>
          <w:sz w:val="32"/>
          <w:szCs w:val="32"/>
        </w:rPr>
      </w:pPr>
      <w:bookmarkStart w:id="147" w:name="_Toc236065651"/>
      <w:bookmarkStart w:id="148" w:name="_Toc77678594"/>
      <w:bookmarkStart w:id="149" w:name="_Toc77678592"/>
      <w:r>
        <w:rPr>
          <w:rFonts w:hint="eastAsia" w:ascii="仿宋_GB2312" w:hAnsi="仿宋" w:eastAsia="仿宋_GB2312"/>
          <w:b/>
          <w:bCs/>
          <w:color w:val="auto"/>
          <w:sz w:val="32"/>
          <w:szCs w:val="32"/>
        </w:rPr>
        <w:t>（一）推动交通产业深度融合。</w:t>
      </w:r>
      <w:bookmarkEnd w:id="147"/>
    </w:p>
    <w:p w14:paraId="3F5F5739">
      <w:pPr>
        <w:ind w:firstLine="643" w:firstLineChars="200"/>
        <w:rPr>
          <w:rFonts w:hint="eastAsia"/>
        </w:rPr>
      </w:pPr>
      <w:bookmarkStart w:id="150" w:name="OLE_LINK145"/>
      <w:r>
        <w:rPr>
          <w:rFonts w:hint="eastAsia"/>
          <w:b/>
          <w:bCs/>
        </w:rPr>
        <w:t>发展低空旅游新业态</w:t>
      </w:r>
      <w:bookmarkEnd w:id="150"/>
      <w:r>
        <w:rPr>
          <w:rFonts w:hint="eastAsia"/>
          <w:b/>
          <w:bCs/>
        </w:rPr>
        <w:t>。</w:t>
      </w:r>
      <w:r>
        <w:rPr>
          <w:rFonts w:hint="eastAsia"/>
        </w:rPr>
        <w:t>抢抓低空经济战略机遇，以场景活动为牵引，依托韶关丹霞机场及规划低空飞行起降点，</w:t>
      </w:r>
      <w:bookmarkStart w:id="151" w:name="OLE_LINK146"/>
      <w:r>
        <w:rPr>
          <w:rFonts w:hint="eastAsia"/>
        </w:rPr>
        <w:t>在丹霞山、乳源、南雄等旅游资源富集区域培育交通应用场景，带动航空交通运输与邮政快递、制造商贸业、旅游业等相关领域融合发展。开发丹霞山低空观光、南华寺禅修飞行体验等低空旅游产品，打造粤北特色低空旅游品牌。</w:t>
      </w:r>
      <w:bookmarkEnd w:id="151"/>
      <w:bookmarkStart w:id="152" w:name="OLE_LINK149"/>
      <w:r>
        <w:rPr>
          <w:rFonts w:hint="eastAsia"/>
        </w:rPr>
        <w:t>推动低空飞行与旅游景区、交通枢纽无缝衔接，提升游客体验。</w:t>
      </w:r>
      <w:bookmarkEnd w:id="152"/>
    </w:p>
    <w:p w14:paraId="47A206D0">
      <w:pPr>
        <w:ind w:firstLine="643" w:firstLineChars="200"/>
        <w:rPr>
          <w:rFonts w:hint="eastAsia"/>
        </w:rPr>
      </w:pPr>
      <w:bookmarkStart w:id="153" w:name="OLE_LINK147"/>
      <w:r>
        <w:rPr>
          <w:rFonts w:hint="eastAsia"/>
          <w:b/>
          <w:bCs/>
        </w:rPr>
        <w:t>推动无人机物流发展</w:t>
      </w:r>
      <w:bookmarkEnd w:id="153"/>
      <w:r>
        <w:rPr>
          <w:rFonts w:hint="eastAsia"/>
        </w:rPr>
        <w:t>。</w:t>
      </w:r>
      <w:bookmarkStart w:id="154" w:name="OLE_LINK148"/>
      <w:r>
        <w:rPr>
          <w:rFonts w:hint="eastAsia"/>
        </w:rPr>
        <w:t>支持无人机在偏远山区、农村乡镇的物流配送应用，建设覆盖全市主要乡镇的无人机物流网络，解决山区群众快递送件难、物流成本高难题。试点无人机在医疗物资、农产品运输中的应用，打造粤北山区“低空+物流”示范项目。</w:t>
      </w:r>
      <w:bookmarkStart w:id="155" w:name="OLE_LINK122"/>
    </w:p>
    <w:bookmarkEnd w:id="154"/>
    <w:p w14:paraId="2DEC42FD">
      <w:pPr>
        <w:ind w:firstLine="643" w:firstLineChars="200"/>
        <w:rPr>
          <w:rFonts w:hint="eastAsia" w:hAnsi="微软雅黑"/>
          <w:color w:val="333333"/>
          <w:shd w:val="clear" w:color="auto" w:fill="FFFFFF"/>
        </w:rPr>
      </w:pPr>
      <w:bookmarkStart w:id="156" w:name="OLE_LINK103"/>
      <w:r>
        <w:rPr>
          <w:rFonts w:hint="eastAsia" w:hAnsi="微软雅黑"/>
          <w:b/>
          <w:bCs/>
          <w:color w:val="333333"/>
          <w:shd w:val="clear" w:color="auto" w:fill="FFFFFF"/>
        </w:rPr>
        <w:t>促进交通与相关产业融合</w:t>
      </w:r>
      <w:bookmarkEnd w:id="156"/>
      <w:r>
        <w:rPr>
          <w:rFonts w:hint="eastAsia" w:hAnsi="微软雅黑"/>
          <w:b/>
          <w:bCs/>
          <w:color w:val="333333"/>
          <w:shd w:val="clear" w:color="auto" w:fill="FFFFFF"/>
        </w:rPr>
        <w:t>。</w:t>
      </w:r>
      <w:bookmarkEnd w:id="155"/>
      <w:r>
        <w:rPr>
          <w:rFonts w:hint="eastAsia" w:hAnsi="微软雅黑"/>
          <w:color w:val="333333"/>
          <w:shd w:val="clear" w:color="auto" w:fill="FFFFFF"/>
        </w:rPr>
        <w:t>深化交通运输与韶关特色产业的融合发展，聚焦绿色农业、装备制造、有色金属深加工等产业，打造“交通+产业”融合发展新模式。</w:t>
      </w:r>
      <w:bookmarkStart w:id="157" w:name="OLE_LINK193"/>
      <w:r>
        <w:rPr>
          <w:rFonts w:hint="eastAsia" w:hAnsi="微软雅黑"/>
          <w:color w:val="333333"/>
          <w:shd w:val="clear" w:color="auto" w:fill="FFFFFF"/>
        </w:rPr>
        <w:t>强化对龙头企业、重点平台的运输保障，量身定制方案满足特殊荷载、尺寸的运输需求，稳定产业链供应链。</w:t>
      </w:r>
      <w:bookmarkEnd w:id="157"/>
      <w:r>
        <w:rPr>
          <w:rFonts w:ascii="Times New Roman" w:hAnsi="Times New Roman" w:cs="Times New Roman"/>
        </w:rPr>
        <w:t>加强</w:t>
      </w:r>
      <w:r>
        <w:rPr>
          <w:rFonts w:hint="eastAsia" w:ascii="Times New Roman" w:hAnsi="Times New Roman" w:cs="Times New Roman"/>
        </w:rPr>
        <w:t>交通</w:t>
      </w:r>
      <w:r>
        <w:rPr>
          <w:rFonts w:ascii="Times New Roman" w:hAnsi="Times New Roman" w:cs="Times New Roman"/>
        </w:rPr>
        <w:t>物流与制造业、农业和商贸等领域有机融合、赋能互促，不断提升</w:t>
      </w:r>
      <w:r>
        <w:rPr>
          <w:rFonts w:hint="eastAsia" w:ascii="Times New Roman" w:hAnsi="Times New Roman" w:cs="Times New Roman"/>
        </w:rPr>
        <w:t>韶关陆港型国家物流枢纽城市</w:t>
      </w:r>
      <w:r>
        <w:rPr>
          <w:rFonts w:ascii="Times New Roman" w:hAnsi="Times New Roman" w:cs="Times New Roman"/>
        </w:rPr>
        <w:t>的综合竞争优势和规模经济效应。</w:t>
      </w:r>
    </w:p>
    <w:p w14:paraId="5BD2AD30">
      <w:pPr>
        <w:ind w:firstLine="645"/>
        <w:rPr>
          <w:rFonts w:hint="eastAsia"/>
        </w:rPr>
      </w:pPr>
      <w:bookmarkStart w:id="158" w:name="OLE_LINK150"/>
      <w:r>
        <w:rPr>
          <w:rFonts w:hint="eastAsia" w:hAnsi="微软雅黑"/>
          <w:color w:val="333333"/>
          <w:shd w:val="clear" w:color="auto" w:fill="FFFFFF"/>
        </w:rPr>
        <w:t>交通+邮政方面，推动城乡客货邮一体，</w:t>
      </w:r>
      <w:r>
        <w:rPr>
          <w:rFonts w:hint="eastAsia"/>
        </w:rPr>
        <w:t>满足群众日益增加的出行与寄递服务需求，深入发展交邮融合模式，进一步延伸邮政、快递服务。</w:t>
      </w:r>
    </w:p>
    <w:p w14:paraId="3C4AFD01">
      <w:pPr>
        <w:ind w:firstLine="640" w:firstLineChars="200"/>
        <w:rPr>
          <w:rFonts w:hint="eastAsia" w:hAnsi="微软雅黑"/>
          <w:color w:val="333333"/>
          <w:shd w:val="clear" w:color="auto" w:fill="FFFFFF"/>
        </w:rPr>
      </w:pPr>
      <w:r>
        <w:rPr>
          <w:rFonts w:hint="eastAsia" w:hAnsi="微软雅黑"/>
          <w:color w:val="333333"/>
          <w:shd w:val="clear" w:color="auto" w:fill="FFFFFF"/>
        </w:rPr>
        <w:t>交通+绿色农业方面，结合韶关绿色农业优势，优化农产品物流运输网络，完善覆盖乐昌、南雄、仁化等地区的冷链物流体系，提升特色农产品的运输效率。推广无人机物流在偏远山区农产品运输中的应用。</w:t>
      </w:r>
    </w:p>
    <w:p w14:paraId="23D8DECA">
      <w:pPr>
        <w:ind w:firstLine="640" w:firstLineChars="200"/>
        <w:rPr>
          <w:rFonts w:hint="eastAsia" w:hAnsi="微软雅黑"/>
          <w:color w:val="333333"/>
          <w:shd w:val="clear" w:color="auto" w:fill="FFFFFF"/>
        </w:rPr>
      </w:pPr>
      <w:r>
        <w:rPr>
          <w:rFonts w:hint="eastAsia" w:hAnsi="微软雅黑"/>
          <w:color w:val="333333"/>
          <w:shd w:val="clear" w:color="auto" w:fill="FFFFFF"/>
        </w:rPr>
        <w:t>交通+装备制造方面，围绕韶关装备制造业基础，重点支持乳源桂头航空产业园与交通基础设施协同发展，完善产业园对外货运通道，提升航空装备、无人机制造等企业的物流效率。推动韶关装备制造企业与智能交通技术融合，研发智能交通设备、无人驾驶车辆等产品，打造“交通+制造”创新链。</w:t>
      </w:r>
    </w:p>
    <w:p w14:paraId="51E7B38A">
      <w:pPr>
        <w:ind w:firstLine="640" w:firstLineChars="200"/>
        <w:rPr>
          <w:rFonts w:hint="eastAsia"/>
        </w:rPr>
      </w:pPr>
      <w:r>
        <w:rPr>
          <w:rFonts w:hint="eastAsia" w:hAnsi="微软雅黑"/>
          <w:color w:val="333333"/>
          <w:shd w:val="clear" w:color="auto" w:fill="FFFFFF"/>
        </w:rPr>
        <w:t>交通+有色金属深加工方面，依托韶关有色金属产业集群，优化物流运输网络，提升韶关冶炼厂等重点企业的原材料和成品运输效率。推动韶关港与有色金属企业的物流对接，降低物流成本，增强产业竞争力。</w:t>
      </w:r>
      <w:bookmarkEnd w:id="158"/>
      <w:r>
        <w:rPr>
          <w:rFonts w:hint="eastAsia" w:hAnsi="微软雅黑"/>
          <w:color w:val="333333"/>
          <w:shd w:val="clear" w:color="auto" w:fill="FFFFFF"/>
        </w:rPr>
        <w:t xml:space="preserve"> </w:t>
      </w:r>
    </w:p>
    <w:p w14:paraId="40DF8BE6">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159" w:name="_Toc236065652"/>
      <w:r>
        <w:rPr>
          <w:rFonts w:hint="eastAsia" w:ascii="仿宋_GB2312" w:hAnsi="仿宋" w:eastAsia="仿宋_GB2312"/>
          <w:b/>
          <w:bCs/>
          <w:color w:val="auto"/>
          <w:sz w:val="32"/>
        </w:rPr>
        <w:t>（二）</w:t>
      </w:r>
      <w:bookmarkStart w:id="160" w:name="OLE_LINK121"/>
      <w:r>
        <w:rPr>
          <w:rFonts w:hint="eastAsia" w:ascii="仿宋_GB2312" w:hAnsi="仿宋" w:eastAsia="仿宋_GB2312"/>
          <w:b/>
          <w:bCs/>
          <w:color w:val="auto"/>
          <w:sz w:val="32"/>
        </w:rPr>
        <w:t>建设先进适用智慧交通</w:t>
      </w:r>
      <w:bookmarkEnd w:id="160"/>
      <w:r>
        <w:rPr>
          <w:rFonts w:hint="eastAsia" w:ascii="仿宋_GB2312" w:hAnsi="仿宋" w:eastAsia="仿宋_GB2312"/>
          <w:b/>
          <w:bCs/>
          <w:color w:val="auto"/>
          <w:sz w:val="32"/>
        </w:rPr>
        <w:t>。</w:t>
      </w:r>
      <w:bookmarkEnd w:id="159"/>
    </w:p>
    <w:p w14:paraId="5B06DD6E">
      <w:pPr>
        <w:pStyle w:val="26"/>
        <w:widowControl w:val="0"/>
        <w:shd w:val="clear" w:color="auto" w:fill="FFFFFF"/>
        <w:spacing w:before="0" w:beforeAutospacing="0" w:after="0" w:afterAutospacing="0" w:line="360" w:lineRule="auto"/>
        <w:ind w:firstLine="482"/>
        <w:jc w:val="both"/>
        <w:rPr>
          <w:rFonts w:hint="eastAsia" w:ascii="仿宋_GB2312" w:eastAsia="仿宋_GB2312"/>
          <w:b/>
          <w:bCs/>
          <w:color w:val="000000"/>
          <w:sz w:val="32"/>
          <w:szCs w:val="32"/>
        </w:rPr>
      </w:pPr>
      <w:bookmarkStart w:id="161" w:name="_Hlk215930404"/>
      <w:bookmarkStart w:id="162" w:name="OLE_LINK136"/>
      <w:bookmarkStart w:id="163" w:name="OLE_LINK126"/>
      <w:r>
        <w:rPr>
          <w:rFonts w:hint="eastAsia" w:ascii="仿宋_GB2312" w:eastAsia="仿宋_GB2312"/>
          <w:b/>
          <w:bCs/>
          <w:color w:val="000000"/>
          <w:sz w:val="32"/>
          <w:szCs w:val="32"/>
        </w:rPr>
        <w:t>1.配合推动公路水路智慧转型</w:t>
      </w:r>
      <w:bookmarkEnd w:id="161"/>
      <w:r>
        <w:rPr>
          <w:rFonts w:hint="eastAsia" w:ascii="仿宋_GB2312" w:eastAsia="仿宋_GB2312"/>
          <w:b/>
          <w:bCs/>
          <w:color w:val="000000"/>
          <w:sz w:val="32"/>
          <w:szCs w:val="32"/>
        </w:rPr>
        <w:t>。</w:t>
      </w:r>
      <w:bookmarkEnd w:id="162"/>
    </w:p>
    <w:p w14:paraId="3169ADDD">
      <w:pPr>
        <w:pStyle w:val="26"/>
        <w:widowControl w:val="0"/>
        <w:shd w:val="clear" w:color="auto" w:fill="FFFFFF"/>
        <w:spacing w:before="0" w:beforeAutospacing="0" w:after="0" w:afterAutospacing="0" w:line="360" w:lineRule="auto"/>
        <w:ind w:firstLine="482"/>
        <w:jc w:val="both"/>
        <w:rPr>
          <w:rFonts w:hint="eastAsia" w:ascii="仿宋_GB2312" w:eastAsia="仿宋_GB2312"/>
          <w:color w:val="000000"/>
          <w:sz w:val="32"/>
          <w:szCs w:val="32"/>
        </w:rPr>
      </w:pPr>
      <w:r>
        <w:rPr>
          <w:rFonts w:hint="eastAsia" w:ascii="仿宋_GB2312" w:eastAsia="仿宋_GB2312"/>
          <w:color w:val="000000"/>
          <w:sz w:val="32"/>
          <w:szCs w:val="32"/>
        </w:rPr>
        <w:t>以我省公路水路交通基础设施数字化转型升级试点为契机，</w:t>
      </w:r>
      <w:bookmarkStart w:id="164" w:name="OLE_LINK137"/>
      <w:r>
        <w:rPr>
          <w:rFonts w:hint="eastAsia" w:ascii="仿宋_GB2312" w:eastAsia="仿宋_GB2312"/>
          <w:color w:val="000000"/>
          <w:sz w:val="32"/>
          <w:szCs w:val="32"/>
        </w:rPr>
        <w:t>配合推进韶关境内京港澳通道、北江航道数字化转型升级。</w:t>
      </w:r>
    </w:p>
    <w:bookmarkEnd w:id="164"/>
    <w:p w14:paraId="3E3FB627">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京港澳通道着重强化安全增效，在省统一部署下重点开展智慧隧道、基础设施监测预警、恶劣气象通行安全预警和应急指挥调度等应用场景建设，从而有效提高安全风险识别预警、快速响应和联动处置能力，提升路网通行服务能力及通行安全。在京港澳通道与湖南省毗邻路段，就恶劣气象通行安全预警和应急指挥调度等场景，与湖南省开展跨省域协同联动，提升跨省域服务水平。</w:t>
      </w:r>
    </w:p>
    <w:p w14:paraId="2D3BB8DB">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北江着重强化基础设施，在省统一部署下重点开展智慧船闸、船闸与锚地统一联合调度等应用场景建设，实现示范通道全线船闸统一联合调度，提高示范通道整体通行效率。加强航道船闸信息化、智能化建设，力争实现全线船闸统一调度、统一管理，提升通航能力、过闸效率，解决水运周期偏长问题。</w:t>
      </w:r>
    </w:p>
    <w:bookmarkEnd w:id="163"/>
    <w:p w14:paraId="672F765C">
      <w:pPr>
        <w:ind w:firstLine="562"/>
        <w:rPr>
          <w:rFonts w:hint="eastAsia"/>
          <w:b/>
          <w:bCs/>
        </w:rPr>
      </w:pPr>
      <w:bookmarkStart w:id="165" w:name="OLE_LINK139"/>
      <w:r>
        <w:rPr>
          <w:rFonts w:hint="eastAsia"/>
          <w:b/>
          <w:bCs/>
        </w:rPr>
        <w:t>2.提高集疏运体系数智化水平</w:t>
      </w:r>
    </w:p>
    <w:p w14:paraId="22DC883B">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规划建设韶关市智慧物流信息平台，</w:t>
      </w:r>
      <w:r>
        <w:rPr>
          <w:rFonts w:hint="eastAsia" w:ascii="仿宋_GB2312" w:hAnsi="仿宋_GB2312" w:eastAsia="仿宋_GB2312" w:cs="仿宋_GB2312"/>
          <w:color w:val="000000"/>
          <w:sz w:val="32"/>
          <w:szCs w:val="32"/>
          <w:shd w:val="clear" w:color="auto" w:fill="FFFFFF"/>
        </w:rPr>
        <w:t>整合全市重点货源发布、运力匹配、拼货预约等核心功能</w:t>
      </w:r>
      <w:r>
        <w:rPr>
          <w:rFonts w:hint="eastAsia" w:ascii="仿宋_GB2312" w:eastAsia="仿宋_GB2312"/>
          <w:color w:val="000000"/>
          <w:sz w:val="32"/>
          <w:szCs w:val="32"/>
        </w:rPr>
        <w:t>。推动物联网、大数据、人工智能等技术应用，通过大数据算法实现出城货源、返程货源与本土物流企业运力的精准对接，全面提升货物组织、仓储管理、运输调度等环节的智能化水平和协同效率。</w:t>
      </w:r>
    </w:p>
    <w:p w14:paraId="01630CFD">
      <w:pPr>
        <w:ind w:firstLine="562"/>
        <w:rPr>
          <w:rFonts w:hint="eastAsia"/>
        </w:rPr>
      </w:pPr>
      <w:r>
        <w:rPr>
          <w:rFonts w:hint="eastAsia"/>
        </w:rPr>
        <w:t>谋划打造华南物流大数据算力中心，积极</w:t>
      </w:r>
      <w:bookmarkStart w:id="166" w:name="OLE_LINK144"/>
      <w:r>
        <w:rPr>
          <w:rFonts w:hint="eastAsia"/>
        </w:rPr>
        <w:t>服务韶关数据中心集群建设</w:t>
      </w:r>
      <w:bookmarkEnd w:id="166"/>
      <w:r>
        <w:rPr>
          <w:rFonts w:hint="eastAsia"/>
        </w:rPr>
        <w:t>，引进融合先进的物流领域算法，满足华南区域物流高速互联和海量数据交换需求，为物流智能装备、智慧管理系统、车辆运输调度管理、快递电商等用户提供低延时、高标准、高性能的算力服务。</w:t>
      </w:r>
    </w:p>
    <w:bookmarkEnd w:id="165"/>
    <w:p w14:paraId="4FF5F94F">
      <w:pPr>
        <w:widowControl/>
        <w:ind w:firstLine="640" w:firstLineChars="200"/>
        <w:rPr>
          <w:rFonts w:hint="eastAsia" w:hAnsi="仿宋_GB2312"/>
        </w:rPr>
      </w:pPr>
      <w:bookmarkStart w:id="167" w:name="OLE_LINK142"/>
      <w:r>
        <w:rPr>
          <w:rFonts w:hint="eastAsia" w:hAnsi="仿宋_GB2312"/>
        </w:rPr>
        <w:t>加强物流新型基础设施建设。推动物流园区、物流中心、港口码头、货运场站等物流基础设施设备改造升级，推广智能安检、装卸、拣选等装备。鼓励乌石码头等大宗干散货码头堆取料机、装卸船机、翻车机等设施智能化升级，推进无人集卡、自动导引车等规模化应用。</w:t>
      </w:r>
    </w:p>
    <w:p w14:paraId="2A6A3CC5">
      <w:pPr>
        <w:pStyle w:val="26"/>
        <w:widowControl w:val="0"/>
        <w:shd w:val="clear" w:color="auto" w:fill="FFFFFF"/>
        <w:spacing w:before="0" w:beforeAutospacing="0" w:after="0" w:afterAutospacing="0" w:line="360" w:lineRule="auto"/>
        <w:ind w:firstLine="643" w:firstLineChars="200"/>
        <w:jc w:val="both"/>
        <w:rPr>
          <w:rFonts w:hint="eastAsia" w:ascii="仿宋_GB2312" w:eastAsia="仿宋_GB2312"/>
          <w:b/>
          <w:bCs/>
          <w:color w:val="000000"/>
          <w:sz w:val="32"/>
          <w:szCs w:val="32"/>
        </w:rPr>
      </w:pPr>
      <w:bookmarkStart w:id="168" w:name="_Hlk215930470"/>
      <w:bookmarkStart w:id="169" w:name="OLE_LINK138"/>
      <w:r>
        <w:rPr>
          <w:rFonts w:hint="eastAsia" w:ascii="仿宋_GB2312" w:eastAsia="仿宋_GB2312"/>
          <w:b/>
          <w:bCs/>
          <w:color w:val="000000"/>
          <w:sz w:val="32"/>
          <w:szCs w:val="32"/>
        </w:rPr>
        <w:t>3.推进公路水路智慧项目建设。</w:t>
      </w:r>
    </w:p>
    <w:p w14:paraId="48AA142D">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建设龙头寨码头智慧港口项目，推动实现港口生产自动化。</w:t>
      </w:r>
    </w:p>
    <w:p w14:paraId="3FD4EE8B">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ascii="仿宋_GB2312" w:eastAsia="仿宋_GB2312"/>
          <w:color w:val="000000"/>
          <w:sz w:val="32"/>
          <w:szCs w:val="32"/>
        </w:rPr>
        <w:t>推进</w:t>
      </w:r>
      <w:r>
        <w:rPr>
          <w:rFonts w:hint="eastAsia" w:ascii="仿宋_GB2312" w:eastAsia="仿宋_GB2312"/>
          <w:color w:val="000000"/>
          <w:sz w:val="32"/>
          <w:szCs w:val="32"/>
        </w:rPr>
        <w:t>公路养护</w:t>
      </w:r>
      <w:r>
        <w:rPr>
          <w:rFonts w:ascii="仿宋_GB2312" w:eastAsia="仿宋_GB2312"/>
          <w:color w:val="000000"/>
          <w:sz w:val="32"/>
          <w:szCs w:val="32"/>
        </w:rPr>
        <w:t>管理数字化</w:t>
      </w:r>
      <w:bookmarkEnd w:id="168"/>
      <w:r>
        <w:rPr>
          <w:rFonts w:hint="eastAsia" w:ascii="仿宋_GB2312" w:eastAsia="仿宋_GB2312"/>
          <w:color w:val="000000"/>
          <w:sz w:val="32"/>
          <w:szCs w:val="32"/>
        </w:rPr>
        <w:t>，加快</w:t>
      </w:r>
      <w:r>
        <w:rPr>
          <w:rFonts w:ascii="仿宋_GB2312" w:eastAsia="仿宋_GB2312"/>
          <w:color w:val="000000"/>
          <w:sz w:val="32"/>
          <w:szCs w:val="32"/>
        </w:rPr>
        <w:t>实现</w:t>
      </w:r>
      <w:r>
        <w:rPr>
          <w:rFonts w:hint="eastAsia" w:ascii="仿宋_GB2312" w:eastAsia="仿宋_GB2312"/>
          <w:color w:val="000000"/>
          <w:sz w:val="32"/>
          <w:szCs w:val="32"/>
        </w:rPr>
        <w:t>存量</w:t>
      </w:r>
      <w:r>
        <w:rPr>
          <w:rFonts w:ascii="仿宋_GB2312" w:eastAsia="仿宋_GB2312"/>
          <w:color w:val="000000"/>
          <w:sz w:val="32"/>
          <w:szCs w:val="32"/>
        </w:rPr>
        <w:t>公路数字化，强化数字赋能</w:t>
      </w:r>
      <w:r>
        <w:rPr>
          <w:rFonts w:hint="eastAsia" w:ascii="仿宋_GB2312" w:eastAsia="仿宋_GB2312"/>
          <w:color w:val="000000"/>
          <w:sz w:val="32"/>
          <w:szCs w:val="32"/>
        </w:rPr>
        <w:t>，</w:t>
      </w:r>
      <w:bookmarkStart w:id="170" w:name="_Hlk236081913"/>
      <w:r>
        <w:rPr>
          <w:rFonts w:hint="eastAsia" w:ascii="仿宋_GB2312" w:eastAsia="仿宋_GB2312"/>
          <w:color w:val="000000"/>
          <w:sz w:val="32"/>
          <w:szCs w:val="32"/>
        </w:rPr>
        <w:t>推广应用智慧养护装备及技术，</w:t>
      </w:r>
      <w:bookmarkEnd w:id="170"/>
      <w:r>
        <w:rPr>
          <w:rFonts w:hint="eastAsia" w:ascii="仿宋_GB2312" w:eastAsia="仿宋_GB2312"/>
          <w:color w:val="000000"/>
          <w:sz w:val="32"/>
          <w:szCs w:val="32"/>
        </w:rPr>
        <w:t>推动具备条件的农村公路路况自动化检测频率保持“一年一检”。</w:t>
      </w:r>
      <w:bookmarkStart w:id="171" w:name="OLE_LINK140"/>
    </w:p>
    <w:p w14:paraId="66D02F6C">
      <w:pPr>
        <w:pStyle w:val="26"/>
        <w:widowControl w:val="0"/>
        <w:shd w:val="clear" w:color="auto" w:fill="FFFFFF"/>
        <w:spacing w:before="0" w:beforeAutospacing="0" w:after="0" w:afterAutospacing="0" w:line="360" w:lineRule="auto"/>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推动交通服务设施智慧化发展。以“能源+智慧”服务区建设为抓手，</w:t>
      </w:r>
      <w:bookmarkStart w:id="172" w:name="OLE_LINK141"/>
      <w:r>
        <w:rPr>
          <w:rFonts w:hint="eastAsia" w:ascii="仿宋_GB2312" w:eastAsia="仿宋_GB2312"/>
          <w:color w:val="000000"/>
          <w:sz w:val="32"/>
          <w:szCs w:val="32"/>
        </w:rPr>
        <w:t>推动</w:t>
      </w:r>
      <w:bookmarkStart w:id="227" w:name="_GoBack"/>
      <w:bookmarkEnd w:id="227"/>
      <w:r>
        <w:rPr>
          <w:rFonts w:hint="eastAsia" w:ascii="仿宋_GB2312" w:eastAsia="仿宋_GB2312"/>
          <w:color w:val="000000"/>
          <w:sz w:val="32"/>
          <w:szCs w:val="32"/>
        </w:rPr>
        <w:t>韶关境内具备条件的高速公路服务区、普通国道服务区数字化建设</w:t>
      </w:r>
      <w:bookmarkEnd w:id="172"/>
      <w:r>
        <w:rPr>
          <w:rFonts w:hint="eastAsia" w:ascii="仿宋_GB2312" w:eastAsia="仿宋_GB2312"/>
          <w:color w:val="000000"/>
          <w:sz w:val="32"/>
          <w:szCs w:val="32"/>
        </w:rPr>
        <w:t>，通过提升服务区运行检测、信息服务、能源补给等功能，为公众出行提供更好服务。</w:t>
      </w:r>
      <w:bookmarkEnd w:id="171"/>
    </w:p>
    <w:p w14:paraId="5BB835C6">
      <w:pPr>
        <w:pStyle w:val="26"/>
        <w:widowControl w:val="0"/>
        <w:shd w:val="clear" w:color="auto" w:fill="FFFFFF"/>
        <w:spacing w:before="0" w:beforeAutospacing="0" w:after="0" w:afterAutospacing="0" w:line="360" w:lineRule="auto"/>
        <w:ind w:firstLine="640" w:firstLineChars="200"/>
        <w:jc w:val="both"/>
        <w:rPr>
          <w:rFonts w:hint="eastAsia" w:hAnsi="仿宋_GB2312"/>
        </w:rPr>
      </w:pPr>
      <w:r>
        <w:rPr>
          <w:rFonts w:hint="eastAsia" w:ascii="仿宋_GB2312" w:eastAsia="仿宋_GB2312"/>
          <w:color w:val="000000"/>
          <w:sz w:val="32"/>
          <w:szCs w:val="32"/>
        </w:rPr>
        <w:t>推动人工智能、大数据等新技术在路网监测、智慧调度、安全监管等场景应用，研究建设韶关市</w:t>
      </w:r>
      <w:bookmarkStart w:id="173" w:name="OLE_LINK186"/>
      <w:r>
        <w:rPr>
          <w:rFonts w:hint="eastAsia" w:ascii="仿宋_GB2312" w:eastAsia="仿宋_GB2312"/>
          <w:color w:val="000000"/>
          <w:sz w:val="32"/>
          <w:szCs w:val="32"/>
        </w:rPr>
        <w:t>交通运输综合运行监测与应急指挥调度系统平台</w:t>
      </w:r>
      <w:bookmarkEnd w:id="173"/>
      <w:r>
        <w:rPr>
          <w:rFonts w:hint="eastAsia" w:ascii="仿宋_GB2312" w:eastAsia="仿宋_GB2312"/>
          <w:color w:val="000000"/>
          <w:sz w:val="32"/>
          <w:szCs w:val="32"/>
        </w:rPr>
        <w:t>（TOCC）</w:t>
      </w:r>
      <w:bookmarkEnd w:id="169"/>
      <w:r>
        <w:rPr>
          <w:rFonts w:hint="eastAsia" w:ascii="仿宋_GB2312" w:eastAsia="仿宋_GB2312"/>
          <w:color w:val="000000"/>
          <w:sz w:val="32"/>
          <w:szCs w:val="32"/>
        </w:rPr>
        <w:t>，以科技手段提升行业运行效率和管理能力</w:t>
      </w:r>
    </w:p>
    <w:p w14:paraId="44F3CA37">
      <w:pPr>
        <w:pStyle w:val="26"/>
        <w:widowControl w:val="0"/>
        <w:shd w:val="clear" w:color="auto" w:fill="FFFFFF"/>
        <w:spacing w:before="0" w:beforeAutospacing="0" w:after="0" w:afterAutospacing="0" w:line="360" w:lineRule="auto"/>
        <w:ind w:firstLine="643" w:firstLineChars="200"/>
        <w:jc w:val="both"/>
        <w:rPr>
          <w:rFonts w:hint="eastAsia" w:ascii="仿宋_GB2312" w:eastAsia="仿宋_GB2312"/>
          <w:b/>
          <w:bCs/>
          <w:color w:val="000000"/>
          <w:sz w:val="32"/>
          <w:szCs w:val="32"/>
        </w:rPr>
      </w:pPr>
      <w:bookmarkStart w:id="174" w:name="_Hlk215930437"/>
      <w:r>
        <w:rPr>
          <w:rFonts w:hint="eastAsia" w:ascii="仿宋_GB2312" w:eastAsia="仿宋_GB2312"/>
          <w:b/>
          <w:bCs/>
          <w:color w:val="000000"/>
          <w:sz w:val="32"/>
          <w:szCs w:val="32"/>
        </w:rPr>
        <w:t>4.加快智能网联汽车测试发展</w:t>
      </w:r>
      <w:bookmarkEnd w:id="174"/>
      <w:r>
        <w:rPr>
          <w:rFonts w:hint="eastAsia" w:ascii="仿宋_GB2312" w:eastAsia="仿宋_GB2312"/>
          <w:b/>
          <w:bCs/>
          <w:color w:val="000000"/>
          <w:sz w:val="32"/>
          <w:szCs w:val="32"/>
        </w:rPr>
        <w:t>。</w:t>
      </w:r>
    </w:p>
    <w:p w14:paraId="57A17F4A">
      <w:pPr>
        <w:pStyle w:val="26"/>
        <w:widowControl w:val="0"/>
        <w:shd w:val="clear" w:color="auto" w:fill="FFFFFF"/>
        <w:spacing w:before="0" w:beforeAutospacing="0" w:after="0" w:afterAutospacing="0" w:line="360" w:lineRule="auto"/>
        <w:ind w:firstLine="640" w:firstLineChars="200"/>
        <w:jc w:val="both"/>
        <w:rPr>
          <w:rFonts w:hint="eastAsia" w:hAnsi="仿宋_GB2312"/>
        </w:rPr>
      </w:pPr>
      <w:r>
        <w:rPr>
          <w:rFonts w:hint="eastAsia" w:ascii="仿宋_GB2312" w:eastAsia="仿宋_GB2312"/>
          <w:color w:val="000000"/>
          <w:sz w:val="32"/>
          <w:szCs w:val="32"/>
        </w:rPr>
        <w:t>在韶新高速新丰至翁源段部分路段进行智能网联汽车的高速自动驾驶测试，验证和优化智能网联系统在高速环境下的性能和安全性。鼓励支持乌石、白土、大坑口等港口及有条件的物流园区，加强道路智能配套设施建设，开展区内无人重卡低速自动驾驶试点。</w:t>
      </w:r>
    </w:p>
    <w:bookmarkEnd w:id="167"/>
    <w:p w14:paraId="699D1585">
      <w:pPr>
        <w:pStyle w:val="3"/>
        <w:keepNext w:val="0"/>
        <w:keepLines w:val="0"/>
        <w:spacing w:before="0" w:after="0" w:line="360" w:lineRule="auto"/>
        <w:ind w:firstLine="643" w:firstLineChars="200"/>
        <w:rPr>
          <w:rFonts w:hint="eastAsia" w:ascii="仿宋" w:hAnsi="仿宋" w:eastAsia="仿宋"/>
          <w:b/>
          <w:bCs/>
          <w:color w:val="auto"/>
          <w:sz w:val="32"/>
        </w:rPr>
      </w:pPr>
      <w:bookmarkStart w:id="175" w:name="_Toc77678593"/>
      <w:bookmarkStart w:id="176" w:name="_Toc236065653"/>
      <w:r>
        <w:rPr>
          <w:rFonts w:hint="eastAsia" w:ascii="仿宋" w:hAnsi="仿宋" w:eastAsia="仿宋"/>
          <w:b/>
          <w:bCs/>
          <w:color w:val="auto"/>
          <w:sz w:val="32"/>
        </w:rPr>
        <w:t>（三）</w:t>
      </w:r>
      <w:bookmarkStart w:id="177" w:name="OLE_LINK123"/>
      <w:r>
        <w:rPr>
          <w:rFonts w:hint="eastAsia" w:ascii="仿宋" w:hAnsi="仿宋" w:eastAsia="仿宋"/>
          <w:b/>
          <w:bCs/>
          <w:color w:val="auto"/>
          <w:sz w:val="32"/>
        </w:rPr>
        <w:t>促进节能低碳绿色发展</w:t>
      </w:r>
      <w:bookmarkEnd w:id="177"/>
      <w:r>
        <w:rPr>
          <w:rFonts w:hint="eastAsia" w:ascii="仿宋" w:hAnsi="仿宋" w:eastAsia="仿宋"/>
          <w:b/>
          <w:bCs/>
          <w:color w:val="auto"/>
          <w:sz w:val="32"/>
        </w:rPr>
        <w:t>。</w:t>
      </w:r>
      <w:bookmarkEnd w:id="175"/>
      <w:bookmarkEnd w:id="176"/>
    </w:p>
    <w:p w14:paraId="4A4F6EC6">
      <w:pPr>
        <w:ind w:firstLine="643" w:firstLineChars="200"/>
        <w:rPr>
          <w:rFonts w:hint="eastAsia" w:ascii="Times New Roman"/>
          <w:lang w:bidi="ar"/>
        </w:rPr>
      </w:pPr>
      <w:bookmarkStart w:id="178" w:name="_Hlk215930505"/>
      <w:bookmarkStart w:id="179" w:name="OLE_LINK134"/>
      <w:bookmarkStart w:id="180" w:name="OLE_LINK133"/>
      <w:r>
        <w:rPr>
          <w:rFonts w:ascii="Times New Roman" w:hAnsi="Times New Roman" w:cs="Times New Roman"/>
          <w:b/>
          <w:bCs/>
          <w:lang w:bidi="ar"/>
        </w:rPr>
        <w:t>推进交通物流领域大规模设施设备更新</w:t>
      </w:r>
      <w:bookmarkEnd w:id="178"/>
      <w:r>
        <w:rPr>
          <w:rFonts w:hint="eastAsia" w:ascii="Times New Roman" w:hAnsi="Times New Roman" w:cs="Times New Roman"/>
          <w:b/>
          <w:bCs/>
          <w:lang w:bidi="ar"/>
        </w:rPr>
        <w:t>。</w:t>
      </w:r>
      <w:bookmarkEnd w:id="179"/>
      <w:r>
        <w:rPr>
          <w:rFonts w:ascii="Times New Roman"/>
          <w:lang w:bidi="ar"/>
        </w:rPr>
        <w:t>加快新能源清洁能源设备替代应用</w:t>
      </w:r>
      <w:r>
        <w:rPr>
          <w:rFonts w:hint="eastAsia" w:ascii="Times New Roman"/>
          <w:lang w:bidi="ar"/>
        </w:rPr>
        <w:t>，推动8年以上公交车及国四以下营运货车淘汰更新，巩固城市公交纯电动化率</w:t>
      </w:r>
      <w:r>
        <w:rPr>
          <w:rFonts w:ascii="Times New Roman"/>
          <w:lang w:bidi="ar"/>
        </w:rPr>
        <w:t>100%</w:t>
      </w:r>
      <w:r>
        <w:rPr>
          <w:rFonts w:hint="eastAsia" w:ascii="Times New Roman"/>
          <w:lang w:bidi="ar"/>
        </w:rPr>
        <w:t>的成果。推动</w:t>
      </w:r>
      <w:r>
        <w:rPr>
          <w:rFonts w:ascii="Times New Roman"/>
          <w:lang w:bidi="ar"/>
        </w:rPr>
        <w:t>火电、钢铁、煤炭、焦化、有色等行业大宗货物清洁运输比例</w:t>
      </w:r>
      <w:r>
        <w:rPr>
          <w:rFonts w:hint="eastAsia" w:ascii="Times New Roman"/>
          <w:lang w:bidi="ar"/>
        </w:rPr>
        <w:t>持续提高。</w:t>
      </w:r>
      <w:r>
        <w:rPr>
          <w:rFonts w:hint="eastAsia" w:hAnsi="仿宋_GB2312"/>
          <w:kern w:val="0"/>
        </w:rPr>
        <w:t>引导公交企业优先更换低地板/低入口纯电动车型，提升适老化服务水平。</w:t>
      </w:r>
      <w:bookmarkStart w:id="181" w:name="OLE_LINK217"/>
      <w:r>
        <w:rPr>
          <w:rFonts w:hint="eastAsia" w:hAnsi="仿宋_GB2312"/>
          <w:kern w:val="0"/>
        </w:rPr>
        <w:t>鼓励新能源电动车辆在货运、城市物流配送、邮政快递、出租车等领域进一步推广应用</w:t>
      </w:r>
      <w:r>
        <w:rPr>
          <w:rFonts w:hint="eastAsia" w:ascii="Times New Roman"/>
          <w:lang w:bidi="ar"/>
        </w:rPr>
        <w:t>，</w:t>
      </w:r>
      <w:bookmarkEnd w:id="181"/>
      <w:r>
        <w:rPr>
          <w:rFonts w:ascii="Times New Roman"/>
          <w:lang w:bidi="ar"/>
        </w:rPr>
        <w:t>推动新能源重型卡车等载运装备</w:t>
      </w:r>
      <w:r>
        <w:rPr>
          <w:rFonts w:hint="eastAsia" w:ascii="Times New Roman"/>
          <w:lang w:bidi="ar"/>
        </w:rPr>
        <w:t>在港口、物流园区</w:t>
      </w:r>
      <w:r>
        <w:rPr>
          <w:rFonts w:ascii="Times New Roman"/>
          <w:lang w:bidi="ar"/>
        </w:rPr>
        <w:t>应用。</w:t>
      </w:r>
      <w:r>
        <w:rPr>
          <w:rFonts w:hint="eastAsia"/>
          <w:color w:val="000000"/>
        </w:rPr>
        <w:t>推动北江LNG加气站项目，</w:t>
      </w:r>
      <w:bookmarkStart w:id="182" w:name="OLE_LINK166"/>
      <w:r>
        <w:rPr>
          <w:rFonts w:hint="eastAsia" w:hAnsi="宋体" w:cs="宋体"/>
          <w:color w:val="000000"/>
          <w:kern w:val="0"/>
        </w:rPr>
        <w:t>推动内河船舶 LNG加注工作加快落地</w:t>
      </w:r>
      <w:bookmarkEnd w:id="182"/>
      <w:r>
        <w:rPr>
          <w:rFonts w:hint="eastAsia" w:hAnsi="宋体" w:cs="宋体"/>
          <w:color w:val="000000"/>
          <w:kern w:val="0"/>
        </w:rPr>
        <w:t>，</w:t>
      </w:r>
      <w:r>
        <w:rPr>
          <w:rFonts w:hint="eastAsia"/>
          <w:color w:val="000000"/>
        </w:rPr>
        <w:t>加强港口建设项目码头防污染物设施建设监管。</w:t>
      </w:r>
      <w:r>
        <w:rPr>
          <w:rFonts w:ascii="Times New Roman"/>
          <w:lang w:bidi="ar"/>
        </w:rPr>
        <w:t>按照交通运输部统一部署，积极稳妥推进超长平板半挂车、超长集装箱半挂车治理，逐步淘汰超长半挂车。</w:t>
      </w:r>
    </w:p>
    <w:p w14:paraId="64598B80">
      <w:pPr>
        <w:ind w:firstLine="645"/>
        <w:rPr>
          <w:rFonts w:hint="eastAsia" w:ascii="Times New Roman"/>
          <w:lang w:bidi="ar"/>
        </w:rPr>
      </w:pPr>
      <w:bookmarkStart w:id="183" w:name="_Hlk215930486"/>
      <w:bookmarkStart w:id="184" w:name="OLE_LINK135"/>
      <w:r>
        <w:rPr>
          <w:rFonts w:ascii="Times New Roman"/>
          <w:b/>
          <w:bCs/>
          <w:lang w:bidi="ar"/>
        </w:rPr>
        <w:t>推</w:t>
      </w:r>
      <w:r>
        <w:rPr>
          <w:rFonts w:hint="eastAsia" w:ascii="Times New Roman"/>
          <w:b/>
          <w:bCs/>
          <w:lang w:bidi="ar"/>
        </w:rPr>
        <w:t>动交通</w:t>
      </w:r>
      <w:r>
        <w:rPr>
          <w:rFonts w:ascii="Times New Roman"/>
          <w:b/>
          <w:bCs/>
          <w:lang w:bidi="ar"/>
        </w:rPr>
        <w:t>与能源融合发展</w:t>
      </w:r>
      <w:bookmarkEnd w:id="183"/>
      <w:r>
        <w:rPr>
          <w:rFonts w:ascii="Times New Roman"/>
          <w:b/>
          <w:bCs/>
          <w:lang w:bidi="ar"/>
        </w:rPr>
        <w:t>。</w:t>
      </w:r>
      <w:bookmarkEnd w:id="184"/>
      <w:r>
        <w:rPr>
          <w:rFonts w:ascii="Times New Roman"/>
          <w:lang w:bidi="ar"/>
        </w:rPr>
        <w:t>加强</w:t>
      </w:r>
      <w:r>
        <w:rPr>
          <w:rFonts w:hint="eastAsia" w:ascii="Times New Roman"/>
          <w:lang w:bidi="ar"/>
        </w:rPr>
        <w:t>交通基础设施</w:t>
      </w:r>
      <w:r>
        <w:rPr>
          <w:rFonts w:ascii="Times New Roman"/>
          <w:lang w:bidi="ar"/>
        </w:rPr>
        <w:t>与能源基础设施统筹规划和一体化实施</w:t>
      </w:r>
      <w:r>
        <w:rPr>
          <w:rFonts w:hint="eastAsia" w:ascii="Times New Roman"/>
          <w:lang w:bidi="ar"/>
        </w:rPr>
        <w:t>。根据省统一安排，</w:t>
      </w:r>
      <w:bookmarkStart w:id="185" w:name="OLE_LINK177"/>
      <w:r>
        <w:rPr>
          <w:rFonts w:hint="eastAsia" w:ascii="Times New Roman"/>
          <w:lang w:bidi="ar"/>
        </w:rPr>
        <w:t>实施京港澳高速广东省段零碳公路运输通道建设，布局建设重卡充电站、超快充车位</w:t>
      </w:r>
      <w:bookmarkEnd w:id="185"/>
      <w:r>
        <w:rPr>
          <w:rFonts w:hint="eastAsia" w:ascii="Times New Roman"/>
          <w:lang w:bidi="ar"/>
        </w:rPr>
        <w:t>，完善公路沿线服务区对新能源重卡的补能设施、配套服务，打造电动重卡绿色补能廊道。</w:t>
      </w:r>
      <w:r>
        <w:rPr>
          <w:rFonts w:hint="eastAsia"/>
        </w:rPr>
        <w:t>支持“分布式光伏+交通”发展，</w:t>
      </w:r>
      <w:r>
        <w:rPr>
          <w:rFonts w:ascii="Times New Roman"/>
          <w:lang w:bidi="ar"/>
        </w:rPr>
        <w:t>利用高速公路服务区、道路边坡、互通区、收费站等空间，推进分布式光储设施布局</w:t>
      </w:r>
      <w:r>
        <w:rPr>
          <w:rFonts w:hint="eastAsia" w:ascii="Times New Roman"/>
          <w:lang w:bidi="ar"/>
        </w:rPr>
        <w:t>，</w:t>
      </w:r>
      <w:r>
        <w:rPr>
          <w:rFonts w:hint="eastAsia"/>
        </w:rPr>
        <w:t>推动交通运输行业光伏应用</w:t>
      </w:r>
      <w:r>
        <w:rPr>
          <w:rFonts w:ascii="Times New Roman"/>
          <w:lang w:bidi="ar"/>
        </w:rPr>
        <w:t>。因地制宜推动</w:t>
      </w:r>
      <w:r>
        <w:rPr>
          <w:rFonts w:hint="eastAsia" w:hAnsi="微软雅黑"/>
          <w:color w:val="333333"/>
          <w:shd w:val="clear" w:color="auto" w:fill="FFFFFF"/>
        </w:rPr>
        <w:t>高速公路服务区及交通基础设施沿线</w:t>
      </w:r>
      <w:r>
        <w:rPr>
          <w:rFonts w:ascii="Times New Roman"/>
          <w:lang w:bidi="ar"/>
        </w:rPr>
        <w:t>快充</w:t>
      </w:r>
      <w:r>
        <w:rPr>
          <w:rFonts w:hint="eastAsia" w:ascii="Times New Roman"/>
          <w:lang w:bidi="ar"/>
        </w:rPr>
        <w:t>（</w:t>
      </w:r>
      <w:r>
        <w:rPr>
          <w:rFonts w:ascii="Times New Roman"/>
          <w:lang w:bidi="ar"/>
        </w:rPr>
        <w:t>换</w:t>
      </w:r>
      <w:r>
        <w:rPr>
          <w:rFonts w:hint="eastAsia" w:ascii="Times New Roman"/>
          <w:lang w:bidi="ar"/>
        </w:rPr>
        <w:t>）</w:t>
      </w:r>
      <w:r>
        <w:rPr>
          <w:rFonts w:ascii="Times New Roman"/>
          <w:lang w:bidi="ar"/>
        </w:rPr>
        <w:t>电</w:t>
      </w:r>
      <w:r>
        <w:rPr>
          <w:rFonts w:hint="eastAsia" w:hAnsi="微软雅黑"/>
          <w:color w:val="333333"/>
          <w:shd w:val="clear" w:color="auto" w:fill="FFFFFF"/>
        </w:rPr>
        <w:t>设施建设，</w:t>
      </w:r>
      <w:r>
        <w:rPr>
          <w:rFonts w:hint="eastAsia" w:ascii="Times New Roman"/>
          <w:lang w:bidi="ar"/>
        </w:rPr>
        <w:t>鼓励</w:t>
      </w:r>
      <w:r>
        <w:rPr>
          <w:rFonts w:ascii="Times New Roman"/>
          <w:lang w:bidi="ar"/>
        </w:rPr>
        <w:t>具备条件的服务区向零碳、近零碳服务区升级改造。</w:t>
      </w:r>
      <w:r>
        <w:rPr>
          <w:rFonts w:hint="eastAsia" w:ascii="Times New Roman"/>
          <w:lang w:bidi="ar"/>
        </w:rPr>
        <w:t>新建一批公路服务设施。加强农村公路充换电服务保障。</w:t>
      </w:r>
    </w:p>
    <w:p w14:paraId="5A49AB14">
      <w:pPr>
        <w:ind w:firstLine="643" w:firstLineChars="200"/>
        <w:rPr>
          <w:rFonts w:hint="eastAsia" w:ascii="Times New Roman"/>
          <w:lang w:bidi="ar"/>
        </w:rPr>
      </w:pPr>
      <w:r>
        <w:rPr>
          <w:rFonts w:hint="eastAsia" w:ascii="Times New Roman"/>
          <w:b/>
          <w:bCs/>
          <w:lang w:bidi="ar"/>
        </w:rPr>
        <w:t>集约节约发展利用</w:t>
      </w:r>
      <w:r>
        <w:rPr>
          <w:rFonts w:hint="eastAsia" w:ascii="Times New Roman"/>
          <w:lang w:bidi="ar"/>
        </w:rPr>
        <w:t>。</w:t>
      </w:r>
      <w:r>
        <w:rPr>
          <w:rFonts w:ascii="Times New Roman"/>
          <w:lang w:bidi="ar"/>
        </w:rPr>
        <w:t>实现公路与铁路、高速公路与普通公路或城市道路的线位统筹和断面空间整合</w:t>
      </w:r>
      <w:r>
        <w:rPr>
          <w:rFonts w:hint="eastAsia" w:ascii="Times New Roman"/>
          <w:lang w:bidi="ar"/>
        </w:rPr>
        <w:t>。</w:t>
      </w:r>
      <w:r>
        <w:rPr>
          <w:rFonts w:ascii="Times New Roman"/>
          <w:lang w:bidi="ar"/>
        </w:rPr>
        <w:t>推动公路与河流堤防、水利堤坝等合建。推广公路基础设施节地技术。加强施工材料、废旧材料等资源循环利用。</w:t>
      </w:r>
      <w:r>
        <w:rPr>
          <w:rFonts w:hint="eastAsia" w:ascii="Times New Roman"/>
          <w:lang w:bidi="ar"/>
        </w:rPr>
        <w:t>加强公路生态保护、生态修复、生态养护管理等技术应用。交通重大建设项目与防洪规划、河道整治、岸线修复、中小河流治理项目同步谋划、同步实施，统筹港航建设与岸线防洪保护，统筹土地、岸线、资金要素，集约利用保留岸线。</w:t>
      </w:r>
    </w:p>
    <w:p w14:paraId="57350896">
      <w:pPr>
        <w:ind w:firstLine="643" w:firstLineChars="200"/>
        <w:rPr>
          <w:rFonts w:hint="eastAsia"/>
        </w:rPr>
      </w:pPr>
      <w:r>
        <w:rPr>
          <w:rFonts w:ascii="Times New Roman"/>
          <w:b/>
          <w:bCs/>
          <w:lang w:bidi="ar"/>
        </w:rPr>
        <w:t>加强生态环境保护。</w:t>
      </w:r>
      <w:r>
        <w:rPr>
          <w:rFonts w:ascii="Times New Roman"/>
          <w:lang w:bidi="ar"/>
        </w:rPr>
        <w:t>加强</w:t>
      </w:r>
      <w:r>
        <w:rPr>
          <w:rFonts w:hint="eastAsia" w:ascii="Times New Roman"/>
          <w:lang w:bidi="ar"/>
        </w:rPr>
        <w:t>交通规划</w:t>
      </w:r>
      <w:r>
        <w:rPr>
          <w:rFonts w:ascii="Times New Roman"/>
          <w:lang w:bidi="ar"/>
        </w:rPr>
        <w:t>与国土空间</w:t>
      </w:r>
      <w:r>
        <w:rPr>
          <w:rFonts w:hint="eastAsia" w:ascii="Times New Roman"/>
          <w:lang w:bidi="ar"/>
        </w:rPr>
        <w:t>总体</w:t>
      </w:r>
      <w:r>
        <w:rPr>
          <w:rFonts w:ascii="Times New Roman"/>
          <w:lang w:bidi="ar"/>
        </w:rPr>
        <w:t>规划</w:t>
      </w:r>
      <w:r>
        <w:rPr>
          <w:rFonts w:hint="eastAsia" w:ascii="Times New Roman"/>
          <w:lang w:bidi="ar"/>
        </w:rPr>
        <w:t>“</w:t>
      </w:r>
      <w:r>
        <w:rPr>
          <w:rFonts w:ascii="Times New Roman"/>
          <w:lang w:bidi="ar"/>
        </w:rPr>
        <w:t>三区三线</w:t>
      </w:r>
      <w:r>
        <w:rPr>
          <w:rFonts w:hint="eastAsia" w:ascii="Times New Roman"/>
          <w:lang w:bidi="ar"/>
        </w:rPr>
        <w:t>”</w:t>
      </w:r>
      <w:r>
        <w:rPr>
          <w:rFonts w:ascii="Times New Roman"/>
          <w:lang w:bidi="ar"/>
        </w:rPr>
        <w:t>的有效衔接，合理避让永久基本农田和生态保护红线。严格落实环境保护措施，强化生态环境保护工作，降低新改建项目对重要生态系统和保护物种的影响</w:t>
      </w:r>
      <w:r>
        <w:rPr>
          <w:rFonts w:hint="eastAsia" w:ascii="Times New Roman"/>
          <w:lang w:bidi="ar"/>
        </w:rPr>
        <w:t>。</w:t>
      </w:r>
      <w:r>
        <w:rPr>
          <w:rFonts w:ascii="Times New Roman"/>
          <w:lang w:bidi="ar"/>
        </w:rPr>
        <w:t>推进公路沿线区域噪声防控，加强</w:t>
      </w:r>
      <w:r>
        <w:rPr>
          <w:rFonts w:hint="eastAsia" w:ascii="Times New Roman"/>
          <w:lang w:bidi="ar"/>
        </w:rPr>
        <w:t>交通基础设施</w:t>
      </w:r>
      <w:r>
        <w:rPr>
          <w:rFonts w:ascii="Times New Roman"/>
          <w:lang w:bidi="ar"/>
        </w:rPr>
        <w:t>建设项目工地污染防控</w:t>
      </w:r>
      <w:r>
        <w:rPr>
          <w:rFonts w:hint="eastAsia" w:ascii="Times New Roman"/>
          <w:lang w:bidi="ar"/>
        </w:rPr>
        <w:t>。</w:t>
      </w:r>
    </w:p>
    <w:bookmarkEnd w:id="180"/>
    <w:p w14:paraId="28975908">
      <w:pPr>
        <w:pStyle w:val="3"/>
        <w:keepNext w:val="0"/>
        <w:keepLines w:val="0"/>
        <w:spacing w:before="0" w:after="0" w:line="360" w:lineRule="auto"/>
        <w:ind w:firstLine="643" w:firstLineChars="200"/>
        <w:rPr>
          <w:rFonts w:hint="eastAsia" w:ascii="仿宋" w:hAnsi="仿宋" w:eastAsia="仿宋"/>
          <w:b/>
          <w:bCs/>
          <w:color w:val="auto"/>
          <w:sz w:val="32"/>
        </w:rPr>
      </w:pPr>
      <w:bookmarkStart w:id="186" w:name="_Toc236065654"/>
      <w:r>
        <w:rPr>
          <w:rFonts w:hint="eastAsia" w:ascii="仿宋" w:hAnsi="仿宋" w:eastAsia="仿宋"/>
          <w:b/>
          <w:bCs/>
          <w:color w:val="auto"/>
          <w:sz w:val="32"/>
        </w:rPr>
        <w:t>（四）</w:t>
      </w:r>
      <w:bookmarkStart w:id="187" w:name="OLE_LINK127"/>
      <w:r>
        <w:rPr>
          <w:rFonts w:hint="eastAsia" w:ascii="仿宋" w:hAnsi="仿宋" w:eastAsia="仿宋"/>
          <w:b/>
          <w:bCs/>
          <w:color w:val="auto"/>
          <w:sz w:val="32"/>
        </w:rPr>
        <w:t>提升安全韧性保障能力</w:t>
      </w:r>
      <w:bookmarkEnd w:id="187"/>
      <w:r>
        <w:rPr>
          <w:rFonts w:hint="eastAsia" w:ascii="仿宋" w:hAnsi="仿宋" w:eastAsia="仿宋"/>
          <w:b/>
          <w:bCs/>
          <w:color w:val="auto"/>
          <w:sz w:val="32"/>
        </w:rPr>
        <w:t>。</w:t>
      </w:r>
      <w:bookmarkEnd w:id="148"/>
      <w:bookmarkEnd w:id="186"/>
    </w:p>
    <w:p w14:paraId="513F4905">
      <w:pPr>
        <w:ind w:firstLine="640" w:firstLineChars="200"/>
        <w:rPr>
          <w:rFonts w:hint="eastAsia"/>
        </w:rPr>
      </w:pPr>
      <w:bookmarkStart w:id="188" w:name="OLE_LINK128"/>
      <w:r>
        <w:rPr>
          <w:rFonts w:hint="eastAsia"/>
        </w:rPr>
        <w:t>提升全过程全链条防灾减灾能力。加大预防性养护投入力度。做好重大交通基础设施安全风险、运输行业维稳风险的监测识别、分类定级、预案演练。</w:t>
      </w:r>
      <w:r>
        <w:rPr>
          <w:rFonts w:hint="eastAsia" w:ascii="Times New Roman" w:hAnsi="Times New Roman" w:cs="Times New Roman"/>
          <w:lang w:bidi="ar"/>
        </w:rPr>
        <w:t>持续推进危旧桥梁（危隧）改造、安全设施精细化提升、灾害防治等。加强对风险较高的干线公路边坡、</w:t>
      </w:r>
      <w:r>
        <w:rPr>
          <w:rFonts w:hint="eastAsia"/>
        </w:rPr>
        <w:t>“老龄化”桥梁、长大桥梁（隧道）等交通基础设施的监测维护。</w:t>
      </w:r>
      <w:r>
        <w:rPr>
          <w:rFonts w:hint="eastAsia" w:hAnsi="微软雅黑"/>
          <w:color w:val="333333"/>
          <w:shd w:val="clear" w:color="auto" w:fill="FFFFFF"/>
        </w:rPr>
        <w:t>提升农村地区公路交通安全水平，开展农村公路及其桥梁隧道隐患排查和整治。</w:t>
      </w:r>
    </w:p>
    <w:p w14:paraId="03E118BD">
      <w:pPr>
        <w:ind w:firstLine="640" w:firstLineChars="200"/>
        <w:rPr>
          <w:rFonts w:hint="eastAsia"/>
        </w:rPr>
      </w:pPr>
      <w:bookmarkStart w:id="189" w:name="OLE_LINK108"/>
      <w:r>
        <w:rPr>
          <w:rFonts w:hint="eastAsia" w:ascii="Times New Roman" w:hAnsi="Times New Roman" w:cs="Times New Roman"/>
          <w:lang w:bidi="ar"/>
        </w:rPr>
        <w:t>提升交通基础设施安全韧性。</w:t>
      </w:r>
      <w:bookmarkEnd w:id="189"/>
      <w:r>
        <w:rPr>
          <w:rFonts w:hint="eastAsia"/>
        </w:rPr>
        <w:t>推进重点区域的多路径连接，关键通道规划形成“一主一备”双通道。</w:t>
      </w:r>
      <w:r>
        <w:rPr>
          <w:rFonts w:hint="eastAsia" w:ascii="Times New Roman" w:hAnsi="Times New Roman" w:cs="Times New Roman"/>
          <w:lang w:bidi="ar"/>
        </w:rPr>
        <w:t>针对高速公路与普通国省干线公路的长大桥梁、长大隧道、桥梁群、隧道群等开展结构监测，对风险较高的高速公路、普通国省干线公路边坡实施监测。</w:t>
      </w:r>
      <w:r>
        <w:rPr>
          <w:rFonts w:hint="eastAsia"/>
        </w:rPr>
        <w:t>推进“平急两用”交通设施建设，谋划高速公路服务区周边集散基地“平急两用”改造。跨北江、武江、浈江、锦江等主要河流的桥梁、疏港公路、临河路网等涉河交通工程，须严格执行防洪规划设防标准。交通路网、物流枢纽选址避让山洪及洪水高风险区，涉河交通工程同步配建防洪排涝设施。</w:t>
      </w:r>
    </w:p>
    <w:p w14:paraId="6D7ECEEB">
      <w:pPr>
        <w:ind w:firstLine="640" w:firstLineChars="200"/>
        <w:rPr>
          <w:rFonts w:hint="eastAsia"/>
        </w:rPr>
      </w:pPr>
      <w:r>
        <w:rPr>
          <w:rFonts w:hint="eastAsia"/>
        </w:rPr>
        <w:t>强化</w:t>
      </w:r>
      <w:bookmarkStart w:id="190" w:name="OLE_LINK143"/>
      <w:r>
        <w:rPr>
          <w:rFonts w:hint="eastAsia"/>
        </w:rPr>
        <w:t>交通基础设施养护管理，提高安全耐久性</w:t>
      </w:r>
      <w:bookmarkEnd w:id="190"/>
      <w:r>
        <w:rPr>
          <w:rFonts w:hint="eastAsia"/>
        </w:rPr>
        <w:t>。推动交通基础设施一体化规划建设管护。严格落实普通国省道巡查检查制度，加强普通国省道日常养护，及时修复公路设施病害。推动普通国省道大流量路段实施集中养护模式，同时逐步推行区域路网整体化养护模式。建立常态化预防性养护制度和周期性养护制度，构建以优良路率为核心的动态评估机制，实现公路养护由被动防护向主动预防转变，使公路养护步入良性循环。</w:t>
      </w:r>
      <w:bookmarkStart w:id="191" w:name="_Hlk236082061"/>
    </w:p>
    <w:bookmarkEnd w:id="191"/>
    <w:p w14:paraId="34D4F96B">
      <w:pPr>
        <w:ind w:firstLine="640" w:firstLineChars="200"/>
        <w:rPr>
          <w:rFonts w:ascii="Times New Roman" w:hAnsi="Times New Roman" w:cs="Times New Roman"/>
          <w:lang w:bidi="ar"/>
        </w:rPr>
      </w:pPr>
      <w:r>
        <w:rPr>
          <w:rFonts w:ascii="Times New Roman" w:hAnsi="Times New Roman" w:cs="Times New Roman"/>
          <w:lang w:bidi="ar"/>
        </w:rPr>
        <w:t>用好广东省</w:t>
      </w:r>
      <w:r>
        <w:rPr>
          <w:rFonts w:hint="eastAsia" w:ascii="Times New Roman" w:cs="Times New Roman"/>
          <w:lang w:bidi="ar"/>
        </w:rPr>
        <w:t>“</w:t>
      </w:r>
      <w:r>
        <w:rPr>
          <w:rFonts w:ascii="Times New Roman" w:hAnsi="Times New Roman" w:cs="Times New Roman"/>
          <w:lang w:bidi="ar"/>
        </w:rPr>
        <w:t>两客一危一重</w:t>
      </w:r>
      <w:r>
        <w:rPr>
          <w:rFonts w:hint="eastAsia" w:ascii="Times New Roman" w:cs="Times New Roman"/>
          <w:lang w:bidi="ar"/>
        </w:rPr>
        <w:t>”</w:t>
      </w:r>
      <w:r>
        <w:rPr>
          <w:rFonts w:ascii="Times New Roman" w:hAnsi="Times New Roman" w:cs="Times New Roman"/>
          <w:lang w:bidi="ar"/>
        </w:rPr>
        <w:t>车辆智能监管系统，压实道路货运企业主体责任，强化对危险货物运输车和重型货车运输过程监测，及时发现和处置</w:t>
      </w:r>
      <w:r>
        <w:rPr>
          <w:rFonts w:hint="eastAsia" w:ascii="Times New Roman" w:cs="Times New Roman"/>
          <w:lang w:bidi="ar"/>
        </w:rPr>
        <w:t>违法违规</w:t>
      </w:r>
      <w:r>
        <w:rPr>
          <w:rFonts w:ascii="Times New Roman" w:hAnsi="Times New Roman" w:cs="Times New Roman"/>
          <w:lang w:bidi="ar"/>
        </w:rPr>
        <w:t>驾驶等行为，预防和减少道路交通事故。</w:t>
      </w:r>
    </w:p>
    <w:p w14:paraId="69715503">
      <w:pPr>
        <w:ind w:firstLine="640" w:firstLineChars="200"/>
        <w:rPr>
          <w:rFonts w:ascii="Times New Roman" w:hAnsi="Times New Roman" w:cs="Times New Roman"/>
          <w:lang w:bidi="ar"/>
        </w:rPr>
      </w:pPr>
      <w:r>
        <w:rPr>
          <w:rFonts w:ascii="Times New Roman" w:hAnsi="Times New Roman" w:cs="Times New Roman"/>
          <w:lang w:bidi="ar"/>
        </w:rPr>
        <w:t>持续建设暖心服务</w:t>
      </w:r>
      <w:r>
        <w:rPr>
          <w:rFonts w:hint="eastAsia" w:ascii="Times New Roman" w:cs="Times New Roman"/>
          <w:lang w:bidi="ar"/>
        </w:rPr>
        <w:t>“</w:t>
      </w:r>
      <w:r>
        <w:rPr>
          <w:rFonts w:ascii="Times New Roman" w:hAnsi="Times New Roman" w:cs="Times New Roman"/>
          <w:lang w:bidi="ar"/>
        </w:rPr>
        <w:t>司机之家</w:t>
      </w:r>
      <w:r>
        <w:rPr>
          <w:rFonts w:hint="eastAsia" w:ascii="Times New Roman" w:cs="Times New Roman"/>
          <w:lang w:bidi="ar"/>
        </w:rPr>
        <w:t>”</w:t>
      </w:r>
      <w:r>
        <w:rPr>
          <w:rFonts w:ascii="Times New Roman" w:hAnsi="Times New Roman" w:cs="Times New Roman"/>
          <w:lang w:bidi="ar"/>
        </w:rPr>
        <w:t>，推动高速公路和国省干线公路服务区完善货车停车、充电、维修等设施及司机休息、餐饮等生活服务功能。</w:t>
      </w:r>
    </w:p>
    <w:p w14:paraId="3BD73772">
      <w:pPr>
        <w:ind w:firstLine="640" w:firstLineChars="200"/>
        <w:rPr>
          <w:rFonts w:hint="eastAsia" w:hAnsi="微软雅黑"/>
          <w:color w:val="333333"/>
          <w:shd w:val="clear" w:color="auto" w:fill="FFFFFF"/>
        </w:rPr>
      </w:pPr>
      <w:r>
        <w:rPr>
          <w:rFonts w:hint="eastAsia" w:hAnsi="微软雅黑"/>
          <w:color w:val="333333"/>
          <w:shd w:val="clear" w:color="auto" w:fill="FFFFFF"/>
        </w:rPr>
        <w:t>加强应急能力建设。建设韶关省级公路应急保障中心，推动市级公路应急保障中心建设，构建部、省、市公路交通应急保障体系，提升普通国省道安全应急保障水平。制定科学合理的应急预案并定期开展演练，配备充足的应急物资，确保一旦发生意外事件，能够迅速响应、有效处置，减少损失和不良影响，维护行业安全稳定。完善“专业＋社会”应急救援力量。</w:t>
      </w:r>
      <w:bookmarkEnd w:id="149"/>
      <w:bookmarkStart w:id="192" w:name="_Toc77678601"/>
    </w:p>
    <w:bookmarkEnd w:id="188"/>
    <w:p w14:paraId="4A76E4B5">
      <w:pPr>
        <w:pStyle w:val="3"/>
        <w:keepNext w:val="0"/>
        <w:keepLines w:val="0"/>
        <w:spacing w:before="0" w:after="0" w:line="360" w:lineRule="auto"/>
        <w:ind w:firstLine="643" w:firstLineChars="200"/>
        <w:rPr>
          <w:rFonts w:hint="eastAsia" w:ascii="仿宋" w:hAnsi="仿宋" w:eastAsia="仿宋"/>
          <w:b/>
          <w:bCs/>
          <w:color w:val="auto"/>
          <w:sz w:val="32"/>
        </w:rPr>
      </w:pPr>
      <w:bookmarkStart w:id="193" w:name="_Toc236065655"/>
      <w:r>
        <w:rPr>
          <w:rFonts w:hint="eastAsia" w:ascii="仿宋" w:hAnsi="仿宋" w:eastAsia="仿宋"/>
          <w:b/>
          <w:bCs/>
          <w:color w:val="auto"/>
          <w:sz w:val="32"/>
        </w:rPr>
        <w:t>（五）</w:t>
      </w:r>
      <w:bookmarkStart w:id="194" w:name="OLE_LINK125"/>
      <w:r>
        <w:rPr>
          <w:rFonts w:hint="eastAsia" w:ascii="仿宋" w:hAnsi="仿宋" w:eastAsia="仿宋"/>
          <w:b/>
          <w:bCs/>
          <w:color w:val="auto"/>
          <w:sz w:val="32"/>
        </w:rPr>
        <w:t>加强行业治理能力建设</w:t>
      </w:r>
      <w:bookmarkEnd w:id="194"/>
      <w:r>
        <w:rPr>
          <w:rFonts w:hint="eastAsia" w:ascii="仿宋" w:hAnsi="仿宋" w:eastAsia="仿宋"/>
          <w:b/>
          <w:bCs/>
          <w:color w:val="auto"/>
          <w:sz w:val="32"/>
        </w:rPr>
        <w:t>。</w:t>
      </w:r>
      <w:bookmarkEnd w:id="193"/>
    </w:p>
    <w:p w14:paraId="4E30DADB">
      <w:pPr>
        <w:ind w:firstLine="643" w:firstLineChars="200"/>
        <w:rPr>
          <w:rFonts w:hint="eastAsia" w:hAnsi="微软雅黑"/>
          <w:color w:val="333333"/>
          <w:shd w:val="clear" w:color="auto" w:fill="FFFFFF"/>
        </w:rPr>
      </w:pPr>
      <w:bookmarkStart w:id="195" w:name="OLE_LINK155"/>
      <w:bookmarkStart w:id="196" w:name="OLE_LINK161"/>
      <w:r>
        <w:rPr>
          <w:rFonts w:hint="eastAsia" w:hAnsi="微软雅黑"/>
          <w:b/>
          <w:bCs/>
          <w:color w:val="333333"/>
          <w:shd w:val="clear" w:color="auto" w:fill="FFFFFF"/>
        </w:rPr>
        <w:t>深化交通体制机制改革</w:t>
      </w:r>
      <w:bookmarkEnd w:id="195"/>
      <w:r>
        <w:rPr>
          <w:rFonts w:hint="eastAsia" w:hAnsi="微软雅黑"/>
          <w:b/>
          <w:bCs/>
          <w:color w:val="333333"/>
          <w:shd w:val="clear" w:color="auto" w:fill="FFFFFF"/>
        </w:rPr>
        <w:t>。</w:t>
      </w:r>
      <w:bookmarkEnd w:id="196"/>
      <w:bookmarkStart w:id="197" w:name="OLE_LINK162"/>
      <w:r>
        <w:rPr>
          <w:rFonts w:hint="eastAsia" w:hAnsi="微软雅黑"/>
          <w:color w:val="333333"/>
          <w:shd w:val="clear" w:color="auto" w:fill="FFFFFF"/>
        </w:rPr>
        <w:t>深化交通大部门制改革，推动完善韶关市级综合交通规划建设管理职能。理顺公路养护管理事权关系。推进公路与城市道路规划建设管理一体化。完善物流行业管理体制机制。</w:t>
      </w:r>
      <w:bookmarkEnd w:id="197"/>
      <w:r>
        <w:rPr>
          <w:rFonts w:hint="eastAsia" w:hAnsi="微软雅黑"/>
          <w:color w:val="333333"/>
          <w:shd w:val="clear" w:color="auto" w:fill="FFFFFF"/>
        </w:rPr>
        <w:t>推进铁路、公路、水路、民用航空、通用航空、低空飞行等运输方式统筹协同发展。创新投融资机制，构建起以公共财政投入为主、多渠道筹措为辅的农村公路发展资金保障格局。</w:t>
      </w:r>
    </w:p>
    <w:p w14:paraId="4348DB00">
      <w:pPr>
        <w:spacing w:line="560" w:lineRule="exact"/>
        <w:ind w:firstLine="643" w:firstLineChars="200"/>
        <w:rPr>
          <w:rFonts w:hint="eastAsia" w:hAnsi="微软雅黑"/>
          <w:color w:val="333333"/>
          <w:shd w:val="clear" w:color="auto" w:fill="FFFFFF"/>
        </w:rPr>
      </w:pPr>
      <w:bookmarkStart w:id="198" w:name="OLE_LINK152"/>
      <w:r>
        <w:rPr>
          <w:rFonts w:hint="eastAsia" w:hAnsi="微软雅黑"/>
          <w:b/>
          <w:bCs/>
          <w:color w:val="333333"/>
          <w:shd w:val="clear" w:color="auto" w:fill="FFFFFF"/>
        </w:rPr>
        <w:t>加强信用交通建设</w:t>
      </w:r>
      <w:bookmarkEnd w:id="198"/>
      <w:r>
        <w:rPr>
          <w:rFonts w:hint="eastAsia" w:hAnsi="微软雅黑"/>
          <w:b/>
          <w:bCs/>
          <w:color w:val="333333"/>
          <w:shd w:val="clear" w:color="auto" w:fill="FFFFFF"/>
        </w:rPr>
        <w:t>。</w:t>
      </w:r>
      <w:r>
        <w:rPr>
          <w:rFonts w:hint="eastAsia" w:hAnsi="微软雅黑"/>
          <w:color w:val="333333"/>
          <w:shd w:val="clear" w:color="auto" w:fill="FFFFFF"/>
        </w:rPr>
        <w:t>推进行业治理从“管行为”向“管信用”转变，完善守信激励和失信惩戒制度，</w:t>
      </w:r>
      <w:r>
        <w:rPr>
          <w:rFonts w:hint="eastAsia" w:ascii="Times New Roman" w:hAnsi="Times New Roman" w:cs="Times New Roman"/>
        </w:rPr>
        <w:t>将交通建设、养护、运营企业信用状况与市场准入、招投标活动、</w:t>
      </w:r>
      <w:r>
        <w:rPr>
          <w:rFonts w:ascii="Times New Roman" w:hAnsi="Times New Roman" w:cs="Times New Roman"/>
        </w:rPr>
        <w:t>资金补助</w:t>
      </w:r>
      <w:r>
        <w:rPr>
          <w:rFonts w:hint="eastAsia" w:ascii="Times New Roman" w:hAnsi="Times New Roman" w:cs="Times New Roman"/>
        </w:rPr>
        <w:t>等紧密挂钩，形成“守信激励、失信惩戒”的良性机制，营造公平竞争、优胜劣汰的市场环境。</w:t>
      </w:r>
      <w:r>
        <w:rPr>
          <w:rFonts w:hint="eastAsia" w:hAnsi="微软雅黑"/>
          <w:color w:val="333333"/>
          <w:shd w:val="clear" w:color="auto" w:fill="FFFFFF"/>
        </w:rPr>
        <w:t>逐步实现省市交通信用数据对接，实现公共信用信息互通共享。</w:t>
      </w:r>
    </w:p>
    <w:p w14:paraId="59CB7375">
      <w:pPr>
        <w:ind w:firstLine="643" w:firstLineChars="200"/>
        <w:rPr>
          <w:rFonts w:hint="eastAsia" w:hAnsi="微软雅黑"/>
          <w:color w:val="333333"/>
          <w:shd w:val="clear" w:color="auto" w:fill="FFFFFF"/>
        </w:rPr>
      </w:pPr>
      <w:bookmarkStart w:id="199" w:name="OLE_LINK153"/>
      <w:r>
        <w:rPr>
          <w:rFonts w:hint="eastAsia" w:hAnsi="微软雅黑"/>
          <w:b/>
          <w:bCs/>
          <w:color w:val="333333"/>
          <w:shd w:val="clear" w:color="auto" w:fill="FFFFFF"/>
        </w:rPr>
        <w:t>营造良好营商环境</w:t>
      </w:r>
      <w:bookmarkEnd w:id="199"/>
      <w:r>
        <w:rPr>
          <w:rFonts w:hint="eastAsia" w:hAnsi="微软雅黑"/>
          <w:b/>
          <w:bCs/>
          <w:color w:val="333333"/>
          <w:shd w:val="clear" w:color="auto" w:fill="FFFFFF"/>
        </w:rPr>
        <w:t>。</w:t>
      </w:r>
      <w:r>
        <w:rPr>
          <w:rFonts w:hint="eastAsia" w:hAnsi="微软雅黑"/>
          <w:color w:val="333333"/>
          <w:shd w:val="clear" w:color="auto" w:fill="FFFFFF"/>
        </w:rPr>
        <w:t>深入推进“放管服”改革，围绕政务服务、行业监管、交通基础设施建设、综合运输服务等方面，推行交通运输政务服务便利化。建立适应交通运输新业态发展的高效便捷准入机制，探索“沙盒监管”、触发式监管等新型监管方式。完善落实鼓励支持民营交通企业发展、道路运输企业转型发展的政策措施。进一步完善交通综合执法体制，推行包容审慎柔性执法，不断提升交通运输综合执法素质和执法服务水平，体现交通运输的执法温度。</w:t>
      </w:r>
    </w:p>
    <w:bookmarkEnd w:id="192"/>
    <w:p w14:paraId="6D19381A">
      <w:pPr>
        <w:spacing w:line="560" w:lineRule="exact"/>
        <w:ind w:firstLine="640" w:firstLineChars="200"/>
        <w:outlineLvl w:val="0"/>
        <w:rPr>
          <w:rFonts w:hint="eastAsia" w:ascii="Times New Roman" w:hAnsi="黑体"/>
          <w:lang w:val="zh-CN"/>
        </w:rPr>
      </w:pPr>
      <w:bookmarkStart w:id="200" w:name="_Toc236065656"/>
      <w:bookmarkStart w:id="201" w:name="_Toc77678608"/>
      <w:r>
        <w:rPr>
          <w:rFonts w:hint="eastAsia" w:ascii="Times New Roman" w:hAnsi="黑体" w:eastAsia="黑体" w:cs="Times New Roman"/>
          <w:bCs/>
          <w:szCs w:val="36"/>
          <w:lang w:val="zh-CN"/>
        </w:rPr>
        <w:t>七、保障措施</w:t>
      </w:r>
      <w:bookmarkEnd w:id="200"/>
      <w:bookmarkEnd w:id="201"/>
    </w:p>
    <w:p w14:paraId="7B8A2D29">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02" w:name="_Toc236065657"/>
      <w:bookmarkStart w:id="203" w:name="_Toc43798082"/>
      <w:bookmarkStart w:id="204" w:name="_Toc43903374"/>
      <w:bookmarkStart w:id="205" w:name="_Toc44232279"/>
      <w:bookmarkStart w:id="206" w:name="_Toc39653328"/>
      <w:bookmarkStart w:id="207" w:name="_Toc212449318"/>
      <w:bookmarkStart w:id="208" w:name="_Toc77678609"/>
      <w:r>
        <w:rPr>
          <w:rFonts w:hint="eastAsia" w:ascii="仿宋_GB2312" w:hAnsi="仿宋" w:eastAsia="仿宋_GB2312"/>
          <w:b/>
          <w:bCs/>
          <w:color w:val="auto"/>
          <w:sz w:val="32"/>
        </w:rPr>
        <w:t>（一）加强重大项目支撑。</w:t>
      </w:r>
      <w:bookmarkEnd w:id="202"/>
    </w:p>
    <w:p w14:paraId="7EF37780">
      <w:pPr>
        <w:spacing w:line="560" w:lineRule="exact"/>
        <w:ind w:firstLine="640" w:firstLineChars="200"/>
        <w:rPr>
          <w:rFonts w:hint="eastAsia" w:hAnsi="仿宋_GB2312"/>
          <w:kern w:val="0"/>
        </w:rPr>
      </w:pPr>
      <w:r>
        <w:rPr>
          <w:rFonts w:hAnsi="Times New Roman" w:cs="Times New Roman"/>
        </w:rPr>
        <w:t>以规划为指导，以重大项目为抓手，实施一批重大标志性工程项目，制定实施年度目标任务计划，突出重点，推动五年规划项目落地实施。</w:t>
      </w:r>
    </w:p>
    <w:p w14:paraId="5D3C6235">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09" w:name="_Toc236065658"/>
      <w:r>
        <w:rPr>
          <w:rFonts w:hint="eastAsia" w:ascii="仿宋_GB2312" w:hAnsi="仿宋" w:eastAsia="仿宋_GB2312"/>
          <w:b/>
          <w:bCs/>
          <w:color w:val="auto"/>
          <w:sz w:val="32"/>
        </w:rPr>
        <w:t>（二）加强组织领导协调</w:t>
      </w:r>
      <w:bookmarkEnd w:id="203"/>
      <w:bookmarkEnd w:id="204"/>
      <w:bookmarkEnd w:id="205"/>
      <w:bookmarkEnd w:id="206"/>
      <w:r>
        <w:rPr>
          <w:rFonts w:hint="eastAsia" w:ascii="仿宋_GB2312" w:hAnsi="仿宋" w:eastAsia="仿宋_GB2312"/>
          <w:b/>
          <w:bCs/>
          <w:color w:val="auto"/>
          <w:sz w:val="32"/>
        </w:rPr>
        <w:t>。</w:t>
      </w:r>
      <w:bookmarkEnd w:id="207"/>
      <w:bookmarkEnd w:id="208"/>
      <w:bookmarkEnd w:id="209"/>
    </w:p>
    <w:p w14:paraId="70907D11">
      <w:pPr>
        <w:spacing w:line="360" w:lineRule="auto"/>
        <w:ind w:firstLine="560"/>
        <w:rPr>
          <w:rFonts w:hint="eastAsia"/>
        </w:rPr>
      </w:pPr>
      <w:r>
        <w:rPr>
          <w:rFonts w:hint="eastAsia"/>
        </w:rPr>
        <w:t>各有关部门要加强沟通配合，完善重大交通项目建设协调会商制度，充分发挥韶关市国家物流枢纽承载城市建设领导小组统筹协调功能，及时研究协调重大项目前期工作中涉及土地、选址、环保、资金等方面事项，统筹解决项目推进关键问题。将交通重大项目推进的相关工作任务完成情况纳入年度考核范畴，形成共同推进的工作格局，确保规划落到实处。</w:t>
      </w:r>
    </w:p>
    <w:p w14:paraId="721AF201">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10" w:name="_Toc236065659"/>
      <w:r>
        <w:rPr>
          <w:rFonts w:hint="eastAsia" w:ascii="仿宋_GB2312" w:hAnsi="仿宋" w:eastAsia="仿宋_GB2312"/>
          <w:b/>
          <w:bCs/>
          <w:color w:val="auto"/>
          <w:sz w:val="32"/>
        </w:rPr>
        <w:t>（三）加强规划对接衔接。</w:t>
      </w:r>
      <w:bookmarkEnd w:id="210"/>
    </w:p>
    <w:p w14:paraId="0EC301E2">
      <w:pPr>
        <w:spacing w:line="360" w:lineRule="auto"/>
        <w:ind w:firstLine="560"/>
        <w:rPr>
          <w:rFonts w:hint="eastAsia"/>
        </w:rPr>
      </w:pPr>
      <w:r>
        <w:rPr>
          <w:rFonts w:hint="eastAsia"/>
        </w:rPr>
        <w:t>强化规划引领，做好各县（区、市）综合交通运输体系发展规划与本规划衔接，加强发展目标、重点任务、重大项目等方面对接，推动各种运输方式一体衔接。加强本规划与能源、水利、信息、科技、生态环保、市政等其他领域基础设施规划统筹衔接，促进不同基础设施间的融合联动发展。本规划确定的重大项目纳入市国土空间总体规划，做好规划控制。</w:t>
      </w:r>
    </w:p>
    <w:p w14:paraId="6A2BF5C5">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11" w:name="_Toc192774075"/>
      <w:bookmarkStart w:id="212" w:name="_Toc77678610"/>
      <w:bookmarkStart w:id="213" w:name="_Toc236065660"/>
      <w:bookmarkStart w:id="214" w:name="_Toc212449319"/>
      <w:r>
        <w:rPr>
          <w:rFonts w:hint="eastAsia" w:ascii="仿宋_GB2312" w:hAnsi="仿宋" w:eastAsia="仿宋_GB2312"/>
          <w:b/>
          <w:bCs/>
          <w:color w:val="auto"/>
          <w:sz w:val="32"/>
        </w:rPr>
        <w:t>（四）加强资金统筹保障。</w:t>
      </w:r>
      <w:bookmarkEnd w:id="211"/>
      <w:bookmarkEnd w:id="212"/>
      <w:bookmarkEnd w:id="213"/>
      <w:bookmarkEnd w:id="214"/>
    </w:p>
    <w:p w14:paraId="33806906">
      <w:pPr>
        <w:spacing w:line="360" w:lineRule="auto"/>
        <w:ind w:firstLine="560"/>
        <w:rPr>
          <w:rFonts w:hint="eastAsia"/>
        </w:rPr>
      </w:pPr>
      <w:r>
        <w:rPr>
          <w:rFonts w:hint="eastAsia"/>
        </w:rPr>
        <w:t>争取高速公路项目纳入省“统贷统还”平台。研究争取超长期国债、专项债、交通运输领域重点项目资金、政策性金融工具等资金支持。争创国家级示范获得奖励资金。探索交通基础设施建设筹融资新途径，积极吸纳社会资金，引进实力雄厚的央企或国企。加大政府财政资金对交通基础设施投入，用好全市重大项目重大平台统筹机制，积极调配政府债券额度，推动重大交通基础设施项目建设。对特许经营的经济收益相对较好的交通基础设施，充分利用市场机制运作，积极推行投融资体制改革，扩大项目直接融资的份额。创新交通运输行业投融资管理模式。落实专项债券作为符合条件重大项目资本金措施。加大金融支持交通发展力度。落实干线公路桥梁经常检查、日常保养、预防性养护和定期检查资金要求。</w:t>
      </w:r>
    </w:p>
    <w:p w14:paraId="6049D894">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15" w:name="_Toc77678612"/>
      <w:bookmarkStart w:id="216" w:name="_Toc192774076"/>
      <w:bookmarkStart w:id="217" w:name="_Toc236065661"/>
      <w:bookmarkStart w:id="218" w:name="_Toc212449320"/>
      <w:r>
        <w:rPr>
          <w:rFonts w:hint="eastAsia" w:ascii="仿宋_GB2312" w:hAnsi="仿宋" w:eastAsia="仿宋_GB2312"/>
          <w:b/>
          <w:bCs/>
          <w:color w:val="auto"/>
          <w:sz w:val="32"/>
        </w:rPr>
        <w:t>（五）加强土地要素保障。</w:t>
      </w:r>
      <w:bookmarkEnd w:id="215"/>
      <w:bookmarkEnd w:id="216"/>
      <w:bookmarkEnd w:id="217"/>
      <w:bookmarkEnd w:id="218"/>
    </w:p>
    <w:p w14:paraId="0C0697F6">
      <w:pPr>
        <w:spacing w:line="360" w:lineRule="auto"/>
        <w:ind w:firstLine="560"/>
        <w:rPr>
          <w:rFonts w:hint="eastAsia"/>
        </w:rPr>
      </w:pPr>
      <w:r>
        <w:rPr>
          <w:rFonts w:hint="eastAsia"/>
        </w:rPr>
        <w:t>把握国土空间总体规划调整窗口，预留战略性通道空间，将交通运输建设用地纳入国土空间总体规划中统筹安排。建立土地总量控制的交通用地管理机制，建立土地用地计划预报制度。遵守国家土地政策、落实占补平衡，结合土地管理政策，合理安排交通建设项目，优先考虑土地利用效率高、单位土地交通承载量大的高速铁路、高速公路等交通项目。</w:t>
      </w:r>
      <w:bookmarkStart w:id="219" w:name="_Toc407028451"/>
      <w:bookmarkStart w:id="220" w:name="_Toc446427180"/>
    </w:p>
    <w:bookmarkEnd w:id="219"/>
    <w:bookmarkEnd w:id="220"/>
    <w:p w14:paraId="740064F2">
      <w:pPr>
        <w:pStyle w:val="3"/>
        <w:keepNext w:val="0"/>
        <w:keepLines w:val="0"/>
        <w:spacing w:before="0" w:after="0" w:line="360" w:lineRule="auto"/>
        <w:ind w:firstLine="643" w:firstLineChars="200"/>
        <w:rPr>
          <w:rFonts w:hint="eastAsia" w:ascii="仿宋_GB2312" w:hAnsi="仿宋" w:eastAsia="仿宋_GB2312"/>
          <w:b/>
          <w:bCs/>
          <w:color w:val="auto"/>
          <w:sz w:val="32"/>
        </w:rPr>
      </w:pPr>
      <w:bookmarkStart w:id="221" w:name="_Toc608413784"/>
      <w:bookmarkStart w:id="222" w:name="_Toc70668592"/>
      <w:bookmarkStart w:id="223" w:name="_Toc77678615"/>
      <w:bookmarkStart w:id="224" w:name="_Toc236065662"/>
      <w:bookmarkStart w:id="225" w:name="_Toc192774077"/>
      <w:bookmarkStart w:id="226" w:name="_Toc212449321"/>
      <w:r>
        <w:rPr>
          <w:rFonts w:hint="eastAsia" w:ascii="仿宋_GB2312" w:hAnsi="仿宋" w:eastAsia="仿宋_GB2312"/>
          <w:b/>
          <w:bCs/>
          <w:color w:val="auto"/>
          <w:sz w:val="32"/>
        </w:rPr>
        <w:t>（六）加强监督考核评估</w:t>
      </w:r>
      <w:bookmarkEnd w:id="221"/>
      <w:bookmarkEnd w:id="222"/>
      <w:r>
        <w:rPr>
          <w:rFonts w:hint="eastAsia" w:ascii="仿宋_GB2312" w:hAnsi="仿宋" w:eastAsia="仿宋_GB2312"/>
          <w:b/>
          <w:bCs/>
          <w:color w:val="auto"/>
          <w:sz w:val="32"/>
        </w:rPr>
        <w:t>。</w:t>
      </w:r>
      <w:bookmarkEnd w:id="223"/>
      <w:bookmarkEnd w:id="224"/>
      <w:bookmarkEnd w:id="225"/>
      <w:bookmarkEnd w:id="226"/>
    </w:p>
    <w:p w14:paraId="4E2D9B0A">
      <w:pPr>
        <w:ind w:firstLine="640" w:firstLineChars="200"/>
        <w:rPr>
          <w:rFonts w:hint="eastAsia"/>
        </w:rPr>
      </w:pPr>
      <w:r>
        <w:rPr>
          <w:rFonts w:hint="eastAsia"/>
        </w:rPr>
        <w:t>建立健全规划推进的考核评价机制，预判规划实施风险，适时调整规划和发展任务。引入专家学者、公众参与、第三方机构等开展规划实施评估，增强规划考核的客观性、可操作性。加大规划宣传力度，积极引导公众参与、了解规划过程，形成全社会关心交通发展、参与规划实施和共同评价监督良好氛围。</w:t>
      </w:r>
    </w:p>
    <w:sectPr>
      <w:footerReference r:id="rId6" w:type="default"/>
      <w:pgSz w:w="11906" w:h="16838"/>
      <w:pgMar w:top="1418" w:right="1644" w:bottom="1418" w:left="1644" w:header="851" w:footer="85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ntury Gothic">
    <w:panose1 w:val="020B0502020202020204"/>
    <w:charset w:val="00"/>
    <w:family w:val="swiss"/>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DFF14">
    <w:pPr>
      <w:pStyle w:val="17"/>
      <w:jc w:val="center"/>
      <w:rPr>
        <w:rFonts w:ascii="Times New Roman" w:hAnsi="Times New Roman" w:cs="Times New Roman"/>
        <w:b/>
        <w:bCs/>
        <w:sz w:val="21"/>
        <w:szCs w:val="21"/>
      </w:rPr>
    </w:pPr>
  </w:p>
  <w:p w14:paraId="3C8F4389">
    <w:pPr>
      <w:pStyle w:val="1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7B8A0">
    <w:pPr>
      <w:pStyle w:val="17"/>
      <w:jc w:val="center"/>
      <w:rPr>
        <w:rFonts w:ascii="Times New Roman" w:hAnsi="Times New Roman" w:cs="Times New Roman"/>
        <w:b/>
        <w:bCs/>
        <w:sz w:val="21"/>
        <w:szCs w:val="21"/>
      </w:rPr>
    </w:pPr>
  </w:p>
  <w:p w14:paraId="7592AF55">
    <w:pPr>
      <w:pStyle w:val="1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7499462"/>
    </w:sdtPr>
    <w:sdtEndPr>
      <w:rPr>
        <w:rFonts w:ascii="Times New Roman" w:hAnsi="Times New Roman" w:cs="Times New Roman"/>
        <w:b/>
        <w:bCs/>
        <w:sz w:val="22"/>
        <w:szCs w:val="22"/>
      </w:rPr>
    </w:sdtEndPr>
    <w:sdtContent>
      <w:p w14:paraId="719C89F6">
        <w:pPr>
          <w:pStyle w:val="17"/>
          <w:jc w:val="center"/>
          <w:rPr>
            <w:rFonts w:ascii="Times New Roman" w:hAnsi="Times New Roman" w:cs="Times New Roman"/>
            <w:b/>
            <w:bCs/>
            <w:sz w:val="22"/>
            <w:szCs w:val="22"/>
          </w:rPr>
        </w:pPr>
        <w:r>
          <w:rPr>
            <w:rFonts w:ascii="Times New Roman" w:hAnsi="Times New Roman" w:cs="Times New Roman"/>
            <w:b/>
            <w:bCs/>
            <w:sz w:val="22"/>
            <w:szCs w:val="22"/>
          </w:rPr>
          <w:fldChar w:fldCharType="begin"/>
        </w:r>
        <w:r>
          <w:rPr>
            <w:rFonts w:ascii="Times New Roman" w:hAnsi="Times New Roman" w:cs="Times New Roman"/>
            <w:b/>
            <w:bCs/>
            <w:sz w:val="22"/>
            <w:szCs w:val="22"/>
          </w:rPr>
          <w:instrText xml:space="preserve">PAGE   \* MERGEFORMAT</w:instrText>
        </w:r>
        <w:r>
          <w:rPr>
            <w:rFonts w:ascii="Times New Roman" w:hAnsi="Times New Roman" w:cs="Times New Roman"/>
            <w:b/>
            <w:bCs/>
            <w:sz w:val="22"/>
            <w:szCs w:val="22"/>
          </w:rPr>
          <w:fldChar w:fldCharType="separate"/>
        </w:r>
        <w:r>
          <w:rPr>
            <w:rFonts w:ascii="Times New Roman" w:hAnsi="Times New Roman" w:cs="Times New Roman"/>
            <w:b/>
            <w:bCs/>
            <w:sz w:val="22"/>
            <w:szCs w:val="22"/>
            <w:lang w:val="zh-CN"/>
          </w:rPr>
          <w:t>2</w:t>
        </w:r>
        <w:r>
          <w:rPr>
            <w:rFonts w:ascii="Times New Roman" w:hAnsi="Times New Roman" w:cs="Times New Roman"/>
            <w:b/>
            <w:bCs/>
            <w:sz w:val="22"/>
            <w:szCs w:val="22"/>
          </w:rPr>
          <w:fldChar w:fldCharType="end"/>
        </w:r>
      </w:p>
    </w:sdtContent>
  </w:sdt>
  <w:p w14:paraId="1D65886C">
    <w:pPr>
      <w:pStyle w:val="17"/>
      <w:rPr>
        <w:rFonts w:hint="eastAsia"/>
      </w:rPr>
    </w:pPr>
  </w:p>
  <w:p w14:paraId="5B2F59FF">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4D49CA85">
      <w:pPr>
        <w:pStyle w:val="22"/>
        <w:rPr>
          <w:rFonts w:hint="eastAsia"/>
        </w:rPr>
      </w:pPr>
      <w:r>
        <w:rPr>
          <w:rStyle w:val="32"/>
          <w:rFonts w:hint="eastAsia"/>
        </w:rPr>
        <w:footnoteRef/>
      </w:r>
      <w:r>
        <w:rPr>
          <w:rFonts w:hint="eastAsia"/>
        </w:rPr>
        <w:t xml:space="preserve"> 乐昌市坪石镇，列入按照小城市标准规划建设中心镇省级试点。</w:t>
      </w:r>
    </w:p>
  </w:footnote>
  <w:footnote w:id="1">
    <w:p w14:paraId="22EB2690">
      <w:pPr>
        <w:pStyle w:val="22"/>
        <w:rPr>
          <w:rFonts w:hint="eastAsia"/>
        </w:rPr>
      </w:pPr>
      <w:r>
        <w:rPr>
          <w:rStyle w:val="32"/>
          <w:rFonts w:hint="eastAsia"/>
        </w:rPr>
        <w:footnoteRef/>
      </w:r>
      <w:r>
        <w:rPr>
          <w:rFonts w:hint="eastAsia"/>
        </w:rPr>
        <w:t xml:space="preserve"> 省首批地理标志特色镇。</w:t>
      </w:r>
    </w:p>
  </w:footnote>
  <w:footnote w:id="2">
    <w:p w14:paraId="32331869">
      <w:pPr>
        <w:pStyle w:val="22"/>
        <w:rPr>
          <w:rFonts w:hint="eastAsia"/>
        </w:rPr>
      </w:pPr>
      <w:r>
        <w:rPr>
          <w:rStyle w:val="32"/>
          <w:rFonts w:hint="eastAsia"/>
        </w:rPr>
        <w:footnoteRef/>
      </w:r>
      <w:r>
        <w:rPr>
          <w:rFonts w:hint="eastAsia"/>
        </w:rPr>
        <w:t xml:space="preserve"> 班包融合试点指标不核发实体客运标志牌，仅在新省运政信息系统增加“电子指标”并绑定原二类客运班线或市际包车指标，确保企业在同一时间仅可以使用单一指标开展客运班线或市际包车经营。</w:t>
      </w:r>
    </w:p>
  </w:footnote>
  <w:footnote w:id="3">
    <w:p w14:paraId="6D3C5387">
      <w:pPr>
        <w:pStyle w:val="22"/>
        <w:rPr>
          <w:rFonts w:hint="eastAsia"/>
        </w:rPr>
      </w:pPr>
      <w:r>
        <w:rPr>
          <w:rStyle w:val="32"/>
          <w:rFonts w:hint="eastAsia"/>
        </w:rPr>
        <w:footnoteRef/>
      </w:r>
      <w:r>
        <w:rPr>
          <w:rFonts w:hint="eastAsia"/>
        </w:rPr>
        <w:t xml:space="preserve"> 物流总包业务是指铁路运输企业利用铁路网络优势，整合社会物流资源，以合同约定的方式，承接客户综合物流服务需求，为客户提供运输、储存、装卸、搬运、包装、流通加工、配送、信息处理及物流金融等定制化的综合物流服务或部分物流服务。</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AA"/>
    <w:rsid w:val="00000967"/>
    <w:rsid w:val="000025D6"/>
    <w:rsid w:val="000049DF"/>
    <w:rsid w:val="000051C0"/>
    <w:rsid w:val="000074D0"/>
    <w:rsid w:val="0001005A"/>
    <w:rsid w:val="000113FB"/>
    <w:rsid w:val="00012392"/>
    <w:rsid w:val="00016284"/>
    <w:rsid w:val="000164C8"/>
    <w:rsid w:val="00020250"/>
    <w:rsid w:val="00022375"/>
    <w:rsid w:val="00024182"/>
    <w:rsid w:val="000241C2"/>
    <w:rsid w:val="00024DE0"/>
    <w:rsid w:val="0002539B"/>
    <w:rsid w:val="000259D0"/>
    <w:rsid w:val="00026643"/>
    <w:rsid w:val="00027A16"/>
    <w:rsid w:val="00027F6C"/>
    <w:rsid w:val="00030F28"/>
    <w:rsid w:val="00031E05"/>
    <w:rsid w:val="0003218C"/>
    <w:rsid w:val="000326C1"/>
    <w:rsid w:val="000367F2"/>
    <w:rsid w:val="00037DC2"/>
    <w:rsid w:val="00040433"/>
    <w:rsid w:val="00042FD7"/>
    <w:rsid w:val="0004383D"/>
    <w:rsid w:val="000439AF"/>
    <w:rsid w:val="00043EAD"/>
    <w:rsid w:val="0004514B"/>
    <w:rsid w:val="00047126"/>
    <w:rsid w:val="000476B1"/>
    <w:rsid w:val="00050FF4"/>
    <w:rsid w:val="00052161"/>
    <w:rsid w:val="0005237B"/>
    <w:rsid w:val="0005327F"/>
    <w:rsid w:val="00053AA9"/>
    <w:rsid w:val="00053ADD"/>
    <w:rsid w:val="00055EA4"/>
    <w:rsid w:val="00057320"/>
    <w:rsid w:val="00057689"/>
    <w:rsid w:val="00057C9A"/>
    <w:rsid w:val="00057FF0"/>
    <w:rsid w:val="000603B1"/>
    <w:rsid w:val="000608F0"/>
    <w:rsid w:val="0006136B"/>
    <w:rsid w:val="0006167F"/>
    <w:rsid w:val="00061C6C"/>
    <w:rsid w:val="00061C91"/>
    <w:rsid w:val="00061D68"/>
    <w:rsid w:val="000622DA"/>
    <w:rsid w:val="00062587"/>
    <w:rsid w:val="000660B5"/>
    <w:rsid w:val="0006611F"/>
    <w:rsid w:val="00071AE0"/>
    <w:rsid w:val="00071B00"/>
    <w:rsid w:val="00071C10"/>
    <w:rsid w:val="00072FE6"/>
    <w:rsid w:val="00073C30"/>
    <w:rsid w:val="000740F6"/>
    <w:rsid w:val="00075A23"/>
    <w:rsid w:val="00080EDD"/>
    <w:rsid w:val="00082E80"/>
    <w:rsid w:val="00085BBB"/>
    <w:rsid w:val="00085F4C"/>
    <w:rsid w:val="000878ED"/>
    <w:rsid w:val="00087FEE"/>
    <w:rsid w:val="0009022D"/>
    <w:rsid w:val="0009031A"/>
    <w:rsid w:val="00091DC5"/>
    <w:rsid w:val="0009266D"/>
    <w:rsid w:val="000944A2"/>
    <w:rsid w:val="000966F1"/>
    <w:rsid w:val="00096C74"/>
    <w:rsid w:val="00096E47"/>
    <w:rsid w:val="00097B61"/>
    <w:rsid w:val="00097D49"/>
    <w:rsid w:val="000A0805"/>
    <w:rsid w:val="000A1AD0"/>
    <w:rsid w:val="000A2127"/>
    <w:rsid w:val="000A289D"/>
    <w:rsid w:val="000A4068"/>
    <w:rsid w:val="000A5D42"/>
    <w:rsid w:val="000A5DF7"/>
    <w:rsid w:val="000A6DD3"/>
    <w:rsid w:val="000A70B1"/>
    <w:rsid w:val="000B1A0E"/>
    <w:rsid w:val="000B202F"/>
    <w:rsid w:val="000B23C0"/>
    <w:rsid w:val="000B3279"/>
    <w:rsid w:val="000B3557"/>
    <w:rsid w:val="000B4DB0"/>
    <w:rsid w:val="000B53D1"/>
    <w:rsid w:val="000B5523"/>
    <w:rsid w:val="000B5ABE"/>
    <w:rsid w:val="000B6AB0"/>
    <w:rsid w:val="000C0346"/>
    <w:rsid w:val="000C06B8"/>
    <w:rsid w:val="000C169C"/>
    <w:rsid w:val="000C196D"/>
    <w:rsid w:val="000C1BB0"/>
    <w:rsid w:val="000C295C"/>
    <w:rsid w:val="000C2AFA"/>
    <w:rsid w:val="000C3C8C"/>
    <w:rsid w:val="000C43C7"/>
    <w:rsid w:val="000C46C8"/>
    <w:rsid w:val="000C4E23"/>
    <w:rsid w:val="000C6AA1"/>
    <w:rsid w:val="000C6B38"/>
    <w:rsid w:val="000C6F45"/>
    <w:rsid w:val="000C6FE4"/>
    <w:rsid w:val="000D0229"/>
    <w:rsid w:val="000D07FF"/>
    <w:rsid w:val="000D09B1"/>
    <w:rsid w:val="000D0ADD"/>
    <w:rsid w:val="000D2048"/>
    <w:rsid w:val="000D2373"/>
    <w:rsid w:val="000D2610"/>
    <w:rsid w:val="000D36DE"/>
    <w:rsid w:val="000D3FA5"/>
    <w:rsid w:val="000E007E"/>
    <w:rsid w:val="000E0418"/>
    <w:rsid w:val="000E041D"/>
    <w:rsid w:val="000E16DF"/>
    <w:rsid w:val="000E26C9"/>
    <w:rsid w:val="000E418E"/>
    <w:rsid w:val="000E4383"/>
    <w:rsid w:val="000E43FF"/>
    <w:rsid w:val="000E623B"/>
    <w:rsid w:val="000E6E15"/>
    <w:rsid w:val="000E702D"/>
    <w:rsid w:val="000F0512"/>
    <w:rsid w:val="000F082D"/>
    <w:rsid w:val="000F08B3"/>
    <w:rsid w:val="000F1151"/>
    <w:rsid w:val="000F260F"/>
    <w:rsid w:val="000F289D"/>
    <w:rsid w:val="000F2DFA"/>
    <w:rsid w:val="000F2FD0"/>
    <w:rsid w:val="000F38D4"/>
    <w:rsid w:val="000F5200"/>
    <w:rsid w:val="000F5B02"/>
    <w:rsid w:val="00102C7B"/>
    <w:rsid w:val="001034FE"/>
    <w:rsid w:val="00103D99"/>
    <w:rsid w:val="00105C13"/>
    <w:rsid w:val="001060DB"/>
    <w:rsid w:val="001061C5"/>
    <w:rsid w:val="0010626F"/>
    <w:rsid w:val="0010764E"/>
    <w:rsid w:val="001120C5"/>
    <w:rsid w:val="00112955"/>
    <w:rsid w:val="00112B57"/>
    <w:rsid w:val="001148D2"/>
    <w:rsid w:val="00114B1C"/>
    <w:rsid w:val="001164A4"/>
    <w:rsid w:val="00116527"/>
    <w:rsid w:val="001168F3"/>
    <w:rsid w:val="001226C1"/>
    <w:rsid w:val="001234E0"/>
    <w:rsid w:val="00124586"/>
    <w:rsid w:val="00126105"/>
    <w:rsid w:val="00127C20"/>
    <w:rsid w:val="001302C8"/>
    <w:rsid w:val="001312D9"/>
    <w:rsid w:val="00131A11"/>
    <w:rsid w:val="001345CF"/>
    <w:rsid w:val="00134EAF"/>
    <w:rsid w:val="001353CB"/>
    <w:rsid w:val="001355B2"/>
    <w:rsid w:val="0013571C"/>
    <w:rsid w:val="0013779F"/>
    <w:rsid w:val="00140CB6"/>
    <w:rsid w:val="00140E6A"/>
    <w:rsid w:val="00141477"/>
    <w:rsid w:val="00141AF4"/>
    <w:rsid w:val="00141FEC"/>
    <w:rsid w:val="0014452B"/>
    <w:rsid w:val="001457D6"/>
    <w:rsid w:val="00146F54"/>
    <w:rsid w:val="001478B9"/>
    <w:rsid w:val="00150E53"/>
    <w:rsid w:val="00151723"/>
    <w:rsid w:val="0015182E"/>
    <w:rsid w:val="00151AAE"/>
    <w:rsid w:val="00153334"/>
    <w:rsid w:val="0015397D"/>
    <w:rsid w:val="001541B4"/>
    <w:rsid w:val="00154EB1"/>
    <w:rsid w:val="0015506A"/>
    <w:rsid w:val="001553F6"/>
    <w:rsid w:val="00155A2D"/>
    <w:rsid w:val="00155BB7"/>
    <w:rsid w:val="00155E98"/>
    <w:rsid w:val="00155F0F"/>
    <w:rsid w:val="00156D6A"/>
    <w:rsid w:val="00156FFB"/>
    <w:rsid w:val="00157FF7"/>
    <w:rsid w:val="00160C2E"/>
    <w:rsid w:val="00163658"/>
    <w:rsid w:val="001636A6"/>
    <w:rsid w:val="00163BAA"/>
    <w:rsid w:val="00163D42"/>
    <w:rsid w:val="00163D55"/>
    <w:rsid w:val="00166F1A"/>
    <w:rsid w:val="00167956"/>
    <w:rsid w:val="00167B48"/>
    <w:rsid w:val="00167B97"/>
    <w:rsid w:val="00170403"/>
    <w:rsid w:val="00171094"/>
    <w:rsid w:val="00171A47"/>
    <w:rsid w:val="00173459"/>
    <w:rsid w:val="00173677"/>
    <w:rsid w:val="00173BDF"/>
    <w:rsid w:val="001768B7"/>
    <w:rsid w:val="00176D28"/>
    <w:rsid w:val="00177095"/>
    <w:rsid w:val="00180282"/>
    <w:rsid w:val="0018091D"/>
    <w:rsid w:val="00185BE6"/>
    <w:rsid w:val="001914B4"/>
    <w:rsid w:val="001920CD"/>
    <w:rsid w:val="00193859"/>
    <w:rsid w:val="00193FCE"/>
    <w:rsid w:val="00194520"/>
    <w:rsid w:val="00194883"/>
    <w:rsid w:val="00195A9A"/>
    <w:rsid w:val="001A02C7"/>
    <w:rsid w:val="001A147D"/>
    <w:rsid w:val="001A1F98"/>
    <w:rsid w:val="001A5358"/>
    <w:rsid w:val="001A5B76"/>
    <w:rsid w:val="001B2702"/>
    <w:rsid w:val="001B3597"/>
    <w:rsid w:val="001B4273"/>
    <w:rsid w:val="001B4D8B"/>
    <w:rsid w:val="001B5515"/>
    <w:rsid w:val="001C03CE"/>
    <w:rsid w:val="001C040F"/>
    <w:rsid w:val="001C2F7C"/>
    <w:rsid w:val="001C3B65"/>
    <w:rsid w:val="001C4AD4"/>
    <w:rsid w:val="001C575C"/>
    <w:rsid w:val="001C6BA3"/>
    <w:rsid w:val="001C7016"/>
    <w:rsid w:val="001C71D3"/>
    <w:rsid w:val="001C7334"/>
    <w:rsid w:val="001C758F"/>
    <w:rsid w:val="001D02B9"/>
    <w:rsid w:val="001D12EF"/>
    <w:rsid w:val="001D20E9"/>
    <w:rsid w:val="001D37C3"/>
    <w:rsid w:val="001D4A36"/>
    <w:rsid w:val="001D534E"/>
    <w:rsid w:val="001D617F"/>
    <w:rsid w:val="001D75C7"/>
    <w:rsid w:val="001D7BD4"/>
    <w:rsid w:val="001E17AE"/>
    <w:rsid w:val="001E2423"/>
    <w:rsid w:val="001E342C"/>
    <w:rsid w:val="001E5AD7"/>
    <w:rsid w:val="001E5D20"/>
    <w:rsid w:val="001E5D57"/>
    <w:rsid w:val="001E5FFE"/>
    <w:rsid w:val="001F1368"/>
    <w:rsid w:val="001F3EC8"/>
    <w:rsid w:val="001F40E8"/>
    <w:rsid w:val="001F4D9D"/>
    <w:rsid w:val="0020047D"/>
    <w:rsid w:val="00200FC6"/>
    <w:rsid w:val="00201936"/>
    <w:rsid w:val="0020272E"/>
    <w:rsid w:val="0020520B"/>
    <w:rsid w:val="0020582A"/>
    <w:rsid w:val="00211194"/>
    <w:rsid w:val="00211603"/>
    <w:rsid w:val="0021399A"/>
    <w:rsid w:val="00214432"/>
    <w:rsid w:val="00214C08"/>
    <w:rsid w:val="002172E2"/>
    <w:rsid w:val="002177F0"/>
    <w:rsid w:val="00220591"/>
    <w:rsid w:val="00220AF1"/>
    <w:rsid w:val="00220BA4"/>
    <w:rsid w:val="00220FA6"/>
    <w:rsid w:val="00222771"/>
    <w:rsid w:val="00222FA7"/>
    <w:rsid w:val="0022422D"/>
    <w:rsid w:val="0022562C"/>
    <w:rsid w:val="00225A9A"/>
    <w:rsid w:val="002272C3"/>
    <w:rsid w:val="002278AF"/>
    <w:rsid w:val="00227C04"/>
    <w:rsid w:val="00231B1D"/>
    <w:rsid w:val="00231D8E"/>
    <w:rsid w:val="0023396C"/>
    <w:rsid w:val="002341ED"/>
    <w:rsid w:val="0023459B"/>
    <w:rsid w:val="002373AA"/>
    <w:rsid w:val="002375D3"/>
    <w:rsid w:val="002377E7"/>
    <w:rsid w:val="00237C52"/>
    <w:rsid w:val="00243C37"/>
    <w:rsid w:val="00243CC8"/>
    <w:rsid w:val="00243FF4"/>
    <w:rsid w:val="00244274"/>
    <w:rsid w:val="00244A29"/>
    <w:rsid w:val="00245798"/>
    <w:rsid w:val="00245B6B"/>
    <w:rsid w:val="002464F9"/>
    <w:rsid w:val="00247CCD"/>
    <w:rsid w:val="0025241D"/>
    <w:rsid w:val="00253010"/>
    <w:rsid w:val="002530E7"/>
    <w:rsid w:val="0025646D"/>
    <w:rsid w:val="00256AAC"/>
    <w:rsid w:val="0025730F"/>
    <w:rsid w:val="0025765D"/>
    <w:rsid w:val="002576AA"/>
    <w:rsid w:val="00257F43"/>
    <w:rsid w:val="002622C1"/>
    <w:rsid w:val="002666F0"/>
    <w:rsid w:val="002707BA"/>
    <w:rsid w:val="00270914"/>
    <w:rsid w:val="00270B33"/>
    <w:rsid w:val="00271754"/>
    <w:rsid w:val="00272019"/>
    <w:rsid w:val="002721E4"/>
    <w:rsid w:val="00274026"/>
    <w:rsid w:val="002745DE"/>
    <w:rsid w:val="00275616"/>
    <w:rsid w:val="002763D3"/>
    <w:rsid w:val="00276ABF"/>
    <w:rsid w:val="00276CB6"/>
    <w:rsid w:val="00277552"/>
    <w:rsid w:val="002802F0"/>
    <w:rsid w:val="00281272"/>
    <w:rsid w:val="002821F2"/>
    <w:rsid w:val="00282413"/>
    <w:rsid w:val="00283B19"/>
    <w:rsid w:val="002841D9"/>
    <w:rsid w:val="002854CE"/>
    <w:rsid w:val="0028555F"/>
    <w:rsid w:val="00287BCF"/>
    <w:rsid w:val="002907CE"/>
    <w:rsid w:val="00290A6D"/>
    <w:rsid w:val="00291796"/>
    <w:rsid w:val="00291E8D"/>
    <w:rsid w:val="00292A95"/>
    <w:rsid w:val="00293BAA"/>
    <w:rsid w:val="00293E20"/>
    <w:rsid w:val="00296F65"/>
    <w:rsid w:val="00297A55"/>
    <w:rsid w:val="00297ED2"/>
    <w:rsid w:val="002A00DC"/>
    <w:rsid w:val="002A0930"/>
    <w:rsid w:val="002A2060"/>
    <w:rsid w:val="002A351D"/>
    <w:rsid w:val="002A3556"/>
    <w:rsid w:val="002A3AA0"/>
    <w:rsid w:val="002A4B20"/>
    <w:rsid w:val="002B08C2"/>
    <w:rsid w:val="002B0B79"/>
    <w:rsid w:val="002B2556"/>
    <w:rsid w:val="002B3257"/>
    <w:rsid w:val="002B4BC1"/>
    <w:rsid w:val="002B5BE9"/>
    <w:rsid w:val="002B6A5B"/>
    <w:rsid w:val="002C1A69"/>
    <w:rsid w:val="002C2833"/>
    <w:rsid w:val="002C2F9C"/>
    <w:rsid w:val="002C3523"/>
    <w:rsid w:val="002C4621"/>
    <w:rsid w:val="002C5A4C"/>
    <w:rsid w:val="002C6EF4"/>
    <w:rsid w:val="002C7CDE"/>
    <w:rsid w:val="002D0D0F"/>
    <w:rsid w:val="002D2072"/>
    <w:rsid w:val="002D2586"/>
    <w:rsid w:val="002D5621"/>
    <w:rsid w:val="002D6E77"/>
    <w:rsid w:val="002D73A4"/>
    <w:rsid w:val="002D7E44"/>
    <w:rsid w:val="002E04D1"/>
    <w:rsid w:val="002E0F4E"/>
    <w:rsid w:val="002E2AF4"/>
    <w:rsid w:val="002E34B8"/>
    <w:rsid w:val="002E4DEF"/>
    <w:rsid w:val="002E56C6"/>
    <w:rsid w:val="002E693B"/>
    <w:rsid w:val="002E7240"/>
    <w:rsid w:val="002E7BED"/>
    <w:rsid w:val="002F0524"/>
    <w:rsid w:val="002F1380"/>
    <w:rsid w:val="002F14FC"/>
    <w:rsid w:val="002F3797"/>
    <w:rsid w:val="002F43A4"/>
    <w:rsid w:val="002F5A40"/>
    <w:rsid w:val="002F6540"/>
    <w:rsid w:val="00300549"/>
    <w:rsid w:val="00300CA3"/>
    <w:rsid w:val="00302DD8"/>
    <w:rsid w:val="0030356B"/>
    <w:rsid w:val="003040FD"/>
    <w:rsid w:val="003057A4"/>
    <w:rsid w:val="00305A6E"/>
    <w:rsid w:val="00307071"/>
    <w:rsid w:val="0030735A"/>
    <w:rsid w:val="003117E6"/>
    <w:rsid w:val="00314729"/>
    <w:rsid w:val="00314A70"/>
    <w:rsid w:val="00314E73"/>
    <w:rsid w:val="0032011D"/>
    <w:rsid w:val="00320A14"/>
    <w:rsid w:val="00320B41"/>
    <w:rsid w:val="003211FA"/>
    <w:rsid w:val="003212B2"/>
    <w:rsid w:val="00321D65"/>
    <w:rsid w:val="00321EB8"/>
    <w:rsid w:val="003236FC"/>
    <w:rsid w:val="00323FC5"/>
    <w:rsid w:val="00324660"/>
    <w:rsid w:val="00324A18"/>
    <w:rsid w:val="00325FB0"/>
    <w:rsid w:val="003265C9"/>
    <w:rsid w:val="0032758C"/>
    <w:rsid w:val="0033066E"/>
    <w:rsid w:val="00330D6F"/>
    <w:rsid w:val="00331189"/>
    <w:rsid w:val="00331824"/>
    <w:rsid w:val="00331908"/>
    <w:rsid w:val="00331FF9"/>
    <w:rsid w:val="0033476E"/>
    <w:rsid w:val="00336890"/>
    <w:rsid w:val="003402AC"/>
    <w:rsid w:val="00341102"/>
    <w:rsid w:val="00342A34"/>
    <w:rsid w:val="00342D75"/>
    <w:rsid w:val="00343943"/>
    <w:rsid w:val="00344A95"/>
    <w:rsid w:val="003459D8"/>
    <w:rsid w:val="00345E97"/>
    <w:rsid w:val="0034743D"/>
    <w:rsid w:val="003474BC"/>
    <w:rsid w:val="003479FB"/>
    <w:rsid w:val="00350007"/>
    <w:rsid w:val="00350E38"/>
    <w:rsid w:val="0035135A"/>
    <w:rsid w:val="00352A97"/>
    <w:rsid w:val="00353072"/>
    <w:rsid w:val="00354608"/>
    <w:rsid w:val="00357ED0"/>
    <w:rsid w:val="00365579"/>
    <w:rsid w:val="00367CEA"/>
    <w:rsid w:val="003739F0"/>
    <w:rsid w:val="003740EA"/>
    <w:rsid w:val="003762A2"/>
    <w:rsid w:val="00376FCF"/>
    <w:rsid w:val="003772AF"/>
    <w:rsid w:val="00380471"/>
    <w:rsid w:val="00384377"/>
    <w:rsid w:val="00384A04"/>
    <w:rsid w:val="00384B05"/>
    <w:rsid w:val="00384C0E"/>
    <w:rsid w:val="003851F7"/>
    <w:rsid w:val="00385272"/>
    <w:rsid w:val="00385867"/>
    <w:rsid w:val="00386478"/>
    <w:rsid w:val="003877D3"/>
    <w:rsid w:val="00387808"/>
    <w:rsid w:val="00390152"/>
    <w:rsid w:val="003908DF"/>
    <w:rsid w:val="00390E9B"/>
    <w:rsid w:val="00390FF5"/>
    <w:rsid w:val="0039122C"/>
    <w:rsid w:val="00394A3F"/>
    <w:rsid w:val="00395905"/>
    <w:rsid w:val="00396A69"/>
    <w:rsid w:val="0039768C"/>
    <w:rsid w:val="003A0582"/>
    <w:rsid w:val="003A240F"/>
    <w:rsid w:val="003A3ECE"/>
    <w:rsid w:val="003A5CB3"/>
    <w:rsid w:val="003A5F6E"/>
    <w:rsid w:val="003A788A"/>
    <w:rsid w:val="003B209D"/>
    <w:rsid w:val="003B224E"/>
    <w:rsid w:val="003B2E83"/>
    <w:rsid w:val="003B3ABE"/>
    <w:rsid w:val="003B7CEA"/>
    <w:rsid w:val="003C0F47"/>
    <w:rsid w:val="003C14E3"/>
    <w:rsid w:val="003C20E1"/>
    <w:rsid w:val="003C4B63"/>
    <w:rsid w:val="003C6100"/>
    <w:rsid w:val="003C6C6F"/>
    <w:rsid w:val="003C70FE"/>
    <w:rsid w:val="003D11D4"/>
    <w:rsid w:val="003D19FA"/>
    <w:rsid w:val="003D235F"/>
    <w:rsid w:val="003D2B5F"/>
    <w:rsid w:val="003D36DF"/>
    <w:rsid w:val="003D4112"/>
    <w:rsid w:val="003D415F"/>
    <w:rsid w:val="003D48A3"/>
    <w:rsid w:val="003D5B24"/>
    <w:rsid w:val="003D7372"/>
    <w:rsid w:val="003D7D36"/>
    <w:rsid w:val="003E1055"/>
    <w:rsid w:val="003E169B"/>
    <w:rsid w:val="003E398F"/>
    <w:rsid w:val="003E51D1"/>
    <w:rsid w:val="003F0201"/>
    <w:rsid w:val="003F23C6"/>
    <w:rsid w:val="003F42DC"/>
    <w:rsid w:val="003F65AE"/>
    <w:rsid w:val="003F7333"/>
    <w:rsid w:val="003F7699"/>
    <w:rsid w:val="00400721"/>
    <w:rsid w:val="00400C26"/>
    <w:rsid w:val="00402D36"/>
    <w:rsid w:val="00402EBD"/>
    <w:rsid w:val="00403340"/>
    <w:rsid w:val="00404366"/>
    <w:rsid w:val="00405C15"/>
    <w:rsid w:val="0040608F"/>
    <w:rsid w:val="00406C75"/>
    <w:rsid w:val="00411D65"/>
    <w:rsid w:val="00411FFB"/>
    <w:rsid w:val="00416192"/>
    <w:rsid w:val="004163F6"/>
    <w:rsid w:val="00416546"/>
    <w:rsid w:val="00416747"/>
    <w:rsid w:val="0041679D"/>
    <w:rsid w:val="00424E30"/>
    <w:rsid w:val="004254E2"/>
    <w:rsid w:val="00426AD8"/>
    <w:rsid w:val="00426DC4"/>
    <w:rsid w:val="0042710A"/>
    <w:rsid w:val="0043006B"/>
    <w:rsid w:val="00430D77"/>
    <w:rsid w:val="00433208"/>
    <w:rsid w:val="0043356E"/>
    <w:rsid w:val="00434428"/>
    <w:rsid w:val="00434CDB"/>
    <w:rsid w:val="00435CE2"/>
    <w:rsid w:val="00436C59"/>
    <w:rsid w:val="00437849"/>
    <w:rsid w:val="0044022E"/>
    <w:rsid w:val="00441694"/>
    <w:rsid w:val="004431EC"/>
    <w:rsid w:val="0044369B"/>
    <w:rsid w:val="004446F2"/>
    <w:rsid w:val="00445C5B"/>
    <w:rsid w:val="00446F8E"/>
    <w:rsid w:val="004472E8"/>
    <w:rsid w:val="00447A15"/>
    <w:rsid w:val="00447FF4"/>
    <w:rsid w:val="00452C2A"/>
    <w:rsid w:val="004530EA"/>
    <w:rsid w:val="00453B07"/>
    <w:rsid w:val="00455BF1"/>
    <w:rsid w:val="00457AB4"/>
    <w:rsid w:val="0046044A"/>
    <w:rsid w:val="004606D1"/>
    <w:rsid w:val="00461458"/>
    <w:rsid w:val="00462903"/>
    <w:rsid w:val="00463F71"/>
    <w:rsid w:val="004647FD"/>
    <w:rsid w:val="00466763"/>
    <w:rsid w:val="004673CB"/>
    <w:rsid w:val="0047454D"/>
    <w:rsid w:val="00474E0C"/>
    <w:rsid w:val="004755EC"/>
    <w:rsid w:val="00481091"/>
    <w:rsid w:val="00481596"/>
    <w:rsid w:val="00481B1A"/>
    <w:rsid w:val="00481FA0"/>
    <w:rsid w:val="0048363B"/>
    <w:rsid w:val="004836DD"/>
    <w:rsid w:val="00483A14"/>
    <w:rsid w:val="00483E86"/>
    <w:rsid w:val="0048497C"/>
    <w:rsid w:val="0049293A"/>
    <w:rsid w:val="00492D18"/>
    <w:rsid w:val="00492E5A"/>
    <w:rsid w:val="00494160"/>
    <w:rsid w:val="004946A6"/>
    <w:rsid w:val="004A1438"/>
    <w:rsid w:val="004A2AE5"/>
    <w:rsid w:val="004A4552"/>
    <w:rsid w:val="004A6602"/>
    <w:rsid w:val="004A6A24"/>
    <w:rsid w:val="004B1A29"/>
    <w:rsid w:val="004B1F76"/>
    <w:rsid w:val="004B1FD2"/>
    <w:rsid w:val="004B2352"/>
    <w:rsid w:val="004B3593"/>
    <w:rsid w:val="004B429D"/>
    <w:rsid w:val="004B48CF"/>
    <w:rsid w:val="004B5D64"/>
    <w:rsid w:val="004B738C"/>
    <w:rsid w:val="004B75FB"/>
    <w:rsid w:val="004B7C6E"/>
    <w:rsid w:val="004C13CB"/>
    <w:rsid w:val="004C4895"/>
    <w:rsid w:val="004C4BE0"/>
    <w:rsid w:val="004C7227"/>
    <w:rsid w:val="004D0074"/>
    <w:rsid w:val="004D0599"/>
    <w:rsid w:val="004D100E"/>
    <w:rsid w:val="004D137D"/>
    <w:rsid w:val="004D1C09"/>
    <w:rsid w:val="004D61EE"/>
    <w:rsid w:val="004D6D3C"/>
    <w:rsid w:val="004D7C1E"/>
    <w:rsid w:val="004E0CF5"/>
    <w:rsid w:val="004E1599"/>
    <w:rsid w:val="004E2AD3"/>
    <w:rsid w:val="004E443D"/>
    <w:rsid w:val="004E504C"/>
    <w:rsid w:val="004E5119"/>
    <w:rsid w:val="004E66E8"/>
    <w:rsid w:val="004F5A5A"/>
    <w:rsid w:val="004F7DE2"/>
    <w:rsid w:val="0050383B"/>
    <w:rsid w:val="005052B9"/>
    <w:rsid w:val="005057DC"/>
    <w:rsid w:val="005067C3"/>
    <w:rsid w:val="00506A0F"/>
    <w:rsid w:val="00506B85"/>
    <w:rsid w:val="00512210"/>
    <w:rsid w:val="00514CE4"/>
    <w:rsid w:val="00516313"/>
    <w:rsid w:val="00516C47"/>
    <w:rsid w:val="005174E6"/>
    <w:rsid w:val="0052074B"/>
    <w:rsid w:val="00524A6C"/>
    <w:rsid w:val="00525143"/>
    <w:rsid w:val="00525351"/>
    <w:rsid w:val="0052628B"/>
    <w:rsid w:val="00527E13"/>
    <w:rsid w:val="00530051"/>
    <w:rsid w:val="005313C4"/>
    <w:rsid w:val="00531797"/>
    <w:rsid w:val="00531B4C"/>
    <w:rsid w:val="00534DA2"/>
    <w:rsid w:val="00535C19"/>
    <w:rsid w:val="00540304"/>
    <w:rsid w:val="005425EC"/>
    <w:rsid w:val="00543225"/>
    <w:rsid w:val="0054607D"/>
    <w:rsid w:val="005463C6"/>
    <w:rsid w:val="0054794B"/>
    <w:rsid w:val="00550BD4"/>
    <w:rsid w:val="00551FAF"/>
    <w:rsid w:val="005530C2"/>
    <w:rsid w:val="00553822"/>
    <w:rsid w:val="00553CDF"/>
    <w:rsid w:val="0055431E"/>
    <w:rsid w:val="00556076"/>
    <w:rsid w:val="005579C0"/>
    <w:rsid w:val="005604DF"/>
    <w:rsid w:val="00561217"/>
    <w:rsid w:val="00562F8B"/>
    <w:rsid w:val="00563C68"/>
    <w:rsid w:val="00565BDB"/>
    <w:rsid w:val="00565CC7"/>
    <w:rsid w:val="00567777"/>
    <w:rsid w:val="005677B0"/>
    <w:rsid w:val="00567DF2"/>
    <w:rsid w:val="005710DA"/>
    <w:rsid w:val="00572918"/>
    <w:rsid w:val="00580D78"/>
    <w:rsid w:val="00580F65"/>
    <w:rsid w:val="00581202"/>
    <w:rsid w:val="00581E44"/>
    <w:rsid w:val="005824FE"/>
    <w:rsid w:val="00582AC1"/>
    <w:rsid w:val="00582F48"/>
    <w:rsid w:val="00582F6B"/>
    <w:rsid w:val="00583445"/>
    <w:rsid w:val="00583BD1"/>
    <w:rsid w:val="00583E59"/>
    <w:rsid w:val="005925FA"/>
    <w:rsid w:val="00592D38"/>
    <w:rsid w:val="005964AE"/>
    <w:rsid w:val="00596BA5"/>
    <w:rsid w:val="00597401"/>
    <w:rsid w:val="005A0074"/>
    <w:rsid w:val="005A0517"/>
    <w:rsid w:val="005A1A45"/>
    <w:rsid w:val="005A2D39"/>
    <w:rsid w:val="005A2D76"/>
    <w:rsid w:val="005A3E8F"/>
    <w:rsid w:val="005A723F"/>
    <w:rsid w:val="005A7A22"/>
    <w:rsid w:val="005A7E31"/>
    <w:rsid w:val="005B086E"/>
    <w:rsid w:val="005B1112"/>
    <w:rsid w:val="005B13A0"/>
    <w:rsid w:val="005B2552"/>
    <w:rsid w:val="005B2872"/>
    <w:rsid w:val="005B2EB5"/>
    <w:rsid w:val="005B4392"/>
    <w:rsid w:val="005B5F48"/>
    <w:rsid w:val="005B72D2"/>
    <w:rsid w:val="005C20FE"/>
    <w:rsid w:val="005C216D"/>
    <w:rsid w:val="005C301B"/>
    <w:rsid w:val="005C31B9"/>
    <w:rsid w:val="005C4DD2"/>
    <w:rsid w:val="005C52DF"/>
    <w:rsid w:val="005C6636"/>
    <w:rsid w:val="005C7ACF"/>
    <w:rsid w:val="005C7E63"/>
    <w:rsid w:val="005D1F8E"/>
    <w:rsid w:val="005D45F0"/>
    <w:rsid w:val="005D5272"/>
    <w:rsid w:val="005D5D22"/>
    <w:rsid w:val="005D7F98"/>
    <w:rsid w:val="005E085F"/>
    <w:rsid w:val="005E091B"/>
    <w:rsid w:val="005E1C79"/>
    <w:rsid w:val="005E378E"/>
    <w:rsid w:val="005E4FB1"/>
    <w:rsid w:val="005E60A5"/>
    <w:rsid w:val="005E78A2"/>
    <w:rsid w:val="005F0FFE"/>
    <w:rsid w:val="005F1725"/>
    <w:rsid w:val="005F17F9"/>
    <w:rsid w:val="005F21C1"/>
    <w:rsid w:val="005F51B8"/>
    <w:rsid w:val="005F58B9"/>
    <w:rsid w:val="005F5B49"/>
    <w:rsid w:val="005F5E58"/>
    <w:rsid w:val="0060036E"/>
    <w:rsid w:val="00602B80"/>
    <w:rsid w:val="006048C9"/>
    <w:rsid w:val="00604CAB"/>
    <w:rsid w:val="00604ED2"/>
    <w:rsid w:val="0060562D"/>
    <w:rsid w:val="0060750C"/>
    <w:rsid w:val="00607B37"/>
    <w:rsid w:val="0061008B"/>
    <w:rsid w:val="00610313"/>
    <w:rsid w:val="00614418"/>
    <w:rsid w:val="00616F7F"/>
    <w:rsid w:val="00623877"/>
    <w:rsid w:val="006239BE"/>
    <w:rsid w:val="0062477A"/>
    <w:rsid w:val="00625B6D"/>
    <w:rsid w:val="00625D87"/>
    <w:rsid w:val="00627258"/>
    <w:rsid w:val="00627FDE"/>
    <w:rsid w:val="006306A1"/>
    <w:rsid w:val="0063183B"/>
    <w:rsid w:val="00632194"/>
    <w:rsid w:val="006326DE"/>
    <w:rsid w:val="00633D34"/>
    <w:rsid w:val="00634DBA"/>
    <w:rsid w:val="00635A3F"/>
    <w:rsid w:val="00636239"/>
    <w:rsid w:val="006404EC"/>
    <w:rsid w:val="00642E08"/>
    <w:rsid w:val="0064423A"/>
    <w:rsid w:val="006445D6"/>
    <w:rsid w:val="00644E04"/>
    <w:rsid w:val="00644F72"/>
    <w:rsid w:val="006457AD"/>
    <w:rsid w:val="0064626C"/>
    <w:rsid w:val="00647623"/>
    <w:rsid w:val="00647BF7"/>
    <w:rsid w:val="00650901"/>
    <w:rsid w:val="006518D7"/>
    <w:rsid w:val="00653513"/>
    <w:rsid w:val="00656837"/>
    <w:rsid w:val="0066057E"/>
    <w:rsid w:val="00660960"/>
    <w:rsid w:val="00661728"/>
    <w:rsid w:val="00661D75"/>
    <w:rsid w:val="00664661"/>
    <w:rsid w:val="00664760"/>
    <w:rsid w:val="0066476B"/>
    <w:rsid w:val="0066515B"/>
    <w:rsid w:val="00665B89"/>
    <w:rsid w:val="00667B8A"/>
    <w:rsid w:val="00667CDF"/>
    <w:rsid w:val="00670563"/>
    <w:rsid w:val="00671BB0"/>
    <w:rsid w:val="00672E16"/>
    <w:rsid w:val="00673B6D"/>
    <w:rsid w:val="00673DA2"/>
    <w:rsid w:val="006760F5"/>
    <w:rsid w:val="00677858"/>
    <w:rsid w:val="00681494"/>
    <w:rsid w:val="00681CD5"/>
    <w:rsid w:val="00682254"/>
    <w:rsid w:val="006831C6"/>
    <w:rsid w:val="006834DD"/>
    <w:rsid w:val="00686581"/>
    <w:rsid w:val="00686C7E"/>
    <w:rsid w:val="0068758E"/>
    <w:rsid w:val="006900EA"/>
    <w:rsid w:val="006919AA"/>
    <w:rsid w:val="006A047C"/>
    <w:rsid w:val="006A09D1"/>
    <w:rsid w:val="006A0B6C"/>
    <w:rsid w:val="006A1A2F"/>
    <w:rsid w:val="006A2100"/>
    <w:rsid w:val="006A25DE"/>
    <w:rsid w:val="006A2612"/>
    <w:rsid w:val="006A3086"/>
    <w:rsid w:val="006A3C3F"/>
    <w:rsid w:val="006A5531"/>
    <w:rsid w:val="006A591A"/>
    <w:rsid w:val="006A593F"/>
    <w:rsid w:val="006A6AE6"/>
    <w:rsid w:val="006A73D1"/>
    <w:rsid w:val="006A76E7"/>
    <w:rsid w:val="006A7808"/>
    <w:rsid w:val="006B055C"/>
    <w:rsid w:val="006B5FC6"/>
    <w:rsid w:val="006B60A0"/>
    <w:rsid w:val="006B6597"/>
    <w:rsid w:val="006B6953"/>
    <w:rsid w:val="006C09E8"/>
    <w:rsid w:val="006C10C9"/>
    <w:rsid w:val="006C1B33"/>
    <w:rsid w:val="006C255D"/>
    <w:rsid w:val="006C2944"/>
    <w:rsid w:val="006C2ABC"/>
    <w:rsid w:val="006C5104"/>
    <w:rsid w:val="006C5513"/>
    <w:rsid w:val="006C65C6"/>
    <w:rsid w:val="006D04B6"/>
    <w:rsid w:val="006D06F6"/>
    <w:rsid w:val="006D0F60"/>
    <w:rsid w:val="006D2CD9"/>
    <w:rsid w:val="006D45E1"/>
    <w:rsid w:val="006D487B"/>
    <w:rsid w:val="006D6AA2"/>
    <w:rsid w:val="006D6C9C"/>
    <w:rsid w:val="006D6F28"/>
    <w:rsid w:val="006D79BC"/>
    <w:rsid w:val="006D7CA4"/>
    <w:rsid w:val="006E5552"/>
    <w:rsid w:val="006E6612"/>
    <w:rsid w:val="006E66A4"/>
    <w:rsid w:val="006F07C8"/>
    <w:rsid w:val="006F1ECD"/>
    <w:rsid w:val="006F2021"/>
    <w:rsid w:val="006F20D0"/>
    <w:rsid w:val="006F26A1"/>
    <w:rsid w:val="006F2876"/>
    <w:rsid w:val="006F2CAE"/>
    <w:rsid w:val="006F33B5"/>
    <w:rsid w:val="006F5298"/>
    <w:rsid w:val="00701FB3"/>
    <w:rsid w:val="007033E2"/>
    <w:rsid w:val="00703CAD"/>
    <w:rsid w:val="007053FC"/>
    <w:rsid w:val="00705F45"/>
    <w:rsid w:val="0070622F"/>
    <w:rsid w:val="0071014D"/>
    <w:rsid w:val="00713CCD"/>
    <w:rsid w:val="0071424F"/>
    <w:rsid w:val="00715BDB"/>
    <w:rsid w:val="00717FD3"/>
    <w:rsid w:val="007209AC"/>
    <w:rsid w:val="00721919"/>
    <w:rsid w:val="00721A87"/>
    <w:rsid w:val="00721A99"/>
    <w:rsid w:val="00723664"/>
    <w:rsid w:val="00725B0B"/>
    <w:rsid w:val="00725C92"/>
    <w:rsid w:val="0072648E"/>
    <w:rsid w:val="00730085"/>
    <w:rsid w:val="00730D6C"/>
    <w:rsid w:val="00730EB1"/>
    <w:rsid w:val="00732363"/>
    <w:rsid w:val="00733EA0"/>
    <w:rsid w:val="00735659"/>
    <w:rsid w:val="00735ED0"/>
    <w:rsid w:val="00737BAF"/>
    <w:rsid w:val="00737BCE"/>
    <w:rsid w:val="00741E8F"/>
    <w:rsid w:val="00741F45"/>
    <w:rsid w:val="007422A1"/>
    <w:rsid w:val="00742318"/>
    <w:rsid w:val="00742471"/>
    <w:rsid w:val="0074254E"/>
    <w:rsid w:val="00743A55"/>
    <w:rsid w:val="00743CCE"/>
    <w:rsid w:val="00745985"/>
    <w:rsid w:val="007471AF"/>
    <w:rsid w:val="00750AE0"/>
    <w:rsid w:val="00750DE2"/>
    <w:rsid w:val="00751938"/>
    <w:rsid w:val="00751B4C"/>
    <w:rsid w:val="00752402"/>
    <w:rsid w:val="007524E8"/>
    <w:rsid w:val="00752952"/>
    <w:rsid w:val="00752A53"/>
    <w:rsid w:val="0075381E"/>
    <w:rsid w:val="00760F59"/>
    <w:rsid w:val="00762915"/>
    <w:rsid w:val="0076581C"/>
    <w:rsid w:val="00765BED"/>
    <w:rsid w:val="0076657F"/>
    <w:rsid w:val="00770F23"/>
    <w:rsid w:val="00772333"/>
    <w:rsid w:val="00772C9D"/>
    <w:rsid w:val="007746AF"/>
    <w:rsid w:val="00774960"/>
    <w:rsid w:val="00775BD1"/>
    <w:rsid w:val="00776ED8"/>
    <w:rsid w:val="0077735F"/>
    <w:rsid w:val="00780040"/>
    <w:rsid w:val="00780F9B"/>
    <w:rsid w:val="007827F5"/>
    <w:rsid w:val="0078456D"/>
    <w:rsid w:val="00784A50"/>
    <w:rsid w:val="00787A49"/>
    <w:rsid w:val="007900D4"/>
    <w:rsid w:val="00790B70"/>
    <w:rsid w:val="00790E7E"/>
    <w:rsid w:val="00792ACD"/>
    <w:rsid w:val="007942F0"/>
    <w:rsid w:val="00797B60"/>
    <w:rsid w:val="007A0EDE"/>
    <w:rsid w:val="007A1B75"/>
    <w:rsid w:val="007A22E7"/>
    <w:rsid w:val="007A2354"/>
    <w:rsid w:val="007A42AF"/>
    <w:rsid w:val="007A4448"/>
    <w:rsid w:val="007A4B0E"/>
    <w:rsid w:val="007A55F4"/>
    <w:rsid w:val="007A6077"/>
    <w:rsid w:val="007A6F9A"/>
    <w:rsid w:val="007A7E4B"/>
    <w:rsid w:val="007B022D"/>
    <w:rsid w:val="007B079A"/>
    <w:rsid w:val="007B0D69"/>
    <w:rsid w:val="007B1AE6"/>
    <w:rsid w:val="007B2387"/>
    <w:rsid w:val="007B4E4A"/>
    <w:rsid w:val="007B6253"/>
    <w:rsid w:val="007B69D1"/>
    <w:rsid w:val="007B6ADD"/>
    <w:rsid w:val="007B75AD"/>
    <w:rsid w:val="007B7BA4"/>
    <w:rsid w:val="007C2318"/>
    <w:rsid w:val="007C2F45"/>
    <w:rsid w:val="007C34DF"/>
    <w:rsid w:val="007C45E3"/>
    <w:rsid w:val="007C5EBF"/>
    <w:rsid w:val="007C62E8"/>
    <w:rsid w:val="007D1457"/>
    <w:rsid w:val="007D186F"/>
    <w:rsid w:val="007D19C0"/>
    <w:rsid w:val="007D48FA"/>
    <w:rsid w:val="007D5F5F"/>
    <w:rsid w:val="007D69AC"/>
    <w:rsid w:val="007D6DFB"/>
    <w:rsid w:val="007E066A"/>
    <w:rsid w:val="007E1585"/>
    <w:rsid w:val="007E17DB"/>
    <w:rsid w:val="007E268B"/>
    <w:rsid w:val="007E46DC"/>
    <w:rsid w:val="007E6BC5"/>
    <w:rsid w:val="007F02A4"/>
    <w:rsid w:val="007F1D7B"/>
    <w:rsid w:val="007F2CB8"/>
    <w:rsid w:val="007F2EB7"/>
    <w:rsid w:val="007F30CF"/>
    <w:rsid w:val="007F43E3"/>
    <w:rsid w:val="007F6EAB"/>
    <w:rsid w:val="007F78EB"/>
    <w:rsid w:val="00800D8B"/>
    <w:rsid w:val="00802F77"/>
    <w:rsid w:val="0080357F"/>
    <w:rsid w:val="0080448D"/>
    <w:rsid w:val="00804602"/>
    <w:rsid w:val="008062F3"/>
    <w:rsid w:val="0080661E"/>
    <w:rsid w:val="00807B1D"/>
    <w:rsid w:val="00807D6B"/>
    <w:rsid w:val="00811022"/>
    <w:rsid w:val="00811FDA"/>
    <w:rsid w:val="008120AF"/>
    <w:rsid w:val="00812388"/>
    <w:rsid w:val="00812739"/>
    <w:rsid w:val="00812760"/>
    <w:rsid w:val="00814064"/>
    <w:rsid w:val="0081577F"/>
    <w:rsid w:val="00815A08"/>
    <w:rsid w:val="00817459"/>
    <w:rsid w:val="008217E6"/>
    <w:rsid w:val="00823DEB"/>
    <w:rsid w:val="00824D8D"/>
    <w:rsid w:val="00826471"/>
    <w:rsid w:val="00827638"/>
    <w:rsid w:val="00830305"/>
    <w:rsid w:val="00830D8A"/>
    <w:rsid w:val="008336E4"/>
    <w:rsid w:val="00834488"/>
    <w:rsid w:val="00835AE2"/>
    <w:rsid w:val="008400AD"/>
    <w:rsid w:val="00840CD0"/>
    <w:rsid w:val="0084159F"/>
    <w:rsid w:val="0084168B"/>
    <w:rsid w:val="008435D4"/>
    <w:rsid w:val="008443F0"/>
    <w:rsid w:val="008446F4"/>
    <w:rsid w:val="0084470A"/>
    <w:rsid w:val="00844A06"/>
    <w:rsid w:val="00844B71"/>
    <w:rsid w:val="008456AC"/>
    <w:rsid w:val="00845714"/>
    <w:rsid w:val="00846076"/>
    <w:rsid w:val="00846A32"/>
    <w:rsid w:val="00850852"/>
    <w:rsid w:val="00850D32"/>
    <w:rsid w:val="00855CAD"/>
    <w:rsid w:val="00856B8E"/>
    <w:rsid w:val="0086084E"/>
    <w:rsid w:val="00862077"/>
    <w:rsid w:val="0086346E"/>
    <w:rsid w:val="0086439E"/>
    <w:rsid w:val="00864EAA"/>
    <w:rsid w:val="00865905"/>
    <w:rsid w:val="00866A0C"/>
    <w:rsid w:val="00867A23"/>
    <w:rsid w:val="00867FBF"/>
    <w:rsid w:val="0087080F"/>
    <w:rsid w:val="008708D9"/>
    <w:rsid w:val="00871313"/>
    <w:rsid w:val="008713C0"/>
    <w:rsid w:val="00871DAB"/>
    <w:rsid w:val="00873200"/>
    <w:rsid w:val="00873F76"/>
    <w:rsid w:val="0087692C"/>
    <w:rsid w:val="00876DCC"/>
    <w:rsid w:val="0087731D"/>
    <w:rsid w:val="00877E34"/>
    <w:rsid w:val="00880559"/>
    <w:rsid w:val="00881B34"/>
    <w:rsid w:val="00881C51"/>
    <w:rsid w:val="00882BE2"/>
    <w:rsid w:val="008916E2"/>
    <w:rsid w:val="008917FB"/>
    <w:rsid w:val="00892042"/>
    <w:rsid w:val="008957E6"/>
    <w:rsid w:val="00895D6B"/>
    <w:rsid w:val="00896E34"/>
    <w:rsid w:val="0089757D"/>
    <w:rsid w:val="00897D7C"/>
    <w:rsid w:val="008A081F"/>
    <w:rsid w:val="008A125E"/>
    <w:rsid w:val="008A1895"/>
    <w:rsid w:val="008A2C60"/>
    <w:rsid w:val="008A7899"/>
    <w:rsid w:val="008A7B33"/>
    <w:rsid w:val="008B0FFD"/>
    <w:rsid w:val="008B106F"/>
    <w:rsid w:val="008B22D7"/>
    <w:rsid w:val="008B3755"/>
    <w:rsid w:val="008B4741"/>
    <w:rsid w:val="008B50EB"/>
    <w:rsid w:val="008B51F7"/>
    <w:rsid w:val="008B5C85"/>
    <w:rsid w:val="008B6113"/>
    <w:rsid w:val="008B614B"/>
    <w:rsid w:val="008B707B"/>
    <w:rsid w:val="008C01FD"/>
    <w:rsid w:val="008C087B"/>
    <w:rsid w:val="008C0AD1"/>
    <w:rsid w:val="008C1F7B"/>
    <w:rsid w:val="008C3920"/>
    <w:rsid w:val="008C5BB5"/>
    <w:rsid w:val="008D0315"/>
    <w:rsid w:val="008D03AE"/>
    <w:rsid w:val="008D0959"/>
    <w:rsid w:val="008D09D1"/>
    <w:rsid w:val="008D126A"/>
    <w:rsid w:val="008D1A3A"/>
    <w:rsid w:val="008D1F02"/>
    <w:rsid w:val="008D22E9"/>
    <w:rsid w:val="008D25F2"/>
    <w:rsid w:val="008D29D1"/>
    <w:rsid w:val="008D2C0E"/>
    <w:rsid w:val="008D3272"/>
    <w:rsid w:val="008D3738"/>
    <w:rsid w:val="008D3839"/>
    <w:rsid w:val="008D3B0E"/>
    <w:rsid w:val="008D4BAF"/>
    <w:rsid w:val="008D5682"/>
    <w:rsid w:val="008E16A3"/>
    <w:rsid w:val="008E1E5C"/>
    <w:rsid w:val="008E21BF"/>
    <w:rsid w:val="008E2608"/>
    <w:rsid w:val="008E2F42"/>
    <w:rsid w:val="008E3208"/>
    <w:rsid w:val="008E3215"/>
    <w:rsid w:val="008E4E2F"/>
    <w:rsid w:val="008E4F64"/>
    <w:rsid w:val="008E61C6"/>
    <w:rsid w:val="008E6832"/>
    <w:rsid w:val="008E7F0E"/>
    <w:rsid w:val="008F5F91"/>
    <w:rsid w:val="008F694D"/>
    <w:rsid w:val="008F7774"/>
    <w:rsid w:val="00900A92"/>
    <w:rsid w:val="00900E7F"/>
    <w:rsid w:val="0090101F"/>
    <w:rsid w:val="00901563"/>
    <w:rsid w:val="00902843"/>
    <w:rsid w:val="009039A5"/>
    <w:rsid w:val="009039C6"/>
    <w:rsid w:val="0090742D"/>
    <w:rsid w:val="00910434"/>
    <w:rsid w:val="00910C26"/>
    <w:rsid w:val="00912782"/>
    <w:rsid w:val="00912EE3"/>
    <w:rsid w:val="00912FEC"/>
    <w:rsid w:val="00913B2F"/>
    <w:rsid w:val="00915C9F"/>
    <w:rsid w:val="00915D2D"/>
    <w:rsid w:val="00916C17"/>
    <w:rsid w:val="009172D1"/>
    <w:rsid w:val="00917CB6"/>
    <w:rsid w:val="00920F09"/>
    <w:rsid w:val="0092174B"/>
    <w:rsid w:val="009218F9"/>
    <w:rsid w:val="009221B3"/>
    <w:rsid w:val="009238A3"/>
    <w:rsid w:val="00924326"/>
    <w:rsid w:val="0092460D"/>
    <w:rsid w:val="009254B9"/>
    <w:rsid w:val="0092684C"/>
    <w:rsid w:val="00927A3C"/>
    <w:rsid w:val="009303D4"/>
    <w:rsid w:val="00931393"/>
    <w:rsid w:val="00931C97"/>
    <w:rsid w:val="00931CDF"/>
    <w:rsid w:val="009321D4"/>
    <w:rsid w:val="00932534"/>
    <w:rsid w:val="00932745"/>
    <w:rsid w:val="00932BB5"/>
    <w:rsid w:val="00933DDE"/>
    <w:rsid w:val="00934E87"/>
    <w:rsid w:val="00935A0D"/>
    <w:rsid w:val="0093668B"/>
    <w:rsid w:val="00937C01"/>
    <w:rsid w:val="00941620"/>
    <w:rsid w:val="00942DE8"/>
    <w:rsid w:val="00943617"/>
    <w:rsid w:val="00944C5D"/>
    <w:rsid w:val="00944CDB"/>
    <w:rsid w:val="00945E21"/>
    <w:rsid w:val="00946849"/>
    <w:rsid w:val="00947C07"/>
    <w:rsid w:val="00947C45"/>
    <w:rsid w:val="00951C8F"/>
    <w:rsid w:val="00953FBE"/>
    <w:rsid w:val="00954075"/>
    <w:rsid w:val="00957974"/>
    <w:rsid w:val="00960261"/>
    <w:rsid w:val="009625CC"/>
    <w:rsid w:val="00962A6E"/>
    <w:rsid w:val="009631CF"/>
    <w:rsid w:val="00965B11"/>
    <w:rsid w:val="0096681D"/>
    <w:rsid w:val="00966B00"/>
    <w:rsid w:val="00966C76"/>
    <w:rsid w:val="0096761F"/>
    <w:rsid w:val="00971461"/>
    <w:rsid w:val="00972212"/>
    <w:rsid w:val="009747E4"/>
    <w:rsid w:val="00975CC9"/>
    <w:rsid w:val="00975F0B"/>
    <w:rsid w:val="009769D9"/>
    <w:rsid w:val="00977A7C"/>
    <w:rsid w:val="00980969"/>
    <w:rsid w:val="00981855"/>
    <w:rsid w:val="009822FC"/>
    <w:rsid w:val="00983EB2"/>
    <w:rsid w:val="009874F0"/>
    <w:rsid w:val="00987C60"/>
    <w:rsid w:val="00990E4F"/>
    <w:rsid w:val="00992063"/>
    <w:rsid w:val="00993CA3"/>
    <w:rsid w:val="00994E94"/>
    <w:rsid w:val="009954E3"/>
    <w:rsid w:val="009964A0"/>
    <w:rsid w:val="009966B7"/>
    <w:rsid w:val="00996A3C"/>
    <w:rsid w:val="00997B0D"/>
    <w:rsid w:val="009A0F43"/>
    <w:rsid w:val="009A2904"/>
    <w:rsid w:val="009A4D4D"/>
    <w:rsid w:val="009A5CEF"/>
    <w:rsid w:val="009A74C6"/>
    <w:rsid w:val="009A7587"/>
    <w:rsid w:val="009A7C9D"/>
    <w:rsid w:val="009B14FD"/>
    <w:rsid w:val="009B19FD"/>
    <w:rsid w:val="009B21C2"/>
    <w:rsid w:val="009B2D7D"/>
    <w:rsid w:val="009B377C"/>
    <w:rsid w:val="009B3FEF"/>
    <w:rsid w:val="009B52B5"/>
    <w:rsid w:val="009B5C78"/>
    <w:rsid w:val="009B7759"/>
    <w:rsid w:val="009C2330"/>
    <w:rsid w:val="009C286A"/>
    <w:rsid w:val="009C3CC5"/>
    <w:rsid w:val="009C5EB7"/>
    <w:rsid w:val="009C7188"/>
    <w:rsid w:val="009C7D0E"/>
    <w:rsid w:val="009D1471"/>
    <w:rsid w:val="009D255E"/>
    <w:rsid w:val="009D2977"/>
    <w:rsid w:val="009D3092"/>
    <w:rsid w:val="009D32A8"/>
    <w:rsid w:val="009D34F7"/>
    <w:rsid w:val="009D352E"/>
    <w:rsid w:val="009D39D5"/>
    <w:rsid w:val="009D4CD8"/>
    <w:rsid w:val="009E0321"/>
    <w:rsid w:val="009E0658"/>
    <w:rsid w:val="009E1DF4"/>
    <w:rsid w:val="009E2047"/>
    <w:rsid w:val="009E422A"/>
    <w:rsid w:val="009E64B6"/>
    <w:rsid w:val="009E719C"/>
    <w:rsid w:val="009E7978"/>
    <w:rsid w:val="009F2232"/>
    <w:rsid w:val="009F3051"/>
    <w:rsid w:val="009F3439"/>
    <w:rsid w:val="009F3D34"/>
    <w:rsid w:val="009F5873"/>
    <w:rsid w:val="009F64D4"/>
    <w:rsid w:val="009F78ED"/>
    <w:rsid w:val="00A0036E"/>
    <w:rsid w:val="00A00B64"/>
    <w:rsid w:val="00A01BE2"/>
    <w:rsid w:val="00A021CD"/>
    <w:rsid w:val="00A04A9D"/>
    <w:rsid w:val="00A055CA"/>
    <w:rsid w:val="00A0667C"/>
    <w:rsid w:val="00A0762A"/>
    <w:rsid w:val="00A109D2"/>
    <w:rsid w:val="00A12198"/>
    <w:rsid w:val="00A13BCF"/>
    <w:rsid w:val="00A13C38"/>
    <w:rsid w:val="00A158F4"/>
    <w:rsid w:val="00A16185"/>
    <w:rsid w:val="00A20897"/>
    <w:rsid w:val="00A20D98"/>
    <w:rsid w:val="00A227D3"/>
    <w:rsid w:val="00A2395D"/>
    <w:rsid w:val="00A242D9"/>
    <w:rsid w:val="00A24B79"/>
    <w:rsid w:val="00A26FF5"/>
    <w:rsid w:val="00A277C1"/>
    <w:rsid w:val="00A31BC3"/>
    <w:rsid w:val="00A33058"/>
    <w:rsid w:val="00A3350C"/>
    <w:rsid w:val="00A3506E"/>
    <w:rsid w:val="00A40FAF"/>
    <w:rsid w:val="00A43842"/>
    <w:rsid w:val="00A44EE6"/>
    <w:rsid w:val="00A45768"/>
    <w:rsid w:val="00A46AEB"/>
    <w:rsid w:val="00A46E21"/>
    <w:rsid w:val="00A47ABD"/>
    <w:rsid w:val="00A50DE7"/>
    <w:rsid w:val="00A52128"/>
    <w:rsid w:val="00A524E8"/>
    <w:rsid w:val="00A53A69"/>
    <w:rsid w:val="00A5479F"/>
    <w:rsid w:val="00A56F2A"/>
    <w:rsid w:val="00A61444"/>
    <w:rsid w:val="00A61DB8"/>
    <w:rsid w:val="00A62BB4"/>
    <w:rsid w:val="00A62D02"/>
    <w:rsid w:val="00A63184"/>
    <w:rsid w:val="00A63709"/>
    <w:rsid w:val="00A642B1"/>
    <w:rsid w:val="00A64892"/>
    <w:rsid w:val="00A64CCF"/>
    <w:rsid w:val="00A6516B"/>
    <w:rsid w:val="00A6771D"/>
    <w:rsid w:val="00A7193D"/>
    <w:rsid w:val="00A73152"/>
    <w:rsid w:val="00A74744"/>
    <w:rsid w:val="00A74A61"/>
    <w:rsid w:val="00A74DFC"/>
    <w:rsid w:val="00A75EA6"/>
    <w:rsid w:val="00A77175"/>
    <w:rsid w:val="00A8000D"/>
    <w:rsid w:val="00A809BE"/>
    <w:rsid w:val="00A81F6C"/>
    <w:rsid w:val="00A82104"/>
    <w:rsid w:val="00A828D9"/>
    <w:rsid w:val="00A84693"/>
    <w:rsid w:val="00A84B5A"/>
    <w:rsid w:val="00A84EB9"/>
    <w:rsid w:val="00A8525B"/>
    <w:rsid w:val="00A856C2"/>
    <w:rsid w:val="00A85ABB"/>
    <w:rsid w:val="00A86CFC"/>
    <w:rsid w:val="00A87179"/>
    <w:rsid w:val="00A90CB8"/>
    <w:rsid w:val="00A935E0"/>
    <w:rsid w:val="00A936F0"/>
    <w:rsid w:val="00A93D74"/>
    <w:rsid w:val="00A93F44"/>
    <w:rsid w:val="00A9413A"/>
    <w:rsid w:val="00A94407"/>
    <w:rsid w:val="00A946BB"/>
    <w:rsid w:val="00A95982"/>
    <w:rsid w:val="00A969AF"/>
    <w:rsid w:val="00A97906"/>
    <w:rsid w:val="00A9793B"/>
    <w:rsid w:val="00AA0768"/>
    <w:rsid w:val="00AA082E"/>
    <w:rsid w:val="00AA26CE"/>
    <w:rsid w:val="00AA2AE6"/>
    <w:rsid w:val="00AA36FB"/>
    <w:rsid w:val="00AA3C44"/>
    <w:rsid w:val="00AA5310"/>
    <w:rsid w:val="00AA60EA"/>
    <w:rsid w:val="00AA6592"/>
    <w:rsid w:val="00AA65FB"/>
    <w:rsid w:val="00AA7500"/>
    <w:rsid w:val="00AB0F47"/>
    <w:rsid w:val="00AB15BF"/>
    <w:rsid w:val="00AB2A4C"/>
    <w:rsid w:val="00AB3626"/>
    <w:rsid w:val="00AB37F6"/>
    <w:rsid w:val="00AB72A7"/>
    <w:rsid w:val="00AC0801"/>
    <w:rsid w:val="00AC0AF3"/>
    <w:rsid w:val="00AC0F04"/>
    <w:rsid w:val="00AC1460"/>
    <w:rsid w:val="00AC1C83"/>
    <w:rsid w:val="00AC2960"/>
    <w:rsid w:val="00AC3AFB"/>
    <w:rsid w:val="00AC4C12"/>
    <w:rsid w:val="00AC4C24"/>
    <w:rsid w:val="00AC5139"/>
    <w:rsid w:val="00AC5C58"/>
    <w:rsid w:val="00AD1876"/>
    <w:rsid w:val="00AD1BEA"/>
    <w:rsid w:val="00AD2E42"/>
    <w:rsid w:val="00AD40AD"/>
    <w:rsid w:val="00AD7D66"/>
    <w:rsid w:val="00AE1FE0"/>
    <w:rsid w:val="00AE2926"/>
    <w:rsid w:val="00AE3B9E"/>
    <w:rsid w:val="00AE448C"/>
    <w:rsid w:val="00AE4541"/>
    <w:rsid w:val="00AE4ECA"/>
    <w:rsid w:val="00AE51EB"/>
    <w:rsid w:val="00AE5402"/>
    <w:rsid w:val="00AE5FD4"/>
    <w:rsid w:val="00AE66B9"/>
    <w:rsid w:val="00AE6C59"/>
    <w:rsid w:val="00AE76BB"/>
    <w:rsid w:val="00AE77C7"/>
    <w:rsid w:val="00AF0EC9"/>
    <w:rsid w:val="00AF2844"/>
    <w:rsid w:val="00AF61E7"/>
    <w:rsid w:val="00B01D9C"/>
    <w:rsid w:val="00B02790"/>
    <w:rsid w:val="00B02C39"/>
    <w:rsid w:val="00B02DC5"/>
    <w:rsid w:val="00B03A2C"/>
    <w:rsid w:val="00B0478F"/>
    <w:rsid w:val="00B05C52"/>
    <w:rsid w:val="00B06840"/>
    <w:rsid w:val="00B0746B"/>
    <w:rsid w:val="00B07C56"/>
    <w:rsid w:val="00B10A55"/>
    <w:rsid w:val="00B11A22"/>
    <w:rsid w:val="00B12010"/>
    <w:rsid w:val="00B13BA5"/>
    <w:rsid w:val="00B14C69"/>
    <w:rsid w:val="00B15881"/>
    <w:rsid w:val="00B15D09"/>
    <w:rsid w:val="00B16E24"/>
    <w:rsid w:val="00B17157"/>
    <w:rsid w:val="00B172E7"/>
    <w:rsid w:val="00B20084"/>
    <w:rsid w:val="00B20F73"/>
    <w:rsid w:val="00B25A4A"/>
    <w:rsid w:val="00B27726"/>
    <w:rsid w:val="00B3006F"/>
    <w:rsid w:val="00B30091"/>
    <w:rsid w:val="00B3041F"/>
    <w:rsid w:val="00B32527"/>
    <w:rsid w:val="00B3347B"/>
    <w:rsid w:val="00B33A5A"/>
    <w:rsid w:val="00B33C61"/>
    <w:rsid w:val="00B351B3"/>
    <w:rsid w:val="00B36145"/>
    <w:rsid w:val="00B36473"/>
    <w:rsid w:val="00B36E1F"/>
    <w:rsid w:val="00B37B92"/>
    <w:rsid w:val="00B401FC"/>
    <w:rsid w:val="00B40BE3"/>
    <w:rsid w:val="00B41407"/>
    <w:rsid w:val="00B416D9"/>
    <w:rsid w:val="00B4194B"/>
    <w:rsid w:val="00B41F60"/>
    <w:rsid w:val="00B44756"/>
    <w:rsid w:val="00B46502"/>
    <w:rsid w:val="00B55AA0"/>
    <w:rsid w:val="00B60B63"/>
    <w:rsid w:val="00B61648"/>
    <w:rsid w:val="00B6213A"/>
    <w:rsid w:val="00B64A25"/>
    <w:rsid w:val="00B65355"/>
    <w:rsid w:val="00B663B2"/>
    <w:rsid w:val="00B67D7B"/>
    <w:rsid w:val="00B73421"/>
    <w:rsid w:val="00B73F7E"/>
    <w:rsid w:val="00B749CD"/>
    <w:rsid w:val="00B75DA8"/>
    <w:rsid w:val="00B77B3D"/>
    <w:rsid w:val="00B82A77"/>
    <w:rsid w:val="00B8597A"/>
    <w:rsid w:val="00B86533"/>
    <w:rsid w:val="00B86EF0"/>
    <w:rsid w:val="00B86FFC"/>
    <w:rsid w:val="00B8751F"/>
    <w:rsid w:val="00B87624"/>
    <w:rsid w:val="00B87636"/>
    <w:rsid w:val="00B9206E"/>
    <w:rsid w:val="00B92096"/>
    <w:rsid w:val="00B92AB2"/>
    <w:rsid w:val="00B92CCD"/>
    <w:rsid w:val="00B93F52"/>
    <w:rsid w:val="00B949AD"/>
    <w:rsid w:val="00B949F6"/>
    <w:rsid w:val="00B94BA4"/>
    <w:rsid w:val="00B972BE"/>
    <w:rsid w:val="00BA0ED5"/>
    <w:rsid w:val="00BA1252"/>
    <w:rsid w:val="00BA1D0A"/>
    <w:rsid w:val="00BA257F"/>
    <w:rsid w:val="00BA2D29"/>
    <w:rsid w:val="00BA359E"/>
    <w:rsid w:val="00BA4075"/>
    <w:rsid w:val="00BA4092"/>
    <w:rsid w:val="00BA4215"/>
    <w:rsid w:val="00BA46EC"/>
    <w:rsid w:val="00BA51B6"/>
    <w:rsid w:val="00BA5226"/>
    <w:rsid w:val="00BB114C"/>
    <w:rsid w:val="00BB1C00"/>
    <w:rsid w:val="00BB22F5"/>
    <w:rsid w:val="00BB2BC0"/>
    <w:rsid w:val="00BB3764"/>
    <w:rsid w:val="00BB37D9"/>
    <w:rsid w:val="00BB60C1"/>
    <w:rsid w:val="00BB6528"/>
    <w:rsid w:val="00BC027D"/>
    <w:rsid w:val="00BC04FA"/>
    <w:rsid w:val="00BC1013"/>
    <w:rsid w:val="00BC3381"/>
    <w:rsid w:val="00BC374B"/>
    <w:rsid w:val="00BC3A8B"/>
    <w:rsid w:val="00BC55AE"/>
    <w:rsid w:val="00BC6450"/>
    <w:rsid w:val="00BC69A6"/>
    <w:rsid w:val="00BC6A05"/>
    <w:rsid w:val="00BD06AD"/>
    <w:rsid w:val="00BD0B5C"/>
    <w:rsid w:val="00BD0FE6"/>
    <w:rsid w:val="00BD1F9A"/>
    <w:rsid w:val="00BD3FD3"/>
    <w:rsid w:val="00BD4AAD"/>
    <w:rsid w:val="00BD4DCF"/>
    <w:rsid w:val="00BD5D48"/>
    <w:rsid w:val="00BD628A"/>
    <w:rsid w:val="00BD713D"/>
    <w:rsid w:val="00BE0986"/>
    <w:rsid w:val="00BE0AAF"/>
    <w:rsid w:val="00BE2E8E"/>
    <w:rsid w:val="00BE3DB1"/>
    <w:rsid w:val="00BE5C46"/>
    <w:rsid w:val="00BE6954"/>
    <w:rsid w:val="00BE75FE"/>
    <w:rsid w:val="00BF1897"/>
    <w:rsid w:val="00BF4225"/>
    <w:rsid w:val="00BF5973"/>
    <w:rsid w:val="00BF6780"/>
    <w:rsid w:val="00BF7B2C"/>
    <w:rsid w:val="00C000E9"/>
    <w:rsid w:val="00C02020"/>
    <w:rsid w:val="00C04256"/>
    <w:rsid w:val="00C049B6"/>
    <w:rsid w:val="00C05B03"/>
    <w:rsid w:val="00C068C1"/>
    <w:rsid w:val="00C077A1"/>
    <w:rsid w:val="00C07EAA"/>
    <w:rsid w:val="00C10846"/>
    <w:rsid w:val="00C1154C"/>
    <w:rsid w:val="00C117D1"/>
    <w:rsid w:val="00C11D95"/>
    <w:rsid w:val="00C127EA"/>
    <w:rsid w:val="00C128BA"/>
    <w:rsid w:val="00C12F21"/>
    <w:rsid w:val="00C1444A"/>
    <w:rsid w:val="00C1473C"/>
    <w:rsid w:val="00C1546C"/>
    <w:rsid w:val="00C158A9"/>
    <w:rsid w:val="00C17184"/>
    <w:rsid w:val="00C2035B"/>
    <w:rsid w:val="00C2088C"/>
    <w:rsid w:val="00C20A72"/>
    <w:rsid w:val="00C220DF"/>
    <w:rsid w:val="00C22D2B"/>
    <w:rsid w:val="00C22D67"/>
    <w:rsid w:val="00C24722"/>
    <w:rsid w:val="00C250CD"/>
    <w:rsid w:val="00C27A3F"/>
    <w:rsid w:val="00C303A5"/>
    <w:rsid w:val="00C313B4"/>
    <w:rsid w:val="00C3212E"/>
    <w:rsid w:val="00C32F3D"/>
    <w:rsid w:val="00C34286"/>
    <w:rsid w:val="00C4014D"/>
    <w:rsid w:val="00C408E8"/>
    <w:rsid w:val="00C40945"/>
    <w:rsid w:val="00C4245F"/>
    <w:rsid w:val="00C438BF"/>
    <w:rsid w:val="00C461A1"/>
    <w:rsid w:val="00C466CE"/>
    <w:rsid w:val="00C468F0"/>
    <w:rsid w:val="00C46CA6"/>
    <w:rsid w:val="00C47A4F"/>
    <w:rsid w:val="00C51919"/>
    <w:rsid w:val="00C51D27"/>
    <w:rsid w:val="00C5223A"/>
    <w:rsid w:val="00C52CD0"/>
    <w:rsid w:val="00C53ABC"/>
    <w:rsid w:val="00C53EEE"/>
    <w:rsid w:val="00C53F7D"/>
    <w:rsid w:val="00C54228"/>
    <w:rsid w:val="00C558D5"/>
    <w:rsid w:val="00C55D58"/>
    <w:rsid w:val="00C572A7"/>
    <w:rsid w:val="00C572FD"/>
    <w:rsid w:val="00C57685"/>
    <w:rsid w:val="00C5777B"/>
    <w:rsid w:val="00C57D92"/>
    <w:rsid w:val="00C606DA"/>
    <w:rsid w:val="00C60D9C"/>
    <w:rsid w:val="00C6191E"/>
    <w:rsid w:val="00C61BB9"/>
    <w:rsid w:val="00C6243C"/>
    <w:rsid w:val="00C62D21"/>
    <w:rsid w:val="00C63129"/>
    <w:rsid w:val="00C63473"/>
    <w:rsid w:val="00C6421D"/>
    <w:rsid w:val="00C6559A"/>
    <w:rsid w:val="00C65CEE"/>
    <w:rsid w:val="00C65FC4"/>
    <w:rsid w:val="00C66971"/>
    <w:rsid w:val="00C66EB1"/>
    <w:rsid w:val="00C6770A"/>
    <w:rsid w:val="00C6792A"/>
    <w:rsid w:val="00C67D4C"/>
    <w:rsid w:val="00C71095"/>
    <w:rsid w:val="00C715AD"/>
    <w:rsid w:val="00C72A31"/>
    <w:rsid w:val="00C72A4B"/>
    <w:rsid w:val="00C81966"/>
    <w:rsid w:val="00C82356"/>
    <w:rsid w:val="00C83BBC"/>
    <w:rsid w:val="00C842D6"/>
    <w:rsid w:val="00C84439"/>
    <w:rsid w:val="00C8509A"/>
    <w:rsid w:val="00C86A46"/>
    <w:rsid w:val="00C87A8C"/>
    <w:rsid w:val="00C90E01"/>
    <w:rsid w:val="00C920DA"/>
    <w:rsid w:val="00C92FCE"/>
    <w:rsid w:val="00C950F5"/>
    <w:rsid w:val="00C95A0B"/>
    <w:rsid w:val="00C95E6C"/>
    <w:rsid w:val="00C97327"/>
    <w:rsid w:val="00CA05C9"/>
    <w:rsid w:val="00CA0F99"/>
    <w:rsid w:val="00CA3657"/>
    <w:rsid w:val="00CA4029"/>
    <w:rsid w:val="00CA4FF3"/>
    <w:rsid w:val="00CA5FB6"/>
    <w:rsid w:val="00CA682D"/>
    <w:rsid w:val="00CA6DEC"/>
    <w:rsid w:val="00CB0F0B"/>
    <w:rsid w:val="00CB18F6"/>
    <w:rsid w:val="00CB1CDE"/>
    <w:rsid w:val="00CB2AA5"/>
    <w:rsid w:val="00CB3632"/>
    <w:rsid w:val="00CB3D0A"/>
    <w:rsid w:val="00CB47A7"/>
    <w:rsid w:val="00CB5F19"/>
    <w:rsid w:val="00CB660F"/>
    <w:rsid w:val="00CB7450"/>
    <w:rsid w:val="00CB74A6"/>
    <w:rsid w:val="00CB792C"/>
    <w:rsid w:val="00CB7F08"/>
    <w:rsid w:val="00CB7F4C"/>
    <w:rsid w:val="00CC09DD"/>
    <w:rsid w:val="00CC1DF3"/>
    <w:rsid w:val="00CC30E4"/>
    <w:rsid w:val="00CC347E"/>
    <w:rsid w:val="00CC3495"/>
    <w:rsid w:val="00CC60AB"/>
    <w:rsid w:val="00CC6F0C"/>
    <w:rsid w:val="00CD10C9"/>
    <w:rsid w:val="00CD1A3B"/>
    <w:rsid w:val="00CD1EE0"/>
    <w:rsid w:val="00CD21B6"/>
    <w:rsid w:val="00CD2CC5"/>
    <w:rsid w:val="00CD46DB"/>
    <w:rsid w:val="00CD55B2"/>
    <w:rsid w:val="00CD585B"/>
    <w:rsid w:val="00CD6877"/>
    <w:rsid w:val="00CD77AA"/>
    <w:rsid w:val="00CE0CF2"/>
    <w:rsid w:val="00CE0DCC"/>
    <w:rsid w:val="00CE15B0"/>
    <w:rsid w:val="00CE21F0"/>
    <w:rsid w:val="00CE47D1"/>
    <w:rsid w:val="00CE4DAB"/>
    <w:rsid w:val="00CE5B24"/>
    <w:rsid w:val="00CE68AD"/>
    <w:rsid w:val="00CE699A"/>
    <w:rsid w:val="00CE6D09"/>
    <w:rsid w:val="00CE7F61"/>
    <w:rsid w:val="00CF022D"/>
    <w:rsid w:val="00CF1C6F"/>
    <w:rsid w:val="00CF1EFF"/>
    <w:rsid w:val="00CF224D"/>
    <w:rsid w:val="00CF238D"/>
    <w:rsid w:val="00CF6D1C"/>
    <w:rsid w:val="00CF7B77"/>
    <w:rsid w:val="00D03FB3"/>
    <w:rsid w:val="00D07B9C"/>
    <w:rsid w:val="00D11A8C"/>
    <w:rsid w:val="00D133C0"/>
    <w:rsid w:val="00D13585"/>
    <w:rsid w:val="00D1428B"/>
    <w:rsid w:val="00D14BF3"/>
    <w:rsid w:val="00D16224"/>
    <w:rsid w:val="00D17CA0"/>
    <w:rsid w:val="00D17E9C"/>
    <w:rsid w:val="00D21470"/>
    <w:rsid w:val="00D229B2"/>
    <w:rsid w:val="00D246A2"/>
    <w:rsid w:val="00D25E5D"/>
    <w:rsid w:val="00D307FD"/>
    <w:rsid w:val="00D318D7"/>
    <w:rsid w:val="00D323E7"/>
    <w:rsid w:val="00D33BF4"/>
    <w:rsid w:val="00D36691"/>
    <w:rsid w:val="00D3699A"/>
    <w:rsid w:val="00D371D7"/>
    <w:rsid w:val="00D37AC3"/>
    <w:rsid w:val="00D407ED"/>
    <w:rsid w:val="00D411BD"/>
    <w:rsid w:val="00D41569"/>
    <w:rsid w:val="00D41884"/>
    <w:rsid w:val="00D42BC6"/>
    <w:rsid w:val="00D43159"/>
    <w:rsid w:val="00D452F9"/>
    <w:rsid w:val="00D47B6A"/>
    <w:rsid w:val="00D52641"/>
    <w:rsid w:val="00D54582"/>
    <w:rsid w:val="00D5525D"/>
    <w:rsid w:val="00D553A3"/>
    <w:rsid w:val="00D562F3"/>
    <w:rsid w:val="00D608A8"/>
    <w:rsid w:val="00D631C2"/>
    <w:rsid w:val="00D63B8A"/>
    <w:rsid w:val="00D63FDE"/>
    <w:rsid w:val="00D673C7"/>
    <w:rsid w:val="00D675DC"/>
    <w:rsid w:val="00D727C3"/>
    <w:rsid w:val="00D72FE0"/>
    <w:rsid w:val="00D730E6"/>
    <w:rsid w:val="00D731DF"/>
    <w:rsid w:val="00D73841"/>
    <w:rsid w:val="00D75A3C"/>
    <w:rsid w:val="00D75B15"/>
    <w:rsid w:val="00D77B2C"/>
    <w:rsid w:val="00D8033F"/>
    <w:rsid w:val="00D818C3"/>
    <w:rsid w:val="00D82593"/>
    <w:rsid w:val="00D828AE"/>
    <w:rsid w:val="00D840EA"/>
    <w:rsid w:val="00D853CE"/>
    <w:rsid w:val="00D8596A"/>
    <w:rsid w:val="00D925E3"/>
    <w:rsid w:val="00D9304B"/>
    <w:rsid w:val="00D9308B"/>
    <w:rsid w:val="00D94007"/>
    <w:rsid w:val="00D940E4"/>
    <w:rsid w:val="00D94AE8"/>
    <w:rsid w:val="00D96A44"/>
    <w:rsid w:val="00DA07F4"/>
    <w:rsid w:val="00DA0F1C"/>
    <w:rsid w:val="00DA4C5C"/>
    <w:rsid w:val="00DA4ED5"/>
    <w:rsid w:val="00DA5051"/>
    <w:rsid w:val="00DA58A5"/>
    <w:rsid w:val="00DA6E31"/>
    <w:rsid w:val="00DA6E77"/>
    <w:rsid w:val="00DA7040"/>
    <w:rsid w:val="00DB08EF"/>
    <w:rsid w:val="00DB271A"/>
    <w:rsid w:val="00DB2E64"/>
    <w:rsid w:val="00DB5156"/>
    <w:rsid w:val="00DB601D"/>
    <w:rsid w:val="00DC0AC8"/>
    <w:rsid w:val="00DC0B49"/>
    <w:rsid w:val="00DC0E47"/>
    <w:rsid w:val="00DC1061"/>
    <w:rsid w:val="00DC1E38"/>
    <w:rsid w:val="00DC51A1"/>
    <w:rsid w:val="00DC64FF"/>
    <w:rsid w:val="00DC67E8"/>
    <w:rsid w:val="00DC766E"/>
    <w:rsid w:val="00DD0695"/>
    <w:rsid w:val="00DD0C56"/>
    <w:rsid w:val="00DD1C1C"/>
    <w:rsid w:val="00DD1DDB"/>
    <w:rsid w:val="00DD1E75"/>
    <w:rsid w:val="00DD2600"/>
    <w:rsid w:val="00DD4D43"/>
    <w:rsid w:val="00DE1A6A"/>
    <w:rsid w:val="00DE48FC"/>
    <w:rsid w:val="00DE52C7"/>
    <w:rsid w:val="00DE5447"/>
    <w:rsid w:val="00DE5FA4"/>
    <w:rsid w:val="00DF10F2"/>
    <w:rsid w:val="00DF1B42"/>
    <w:rsid w:val="00DF4934"/>
    <w:rsid w:val="00DF4EC4"/>
    <w:rsid w:val="00DF5E61"/>
    <w:rsid w:val="00DF690B"/>
    <w:rsid w:val="00DF709C"/>
    <w:rsid w:val="00DF7259"/>
    <w:rsid w:val="00DF7D89"/>
    <w:rsid w:val="00E007BF"/>
    <w:rsid w:val="00E00E44"/>
    <w:rsid w:val="00E01360"/>
    <w:rsid w:val="00E03ABB"/>
    <w:rsid w:val="00E0444F"/>
    <w:rsid w:val="00E05066"/>
    <w:rsid w:val="00E064B4"/>
    <w:rsid w:val="00E069D5"/>
    <w:rsid w:val="00E071B6"/>
    <w:rsid w:val="00E110F9"/>
    <w:rsid w:val="00E11286"/>
    <w:rsid w:val="00E11D35"/>
    <w:rsid w:val="00E1200F"/>
    <w:rsid w:val="00E132F2"/>
    <w:rsid w:val="00E150A2"/>
    <w:rsid w:val="00E15702"/>
    <w:rsid w:val="00E177BD"/>
    <w:rsid w:val="00E17D69"/>
    <w:rsid w:val="00E204B4"/>
    <w:rsid w:val="00E20A6A"/>
    <w:rsid w:val="00E21AD4"/>
    <w:rsid w:val="00E255B5"/>
    <w:rsid w:val="00E25F88"/>
    <w:rsid w:val="00E260E8"/>
    <w:rsid w:val="00E2715A"/>
    <w:rsid w:val="00E30994"/>
    <w:rsid w:val="00E34EDE"/>
    <w:rsid w:val="00E365A9"/>
    <w:rsid w:val="00E36C9B"/>
    <w:rsid w:val="00E377DB"/>
    <w:rsid w:val="00E403B4"/>
    <w:rsid w:val="00E40DDF"/>
    <w:rsid w:val="00E41492"/>
    <w:rsid w:val="00E415E0"/>
    <w:rsid w:val="00E4226E"/>
    <w:rsid w:val="00E4249F"/>
    <w:rsid w:val="00E425FE"/>
    <w:rsid w:val="00E4384C"/>
    <w:rsid w:val="00E44FFD"/>
    <w:rsid w:val="00E450E6"/>
    <w:rsid w:val="00E46EB5"/>
    <w:rsid w:val="00E50CEA"/>
    <w:rsid w:val="00E51282"/>
    <w:rsid w:val="00E53362"/>
    <w:rsid w:val="00E54498"/>
    <w:rsid w:val="00E55657"/>
    <w:rsid w:val="00E5603F"/>
    <w:rsid w:val="00E569FF"/>
    <w:rsid w:val="00E5719B"/>
    <w:rsid w:val="00E57532"/>
    <w:rsid w:val="00E576C5"/>
    <w:rsid w:val="00E5795E"/>
    <w:rsid w:val="00E57A0E"/>
    <w:rsid w:val="00E57DD0"/>
    <w:rsid w:val="00E6027B"/>
    <w:rsid w:val="00E60FB4"/>
    <w:rsid w:val="00E622EC"/>
    <w:rsid w:val="00E64E59"/>
    <w:rsid w:val="00E65C9D"/>
    <w:rsid w:val="00E67C30"/>
    <w:rsid w:val="00E7037F"/>
    <w:rsid w:val="00E70E54"/>
    <w:rsid w:val="00E70F47"/>
    <w:rsid w:val="00E72514"/>
    <w:rsid w:val="00E73324"/>
    <w:rsid w:val="00E747A7"/>
    <w:rsid w:val="00E80C3F"/>
    <w:rsid w:val="00E8114B"/>
    <w:rsid w:val="00E8283E"/>
    <w:rsid w:val="00E8287E"/>
    <w:rsid w:val="00E84594"/>
    <w:rsid w:val="00E84842"/>
    <w:rsid w:val="00E858FE"/>
    <w:rsid w:val="00E86174"/>
    <w:rsid w:val="00E86831"/>
    <w:rsid w:val="00E8729E"/>
    <w:rsid w:val="00E876BB"/>
    <w:rsid w:val="00E90255"/>
    <w:rsid w:val="00E90826"/>
    <w:rsid w:val="00E91A66"/>
    <w:rsid w:val="00E9359D"/>
    <w:rsid w:val="00E96067"/>
    <w:rsid w:val="00E979BF"/>
    <w:rsid w:val="00EA28DB"/>
    <w:rsid w:val="00EA32FA"/>
    <w:rsid w:val="00EA749A"/>
    <w:rsid w:val="00EA7C39"/>
    <w:rsid w:val="00EA7E56"/>
    <w:rsid w:val="00EB0BD8"/>
    <w:rsid w:val="00EB1069"/>
    <w:rsid w:val="00EB2AE8"/>
    <w:rsid w:val="00EB2E06"/>
    <w:rsid w:val="00EB3F85"/>
    <w:rsid w:val="00EB3FED"/>
    <w:rsid w:val="00EB42A6"/>
    <w:rsid w:val="00EB5279"/>
    <w:rsid w:val="00EB58C6"/>
    <w:rsid w:val="00EB76F9"/>
    <w:rsid w:val="00EC08A0"/>
    <w:rsid w:val="00EC1E49"/>
    <w:rsid w:val="00EC3514"/>
    <w:rsid w:val="00EC38F9"/>
    <w:rsid w:val="00EC47E5"/>
    <w:rsid w:val="00EC50F9"/>
    <w:rsid w:val="00EC54B9"/>
    <w:rsid w:val="00EC586E"/>
    <w:rsid w:val="00EC7560"/>
    <w:rsid w:val="00EC79D8"/>
    <w:rsid w:val="00ED008F"/>
    <w:rsid w:val="00ED30BE"/>
    <w:rsid w:val="00ED33A6"/>
    <w:rsid w:val="00ED4F59"/>
    <w:rsid w:val="00ED50F1"/>
    <w:rsid w:val="00ED79FF"/>
    <w:rsid w:val="00EE0E46"/>
    <w:rsid w:val="00EE199E"/>
    <w:rsid w:val="00EE1F82"/>
    <w:rsid w:val="00EE2C61"/>
    <w:rsid w:val="00EE472A"/>
    <w:rsid w:val="00EE6BCC"/>
    <w:rsid w:val="00EE6CB1"/>
    <w:rsid w:val="00EF05CD"/>
    <w:rsid w:val="00EF1C81"/>
    <w:rsid w:val="00EF40F9"/>
    <w:rsid w:val="00EF5432"/>
    <w:rsid w:val="00EF55EE"/>
    <w:rsid w:val="00EF62EA"/>
    <w:rsid w:val="00EF6D5F"/>
    <w:rsid w:val="00F01B96"/>
    <w:rsid w:val="00F02B60"/>
    <w:rsid w:val="00F02D28"/>
    <w:rsid w:val="00F02DC8"/>
    <w:rsid w:val="00F02E09"/>
    <w:rsid w:val="00F04593"/>
    <w:rsid w:val="00F06BB9"/>
    <w:rsid w:val="00F07C23"/>
    <w:rsid w:val="00F1001A"/>
    <w:rsid w:val="00F1115B"/>
    <w:rsid w:val="00F115A3"/>
    <w:rsid w:val="00F12AD5"/>
    <w:rsid w:val="00F12B53"/>
    <w:rsid w:val="00F14C34"/>
    <w:rsid w:val="00F160B4"/>
    <w:rsid w:val="00F1702E"/>
    <w:rsid w:val="00F21C3E"/>
    <w:rsid w:val="00F21D9B"/>
    <w:rsid w:val="00F223D7"/>
    <w:rsid w:val="00F23598"/>
    <w:rsid w:val="00F237A9"/>
    <w:rsid w:val="00F2383E"/>
    <w:rsid w:val="00F241AF"/>
    <w:rsid w:val="00F24B2B"/>
    <w:rsid w:val="00F25002"/>
    <w:rsid w:val="00F25C9E"/>
    <w:rsid w:val="00F27500"/>
    <w:rsid w:val="00F31B5F"/>
    <w:rsid w:val="00F31E4B"/>
    <w:rsid w:val="00F32877"/>
    <w:rsid w:val="00F32D55"/>
    <w:rsid w:val="00F34489"/>
    <w:rsid w:val="00F34E3C"/>
    <w:rsid w:val="00F34E68"/>
    <w:rsid w:val="00F35EFC"/>
    <w:rsid w:val="00F3633D"/>
    <w:rsid w:val="00F402CE"/>
    <w:rsid w:val="00F41300"/>
    <w:rsid w:val="00F42E7A"/>
    <w:rsid w:val="00F46B36"/>
    <w:rsid w:val="00F501EC"/>
    <w:rsid w:val="00F51DEE"/>
    <w:rsid w:val="00F52024"/>
    <w:rsid w:val="00F52CC8"/>
    <w:rsid w:val="00F54B5C"/>
    <w:rsid w:val="00F5536D"/>
    <w:rsid w:val="00F57344"/>
    <w:rsid w:val="00F573CC"/>
    <w:rsid w:val="00F6007E"/>
    <w:rsid w:val="00F60760"/>
    <w:rsid w:val="00F621CB"/>
    <w:rsid w:val="00F633E2"/>
    <w:rsid w:val="00F6462E"/>
    <w:rsid w:val="00F6618E"/>
    <w:rsid w:val="00F66C46"/>
    <w:rsid w:val="00F66D04"/>
    <w:rsid w:val="00F66E2A"/>
    <w:rsid w:val="00F6777E"/>
    <w:rsid w:val="00F71EC2"/>
    <w:rsid w:val="00F7370F"/>
    <w:rsid w:val="00F7504D"/>
    <w:rsid w:val="00F76030"/>
    <w:rsid w:val="00F765D5"/>
    <w:rsid w:val="00F81CA8"/>
    <w:rsid w:val="00F8240F"/>
    <w:rsid w:val="00F83B5A"/>
    <w:rsid w:val="00F8459E"/>
    <w:rsid w:val="00F8610C"/>
    <w:rsid w:val="00F866C9"/>
    <w:rsid w:val="00F86C72"/>
    <w:rsid w:val="00F90604"/>
    <w:rsid w:val="00F91D5A"/>
    <w:rsid w:val="00F95BB3"/>
    <w:rsid w:val="00F95DE4"/>
    <w:rsid w:val="00F96F04"/>
    <w:rsid w:val="00FA0698"/>
    <w:rsid w:val="00FA07A6"/>
    <w:rsid w:val="00FA0C69"/>
    <w:rsid w:val="00FA16CF"/>
    <w:rsid w:val="00FA2127"/>
    <w:rsid w:val="00FA2D21"/>
    <w:rsid w:val="00FA2F58"/>
    <w:rsid w:val="00FA38B3"/>
    <w:rsid w:val="00FA4FEB"/>
    <w:rsid w:val="00FA5A7D"/>
    <w:rsid w:val="00FA5FEB"/>
    <w:rsid w:val="00FA60E3"/>
    <w:rsid w:val="00FA7988"/>
    <w:rsid w:val="00FB1478"/>
    <w:rsid w:val="00FB2034"/>
    <w:rsid w:val="00FB3565"/>
    <w:rsid w:val="00FB50AD"/>
    <w:rsid w:val="00FB54B6"/>
    <w:rsid w:val="00FB6E10"/>
    <w:rsid w:val="00FC04BB"/>
    <w:rsid w:val="00FC0D3B"/>
    <w:rsid w:val="00FC2324"/>
    <w:rsid w:val="00FC239E"/>
    <w:rsid w:val="00FC31DB"/>
    <w:rsid w:val="00FC400B"/>
    <w:rsid w:val="00FC52FF"/>
    <w:rsid w:val="00FC5A91"/>
    <w:rsid w:val="00FC7F42"/>
    <w:rsid w:val="00FD0A5B"/>
    <w:rsid w:val="00FD0FF6"/>
    <w:rsid w:val="00FD533E"/>
    <w:rsid w:val="00FD5D91"/>
    <w:rsid w:val="00FD702B"/>
    <w:rsid w:val="00FD731A"/>
    <w:rsid w:val="00FD733D"/>
    <w:rsid w:val="00FD7CA7"/>
    <w:rsid w:val="00FE07EF"/>
    <w:rsid w:val="00FE0BF7"/>
    <w:rsid w:val="00FE631E"/>
    <w:rsid w:val="00FF2B4C"/>
    <w:rsid w:val="00FF4A55"/>
    <w:rsid w:val="00FF6952"/>
    <w:rsid w:val="00FF6F6C"/>
    <w:rsid w:val="00FF7240"/>
    <w:rsid w:val="00FF76B7"/>
    <w:rsid w:val="12A4262C"/>
    <w:rsid w:val="37F43E13"/>
    <w:rsid w:val="4F4C1036"/>
    <w:rsid w:val="55D65615"/>
    <w:rsid w:val="5C68226D"/>
    <w:rsid w:val="69064AEE"/>
    <w:rsid w:val="72AC7B8C"/>
    <w:rsid w:val="7F792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 w:eastAsia="仿宋_GB2312" w:cs="仿宋_GB2312"/>
      <w:kern w:val="2"/>
      <w:sz w:val="32"/>
      <w:szCs w:val="32"/>
      <w:lang w:val="en-US" w:eastAsia="zh-CN" w:bidi="ar-SA"/>
    </w:rPr>
  </w:style>
  <w:style w:type="paragraph" w:styleId="2">
    <w:name w:val="heading 1"/>
    <w:basedOn w:val="1"/>
    <w:next w:val="1"/>
    <w:link w:val="3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4"/>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rPr>
  </w:style>
  <w:style w:type="paragraph" w:styleId="5">
    <w:name w:val="heading 4"/>
    <w:basedOn w:val="1"/>
    <w:next w:val="1"/>
    <w:link w:val="36"/>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37"/>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38"/>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3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0"/>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1"/>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1920"/>
      <w:jc w:val="left"/>
    </w:pPr>
    <w:rPr>
      <w:rFonts w:asciiTheme="minorHAnsi" w:eastAsiaTheme="minorHAnsi"/>
      <w:sz w:val="18"/>
      <w:szCs w:val="18"/>
    </w:rPr>
  </w:style>
  <w:style w:type="paragraph" w:styleId="12">
    <w:name w:val="annotation text"/>
    <w:basedOn w:val="1"/>
    <w:link w:val="65"/>
    <w:uiPriority w:val="0"/>
    <w:pPr>
      <w:jc w:val="left"/>
    </w:pPr>
    <w:rPr>
      <w:rFonts w:ascii="Calibri" w:hAnsi="Calibri" w:eastAsia="宋体" w:cs="Arial"/>
      <w:sz w:val="21"/>
      <w:szCs w:val="22"/>
    </w:rPr>
  </w:style>
  <w:style w:type="paragraph" w:styleId="13">
    <w:name w:val="Body Text"/>
    <w:basedOn w:val="1"/>
    <w:link w:val="61"/>
    <w:unhideWhenUsed/>
    <w:qFormat/>
    <w:uiPriority w:val="99"/>
    <w:pPr>
      <w:spacing w:after="120"/>
    </w:pPr>
    <w:rPr>
      <w:rFonts w:ascii="Calibri" w:hAnsi="Calibri" w:cs="Times New Roman"/>
      <w:szCs w:val="22"/>
    </w:rPr>
  </w:style>
  <w:style w:type="paragraph" w:styleId="14">
    <w:name w:val="toc 5"/>
    <w:basedOn w:val="1"/>
    <w:next w:val="1"/>
    <w:autoRedefine/>
    <w:unhideWhenUsed/>
    <w:qFormat/>
    <w:uiPriority w:val="39"/>
    <w:pPr>
      <w:ind w:left="1280"/>
      <w:jc w:val="left"/>
    </w:pPr>
    <w:rPr>
      <w:rFonts w:asciiTheme="minorHAnsi" w:eastAsiaTheme="minorHAnsi"/>
      <w:sz w:val="18"/>
      <w:szCs w:val="18"/>
    </w:rPr>
  </w:style>
  <w:style w:type="paragraph" w:styleId="15">
    <w:name w:val="toc 3"/>
    <w:basedOn w:val="1"/>
    <w:next w:val="1"/>
    <w:autoRedefine/>
    <w:unhideWhenUsed/>
    <w:qFormat/>
    <w:uiPriority w:val="39"/>
    <w:pPr>
      <w:ind w:left="640"/>
      <w:jc w:val="left"/>
    </w:pPr>
    <w:rPr>
      <w:rFonts w:asciiTheme="minorHAnsi" w:eastAsiaTheme="minorHAnsi"/>
      <w:i/>
      <w:iCs/>
      <w:sz w:val="20"/>
      <w:szCs w:val="20"/>
    </w:rPr>
  </w:style>
  <w:style w:type="paragraph" w:styleId="16">
    <w:name w:val="toc 8"/>
    <w:basedOn w:val="1"/>
    <w:next w:val="1"/>
    <w:autoRedefine/>
    <w:unhideWhenUsed/>
    <w:qFormat/>
    <w:uiPriority w:val="39"/>
    <w:pPr>
      <w:ind w:left="2240"/>
      <w:jc w:val="left"/>
    </w:pPr>
    <w:rPr>
      <w:rFonts w:asciiTheme="minorHAnsi" w:eastAsiaTheme="minorHAnsi"/>
      <w:sz w:val="18"/>
      <w:szCs w:val="18"/>
    </w:rPr>
  </w:style>
  <w:style w:type="paragraph" w:styleId="17">
    <w:name w:val="footer"/>
    <w:basedOn w:val="1"/>
    <w:link w:val="53"/>
    <w:unhideWhenUsed/>
    <w:qFormat/>
    <w:uiPriority w:val="99"/>
    <w:pPr>
      <w:tabs>
        <w:tab w:val="center" w:pos="4153"/>
        <w:tab w:val="right" w:pos="8306"/>
      </w:tabs>
      <w:snapToGrid w:val="0"/>
      <w:jc w:val="left"/>
    </w:pPr>
    <w:rPr>
      <w:sz w:val="18"/>
      <w:szCs w:val="18"/>
    </w:rPr>
  </w:style>
  <w:style w:type="paragraph" w:styleId="18">
    <w:name w:val="header"/>
    <w:basedOn w:val="1"/>
    <w:link w:val="52"/>
    <w:unhideWhenUsed/>
    <w:qFormat/>
    <w:uiPriority w:val="99"/>
    <w:pP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spacing w:before="120" w:after="120"/>
      <w:jc w:val="left"/>
    </w:pPr>
    <w:rPr>
      <w:rFonts w:asciiTheme="minorHAnsi" w:eastAsiaTheme="minorHAnsi"/>
      <w:b/>
      <w:bCs/>
      <w:caps/>
      <w:sz w:val="20"/>
      <w:szCs w:val="20"/>
    </w:rPr>
  </w:style>
  <w:style w:type="paragraph" w:styleId="20">
    <w:name w:val="toc 4"/>
    <w:basedOn w:val="1"/>
    <w:next w:val="1"/>
    <w:autoRedefine/>
    <w:unhideWhenUsed/>
    <w:qFormat/>
    <w:uiPriority w:val="39"/>
    <w:pPr>
      <w:ind w:left="960"/>
      <w:jc w:val="left"/>
    </w:pPr>
    <w:rPr>
      <w:rFonts w:asciiTheme="minorHAnsi" w:eastAsiaTheme="minorHAnsi"/>
      <w:sz w:val="18"/>
      <w:szCs w:val="18"/>
    </w:rPr>
  </w:style>
  <w:style w:type="paragraph" w:styleId="21">
    <w:name w:val="Subtitle"/>
    <w:basedOn w:val="1"/>
    <w:next w:val="1"/>
    <w:link w:val="4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footnote text"/>
    <w:basedOn w:val="1"/>
    <w:link w:val="51"/>
    <w:unhideWhenUsed/>
    <w:qFormat/>
    <w:uiPriority w:val="0"/>
    <w:pPr>
      <w:snapToGrid w:val="0"/>
      <w:jc w:val="left"/>
    </w:pPr>
    <w:rPr>
      <w:rFonts w:asciiTheme="minorHAnsi" w:hAnsiTheme="minorHAnsi" w:eastAsiaTheme="minorEastAsia" w:cstheme="minorBidi"/>
      <w:sz w:val="18"/>
      <w:szCs w:val="18"/>
    </w:rPr>
  </w:style>
  <w:style w:type="paragraph" w:styleId="23">
    <w:name w:val="toc 6"/>
    <w:basedOn w:val="1"/>
    <w:next w:val="1"/>
    <w:autoRedefine/>
    <w:unhideWhenUsed/>
    <w:qFormat/>
    <w:uiPriority w:val="39"/>
    <w:pPr>
      <w:ind w:left="1600"/>
      <w:jc w:val="left"/>
    </w:pPr>
    <w:rPr>
      <w:rFonts w:asciiTheme="minorHAnsi" w:eastAsiaTheme="minorHAnsi"/>
      <w:sz w:val="18"/>
      <w:szCs w:val="18"/>
    </w:rPr>
  </w:style>
  <w:style w:type="paragraph" w:styleId="24">
    <w:name w:val="toc 2"/>
    <w:basedOn w:val="1"/>
    <w:next w:val="1"/>
    <w:autoRedefine/>
    <w:unhideWhenUsed/>
    <w:qFormat/>
    <w:uiPriority w:val="39"/>
    <w:pPr>
      <w:tabs>
        <w:tab w:val="right" w:leader="dot" w:pos="8608"/>
      </w:tabs>
      <w:snapToGrid w:val="0"/>
      <w:spacing w:line="276" w:lineRule="auto"/>
      <w:ind w:left="320"/>
      <w:jc w:val="left"/>
    </w:pPr>
    <w:rPr>
      <w:rFonts w:asciiTheme="minorHAnsi" w:eastAsiaTheme="minorHAnsi"/>
      <w:smallCaps/>
      <w:sz w:val="20"/>
      <w:szCs w:val="20"/>
    </w:rPr>
  </w:style>
  <w:style w:type="paragraph" w:styleId="25">
    <w:name w:val="toc 9"/>
    <w:basedOn w:val="1"/>
    <w:next w:val="1"/>
    <w:autoRedefine/>
    <w:unhideWhenUsed/>
    <w:qFormat/>
    <w:uiPriority w:val="39"/>
    <w:pPr>
      <w:ind w:left="2560"/>
      <w:jc w:val="left"/>
    </w:pPr>
    <w:rPr>
      <w:rFonts w:asciiTheme="minorHAnsi" w:eastAsiaTheme="minorHAnsi"/>
      <w:sz w:val="18"/>
      <w:szCs w:val="18"/>
    </w:rPr>
  </w:style>
  <w:style w:type="paragraph" w:styleId="2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7">
    <w:name w:val="Title"/>
    <w:basedOn w:val="1"/>
    <w:next w:val="1"/>
    <w:link w:val="4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9">
    <w:name w:val="Table Grid"/>
    <w:basedOn w:val="28"/>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Hyperlink"/>
    <w:basedOn w:val="30"/>
    <w:unhideWhenUsed/>
    <w:qFormat/>
    <w:uiPriority w:val="99"/>
    <w:rPr>
      <w:color w:val="467886" w:themeColor="hyperlink"/>
      <w:u w:val="single"/>
      <w14:textFill>
        <w14:solidFill>
          <w14:schemeClr w14:val="hlink"/>
        </w14:solidFill>
      </w14:textFill>
    </w:rPr>
  </w:style>
  <w:style w:type="character" w:styleId="32">
    <w:name w:val="footnote reference"/>
    <w:basedOn w:val="30"/>
    <w:unhideWhenUsed/>
    <w:qFormat/>
    <w:uiPriority w:val="0"/>
    <w:rPr>
      <w:vertAlign w:val="superscript"/>
    </w:rPr>
  </w:style>
  <w:style w:type="character" w:customStyle="1" w:styleId="33">
    <w:name w:val="标题 1 字符"/>
    <w:basedOn w:val="30"/>
    <w:link w:val="2"/>
    <w:qFormat/>
    <w:uiPriority w:val="9"/>
    <w:rPr>
      <w:rFonts w:asciiTheme="majorHAnsi" w:hAnsiTheme="majorHAnsi" w:eastAsiaTheme="majorEastAsia" w:cstheme="majorBidi"/>
      <w:color w:val="104862" w:themeColor="accent1" w:themeShade="BF"/>
      <w:sz w:val="48"/>
      <w:szCs w:val="48"/>
    </w:rPr>
  </w:style>
  <w:style w:type="character" w:customStyle="1" w:styleId="34">
    <w:name w:val="标题 2 字符"/>
    <w:basedOn w:val="30"/>
    <w:link w:val="3"/>
    <w:qFormat/>
    <w:uiPriority w:val="9"/>
    <w:rPr>
      <w:rFonts w:asciiTheme="majorHAnsi" w:hAnsiTheme="majorHAnsi" w:eastAsiaTheme="majorEastAsia" w:cstheme="majorBidi"/>
      <w:color w:val="104862" w:themeColor="accent1" w:themeShade="BF"/>
      <w:sz w:val="40"/>
      <w:szCs w:val="40"/>
    </w:rPr>
  </w:style>
  <w:style w:type="character" w:customStyle="1" w:styleId="35">
    <w:name w:val="标题 3 字符"/>
    <w:basedOn w:val="30"/>
    <w:link w:val="4"/>
    <w:semiHidden/>
    <w:qFormat/>
    <w:uiPriority w:val="9"/>
    <w:rPr>
      <w:rFonts w:asciiTheme="majorHAnsi" w:hAnsiTheme="majorHAnsi" w:eastAsiaTheme="majorEastAsia" w:cstheme="majorBidi"/>
      <w:color w:val="104862" w:themeColor="accent1" w:themeShade="BF"/>
    </w:rPr>
  </w:style>
  <w:style w:type="character" w:customStyle="1" w:styleId="36">
    <w:name w:val="标题 4 字符"/>
    <w:basedOn w:val="30"/>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37">
    <w:name w:val="标题 5 字符"/>
    <w:basedOn w:val="30"/>
    <w:link w:val="6"/>
    <w:semiHidden/>
    <w:qFormat/>
    <w:uiPriority w:val="9"/>
    <w:rPr>
      <w:rFonts w:asciiTheme="minorHAnsi" w:hAnsiTheme="minorHAnsi" w:eastAsiaTheme="minorEastAsia" w:cstheme="majorBidi"/>
      <w:color w:val="104862" w:themeColor="accent1" w:themeShade="BF"/>
      <w:sz w:val="24"/>
      <w:szCs w:val="24"/>
    </w:rPr>
  </w:style>
  <w:style w:type="character" w:customStyle="1" w:styleId="38">
    <w:name w:val="标题 6 字符"/>
    <w:basedOn w:val="30"/>
    <w:link w:val="7"/>
    <w:semiHidden/>
    <w:qFormat/>
    <w:uiPriority w:val="9"/>
    <w:rPr>
      <w:rFonts w:asciiTheme="minorHAnsi" w:hAnsiTheme="minorHAnsi" w:eastAsiaTheme="minorEastAsia" w:cstheme="majorBidi"/>
      <w:b/>
      <w:bCs/>
      <w:color w:val="104862" w:themeColor="accent1" w:themeShade="BF"/>
    </w:rPr>
  </w:style>
  <w:style w:type="character" w:customStyle="1" w:styleId="39">
    <w:name w:val="标题 7 字符"/>
    <w:basedOn w:val="30"/>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40">
    <w:name w:val="标题 8 字符"/>
    <w:basedOn w:val="30"/>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41">
    <w:name w:val="标题 9 字符"/>
    <w:basedOn w:val="30"/>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2">
    <w:name w:val="标题 字符"/>
    <w:basedOn w:val="30"/>
    <w:link w:val="27"/>
    <w:qFormat/>
    <w:uiPriority w:val="10"/>
    <w:rPr>
      <w:rFonts w:asciiTheme="majorHAnsi" w:hAnsiTheme="majorHAnsi" w:eastAsiaTheme="majorEastAsia" w:cstheme="majorBidi"/>
      <w:spacing w:val="-10"/>
      <w:kern w:val="28"/>
      <w:sz w:val="56"/>
      <w:szCs w:val="56"/>
    </w:rPr>
  </w:style>
  <w:style w:type="character" w:customStyle="1" w:styleId="43">
    <w:name w:val="副标题 字符"/>
    <w:basedOn w:val="30"/>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4">
    <w:name w:val="Quote"/>
    <w:basedOn w:val="1"/>
    <w:next w:val="1"/>
    <w:link w:val="4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5">
    <w:name w:val="引用 字符"/>
    <w:basedOn w:val="30"/>
    <w:link w:val="44"/>
    <w:qFormat/>
    <w:uiPriority w:val="29"/>
    <w:rPr>
      <w:i/>
      <w:iCs/>
      <w:color w:val="404040" w:themeColor="text1" w:themeTint="BF"/>
      <w14:textFill>
        <w14:solidFill>
          <w14:schemeClr w14:val="tx1">
            <w14:lumMod w14:val="75000"/>
            <w14:lumOff w14:val="25000"/>
          </w14:schemeClr>
        </w14:solidFill>
      </w14:textFill>
    </w:rPr>
  </w:style>
  <w:style w:type="paragraph" w:styleId="46">
    <w:name w:val="List Paragraph"/>
    <w:basedOn w:val="1"/>
    <w:qFormat/>
    <w:uiPriority w:val="34"/>
    <w:pPr>
      <w:ind w:left="720"/>
      <w:contextualSpacing/>
    </w:pPr>
  </w:style>
  <w:style w:type="character" w:customStyle="1" w:styleId="47">
    <w:name w:val="明显强调1"/>
    <w:basedOn w:val="30"/>
    <w:qFormat/>
    <w:uiPriority w:val="21"/>
    <w:rPr>
      <w:i/>
      <w:iCs/>
      <w:color w:val="104862" w:themeColor="accent1" w:themeShade="BF"/>
    </w:rPr>
  </w:style>
  <w:style w:type="paragraph" w:styleId="48">
    <w:name w:val="Intense Quote"/>
    <w:basedOn w:val="1"/>
    <w:next w:val="1"/>
    <w:link w:val="4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9">
    <w:name w:val="明显引用 字符"/>
    <w:basedOn w:val="30"/>
    <w:link w:val="48"/>
    <w:qFormat/>
    <w:uiPriority w:val="30"/>
    <w:rPr>
      <w:i/>
      <w:iCs/>
      <w:color w:val="104862" w:themeColor="accent1" w:themeShade="BF"/>
    </w:rPr>
  </w:style>
  <w:style w:type="character" w:customStyle="1" w:styleId="50">
    <w:name w:val="明显参考1"/>
    <w:basedOn w:val="30"/>
    <w:qFormat/>
    <w:uiPriority w:val="32"/>
    <w:rPr>
      <w:b/>
      <w:bCs/>
      <w:smallCaps/>
      <w:color w:val="104862" w:themeColor="accent1" w:themeShade="BF"/>
      <w:spacing w:val="5"/>
    </w:rPr>
  </w:style>
  <w:style w:type="character" w:customStyle="1" w:styleId="51">
    <w:name w:val="脚注文本 字符"/>
    <w:basedOn w:val="30"/>
    <w:link w:val="22"/>
    <w:qFormat/>
    <w:uiPriority w:val="0"/>
    <w:rPr>
      <w:rFonts w:asciiTheme="minorHAnsi" w:hAnsiTheme="minorHAnsi" w:eastAsiaTheme="minorEastAsia" w:cstheme="minorBidi"/>
      <w:sz w:val="18"/>
      <w:szCs w:val="18"/>
    </w:rPr>
  </w:style>
  <w:style w:type="character" w:customStyle="1" w:styleId="52">
    <w:name w:val="页眉 字符"/>
    <w:basedOn w:val="30"/>
    <w:link w:val="18"/>
    <w:qFormat/>
    <w:uiPriority w:val="99"/>
    <w:rPr>
      <w:sz w:val="18"/>
      <w:szCs w:val="18"/>
    </w:rPr>
  </w:style>
  <w:style w:type="character" w:customStyle="1" w:styleId="53">
    <w:name w:val="页脚 字符"/>
    <w:basedOn w:val="30"/>
    <w:link w:val="17"/>
    <w:qFormat/>
    <w:uiPriority w:val="99"/>
    <w:rPr>
      <w:sz w:val="18"/>
      <w:szCs w:val="18"/>
    </w:rPr>
  </w:style>
  <w:style w:type="paragraph" w:customStyle="1" w:styleId="54">
    <w:name w:val="正文 New New"/>
    <w:next w:val="1"/>
    <w:qFormat/>
    <w:uiPriority w:val="0"/>
    <w:pPr>
      <w:widowControl w:val="0"/>
      <w:jc w:val="both"/>
    </w:pPr>
    <w:rPr>
      <w:rFonts w:ascii="Calibri" w:hAnsi="Calibri" w:eastAsia="宋体" w:cs="Times New Roman"/>
      <w:kern w:val="2"/>
      <w:sz w:val="21"/>
      <w:szCs w:val="24"/>
      <w:lang w:val="en-US" w:eastAsia="zh-CN" w:bidi="ar-SA"/>
    </w:rPr>
  </w:style>
  <w:style w:type="character" w:customStyle="1" w:styleId="55">
    <w:name w:val="NormalCharacter"/>
    <w:link w:val="56"/>
    <w:qFormat/>
    <w:uiPriority w:val="99"/>
    <w:rPr>
      <w:rFonts w:ascii="长城仿宋" w:hAnsi="Times New Roman"/>
      <w:kern w:val="0"/>
      <w:szCs w:val="20"/>
    </w:rPr>
  </w:style>
  <w:style w:type="paragraph" w:customStyle="1" w:styleId="56">
    <w:name w:val="UserStyle_0"/>
    <w:basedOn w:val="1"/>
    <w:link w:val="55"/>
    <w:qFormat/>
    <w:uiPriority w:val="99"/>
    <w:pPr>
      <w:spacing w:line="480" w:lineRule="atLeast"/>
      <w:ind w:firstLine="567" w:firstLineChars="200"/>
    </w:pPr>
    <w:rPr>
      <w:rFonts w:ascii="长城仿宋" w:hAnsi="Times New Roman"/>
      <w:kern w:val="0"/>
      <w:szCs w:val="20"/>
    </w:rPr>
  </w:style>
  <w:style w:type="character" w:customStyle="1" w:styleId="57">
    <w:name w:val="fontstyle01"/>
    <w:basedOn w:val="30"/>
    <w:qFormat/>
    <w:uiPriority w:val="0"/>
    <w:rPr>
      <w:rFonts w:ascii="楷体_GB2312" w:hAnsi="楷体_GB2312" w:eastAsia="楷体_GB2312" w:cs="楷体_GB2312"/>
      <w:color w:val="000000"/>
      <w:sz w:val="32"/>
      <w:szCs w:val="32"/>
    </w:rPr>
  </w:style>
  <w:style w:type="character" w:customStyle="1" w:styleId="58">
    <w:name w:val="fontstyle21"/>
    <w:basedOn w:val="30"/>
    <w:qFormat/>
    <w:uiPriority w:val="0"/>
    <w:rPr>
      <w:rFonts w:ascii="仿宋_GB2312" w:hAnsi="仿宋_GB2312" w:eastAsia="仿宋_GB2312" w:cs="仿宋_GB2312"/>
      <w:color w:val="000000"/>
      <w:sz w:val="32"/>
      <w:szCs w:val="32"/>
    </w:rPr>
  </w:style>
  <w:style w:type="paragraph" w:customStyle="1" w:styleId="59">
    <w:name w:val="一级标题样式"/>
    <w:basedOn w:val="1"/>
    <w:link w:val="60"/>
    <w:qFormat/>
    <w:uiPriority w:val="0"/>
    <w:pPr>
      <w:autoSpaceDE w:val="0"/>
      <w:adjustRightInd w:val="0"/>
      <w:snapToGrid w:val="0"/>
      <w:spacing w:line="600" w:lineRule="exact"/>
      <w:ind w:firstLine="200" w:firstLineChars="200"/>
      <w:outlineLvl w:val="0"/>
    </w:pPr>
    <w:rPr>
      <w:rFonts w:ascii="楷体_GB2312" w:hAnsi="楷体_GB2312" w:eastAsia="黑体" w:cs="Times New Roman"/>
      <w14:ligatures w14:val="standardContextual"/>
    </w:rPr>
  </w:style>
  <w:style w:type="character" w:customStyle="1" w:styleId="60">
    <w:name w:val="一级标题样式 字符"/>
    <w:basedOn w:val="30"/>
    <w:link w:val="59"/>
    <w:qFormat/>
    <w:uiPriority w:val="0"/>
    <w:rPr>
      <w:rFonts w:ascii="楷体_GB2312" w:hAnsi="楷体_GB2312" w:eastAsia="黑体" w:cs="Times New Roman"/>
      <w14:ligatures w14:val="standardContextual"/>
    </w:rPr>
  </w:style>
  <w:style w:type="character" w:customStyle="1" w:styleId="61">
    <w:name w:val="正文文本 字符"/>
    <w:basedOn w:val="30"/>
    <w:link w:val="13"/>
    <w:qFormat/>
    <w:uiPriority w:val="99"/>
    <w:rPr>
      <w:rFonts w:ascii="Calibri" w:hAnsi="Calibri" w:cs="Times New Roman"/>
      <w:szCs w:val="22"/>
    </w:rPr>
  </w:style>
  <w:style w:type="paragraph" w:customStyle="1" w:styleId="62">
    <w:name w:val="正文-论文"/>
    <w:basedOn w:val="1"/>
    <w:qFormat/>
    <w:uiPriority w:val="0"/>
    <w:pPr>
      <w:widowControl/>
      <w:spacing w:line="580" w:lineRule="exact"/>
      <w:ind w:firstLine="637" w:firstLineChars="200"/>
    </w:pPr>
    <w:rPr>
      <w:rFonts w:hAnsi="Times New Roman" w:cs="Times New Roman"/>
      <w:color w:val="000000"/>
      <w:kern w:val="0"/>
      <w:szCs w:val="20"/>
    </w:rPr>
  </w:style>
  <w:style w:type="paragraph" w:customStyle="1" w:styleId="63">
    <w:name w:val="修订1"/>
    <w:hidden/>
    <w:semiHidden/>
    <w:qFormat/>
    <w:uiPriority w:val="99"/>
    <w:rPr>
      <w:rFonts w:ascii="仿宋_GB2312" w:hAnsi="仿宋" w:eastAsia="仿宋_GB2312" w:cs="仿宋_GB2312"/>
      <w:kern w:val="2"/>
      <w:sz w:val="32"/>
      <w:szCs w:val="32"/>
      <w:lang w:val="en-US" w:eastAsia="zh-CN" w:bidi="ar-SA"/>
    </w:rPr>
  </w:style>
  <w:style w:type="paragraph" w:customStyle="1" w:styleId="64">
    <w:name w:val="修订2"/>
    <w:hidden/>
    <w:unhideWhenUsed/>
    <w:uiPriority w:val="99"/>
    <w:rPr>
      <w:rFonts w:ascii="仿宋_GB2312" w:hAnsi="仿宋" w:eastAsia="仿宋_GB2312" w:cs="仿宋_GB2312"/>
      <w:kern w:val="2"/>
      <w:sz w:val="32"/>
      <w:szCs w:val="32"/>
      <w:lang w:val="en-US" w:eastAsia="zh-CN" w:bidi="ar-SA"/>
    </w:rPr>
  </w:style>
  <w:style w:type="character" w:customStyle="1" w:styleId="65">
    <w:name w:val="批注文字 字符"/>
    <w:basedOn w:val="30"/>
    <w:link w:val="12"/>
    <w:qFormat/>
    <w:uiPriority w:val="0"/>
    <w:rPr>
      <w:rFonts w:ascii="Calibri" w:hAnsi="Calibri" w:cs="Arial"/>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1d77f269-64f6-4264-9242-c7dc819c5473</errorID>
      <errorWord>围</errorWord>
      <group>L1_Word</group>
      <groupName>字词问题</groupName>
      <ability>L2_Typo</ability>
      <abilityName>字词错误</abilityName>
      <candidateList>
        <item>围内</item>
      </candidateList>
      <explain/>
      <paraID>2064D347</paraID>
      <start>78</start>
      <end>79</end>
      <status>ignored</status>
      <modifiedWord/>
      <trackRevisions>false</trackRevisions>
    </reviewItem>
    <reviewItem>
      <errorID>d4e28126-f5bb-481a-84b1-36e6bab17ca1</errorID>
      <errorWord>三步走战略</errorWord>
      <group>L1_Political</group>
      <groupName>政治性问题</groupName>
      <ability>L2_Keyword</ability>
      <abilityName>固定表述</abilityName>
      <candidateList>
        <item>“三步走”战略</item>
      </candidateList>
      <explain>注意检查当前固定表述标点是否使用规范。</explain>
      <paraID> 597AE6A</paraID>
      <start>30</start>
      <end>35</end>
      <status>ignored</status>
      <modifiedWord/>
      <trackRevisions>false</trackRevisions>
    </reviewItem>
    <reviewItem>
      <errorID>441a6fa6-342f-4c29-8569-666f297cd353</errorID>
      <errorWord>货</errorWord>
      <group>L1_Word</group>
      <groupName>字词问题</groupName>
      <ability>L2_Typo</ability>
      <abilityName>字词错误</abilityName>
      <candidateList>
        <item>货化</item>
      </candidateList>
      <explain/>
      <paraID>1956CB77</paraID>
      <start>11</start>
      <end>12</end>
      <status>ignored</status>
      <modifiedWord/>
      <trackRevisions>false</trackRevisions>
    </reviewItem>
    <reviewItem>
      <errorID>321dadfa-827a-43dd-aade-87e2382f6763</errorID>
      <errorWord>可续发展</errorWord>
      <group>L1_Political</group>
      <groupName>政治性问题</groupName>
      <ability>L2_Keyword</ability>
      <abilityName>固定表述</abilityName>
      <candidateList>
        <item>可持续发展</item>
      </candidateList>
      <explain>词汇“可持续发展”在特定场景下为固定表述形式，请确认此处的“可续发展”是否存在不当。</explain>
      <paraID>7002FF85</paraID>
      <start>10</start>
      <end>14</end>
      <status>ignored</status>
      <modifiedWord/>
      <trackRevisions>false</trackRevisions>
    </reviewItem>
    <reviewItem>
      <errorID>21db2a81-6645-4a4f-973d-74adfd7b2756</errorID>
      <errorWord>更好服务</errorWord>
      <group>L1_Word</group>
      <groupName>字词问题</groupName>
      <ability>L2_Typo</ability>
      <abilityName>字词错误</abilityName>
      <candidateList>
        <item>更好地服务</item>
      </candidateList>
      <explain/>
      <paraID>66D02F6C</paraID>
      <start>95</start>
      <end>99</end>
      <status>ignored</status>
      <modifiedWord/>
      <trackRevisions>false</trackRevisions>
    </reviewItem>
  </reviewItems>
  <config/>
</contractReview>
</file>

<file path=customXml/itemProps1.xml><?xml version="1.0" encoding="utf-8"?>
<ds:datastoreItem xmlns:ds="http://schemas.openxmlformats.org/officeDocument/2006/customXml" ds:itemID="{3470A2E4-8D24-46E4-8EB3-D0CCB7804356}">
  <ds:schemaRefs/>
</ds:datastoreItem>
</file>

<file path=customXml/itemProps2.xml><?xml version="1.0" encoding="utf-8"?>
<ds:datastoreItem xmlns:ds="http://schemas.openxmlformats.org/officeDocument/2006/customXml" ds:itemID="{6c9d0e53-91f8-49bf-a7e9-ce40b94264e3}">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33</Pages>
  <Words>5074</Words>
  <Characters>5115</Characters>
  <Lines>508</Lines>
  <Paragraphs>431</Paragraphs>
  <TotalTime>2</TotalTime>
  <ScaleCrop>false</ScaleCrop>
  <LinksUpToDate>false</LinksUpToDate>
  <CharactersWithSpaces>5144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2025-10-27T09:29:00Z</dcterms:created>
  <dc:creator>ming xiao</dc:creator>
  <cp:lastModifiedBy>肖鸣</cp:lastModifiedBy>
  <cp:lastPrinted>2026-04-17T03:52:00Z</cp:lastPrinted>
  <dcterms:modified xsi:type="dcterms:W3CDTF">2026-07-27T14:05:57Z</dcterms:modified>
  <cp:revision>278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eyJoZGlkIjoiY2IzN2I0N2I2NWY2N2ZlMjIwMzY1YTg2YWRhZGU4OTEiLCJ1c2VySWQiOiI0ODY3NzE5NTMifQ==</vt:lpwstr>
  </property>
  <property fmtid="{D5CDD505-2E9C-101B-9397-08002B2CF9AE}" pid="3" name="KSOProductBuildVer">
    <vt:lpwstr>2052-12.1.0.26895</vt:lpwstr>
  </property>
  <property fmtid="{D5CDD505-2E9C-101B-9397-08002B2CF9AE}" pid="4" name="ICV">
    <vt:lpwstr>0C21C0DD8BF14066808558995D9A0475_12</vt:lpwstr>
  </property>
</Properties>
</file>