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6B23E">
      <w:pPr>
        <w:spacing w:beforeLines="0" w:afterLines="0" w:line="560" w:lineRule="exact"/>
        <w:ind w:left="0" w:leftChars="0" w:firstLine="640" w:firstLineChars="200"/>
        <w:rPr>
          <w:rFonts w:hint="eastAsia" w:eastAsia="仿宋_GB2312"/>
          <w:color w:val="auto"/>
          <w:lang w:val="en-US" w:eastAsia="zh-CN"/>
        </w:rPr>
      </w:pPr>
    </w:p>
    <w:p w14:paraId="57C1E814">
      <w:pPr>
        <w:spacing w:beforeLines="0" w:afterLines="0" w:line="560" w:lineRule="exact"/>
        <w:ind w:left="0" w:leftChars="0" w:firstLine="640" w:firstLineChars="200"/>
        <w:rPr>
          <w:color w:val="auto"/>
        </w:rPr>
      </w:pPr>
    </w:p>
    <w:p w14:paraId="0341DEF6">
      <w:pPr>
        <w:spacing w:beforeLines="0" w:afterLines="0" w:line="560" w:lineRule="exact"/>
        <w:ind w:left="0" w:leftChars="0" w:firstLine="640" w:firstLineChars="200"/>
        <w:rPr>
          <w:color w:val="auto"/>
        </w:rPr>
      </w:pPr>
    </w:p>
    <w:p w14:paraId="22DD1669">
      <w:pPr>
        <w:spacing w:beforeLines="0" w:afterLines="0" w:line="560" w:lineRule="exact"/>
        <w:ind w:left="0" w:leftChars="0" w:firstLine="640" w:firstLineChars="200"/>
        <w:rPr>
          <w:color w:val="auto"/>
        </w:rPr>
      </w:pPr>
    </w:p>
    <w:p w14:paraId="5F3FDB36">
      <w:pPr>
        <w:spacing w:beforeLines="0" w:afterLines="0" w:line="560" w:lineRule="exact"/>
        <w:ind w:left="0" w:leftChars="0" w:firstLine="640" w:firstLineChars="200"/>
        <w:rPr>
          <w:color w:val="auto"/>
        </w:rPr>
      </w:pPr>
    </w:p>
    <w:p w14:paraId="2DE13787">
      <w:pPr>
        <w:spacing w:beforeLines="0" w:afterLines="0" w:line="560" w:lineRule="exact"/>
        <w:ind w:left="0" w:leftChars="0" w:firstLine="640" w:firstLineChars="200"/>
        <w:rPr>
          <w:color w:val="auto"/>
        </w:rPr>
      </w:pPr>
    </w:p>
    <w:p w14:paraId="0F848FE2">
      <w:pPr>
        <w:spacing w:beforeLines="0" w:afterLines="0" w:line="560" w:lineRule="exact"/>
        <w:ind w:left="0" w:leftChars="0" w:firstLine="640" w:firstLineChars="200"/>
        <w:rPr>
          <w:color w:val="auto"/>
        </w:rPr>
      </w:pPr>
    </w:p>
    <w:p w14:paraId="6A389BD3">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数字韶关建设“十五五”规划</w:t>
      </w:r>
    </w:p>
    <w:p w14:paraId="4542F6BD">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（公开征求意见稿）</w:t>
      </w:r>
    </w:p>
    <w:p w14:paraId="0E8D59F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color w:val="auto"/>
        </w:rPr>
      </w:pPr>
    </w:p>
    <w:p w14:paraId="3A793193">
      <w:pPr>
        <w:spacing w:before="0" w:beforeLines="0" w:after="0" w:afterLines="0" w:line="560" w:lineRule="exact"/>
        <w:ind w:left="0" w:leftChars="0" w:right="0" w:rightChars="0" w:firstLine="640" w:firstLineChars="200"/>
        <w:jc w:val="center"/>
        <w:rPr>
          <w:rFonts w:hint="eastAsia" w:ascii="黑体" w:hAnsi="黑体" w:eastAsia="黑体" w:cs="黑体"/>
          <w:color w:val="auto"/>
          <w:sz w:val="32"/>
          <w:szCs w:val="32"/>
        </w:rPr>
        <w:sectPr>
          <w:pgSz w:w="11906" w:h="16838"/>
          <w:pgMar w:top="2098" w:right="1474" w:bottom="1984" w:left="1587" w:header="851" w:footer="992" w:gutter="0"/>
          <w:pgNumType w:fmt="decimal"/>
          <w:cols w:space="0" w:num="1"/>
          <w:rtlGutter w:val="0"/>
          <w:docGrid w:type="lines" w:linePitch="442" w:charSpace="0"/>
        </w:sectPr>
      </w:pPr>
    </w:p>
    <w:p w14:paraId="7852F91A">
      <w:pPr>
        <w:keepNext w:val="0"/>
        <w:keepLines w:val="0"/>
        <w:pageBreakBefore w:val="0"/>
        <w:widowControl w:val="0"/>
        <w:kinsoku/>
        <w:overflowPunct/>
        <w:topLinePunct w:val="0"/>
        <w:autoSpaceDE/>
        <w:autoSpaceDN/>
        <w:bidi w:val="0"/>
        <w:adjustRightInd/>
        <w:spacing w:beforeLines="0" w:afterLines="0" w:line="560" w:lineRule="exact"/>
        <w:ind w:firstLine="640" w:firstLineChars="200"/>
        <w:jc w:val="center"/>
        <w:textAlignment w:val="auto"/>
        <w:rPr>
          <w:rFonts w:hint="eastAsia"/>
          <w:color w:val="auto"/>
          <w:lang w:val="en-US" w:eastAsia="zh-CN"/>
        </w:rPr>
      </w:pPr>
    </w:p>
    <w:p w14:paraId="7962EBF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color w:val="auto"/>
          <w:kern w:val="0"/>
          <w:sz w:val="44"/>
          <w:szCs w:val="44"/>
          <w:highlight w:val="none"/>
          <w:lang w:val="en-US" w:eastAsia="zh-CN" w:bidi="ar"/>
        </w:rPr>
        <w:sectPr>
          <w:footerReference r:id="rId5" w:type="default"/>
          <w:pgSz w:w="11906" w:h="16838"/>
          <w:pgMar w:top="2098" w:right="1474" w:bottom="1984" w:left="1587" w:header="851" w:footer="992" w:gutter="0"/>
          <w:pgNumType w:fmt="decimal" w:start="1"/>
          <w:cols w:space="0" w:num="1"/>
          <w:rtlGutter w:val="0"/>
          <w:docGrid w:type="lines" w:linePitch="442" w:charSpace="0"/>
        </w:sectPr>
      </w:pPr>
    </w:p>
    <w:p w14:paraId="334AAFD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9"/>
        <w:rPr>
          <w:rFonts w:hint="eastAsia" w:ascii="Times New Roman" w:hAnsi="Times New Roman" w:cs="Times New Roman"/>
          <w:color w:val="auto"/>
          <w:lang w:eastAsia="zh-CN"/>
        </w:rPr>
      </w:pPr>
      <w:bookmarkStart w:id="0" w:name="_Toc1541685049"/>
      <w:bookmarkStart w:id="1" w:name="_Toc1138515866"/>
      <w:bookmarkStart w:id="2" w:name="_Toc268541284"/>
      <w:bookmarkStart w:id="3" w:name="_Toc1268413919"/>
      <w:bookmarkStart w:id="4" w:name="_Toc379092921"/>
      <w:bookmarkStart w:id="5" w:name="_Toc814973635"/>
      <w:bookmarkStart w:id="6" w:name="_Toc1266111728"/>
      <w:bookmarkStart w:id="7" w:name="_Toc9688"/>
      <w:bookmarkStart w:id="8" w:name="_Toc29870"/>
      <w:bookmarkStart w:id="9" w:name="_Toc421530045"/>
      <w:bookmarkStart w:id="10" w:name="_Toc824645378"/>
      <w:bookmarkStart w:id="11" w:name="_Toc1591543564"/>
      <w:bookmarkStart w:id="12" w:name="_Toc1853282275"/>
      <w:bookmarkStart w:id="13" w:name="_Toc9390"/>
      <w:bookmarkStart w:id="14" w:name="_Toc39507798"/>
      <w:bookmarkStart w:id="15" w:name="_Toc950380710"/>
      <w:bookmarkStart w:id="16" w:name="_Toc120459456"/>
      <w:bookmarkStart w:id="17" w:name="_Toc7890"/>
      <w:bookmarkStart w:id="18" w:name="_Toc122183405"/>
      <w:bookmarkStart w:id="19" w:name="_Toc155829610"/>
      <w:bookmarkStart w:id="20" w:name="_Toc2084147954"/>
      <w:bookmarkStart w:id="21" w:name="_Toc760875228"/>
      <w:bookmarkStart w:id="22" w:name="_Toc642759911"/>
      <w:bookmarkStart w:id="23" w:name="_Toc289435027"/>
      <w:bookmarkStart w:id="24" w:name="_Toc13991"/>
      <w:bookmarkStart w:id="25" w:name="_Toc1479650158"/>
      <w:bookmarkStart w:id="26" w:name="_Toc763607670"/>
      <w:bookmarkStart w:id="27" w:name="_Toc654343568"/>
      <w:bookmarkStart w:id="28" w:name="_Toc100860357"/>
      <w:bookmarkStart w:id="29" w:name="_Toc964676728"/>
      <w:bookmarkStart w:id="30" w:name="_Toc2030269407"/>
      <w:bookmarkStart w:id="31" w:name="_Toc81083973"/>
      <w:bookmarkStart w:id="32" w:name="_Toc32468"/>
      <w:bookmarkStart w:id="33" w:name="_Toc1287534891"/>
      <w:bookmarkStart w:id="34" w:name="_Toc741608864"/>
      <w:bookmarkStart w:id="35" w:name="_Toc981065674"/>
      <w:bookmarkStart w:id="36" w:name="_Toc1475334518"/>
      <w:bookmarkStart w:id="37" w:name="_Toc1227614930"/>
      <w:bookmarkStart w:id="38" w:name="_Toc298456734"/>
      <w:bookmarkStart w:id="39" w:name="_Toc1404263410"/>
      <w:bookmarkStart w:id="40" w:name="_Toc1283588129"/>
      <w:r>
        <w:rPr>
          <w:rFonts w:hint="eastAsia" w:ascii="仿宋_GB2312" w:hAnsi="仿宋_GB2312" w:cs="仿宋_GB2312"/>
          <w:b w:val="0"/>
          <w:bCs w:val="0"/>
          <w:color w:val="auto"/>
          <w:kern w:val="0"/>
          <w:sz w:val="32"/>
          <w:szCs w:val="32"/>
          <w:highlight w:val="none"/>
          <w:lang w:val="en-US" w:eastAsia="zh-CN" w:bidi="ar"/>
        </w:rPr>
        <w:t>为</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imes New Roman" w:hAnsi="Times New Roman" w:cs="Times New Roman"/>
          <w:color w:val="auto"/>
        </w:rPr>
        <w:t>深入贯彻党的二十大和二十届</w:t>
      </w:r>
      <w:r>
        <w:rPr>
          <w:rFonts w:hint="eastAsia" w:ascii="Times New Roman" w:hAnsi="Times New Roman" w:cs="Times New Roman"/>
          <w:color w:val="auto"/>
          <w:lang w:val="en-US" w:eastAsia="zh-CN"/>
        </w:rPr>
        <w:t>历次</w:t>
      </w:r>
      <w:r>
        <w:rPr>
          <w:rFonts w:ascii="Times New Roman" w:hAnsi="Times New Roman" w:cs="Times New Roman"/>
          <w:color w:val="auto"/>
        </w:rPr>
        <w:t>全会精神，全面贯彻落实习近平总书记关于全面深化改革的重要论述和对广东系列重要讲话、重要指示精神</w:t>
      </w:r>
      <w:r>
        <w:rPr>
          <w:rFonts w:hint="eastAsia" w:ascii="Times New Roman" w:hAnsi="Times New Roman" w:cs="Times New Roman"/>
          <w:color w:val="auto"/>
          <w:lang w:eastAsia="zh-CN"/>
        </w:rPr>
        <w:t>，围绕市委第十三届</w:t>
      </w:r>
      <w:r>
        <w:rPr>
          <w:rFonts w:hint="eastAsia" w:ascii="Times New Roman" w:hAnsi="Times New Roman" w:cs="Times New Roman"/>
          <w:color w:val="auto"/>
          <w:lang w:val="en-US" w:eastAsia="zh-CN"/>
        </w:rPr>
        <w:t>十次</w:t>
      </w:r>
      <w:r>
        <w:rPr>
          <w:rFonts w:hint="eastAsia" w:ascii="Times New Roman" w:hAnsi="Times New Roman" w:cs="Times New Roman"/>
          <w:color w:val="auto"/>
          <w:lang w:eastAsia="zh-CN"/>
        </w:rPr>
        <w:t>全会精神具体部署，制定本规划。</w:t>
      </w:r>
    </w:p>
    <w:p w14:paraId="69F1A922">
      <w:pPr>
        <w:pStyle w:val="5"/>
        <w:keepNext/>
        <w:keepLines/>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outlineLvl w:val="0"/>
        <w:rPr>
          <w:rFonts w:hint="eastAsia" w:ascii="Times New Roman" w:hAnsi="Times New Roman" w:eastAsia="黑体" w:cs="Times New Roman"/>
          <w:b w:val="0"/>
          <w:color w:val="auto"/>
          <w:sz w:val="32"/>
          <w:szCs w:val="32"/>
          <w:highlight w:val="none"/>
          <w:lang w:eastAsia="zh-CN"/>
        </w:rPr>
      </w:pPr>
      <w:r>
        <w:rPr>
          <w:rFonts w:hint="eastAsia" w:ascii="Times New Roman" w:hAnsi="Times New Roman" w:eastAsia="黑体" w:cs="Times New Roman"/>
          <w:b w:val="0"/>
          <w:color w:val="auto"/>
          <w:sz w:val="32"/>
          <w:szCs w:val="32"/>
          <w:highlight w:val="none"/>
          <w:lang w:eastAsia="zh-CN"/>
        </w:rPr>
        <w:t>一、总体要求</w:t>
      </w:r>
    </w:p>
    <w:p w14:paraId="11678E3C">
      <w:pPr>
        <w:spacing w:beforeLines="0" w:afterLines="0"/>
        <w:ind w:firstLine="0"/>
        <w:rPr>
          <w:rFonts w:hint="default"/>
          <w:lang w:val="en-US" w:eastAsia="zh-CN"/>
        </w:rPr>
      </w:pPr>
      <w:r>
        <w:rPr>
          <w:rFonts w:hint="eastAsia" w:ascii="Times New Roman" w:hAnsi="Times New Roman" w:cs="Times New Roman"/>
          <w:color w:val="auto"/>
          <w:lang w:eastAsia="zh-CN"/>
        </w:rPr>
        <w:t>立足全国一体化算力网络粤港澳大湾区枢纽节点韶关数据中心集群定位，大力实施“主城崛起”行动，以“数智赋能”为主线，推动数字经济与实体经济深度融合，围绕智算产业生态构建、传统产业数字化转型、数据要素市场化配置改革等方面大力发展新质生产力，通过数字化引领产业升级、治理现代化和民生服务提质，为推动数字韶关建设提供有力支撑。</w:t>
      </w:r>
    </w:p>
    <w:p w14:paraId="78492A99">
      <w:pPr>
        <w:pStyle w:val="5"/>
        <w:keepNext/>
        <w:keepLines/>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textAlignment w:val="auto"/>
        <w:outlineLvl w:val="0"/>
        <w:rPr>
          <w:rFonts w:hint="eastAsia" w:ascii="Times New Roman" w:hAnsi="Times New Roman" w:eastAsia="黑体" w:cs="Times New Roman"/>
          <w:b w:val="0"/>
          <w:bCs/>
          <w:color w:val="auto"/>
          <w:sz w:val="32"/>
          <w:szCs w:val="32"/>
          <w:highlight w:val="none"/>
          <w:lang w:val="en-US" w:eastAsia="zh-CN"/>
        </w:rPr>
      </w:pPr>
      <w:bookmarkStart w:id="41" w:name="_Toc1675072271"/>
      <w:bookmarkStart w:id="42" w:name="_Toc28116"/>
      <w:bookmarkStart w:id="43" w:name="_Toc4596"/>
      <w:bookmarkStart w:id="44" w:name="_Toc23720"/>
      <w:bookmarkStart w:id="45" w:name="_Toc1969065013"/>
      <w:bookmarkStart w:id="46" w:name="_Toc12495"/>
      <w:bookmarkStart w:id="47" w:name="_Toc1972021761"/>
      <w:bookmarkStart w:id="48" w:name="_Toc267209049"/>
      <w:bookmarkStart w:id="49" w:name="_Toc19759876"/>
      <w:bookmarkStart w:id="50" w:name="_Toc1851856281"/>
      <w:bookmarkStart w:id="51" w:name="_Toc13786670"/>
      <w:bookmarkStart w:id="52" w:name="_Toc206621791"/>
      <w:bookmarkStart w:id="53" w:name="_Toc1951663783"/>
      <w:bookmarkStart w:id="54" w:name="_Toc1045676122"/>
      <w:bookmarkStart w:id="55" w:name="_Toc1161932873"/>
      <w:bookmarkStart w:id="56" w:name="_Toc865787502"/>
      <w:bookmarkStart w:id="57" w:name="_Toc436453430"/>
      <w:bookmarkStart w:id="58" w:name="_Toc1824885213"/>
      <w:bookmarkStart w:id="59" w:name="_Toc4505"/>
      <w:bookmarkStart w:id="60" w:name="_Toc417818628"/>
      <w:bookmarkStart w:id="61" w:name="_Toc787612895"/>
      <w:bookmarkStart w:id="62" w:name="_Toc1242059329"/>
      <w:bookmarkStart w:id="63" w:name="_Toc306529302"/>
      <w:bookmarkStart w:id="64" w:name="_Toc1917136466"/>
      <w:bookmarkStart w:id="65" w:name="_Toc1121593409"/>
      <w:bookmarkStart w:id="66" w:name="_Toc1700945499"/>
      <w:bookmarkStart w:id="67" w:name="_Toc109777578"/>
      <w:bookmarkStart w:id="68" w:name="_Toc1120995120"/>
      <w:bookmarkStart w:id="69" w:name="_Toc1624983290"/>
      <w:bookmarkStart w:id="70" w:name="_Toc1213895579"/>
      <w:bookmarkStart w:id="71" w:name="_Toc764856602"/>
      <w:bookmarkStart w:id="72" w:name="_Toc811588683"/>
      <w:bookmarkStart w:id="73" w:name="_Toc18010"/>
      <w:bookmarkStart w:id="74" w:name="_Toc1024735741"/>
      <w:bookmarkStart w:id="75" w:name="_Toc1260055920"/>
      <w:bookmarkStart w:id="76" w:name="_Toc23402"/>
      <w:r>
        <w:rPr>
          <w:rFonts w:hint="eastAsia" w:ascii="Times New Roman" w:hAnsi="Times New Roman" w:eastAsia="黑体" w:cs="Times New Roman"/>
          <w:b w:val="0"/>
          <w:bCs/>
          <w:color w:val="auto"/>
          <w:sz w:val="32"/>
          <w:szCs w:val="32"/>
          <w:highlight w:val="none"/>
          <w:lang w:val="en-US" w:eastAsia="zh-CN"/>
        </w:rPr>
        <w:t>二、</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hint="eastAsia" w:ascii="Times New Roman" w:hAnsi="Times New Roman" w:eastAsia="黑体" w:cs="Times New Roman"/>
          <w:b w:val="0"/>
          <w:bCs/>
          <w:color w:val="auto"/>
          <w:sz w:val="32"/>
          <w:szCs w:val="32"/>
          <w:highlight w:val="none"/>
          <w:lang w:val="en-US" w:eastAsia="zh-CN"/>
        </w:rPr>
        <w:t>统筹数字基础设施体系建设，筑牢数字发展底座</w:t>
      </w:r>
      <w:bookmarkEnd w:id="76"/>
    </w:p>
    <w:p w14:paraId="727DC156">
      <w:pPr>
        <w:keepNext w:val="0"/>
        <w:keepLines w:val="0"/>
        <w:pageBreakBefore w:val="0"/>
        <w:widowControl/>
        <w:numPr>
          <w:ilvl w:val="-1"/>
          <w:numId w:val="0"/>
        </w:numPr>
        <w:kinsoku/>
        <w:wordWrap/>
        <w:overflowPunct/>
        <w:topLinePunct w:val="0"/>
        <w:autoSpaceDE/>
        <w:autoSpaceDN/>
        <w:bidi w:val="0"/>
        <w:adjustRightInd/>
        <w:snapToGrid/>
        <w:spacing w:beforeLines="0" w:afterLines="0" w:line="560" w:lineRule="exact"/>
        <w:ind w:firstLine="640" w:firstLineChars="200"/>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77" w:name="_Toc1214574549"/>
      <w:bookmarkStart w:id="78" w:name="_Toc128563190"/>
      <w:bookmarkStart w:id="79" w:name="_Toc290698832"/>
      <w:bookmarkStart w:id="80" w:name="_Toc299591310"/>
      <w:bookmarkStart w:id="81" w:name="_Toc1918530239"/>
      <w:bookmarkStart w:id="82" w:name="_Toc698870937"/>
      <w:bookmarkStart w:id="83" w:name="_Toc764651206"/>
      <w:bookmarkStart w:id="84" w:name="_Toc794052599"/>
      <w:bookmarkStart w:id="85" w:name="_Toc15911299"/>
      <w:bookmarkStart w:id="86" w:name="_Toc1820442636"/>
      <w:bookmarkStart w:id="87" w:name="_Toc1261021518"/>
      <w:bookmarkStart w:id="88" w:name="_Toc1097829522"/>
      <w:bookmarkStart w:id="89" w:name="_Toc1923883354"/>
      <w:bookmarkStart w:id="90" w:name="_Toc1879364246"/>
      <w:bookmarkStart w:id="91" w:name="_Toc105249939"/>
      <w:bookmarkStart w:id="92" w:name="_Toc1719011586"/>
      <w:bookmarkStart w:id="93" w:name="_Toc1743799551"/>
      <w:bookmarkStart w:id="94" w:name="_Toc793498724"/>
      <w:bookmarkStart w:id="95" w:name="_Toc774944049"/>
      <w:bookmarkStart w:id="96" w:name="_Toc29012679"/>
      <w:bookmarkStart w:id="97" w:name="_Toc2000153126"/>
      <w:bookmarkStart w:id="98" w:name="_Toc379683966"/>
      <w:bookmarkStart w:id="99" w:name="_Toc2065890593"/>
      <w:bookmarkStart w:id="100" w:name="_Toc1936817816"/>
      <w:bookmarkStart w:id="101" w:name="_Toc1981559700"/>
      <w:bookmarkStart w:id="102" w:name="_Toc1244732564"/>
      <w:bookmarkStart w:id="103" w:name="_Toc881275143"/>
      <w:bookmarkStart w:id="104" w:name="_Toc235980552"/>
      <w:bookmarkStart w:id="105" w:name="_Toc382280841"/>
      <w:bookmarkStart w:id="106" w:name="_Toc2043146377"/>
      <w:bookmarkStart w:id="107" w:name="_Toc451797725"/>
      <w:bookmarkStart w:id="108" w:name="_Toc1308267494"/>
      <w:bookmarkStart w:id="109" w:name="_Toc1447743023"/>
      <w:bookmarkStart w:id="110" w:name="_Toc517269136"/>
      <w:bookmarkStart w:id="111" w:name="_Toc1090876701"/>
      <w:bookmarkStart w:id="112" w:name="_Toc2140056525"/>
      <w:bookmarkStart w:id="113" w:name="_Toc2115020503"/>
      <w:bookmarkStart w:id="114" w:name="_Toc104780133"/>
      <w:bookmarkStart w:id="115" w:name="_Toc1342670800"/>
      <w:bookmarkStart w:id="116" w:name="_Toc20474"/>
      <w:bookmarkStart w:id="117" w:name="_Toc1353469878"/>
      <w:bookmarkStart w:id="118" w:name="_Toc1321022354"/>
      <w:bookmarkStart w:id="119" w:name="_Toc2015717290"/>
      <w:bookmarkStart w:id="120" w:name="_Toc23768"/>
      <w:bookmarkStart w:id="121" w:name="_Toc17121"/>
      <w:bookmarkStart w:id="122" w:name="_Toc9613"/>
      <w:bookmarkStart w:id="123" w:name="_Toc30305"/>
      <w:bookmarkStart w:id="124" w:name="_Toc5325"/>
      <w:bookmarkStart w:id="125" w:name="_Toc12551"/>
      <w:r>
        <w:rPr>
          <w:rStyle w:val="26"/>
          <w:rFonts w:hint="eastAsia" w:ascii="楷体_GB2312" w:hAnsi="楷体_GB2312" w:eastAsia="楷体_GB2312" w:cs="楷体_GB2312"/>
          <w:b w:val="0"/>
          <w:bCs/>
          <w:color w:val="auto"/>
          <w:szCs w:val="32"/>
          <w:highlight w:val="none"/>
          <w:lang w:val="en-US" w:eastAsia="zh-CN"/>
        </w:rPr>
        <w:t>（一）全力打造韶关数据中心集群</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40DF1BC9">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Fonts w:hint="default" w:ascii="仿宋_GB2312" w:hAnsi="仿宋_GB2312" w:cs="仿宋_GB2312"/>
          <w:b w:val="0"/>
          <w:bCs w:val="0"/>
          <w:color w:val="auto"/>
          <w:kern w:val="0"/>
          <w:sz w:val="32"/>
          <w:szCs w:val="32"/>
          <w:highlight w:val="none"/>
          <w:lang w:val="en-US" w:eastAsia="zh-CN" w:bidi="ar"/>
        </w:rPr>
      </w:pPr>
      <w:r>
        <w:rPr>
          <w:rFonts w:hint="default" w:ascii="仿宋_GB2312" w:hAnsi="仿宋_GB2312" w:cs="仿宋_GB2312"/>
          <w:b w:val="0"/>
          <w:bCs w:val="0"/>
          <w:color w:val="auto"/>
          <w:kern w:val="0"/>
          <w:sz w:val="32"/>
          <w:szCs w:val="32"/>
          <w:highlight w:val="none"/>
          <w:lang w:val="en-US" w:eastAsia="zh-CN" w:bidi="ar"/>
        </w:rPr>
        <w:t>高水平规划建设绿色低碳数据中心，积极推进源网荷储电力一体化试点，探索“算力飞地”发展模式，科学规划并稳步推进韶关集群起步区扩区。建设粤港澳大湾区公共算力服务平台，构建算力监测调度体系，促进粤港澳大湾区算力新经济创新发展。</w:t>
      </w:r>
    </w:p>
    <w:bookmarkEnd w:id="119"/>
    <w:bookmarkEnd w:id="120"/>
    <w:bookmarkEnd w:id="121"/>
    <w:bookmarkEnd w:id="122"/>
    <w:bookmarkEnd w:id="123"/>
    <w:bookmarkEnd w:id="124"/>
    <w:bookmarkEnd w:id="125"/>
    <w:p w14:paraId="2F3CF518">
      <w:pPr>
        <w:pageBreakBefore w:val="0"/>
        <w:widowControl w:val="0"/>
        <w:suppressAutoHyphens/>
        <w:kinsoku/>
        <w:overflowPunct/>
        <w:topLinePunct w:val="0"/>
        <w:autoSpaceDE/>
        <w:autoSpaceDN/>
        <w:bidi w:val="0"/>
        <w:adjustRightInd/>
        <w:spacing w:beforeLines="0" w:afterLines="0" w:line="560" w:lineRule="exact"/>
        <w:ind w:firstLine="640" w:firstLineChars="200"/>
        <w:textAlignment w:val="auto"/>
        <w:outlineLvl w:val="1"/>
        <w:rPr>
          <w:rStyle w:val="31"/>
          <w:color w:val="auto"/>
        </w:rPr>
      </w:pPr>
      <w:bookmarkStart w:id="126" w:name="_Toc1337844620"/>
      <w:bookmarkStart w:id="127" w:name="_Toc689331703"/>
      <w:bookmarkStart w:id="128" w:name="_Toc1762870758"/>
      <w:bookmarkStart w:id="129" w:name="_Toc1357410636"/>
      <w:bookmarkStart w:id="130" w:name="_Toc4101197"/>
      <w:bookmarkStart w:id="131" w:name="_Toc889042637"/>
      <w:bookmarkStart w:id="132" w:name="_Toc353628085"/>
      <w:bookmarkStart w:id="133" w:name="_Toc3248"/>
      <w:bookmarkStart w:id="134" w:name="_Toc1591878449"/>
      <w:bookmarkStart w:id="135" w:name="_Toc7437705"/>
      <w:bookmarkStart w:id="136" w:name="_Toc2146693047"/>
      <w:bookmarkStart w:id="137" w:name="_Toc2139646405"/>
      <w:bookmarkStart w:id="138" w:name="_Toc1642655709"/>
      <w:bookmarkStart w:id="139" w:name="_Toc615672587"/>
      <w:bookmarkStart w:id="140" w:name="_Toc794794033"/>
      <w:bookmarkStart w:id="141" w:name="_Toc956062725"/>
      <w:bookmarkStart w:id="142" w:name="_Toc2067884580"/>
      <w:bookmarkStart w:id="143" w:name="_Toc958524781"/>
      <w:bookmarkStart w:id="144" w:name="_Toc1017571665"/>
      <w:bookmarkStart w:id="145" w:name="_Toc88308899"/>
      <w:bookmarkStart w:id="146" w:name="_Toc631281491"/>
      <w:bookmarkStart w:id="147" w:name="_Toc153910743"/>
      <w:bookmarkStart w:id="148" w:name="_Toc1626134739"/>
      <w:bookmarkStart w:id="149" w:name="_Toc1387709527"/>
      <w:bookmarkStart w:id="150" w:name="_Toc1716596012"/>
      <w:bookmarkStart w:id="151" w:name="_Toc352665099"/>
      <w:bookmarkStart w:id="152" w:name="_Toc1260425908"/>
      <w:bookmarkStart w:id="153" w:name="_Toc1912"/>
      <w:bookmarkStart w:id="154" w:name="_Toc16172"/>
      <w:bookmarkStart w:id="155" w:name="_Toc19113"/>
      <w:bookmarkStart w:id="156" w:name="_Toc105480198"/>
      <w:bookmarkStart w:id="157" w:name="_Toc1967398603"/>
      <w:bookmarkStart w:id="158" w:name="_Toc1556051338"/>
      <w:bookmarkStart w:id="159" w:name="_Toc21399"/>
      <w:bookmarkStart w:id="160" w:name="_Toc16205"/>
      <w:bookmarkStart w:id="161" w:name="_Toc767808328"/>
      <w:bookmarkStart w:id="162" w:name="_Toc21974"/>
      <w:bookmarkStart w:id="163" w:name="_Toc1667822645"/>
      <w:bookmarkStart w:id="164" w:name="_Toc1713514350"/>
      <w:r>
        <w:rPr>
          <w:rStyle w:val="26"/>
          <w:rFonts w:hint="eastAsia" w:ascii="楷体_GB2312" w:hAnsi="楷体_GB2312" w:eastAsia="楷体_GB2312" w:cs="楷体_GB2312"/>
          <w:b w:val="0"/>
          <w:bCs/>
          <w:color w:val="auto"/>
          <w:szCs w:val="32"/>
          <w:highlight w:val="none"/>
          <w:lang w:val="en-US" w:eastAsia="zh-CN"/>
        </w:rPr>
        <w:t>（二）</w:t>
      </w:r>
      <w:r>
        <w:rPr>
          <w:rStyle w:val="26"/>
          <w:rFonts w:hint="eastAsia" w:ascii="楷体_GB2312" w:hAnsi="楷体_GB2312" w:eastAsia="楷体_GB2312" w:cs="楷体_GB2312"/>
          <w:b w:val="0"/>
          <w:bCs/>
          <w:color w:val="auto"/>
          <w:szCs w:val="32"/>
          <w:highlight w:val="none"/>
        </w:rPr>
        <w:t>深入推进</w:t>
      </w:r>
      <w:r>
        <w:rPr>
          <w:rStyle w:val="26"/>
          <w:rFonts w:hint="eastAsia" w:ascii="楷体_GB2312" w:hAnsi="楷体_GB2312" w:eastAsia="楷体_GB2312" w:cs="楷体_GB2312"/>
          <w:b w:val="0"/>
          <w:bCs/>
          <w:color w:val="auto"/>
          <w:szCs w:val="32"/>
          <w:highlight w:val="none"/>
          <w:lang w:eastAsia="zh-CN"/>
        </w:rPr>
        <w:t>高速网络体系建设</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472C231">
      <w:pPr>
        <w:pageBreakBefore w:val="0"/>
        <w:widowControl/>
        <w:numPr>
          <w:ilvl w:val="0"/>
          <w:numId w:val="0"/>
        </w:numPr>
        <w:suppressAutoHyphens/>
        <w:kinsoku/>
        <w:overflowPunct/>
        <w:topLinePunct w:val="0"/>
        <w:autoSpaceDE/>
        <w:autoSpaceDN/>
        <w:bidi w:val="0"/>
        <w:adjustRightInd/>
        <w:spacing w:beforeLines="0" w:afterLines="0" w:line="560" w:lineRule="exact"/>
        <w:ind w:firstLine="640" w:firstLineChars="200"/>
        <w:textAlignment w:val="auto"/>
        <w:outlineLvl w:val="9"/>
        <w:rPr>
          <w:rFonts w:hint="eastAsia" w:ascii="仿宋_GB2312" w:hAnsi="仿宋_GB2312" w:cs="仿宋_GB2312"/>
          <w:b w:val="0"/>
          <w:bCs w:val="0"/>
          <w:color w:val="auto"/>
          <w:kern w:val="0"/>
          <w:sz w:val="32"/>
          <w:szCs w:val="32"/>
          <w:highlight w:val="none"/>
          <w:lang w:val="en" w:eastAsia="zh-CN" w:bidi="ar"/>
        </w:rPr>
      </w:pPr>
      <w:r>
        <w:rPr>
          <w:rFonts w:hint="eastAsia" w:ascii="仿宋_GB2312" w:hAnsi="仿宋_GB2312" w:eastAsia="仿宋_GB2312" w:cs="仿宋_GB2312"/>
          <w:color w:val="auto"/>
          <w:kern w:val="0"/>
          <w:sz w:val="32"/>
          <w:szCs w:val="32"/>
          <w:highlight w:val="none"/>
          <w:lang w:val="en-US" w:eastAsia="zh-CN" w:bidi="ar"/>
        </w:rPr>
        <w:t>实施城域“毫秒用算”专项行动，</w:t>
      </w:r>
      <w:r>
        <w:rPr>
          <w:rFonts w:hint="eastAsia" w:ascii="仿宋_GB2312" w:hAnsi="仿宋_GB2312" w:eastAsia="仿宋_GB2312" w:cs="仿宋_GB2312"/>
          <w:b w:val="0"/>
          <w:bCs w:val="0"/>
          <w:color w:val="auto"/>
          <w:kern w:val="0"/>
          <w:sz w:val="32"/>
          <w:szCs w:val="32"/>
          <w:highlight w:val="none"/>
          <w:lang w:val="en-US" w:eastAsia="zh-CN" w:bidi="ar"/>
        </w:rPr>
        <w:t>建设算网枢纽互联中心，</w:t>
      </w:r>
      <w:r>
        <w:rPr>
          <w:rFonts w:hint="eastAsia" w:ascii="仿宋_GB2312" w:hAnsi="仿宋_GB2312" w:cs="仿宋_GB2312"/>
          <w:b w:val="0"/>
          <w:bCs w:val="0"/>
          <w:color w:val="auto"/>
          <w:kern w:val="0"/>
          <w:sz w:val="32"/>
          <w:szCs w:val="32"/>
          <w:highlight w:val="none"/>
          <w:lang w:val="en-US" w:eastAsia="zh-CN" w:bidi="ar"/>
        </w:rPr>
        <w:t>打造深广韶数据大通道，</w:t>
      </w:r>
      <w:r>
        <w:rPr>
          <w:rFonts w:hint="default" w:ascii="仿宋_GB2312" w:hAnsi="仿宋_GB2312" w:eastAsia="仿宋_GB2312" w:cs="仿宋_GB2312"/>
          <w:b w:val="0"/>
          <w:bCs w:val="0"/>
          <w:color w:val="auto"/>
          <w:kern w:val="0"/>
          <w:sz w:val="32"/>
          <w:szCs w:val="32"/>
          <w:highlight w:val="none"/>
          <w:lang w:val="en-US" w:eastAsia="zh-CN" w:bidi="ar"/>
        </w:rPr>
        <w:t>推动光纤宽带网、无线宽带网、移动物联网深度覆盖，</w:t>
      </w:r>
      <w:r>
        <w:rPr>
          <w:rFonts w:hint="eastAsia" w:ascii="仿宋_GB2312" w:hAnsi="仿宋_GB2312" w:cs="仿宋_GB2312"/>
          <w:b w:val="0"/>
          <w:bCs w:val="0"/>
          <w:color w:val="auto"/>
          <w:kern w:val="0"/>
          <w:sz w:val="32"/>
          <w:szCs w:val="32"/>
          <w:highlight w:val="none"/>
          <w:lang w:val="en-US" w:eastAsia="zh-CN" w:bidi="ar"/>
        </w:rPr>
        <w:t>全面完成“双千兆”网络建设，探索开展万兆光网试点。</w:t>
      </w:r>
      <w:r>
        <w:rPr>
          <w:rFonts w:hint="default" w:ascii="仿宋_GB2312" w:hAnsi="仿宋_GB2312" w:eastAsia="仿宋_GB2312" w:cs="仿宋_GB2312"/>
          <w:b w:val="0"/>
          <w:bCs w:val="0"/>
          <w:color w:val="auto"/>
          <w:kern w:val="0"/>
          <w:sz w:val="32"/>
          <w:szCs w:val="32"/>
          <w:highlight w:val="none"/>
          <w:lang w:val="en-US" w:eastAsia="zh-CN" w:bidi="ar"/>
        </w:rPr>
        <w:t>加快5G通信基站建设和网络应用</w:t>
      </w:r>
      <w:r>
        <w:rPr>
          <w:rFonts w:hint="eastAsia" w:ascii="仿宋_GB2312" w:hAnsi="仿宋_GB2312" w:cs="仿宋_GB2312"/>
          <w:b w:val="0"/>
          <w:bCs w:val="0"/>
          <w:color w:val="auto"/>
          <w:kern w:val="0"/>
          <w:sz w:val="32"/>
          <w:szCs w:val="32"/>
          <w:highlight w:val="none"/>
          <w:lang w:val="en-US" w:eastAsia="zh-CN" w:bidi="ar"/>
        </w:rPr>
        <w:t>，推进</w:t>
      </w:r>
      <w:r>
        <w:rPr>
          <w:rFonts w:hint="default" w:ascii="仿宋_GB2312" w:hAnsi="仿宋_GB2312" w:cs="仿宋_GB2312"/>
          <w:b w:val="0"/>
          <w:bCs w:val="0"/>
          <w:color w:val="auto"/>
          <w:kern w:val="0"/>
          <w:sz w:val="32"/>
          <w:szCs w:val="32"/>
          <w:highlight w:val="none"/>
          <w:lang w:val="en" w:eastAsia="zh-CN" w:bidi="ar"/>
        </w:rPr>
        <w:t>5G-A</w:t>
      </w:r>
      <w:r>
        <w:rPr>
          <w:rFonts w:hint="eastAsia" w:ascii="仿宋_GB2312" w:hAnsi="仿宋_GB2312" w:cs="仿宋_GB2312"/>
          <w:b w:val="0"/>
          <w:bCs w:val="0"/>
          <w:color w:val="auto"/>
          <w:kern w:val="0"/>
          <w:sz w:val="32"/>
          <w:szCs w:val="32"/>
          <w:highlight w:val="none"/>
          <w:lang w:val="en" w:eastAsia="zh-CN" w:bidi="ar"/>
        </w:rPr>
        <w:t>商用部署，深入推进IPv6部署和应用。</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AC7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F47B77C">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网络能级</w:t>
            </w:r>
            <w:r>
              <w:rPr>
                <w:rFonts w:hint="eastAsia" w:ascii="Times New Roman" w:hAnsi="Times New Roman" w:eastAsia="仿宋_GB2312" w:cs="Times New Roman"/>
                <w:b/>
                <w:bCs/>
                <w:color w:val="auto"/>
                <w:sz w:val="28"/>
                <w:szCs w:val="28"/>
                <w:highlight w:val="none"/>
                <w:vertAlign w:val="baseline"/>
                <w:lang w:val="en-US" w:eastAsia="zh-CN"/>
              </w:rPr>
              <w:t>提升工程</w:t>
            </w:r>
          </w:p>
        </w:tc>
      </w:tr>
      <w:tr w14:paraId="5ECE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1552A907">
            <w:pPr>
              <w:keepNext w:val="0"/>
              <w:keepLines w:val="0"/>
              <w:suppressLineNumbers w:val="0"/>
              <w:spacing w:before="0" w:beforeLines="0" w:beforeAutospacing="0" w:after="0" w:afterLines="0" w:afterAutospacing="0" w:line="560" w:lineRule="exact"/>
              <w:ind w:left="0" w:right="0" w:firstLine="562"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color w:val="auto"/>
                <w:sz w:val="28"/>
                <w:szCs w:val="28"/>
                <w:highlight w:val="none"/>
              </w:rPr>
              <w:t>推进</w:t>
            </w:r>
            <w:r>
              <w:rPr>
                <w:rFonts w:hint="eastAsia" w:ascii="仿宋_GB2312" w:hAnsi="仿宋_GB2312" w:cs="仿宋_GB2312"/>
                <w:b/>
                <w:bCs/>
                <w:color w:val="auto"/>
                <w:sz w:val="28"/>
                <w:szCs w:val="28"/>
                <w:highlight w:val="none"/>
                <w:lang w:eastAsia="zh-CN"/>
              </w:rPr>
              <w:t>韶关算力网络</w:t>
            </w:r>
            <w:r>
              <w:rPr>
                <w:rFonts w:hint="eastAsia" w:ascii="仿宋_GB2312" w:hAnsi="仿宋_GB2312" w:eastAsia="仿宋_GB2312" w:cs="仿宋_GB2312"/>
                <w:b/>
                <w:bCs/>
                <w:color w:val="auto"/>
                <w:sz w:val="28"/>
                <w:szCs w:val="28"/>
                <w:highlight w:val="none"/>
              </w:rPr>
              <w:t>建设</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cs="仿宋_GB2312"/>
                <w:b w:val="0"/>
                <w:bCs w:val="0"/>
                <w:color w:val="auto"/>
                <w:sz w:val="28"/>
                <w:szCs w:val="28"/>
                <w:highlight w:val="none"/>
                <w:lang w:eastAsia="zh-CN"/>
              </w:rPr>
              <w:t>打通韶关与广州互联网国际出入口局、深圳（前海）互联网交换中心之间的直连通道，</w:t>
            </w:r>
            <w:r>
              <w:rPr>
                <w:rFonts w:hint="eastAsia" w:ascii="仿宋_GB2312" w:hAnsi="仿宋_GB2312" w:cs="仿宋_GB2312"/>
                <w:b w:val="0"/>
                <w:bCs w:val="0"/>
                <w:color w:val="auto"/>
                <w:sz w:val="28"/>
                <w:szCs w:val="28"/>
                <w:highlight w:val="none"/>
                <w:lang w:val="en-US" w:eastAsia="zh-CN"/>
              </w:rPr>
              <w:t>积极申报算网枢纽互联中心，探索建设深广韶数据大通道，形成“湾区算力，韶关供给”格局。</w:t>
            </w:r>
          </w:p>
        </w:tc>
      </w:tr>
    </w:tbl>
    <w:p w14:paraId="36AB80D6">
      <w:pPr>
        <w:pStyle w:val="12"/>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0"/>
        <w:textAlignment w:val="auto"/>
        <w:outlineLvl w:val="1"/>
        <w:rPr>
          <w:rStyle w:val="31"/>
          <w:rFonts w:hint="eastAsia"/>
          <w:color w:val="auto"/>
          <w:lang w:val="en-US" w:eastAsia="zh-CN"/>
        </w:rPr>
      </w:pPr>
      <w:bookmarkStart w:id="165" w:name="_Toc1169829700"/>
      <w:bookmarkStart w:id="166" w:name="_Toc24719"/>
      <w:bookmarkStart w:id="167" w:name="_Toc1887400127"/>
      <w:bookmarkStart w:id="168" w:name="_Toc614736779"/>
      <w:bookmarkStart w:id="169" w:name="_Toc1465948530"/>
      <w:bookmarkStart w:id="170" w:name="_Toc567020994"/>
      <w:bookmarkStart w:id="171" w:name="_Toc1143547200"/>
      <w:bookmarkStart w:id="172" w:name="_Toc19287"/>
      <w:bookmarkStart w:id="173" w:name="_Toc1806167427"/>
      <w:bookmarkStart w:id="174" w:name="_Toc18474"/>
      <w:bookmarkStart w:id="175" w:name="_Toc12792"/>
      <w:bookmarkStart w:id="176" w:name="_Toc571177378"/>
      <w:bookmarkStart w:id="177" w:name="_Toc165998406"/>
      <w:bookmarkStart w:id="178" w:name="_Toc1929593744"/>
      <w:bookmarkStart w:id="179" w:name="_Toc577964243"/>
      <w:bookmarkStart w:id="180" w:name="_Toc1837962738"/>
      <w:bookmarkStart w:id="181" w:name="_Toc2048167816"/>
      <w:bookmarkStart w:id="182" w:name="_Toc1549395524"/>
      <w:bookmarkStart w:id="183" w:name="_Toc6952"/>
      <w:bookmarkStart w:id="184" w:name="_Toc1421383108"/>
      <w:bookmarkStart w:id="185" w:name="_Toc1424822630"/>
      <w:bookmarkStart w:id="186" w:name="_Toc1846477807"/>
      <w:bookmarkStart w:id="187" w:name="_Toc888596866"/>
      <w:bookmarkStart w:id="188" w:name="_Toc1318584344"/>
      <w:bookmarkStart w:id="189" w:name="_Toc471101097"/>
      <w:bookmarkStart w:id="190" w:name="_Toc1535472504"/>
      <w:bookmarkStart w:id="191" w:name="_Toc745565345"/>
      <w:bookmarkStart w:id="192" w:name="_Toc205825351"/>
      <w:bookmarkStart w:id="193" w:name="_Toc517294700"/>
      <w:bookmarkStart w:id="194" w:name="_Toc1277887571"/>
      <w:bookmarkStart w:id="195" w:name="_Toc1323"/>
      <w:bookmarkStart w:id="196" w:name="_Toc1651145035"/>
      <w:bookmarkStart w:id="197" w:name="_Toc1382936222"/>
      <w:bookmarkStart w:id="198" w:name="_Toc13426"/>
      <w:r>
        <w:rPr>
          <w:rStyle w:val="26"/>
          <w:rFonts w:hint="eastAsia" w:ascii="楷体_GB2312" w:hAnsi="楷体_GB2312" w:eastAsia="楷体_GB2312" w:cs="楷体_GB2312"/>
          <w:b w:val="0"/>
          <w:bCs/>
          <w:color w:val="auto"/>
          <w:szCs w:val="32"/>
          <w:highlight w:val="none"/>
          <w:lang w:val="en-US" w:eastAsia="zh-CN"/>
        </w:rPr>
        <w:t>（三）提升政务基础设施支撑能力</w:t>
      </w:r>
      <w:bookmarkEnd w:id="165"/>
      <w:bookmarkEnd w:id="166"/>
      <w:bookmarkEnd w:id="167"/>
      <w:bookmarkEnd w:id="168"/>
      <w:bookmarkEnd w:id="169"/>
      <w:bookmarkEnd w:id="170"/>
      <w:bookmarkStart w:id="199" w:name="_Toc529915676"/>
      <w:bookmarkStart w:id="200" w:name="_Toc185931094"/>
      <w:bookmarkStart w:id="201" w:name="_Toc1313554815"/>
      <w:bookmarkStart w:id="202" w:name="_Toc39438425"/>
      <w:bookmarkStart w:id="203" w:name="_Toc1324596949"/>
      <w:bookmarkStart w:id="204" w:name="_Toc425784324"/>
      <w:bookmarkStart w:id="205" w:name="_Toc1154169628"/>
    </w:p>
    <w:bookmarkEnd w:id="199"/>
    <w:bookmarkEnd w:id="200"/>
    <w:bookmarkEnd w:id="201"/>
    <w:bookmarkEnd w:id="202"/>
    <w:bookmarkEnd w:id="203"/>
    <w:bookmarkEnd w:id="204"/>
    <w:bookmarkEnd w:id="205"/>
    <w:p w14:paraId="1B4CC10A">
      <w:pPr>
        <w:pageBreakBefore w:val="0"/>
        <w:widowControl/>
        <w:numPr>
          <w:ilvl w:val="0"/>
          <w:numId w:val="0"/>
        </w:numPr>
        <w:suppressAutoHyphens/>
        <w:kinsoku/>
        <w:overflowPunct/>
        <w:topLinePunct w:val="0"/>
        <w:autoSpaceDE/>
        <w:autoSpaceDN/>
        <w:bidi w:val="0"/>
        <w:adjustRightInd/>
        <w:spacing w:beforeLines="0" w:afterLines="0" w:line="560" w:lineRule="exact"/>
        <w:ind w:firstLine="640" w:firstLineChars="200"/>
        <w:textAlignment w:val="auto"/>
        <w:outlineLvl w:val="9"/>
        <w:rPr>
          <w:rFonts w:hint="eastAsia" w:ascii="仿宋_GB2312" w:hAnsi="仿宋_GB2312" w:eastAsia="仿宋_GB2312" w:cs="仿宋_GB2312"/>
          <w:b w:val="0"/>
          <w:bCs w:val="0"/>
          <w:color w:val="auto"/>
          <w:kern w:val="0"/>
          <w:sz w:val="32"/>
          <w:szCs w:val="32"/>
          <w:highlight w:val="none"/>
          <w:lang w:val="en-US" w:eastAsia="zh-CN" w:bidi="ar"/>
        </w:rPr>
      </w:pPr>
      <w:bookmarkStart w:id="206" w:name="_Toc1825585225"/>
      <w:bookmarkStart w:id="207" w:name="_Toc1896098397"/>
      <w:bookmarkStart w:id="208" w:name="_Toc1334945336"/>
      <w:bookmarkStart w:id="209" w:name="_Toc1668484717"/>
      <w:bookmarkStart w:id="210" w:name="_Toc686462485"/>
      <w:bookmarkStart w:id="211" w:name="_Toc1443869121"/>
      <w:bookmarkStart w:id="212" w:name="_Toc1465188485"/>
      <w:bookmarkStart w:id="213" w:name="_Toc506464886"/>
      <w:r>
        <w:rPr>
          <w:rFonts w:hint="eastAsia" w:ascii="仿宋_GB2312" w:hAnsi="仿宋_GB2312" w:eastAsia="仿宋_GB2312" w:cs="仿宋_GB2312"/>
          <w:b w:val="0"/>
          <w:bCs w:val="0"/>
          <w:color w:val="auto"/>
          <w:kern w:val="0"/>
          <w:sz w:val="32"/>
          <w:szCs w:val="32"/>
          <w:highlight w:val="none"/>
          <w:lang w:val="en-US" w:eastAsia="zh-CN" w:bidi="ar"/>
        </w:rPr>
        <w:t>持续推进数字政府政务云平台韶关节点扩容升级，推动国产政务云建设，建设政务智算智源池，增强政务云平台服务能力。推进政务外网“一网多平面”改造和部门专网迁移整合，加快政务领域IPv6演进。</w:t>
      </w:r>
      <w:bookmarkEnd w:id="206"/>
    </w:p>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14:paraId="366A94CE">
      <w:pPr>
        <w:pStyle w:val="5"/>
        <w:keepNext/>
        <w:keepLines/>
        <w:spacing w:before="0" w:beforeLines="0" w:beforeAutospacing="0" w:after="0" w:afterLines="0" w:afterAutospacing="0" w:line="560" w:lineRule="exact"/>
        <w:ind w:firstLine="640" w:firstLineChars="200"/>
        <w:outlineLvl w:val="0"/>
        <w:rPr>
          <w:rFonts w:hint="eastAsia" w:ascii="Times New Roman" w:hAnsi="Times New Roman" w:eastAsia="黑体" w:cs="Times New Roman"/>
          <w:b w:val="0"/>
          <w:bCs/>
          <w:color w:val="auto"/>
          <w:sz w:val="32"/>
          <w:szCs w:val="32"/>
          <w:highlight w:val="none"/>
          <w:lang w:val="en-US" w:eastAsia="zh-CN"/>
        </w:rPr>
      </w:pPr>
      <w:bookmarkStart w:id="214" w:name="_Toc31580"/>
      <w:r>
        <w:rPr>
          <w:rFonts w:hint="eastAsia" w:ascii="Times New Roman" w:hAnsi="Times New Roman" w:eastAsia="黑体" w:cs="Times New Roman"/>
          <w:b w:val="0"/>
          <w:bCs/>
          <w:color w:val="auto"/>
          <w:sz w:val="32"/>
          <w:szCs w:val="32"/>
          <w:highlight w:val="none"/>
          <w:lang w:val="en-US" w:eastAsia="zh-CN"/>
        </w:rPr>
        <w:t>三、推动数据要素市场化价值化，促进数据价值释放</w:t>
      </w:r>
      <w:bookmarkEnd w:id="207"/>
      <w:bookmarkEnd w:id="208"/>
      <w:bookmarkEnd w:id="209"/>
      <w:bookmarkEnd w:id="210"/>
      <w:bookmarkEnd w:id="211"/>
      <w:bookmarkEnd w:id="212"/>
      <w:bookmarkEnd w:id="213"/>
      <w:bookmarkEnd w:id="214"/>
    </w:p>
    <w:p w14:paraId="7E255899">
      <w:pPr>
        <w:pageBreakBefore w:val="0"/>
        <w:widowControl w:val="0"/>
        <w:suppressAutoHyphens/>
        <w:kinsoku/>
        <w:overflowPunct/>
        <w:topLinePunct w:val="0"/>
        <w:autoSpaceDE/>
        <w:autoSpaceDN/>
        <w:bidi w:val="0"/>
        <w:adjustRightInd/>
        <w:spacing w:beforeLines="0" w:afterLines="0" w:line="560" w:lineRule="exact"/>
        <w:ind w:firstLine="640" w:firstLineChars="200"/>
        <w:textAlignment w:val="auto"/>
        <w:outlineLvl w:val="1"/>
        <w:rPr>
          <w:rStyle w:val="31"/>
          <w:color w:val="auto"/>
        </w:rPr>
      </w:pPr>
      <w:bookmarkStart w:id="215" w:name="_Toc2667"/>
      <w:bookmarkStart w:id="216" w:name="_Toc1965066311"/>
      <w:bookmarkStart w:id="217" w:name="_Toc804627158"/>
      <w:bookmarkStart w:id="218" w:name="_Toc1013825553"/>
      <w:bookmarkStart w:id="219" w:name="_Toc131274242"/>
      <w:bookmarkStart w:id="220" w:name="_Toc483545327"/>
      <w:bookmarkStart w:id="221" w:name="_Toc1866712582"/>
      <w:bookmarkStart w:id="222" w:name="_Toc2084895583"/>
      <w:bookmarkStart w:id="223" w:name="_Toc1007545511"/>
      <w:bookmarkStart w:id="224" w:name="_Toc1633052269"/>
      <w:bookmarkStart w:id="225" w:name="_Toc358894788"/>
      <w:bookmarkStart w:id="226" w:name="_Toc1217076865"/>
      <w:bookmarkStart w:id="227" w:name="_Toc402750432"/>
      <w:bookmarkStart w:id="228" w:name="_Toc1835588638"/>
      <w:bookmarkStart w:id="229" w:name="_Toc1048465706"/>
      <w:bookmarkStart w:id="230" w:name="_Toc1855879257"/>
      <w:bookmarkStart w:id="231" w:name="_Toc21602"/>
      <w:bookmarkStart w:id="232" w:name="_Toc342543384"/>
      <w:bookmarkStart w:id="233" w:name="_Toc24520"/>
      <w:bookmarkStart w:id="234" w:name="_Toc1553905125"/>
      <w:bookmarkStart w:id="235" w:name="_Toc792642421"/>
      <w:bookmarkStart w:id="236" w:name="_Toc22117"/>
      <w:bookmarkStart w:id="237" w:name="_Toc1760"/>
      <w:bookmarkStart w:id="238" w:name="_Toc1434124285"/>
      <w:bookmarkStart w:id="239" w:name="_Toc26230"/>
      <w:bookmarkStart w:id="240" w:name="_Toc312158088"/>
      <w:bookmarkStart w:id="241" w:name="_Toc1976013440"/>
      <w:bookmarkStart w:id="242" w:name="_Toc344025208"/>
      <w:bookmarkStart w:id="243" w:name="_Toc1543539137"/>
      <w:bookmarkStart w:id="244" w:name="_Toc10996844"/>
      <w:bookmarkStart w:id="245" w:name="_Toc30762"/>
      <w:bookmarkStart w:id="246" w:name="_Toc1837594201"/>
      <w:bookmarkStart w:id="247" w:name="_Toc847115440"/>
      <w:bookmarkStart w:id="248" w:name="_Toc1707694061"/>
      <w:bookmarkStart w:id="249" w:name="_Toc1457669534"/>
      <w:r>
        <w:rPr>
          <w:rStyle w:val="26"/>
          <w:rFonts w:hint="eastAsia" w:ascii="楷体_GB2312" w:hAnsi="楷体_GB2312" w:eastAsia="楷体_GB2312" w:cs="楷体_GB2312"/>
          <w:b w:val="0"/>
          <w:bCs/>
          <w:color w:val="auto"/>
          <w:szCs w:val="32"/>
          <w:highlight w:val="none"/>
          <w:lang w:eastAsia="zh-CN"/>
        </w:rPr>
        <w:t>（一）</w:t>
      </w:r>
      <w:r>
        <w:rPr>
          <w:rStyle w:val="26"/>
          <w:rFonts w:hint="eastAsia" w:ascii="楷体_GB2312" w:hAnsi="楷体_GB2312" w:eastAsia="楷体_GB2312" w:cs="楷体_GB2312"/>
          <w:b w:val="0"/>
          <w:bCs/>
          <w:color w:val="auto"/>
          <w:szCs w:val="32"/>
          <w:highlight w:val="none"/>
          <w:lang w:val="en-US" w:eastAsia="zh-CN"/>
        </w:rPr>
        <w:t>完善</w:t>
      </w:r>
      <w:r>
        <w:rPr>
          <w:rStyle w:val="26"/>
          <w:rFonts w:hint="eastAsia" w:ascii="楷体_GB2312" w:hAnsi="楷体_GB2312" w:eastAsia="楷体_GB2312" w:cs="楷体_GB2312"/>
          <w:b w:val="0"/>
          <w:bCs/>
          <w:color w:val="auto"/>
          <w:szCs w:val="32"/>
          <w:highlight w:val="none"/>
        </w:rPr>
        <w:t>数据</w:t>
      </w:r>
      <w:r>
        <w:rPr>
          <w:rStyle w:val="26"/>
          <w:rFonts w:hint="eastAsia" w:ascii="楷体_GB2312" w:hAnsi="楷体_GB2312" w:eastAsia="楷体_GB2312" w:cs="楷体_GB2312"/>
          <w:b w:val="0"/>
          <w:bCs/>
          <w:color w:val="auto"/>
          <w:szCs w:val="32"/>
          <w:highlight w:val="none"/>
          <w:lang w:val="en-US" w:eastAsia="zh-CN"/>
        </w:rPr>
        <w:t>要素</w:t>
      </w:r>
      <w:r>
        <w:rPr>
          <w:rStyle w:val="26"/>
          <w:rFonts w:hint="eastAsia" w:ascii="楷体_GB2312" w:hAnsi="楷体_GB2312" w:eastAsia="楷体_GB2312" w:cs="楷体_GB2312"/>
          <w:b w:val="0"/>
          <w:bCs/>
          <w:color w:val="auto"/>
          <w:szCs w:val="32"/>
          <w:highlight w:val="none"/>
        </w:rPr>
        <w:t>制度</w:t>
      </w:r>
      <w:r>
        <w:rPr>
          <w:rStyle w:val="26"/>
          <w:rFonts w:hint="eastAsia" w:ascii="楷体_GB2312" w:hAnsi="楷体_GB2312" w:eastAsia="楷体_GB2312" w:cs="楷体_GB2312"/>
          <w:b w:val="0"/>
          <w:bCs/>
          <w:color w:val="auto"/>
          <w:szCs w:val="32"/>
          <w:highlight w:val="none"/>
          <w:lang w:val="en-US" w:eastAsia="zh-CN"/>
        </w:rPr>
        <w:t>体系</w:t>
      </w:r>
      <w:bookmarkEnd w:id="215"/>
      <w:bookmarkEnd w:id="216"/>
      <w:bookmarkEnd w:id="217"/>
      <w:bookmarkEnd w:id="218"/>
      <w:bookmarkEnd w:id="219"/>
      <w:bookmarkEnd w:id="220"/>
      <w:bookmarkEnd w:id="221"/>
      <w:bookmarkEnd w:id="222"/>
      <w:bookmarkEnd w:id="223"/>
      <w:bookmarkEnd w:id="224"/>
      <w:bookmarkEnd w:id="225"/>
      <w:bookmarkEnd w:id="226"/>
    </w:p>
    <w:p w14:paraId="731B31E8">
      <w:pPr>
        <w:pageBreakBefore w:val="0"/>
        <w:widowControl w:val="0"/>
        <w:suppressAutoHyphens/>
        <w:kinsoku/>
        <w:overflowPunct/>
        <w:topLinePunct w:val="0"/>
        <w:autoSpaceDE/>
        <w:autoSpaceDN/>
        <w:bidi w:val="0"/>
        <w:adjustRightInd/>
        <w:spacing w:beforeLines="0" w:afterLines="0" w:line="560" w:lineRule="exact"/>
        <w:ind w:firstLine="640" w:firstLineChars="200"/>
        <w:textAlignment w:val="auto"/>
        <w:outlineLvl w:val="9"/>
        <w:rPr>
          <w:rFonts w:hint="eastAsia" w:ascii="仿宋_GB2312" w:hAnsi="仿宋_GB2312" w:cs="仿宋_GB2312"/>
          <w:color w:val="auto"/>
          <w:sz w:val="32"/>
          <w:szCs w:val="32"/>
          <w:highlight w:val="none"/>
          <w:lang w:val="en-US" w:eastAsia="zh-CN"/>
        </w:rPr>
      </w:pPr>
      <w:r>
        <w:rPr>
          <w:rFonts w:hint="default" w:ascii="仿宋_GB2312" w:hAnsi="仿宋_GB2312" w:eastAsia="仿宋_GB2312" w:cs="仿宋_GB2312"/>
          <w:b w:val="0"/>
          <w:bCs w:val="0"/>
          <w:color w:val="auto"/>
          <w:kern w:val="2"/>
          <w:sz w:val="32"/>
          <w:szCs w:val="32"/>
          <w:highlight w:val="none"/>
          <w:lang w:val="en-US" w:eastAsia="zh-CN" w:bidi="ar-SA"/>
        </w:rPr>
        <w:t>推动建立</w:t>
      </w:r>
      <w:r>
        <w:rPr>
          <w:rFonts w:hint="eastAsia" w:ascii="仿宋_GB2312" w:hAnsi="仿宋_GB2312" w:cs="仿宋_GB2312"/>
          <w:b w:val="0"/>
          <w:bCs w:val="0"/>
          <w:color w:val="auto"/>
          <w:kern w:val="2"/>
          <w:sz w:val="32"/>
          <w:szCs w:val="32"/>
          <w:highlight w:val="none"/>
          <w:lang w:val="en-US" w:eastAsia="zh-CN" w:bidi="ar-SA"/>
        </w:rPr>
        <w:t>数据</w:t>
      </w:r>
      <w:r>
        <w:rPr>
          <w:rFonts w:hint="default" w:ascii="仿宋_GB2312" w:hAnsi="仿宋_GB2312" w:eastAsia="仿宋_GB2312" w:cs="仿宋_GB2312"/>
          <w:b w:val="0"/>
          <w:bCs w:val="0"/>
          <w:color w:val="auto"/>
          <w:kern w:val="2"/>
          <w:sz w:val="32"/>
          <w:szCs w:val="32"/>
          <w:highlight w:val="none"/>
          <w:lang w:val="en-US" w:eastAsia="zh-CN" w:bidi="ar-SA"/>
        </w:rPr>
        <w:t>产权运行机制，</w:t>
      </w:r>
      <w:r>
        <w:rPr>
          <w:rFonts w:hint="default" w:ascii="仿宋_GB2312" w:hAnsi="仿宋_GB2312" w:eastAsia="仿宋_GB2312" w:cs="仿宋_GB2312"/>
          <w:color w:val="auto"/>
          <w:kern w:val="2"/>
          <w:sz w:val="32"/>
          <w:szCs w:val="32"/>
          <w:lang w:val="en-US" w:eastAsia="zh-CN" w:bidi="ar-SA"/>
        </w:rPr>
        <w:t>构建公共数据</w:t>
      </w:r>
      <w:r>
        <w:rPr>
          <w:rFonts w:hint="eastAsia" w:ascii="仿宋_GB2312" w:hAnsi="仿宋_GB2312" w:cs="仿宋_GB2312"/>
          <w:color w:val="auto"/>
          <w:kern w:val="2"/>
          <w:sz w:val="32"/>
          <w:szCs w:val="32"/>
          <w:lang w:val="en-US" w:eastAsia="zh-CN" w:bidi="ar-SA"/>
        </w:rPr>
        <w:t>资源授权</w:t>
      </w:r>
      <w:r>
        <w:rPr>
          <w:rFonts w:hint="default" w:ascii="仿宋_GB2312" w:hAnsi="仿宋_GB2312" w:eastAsia="仿宋_GB2312" w:cs="仿宋_GB2312"/>
          <w:color w:val="auto"/>
          <w:kern w:val="2"/>
          <w:sz w:val="32"/>
          <w:szCs w:val="32"/>
          <w:lang w:val="en-US" w:eastAsia="zh-CN" w:bidi="ar-SA"/>
        </w:rPr>
        <w:t>管理机制</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cs="仿宋_GB2312"/>
          <w:color w:val="auto"/>
          <w:kern w:val="2"/>
          <w:sz w:val="32"/>
          <w:szCs w:val="32"/>
          <w:lang w:val="en-US" w:eastAsia="zh-CN" w:bidi="ar-SA"/>
        </w:rPr>
        <w:t>探索公共数据授权运营收益分配机制，推动数据资产合规登记、评估入表和交易流通</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健全数据安全管理体系，实现数据安全“可管、可控、可溯”。构建数据跨境安全管理体系，强化跨境安全协同监管，建立跨境安全监管联动机制。</w:t>
      </w: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94F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22FD1252">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2</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数据要素市场化配置优化工程</w:t>
            </w:r>
          </w:p>
        </w:tc>
      </w:tr>
      <w:tr w14:paraId="630A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061" w:type="dxa"/>
            <w:noWrap w:val="0"/>
            <w:vAlign w:val="top"/>
          </w:tcPr>
          <w:p w14:paraId="2803ECF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default"/>
                <w:color w:val="auto"/>
              </w:rPr>
            </w:pPr>
            <w:r>
              <w:rPr>
                <w:rFonts w:hint="eastAsia" w:ascii="仿宋_GB2312" w:hAnsi="仿宋_GB2312" w:cs="仿宋_GB2312"/>
                <w:b/>
                <w:bCs/>
                <w:color w:val="auto"/>
                <w:sz w:val="28"/>
                <w:szCs w:val="28"/>
                <w:lang w:val="en-US" w:eastAsia="zh-CN"/>
              </w:rPr>
              <w:t>建立健全公共数据授权运营管理机制。</w:t>
            </w:r>
            <w:r>
              <w:rPr>
                <w:rFonts w:hint="eastAsia" w:ascii="仿宋_GB2312" w:hAnsi="仿宋_GB2312" w:eastAsia="仿宋_GB2312" w:cs="仿宋_GB2312"/>
                <w:b w:val="0"/>
                <w:bCs w:val="0"/>
                <w:color w:val="auto"/>
                <w:sz w:val="28"/>
                <w:szCs w:val="28"/>
                <w:lang w:val="en-US" w:eastAsia="zh-CN"/>
              </w:rPr>
              <w:t>完善韶关市公共数据授权运营安全管理办法，</w:t>
            </w:r>
            <w:r>
              <w:rPr>
                <w:rFonts w:hint="eastAsia" w:ascii="仿宋_GB2312" w:hAnsi="仿宋_GB2312" w:cs="仿宋_GB2312"/>
                <w:b w:val="0"/>
                <w:bCs w:val="0"/>
                <w:color w:val="auto"/>
                <w:sz w:val="28"/>
                <w:szCs w:val="28"/>
                <w:lang w:val="en-US" w:eastAsia="zh-CN"/>
              </w:rPr>
              <w:t>建立数据授权运营分类分级审核机制</w:t>
            </w:r>
            <w:r>
              <w:rPr>
                <w:rFonts w:hint="eastAsia" w:ascii="仿宋_GB2312" w:hAnsi="仿宋_GB2312" w:eastAsia="仿宋_GB2312" w:cs="仿宋_GB2312"/>
                <w:b w:val="0"/>
                <w:bCs w:val="0"/>
                <w:color w:val="auto"/>
                <w:sz w:val="28"/>
                <w:szCs w:val="28"/>
                <w:lang w:val="en-US" w:eastAsia="zh-CN"/>
              </w:rPr>
              <w:t>；研究数据流通安全评估规范，建立数据流通“白名单”制度，完善数据流通协同监管机制</w:t>
            </w:r>
            <w:r>
              <w:rPr>
                <w:rFonts w:hint="eastAsia" w:ascii="仿宋_GB2312" w:hAnsi="仿宋_GB2312" w:cs="仿宋_GB2312"/>
                <w:b w:val="0"/>
                <w:bCs w:val="0"/>
                <w:color w:val="auto"/>
                <w:sz w:val="28"/>
                <w:szCs w:val="28"/>
                <w:lang w:val="en-US" w:eastAsia="zh-CN"/>
              </w:rPr>
              <w:t>。</w:t>
            </w:r>
          </w:p>
        </w:tc>
      </w:tr>
    </w:tbl>
    <w:p w14:paraId="6C78B21C">
      <w:pPr>
        <w:pageBreakBefore w:val="0"/>
        <w:widowControl w:val="0"/>
        <w:numPr>
          <w:ilvl w:val="-1"/>
          <w:numId w:val="0"/>
        </w:numPr>
        <w:pBdr>
          <w:top w:val="none" w:color="auto" w:sz="0" w:space="0"/>
          <w:left w:val="none" w:color="auto" w:sz="0" w:space="0"/>
          <w:bottom w:val="none" w:color="auto" w:sz="0" w:space="0"/>
          <w:right w:val="none" w:color="auto" w:sz="0" w:space="0"/>
        </w:pBdr>
        <w:shd w:val="clear" w:color="auto" w:fill="auto"/>
        <w:suppressAutoHyphens/>
        <w:kinsoku/>
        <w:overflowPunct/>
        <w:topLinePunct w:val="0"/>
        <w:autoSpaceDE/>
        <w:autoSpaceDN/>
        <w:bidi w:val="0"/>
        <w:adjustRightInd/>
        <w:spacing w:beforeLines="0" w:afterLines="0" w:line="560" w:lineRule="exact"/>
        <w:ind w:firstLine="640" w:firstLineChars="200"/>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250" w:name="_Toc5836"/>
      <w:bookmarkStart w:id="251" w:name="_Toc176863091"/>
      <w:bookmarkStart w:id="252" w:name="_Toc1618237765"/>
      <w:bookmarkStart w:id="253" w:name="_Toc1715786418"/>
      <w:bookmarkStart w:id="254" w:name="_Toc136263028"/>
      <w:bookmarkStart w:id="255" w:name="_Toc819595884"/>
      <w:bookmarkStart w:id="256" w:name="_Toc655"/>
      <w:bookmarkStart w:id="257" w:name="_Toc1081099027"/>
      <w:bookmarkStart w:id="258" w:name="_Toc1804319656"/>
      <w:bookmarkStart w:id="259" w:name="_Toc24054"/>
      <w:bookmarkStart w:id="260" w:name="_Toc994829123"/>
      <w:bookmarkStart w:id="261" w:name="_Toc379792077"/>
      <w:bookmarkStart w:id="262" w:name="_Toc2133560564"/>
      <w:bookmarkStart w:id="263" w:name="_Toc1747679144"/>
      <w:bookmarkStart w:id="264" w:name="_Toc19505"/>
      <w:bookmarkStart w:id="265" w:name="_Toc1740750863"/>
      <w:bookmarkStart w:id="266" w:name="_Toc1776409646"/>
      <w:bookmarkStart w:id="267" w:name="_Toc250717758"/>
      <w:bookmarkStart w:id="268" w:name="_Toc632389079"/>
      <w:bookmarkStart w:id="269" w:name="_Toc1841835296"/>
      <w:bookmarkStart w:id="270" w:name="_Toc1625204760"/>
      <w:bookmarkStart w:id="271" w:name="_Toc1847464545"/>
      <w:bookmarkStart w:id="272" w:name="_Toc434691079"/>
      <w:bookmarkStart w:id="273" w:name="_Toc1413298484"/>
      <w:bookmarkStart w:id="274" w:name="_Toc1281666800"/>
      <w:bookmarkStart w:id="275" w:name="_Toc31154"/>
      <w:bookmarkStart w:id="276" w:name="_Toc1937649481"/>
      <w:bookmarkStart w:id="277" w:name="_Toc1040624126"/>
      <w:bookmarkStart w:id="278" w:name="_Toc3739"/>
      <w:bookmarkStart w:id="279" w:name="_Toc1271023848"/>
      <w:bookmarkStart w:id="280" w:name="_Toc792095747"/>
      <w:bookmarkStart w:id="281" w:name="_Toc2060790000"/>
      <w:bookmarkStart w:id="282" w:name="_Toc2102783512"/>
      <w:bookmarkStart w:id="283" w:name="_Toc123803419"/>
      <w:bookmarkStart w:id="284" w:name="_Toc16822"/>
      <w:r>
        <w:rPr>
          <w:rStyle w:val="26"/>
          <w:rFonts w:hint="eastAsia" w:ascii="楷体_GB2312" w:hAnsi="楷体_GB2312" w:eastAsia="楷体_GB2312" w:cs="楷体_GB2312"/>
          <w:b w:val="0"/>
          <w:bCs/>
          <w:color w:val="auto"/>
          <w:szCs w:val="32"/>
          <w:highlight w:val="none"/>
          <w:lang w:eastAsia="zh-CN"/>
        </w:rPr>
        <w:t>（二）</w:t>
      </w:r>
      <w:r>
        <w:rPr>
          <w:rStyle w:val="26"/>
          <w:rFonts w:hint="eastAsia" w:ascii="楷体_GB2312" w:hAnsi="楷体_GB2312" w:eastAsia="楷体_GB2312" w:cs="楷体_GB2312"/>
          <w:b w:val="0"/>
          <w:bCs/>
          <w:color w:val="auto"/>
          <w:szCs w:val="32"/>
          <w:highlight w:val="none"/>
        </w:rPr>
        <w:t>推动数据资源汇聚</w:t>
      </w:r>
      <w:r>
        <w:rPr>
          <w:rStyle w:val="26"/>
          <w:rFonts w:hint="eastAsia" w:ascii="楷体_GB2312" w:hAnsi="楷体_GB2312" w:eastAsia="楷体_GB2312" w:cs="楷体_GB2312"/>
          <w:b w:val="0"/>
          <w:bCs/>
          <w:color w:val="auto"/>
          <w:szCs w:val="32"/>
          <w:highlight w:val="none"/>
          <w:lang w:val="en-US" w:eastAsia="zh-CN"/>
        </w:rPr>
        <w:t>应用</w:t>
      </w:r>
      <w:bookmarkEnd w:id="250"/>
      <w:bookmarkEnd w:id="251"/>
      <w:bookmarkEnd w:id="252"/>
      <w:bookmarkEnd w:id="253"/>
      <w:bookmarkEnd w:id="254"/>
      <w:bookmarkEnd w:id="255"/>
    </w:p>
    <w:p w14:paraId="022CD05F">
      <w:pPr>
        <w:pageBreakBefore w:val="0"/>
        <w:widowControl/>
        <w:numPr>
          <w:ilvl w:val="0"/>
          <w:numId w:val="0"/>
        </w:numPr>
        <w:pBdr>
          <w:top w:val="none" w:color="000000" w:sz="0" w:space="0"/>
          <w:left w:val="none" w:color="000000" w:sz="0" w:space="0"/>
          <w:bottom w:val="none" w:color="000000" w:sz="0" w:space="15"/>
          <w:right w:val="none" w:color="000000" w:sz="0" w:space="2"/>
        </w:pBdr>
        <w:shd w:val="clear" w:color="auto" w:fill="auto"/>
        <w:tabs>
          <w:tab w:val="left" w:pos="562"/>
          <w:tab w:val="left" w:pos="3372"/>
          <w:tab w:val="left" w:pos="3653"/>
        </w:tabs>
        <w:suppressAutoHyphens/>
        <w:kinsoku/>
        <w:overflowPunct/>
        <w:topLinePunct w:val="0"/>
        <w:autoSpaceDE/>
        <w:autoSpaceDN/>
        <w:bidi w:val="0"/>
        <w:adjustRightInd/>
        <w:spacing w:beforeLines="0" w:afterLines="0" w:line="560" w:lineRule="exact"/>
        <w:ind w:firstLine="640" w:firstLineChars="200"/>
        <w:textAlignment w:val="auto"/>
        <w:outlineLvl w:val="9"/>
        <w:rPr>
          <w:rStyle w:val="31"/>
          <w:color w:val="auto"/>
        </w:rPr>
      </w:pPr>
      <w:bookmarkStart w:id="285" w:name="_Toc761354190"/>
      <w:bookmarkStart w:id="286" w:name="_Toc188818081"/>
      <w:bookmarkStart w:id="287" w:name="_Toc1242149945"/>
      <w:bookmarkStart w:id="288" w:name="_Toc956145278"/>
      <w:bookmarkStart w:id="289" w:name="_Toc1995815717"/>
      <w:bookmarkStart w:id="290" w:name="_Toc1813654106"/>
      <w:bookmarkStart w:id="291" w:name="_Toc972945951"/>
      <w:bookmarkStart w:id="292" w:name="_Toc953854131"/>
      <w:r>
        <w:rPr>
          <w:rFonts w:hint="eastAsia" w:ascii="仿宋_GB2312" w:hAnsi="仿宋_GB2312" w:eastAsia="仿宋_GB2312" w:cs="仿宋_GB2312"/>
          <w:color w:val="auto"/>
          <w:kern w:val="2"/>
          <w:sz w:val="32"/>
          <w:szCs w:val="32"/>
          <w:highlight w:val="none"/>
          <w:lang w:val="en-US" w:eastAsia="zh-CN" w:bidi="ar-SA"/>
        </w:rPr>
        <w:t>全面推进</w:t>
      </w:r>
      <w:r>
        <w:rPr>
          <w:rFonts w:hint="eastAsia" w:ascii="仿宋_GB2312" w:hAnsi="仿宋_GB2312" w:cs="仿宋_GB2312"/>
          <w:color w:val="auto"/>
          <w:kern w:val="2"/>
          <w:sz w:val="32"/>
          <w:szCs w:val="32"/>
          <w:highlight w:val="none"/>
          <w:lang w:val="en-US" w:eastAsia="zh-CN" w:bidi="ar-SA"/>
        </w:rPr>
        <w:t>政务</w:t>
      </w:r>
      <w:r>
        <w:rPr>
          <w:rFonts w:hint="eastAsia" w:ascii="仿宋_GB2312" w:hAnsi="仿宋_GB2312" w:eastAsia="仿宋_GB2312" w:cs="仿宋_GB2312"/>
          <w:color w:val="auto"/>
          <w:kern w:val="2"/>
          <w:sz w:val="32"/>
          <w:szCs w:val="32"/>
          <w:highlight w:val="none"/>
          <w:lang w:val="en-US" w:eastAsia="zh-CN" w:bidi="ar-SA"/>
        </w:rPr>
        <w:t>数据目录编制，推动</w:t>
      </w:r>
      <w:r>
        <w:rPr>
          <w:rFonts w:hint="eastAsia" w:ascii="仿宋_GB2312" w:hAnsi="仿宋_GB2312" w:cs="仿宋_GB2312"/>
          <w:color w:val="auto"/>
          <w:kern w:val="2"/>
          <w:sz w:val="32"/>
          <w:szCs w:val="32"/>
          <w:highlight w:val="none"/>
          <w:lang w:val="en-US" w:eastAsia="zh-CN" w:bidi="ar-SA"/>
        </w:rPr>
        <w:t>各类</w:t>
      </w:r>
      <w:r>
        <w:rPr>
          <w:rFonts w:hint="eastAsia" w:ascii="仿宋_GB2312" w:hAnsi="仿宋_GB2312" w:eastAsia="仿宋_GB2312" w:cs="仿宋_GB2312"/>
          <w:color w:val="auto"/>
          <w:kern w:val="2"/>
          <w:sz w:val="32"/>
          <w:szCs w:val="32"/>
          <w:highlight w:val="none"/>
          <w:lang w:val="en-US" w:eastAsia="zh-CN" w:bidi="ar-SA"/>
        </w:rPr>
        <w:t>政务数据汇聚</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cs="仿宋_GB2312"/>
          <w:b w:val="0"/>
          <w:bCs w:val="0"/>
          <w:color w:val="auto"/>
          <w:kern w:val="2"/>
          <w:sz w:val="32"/>
          <w:szCs w:val="32"/>
          <w:highlight w:val="none"/>
          <w:lang w:val="en-US" w:eastAsia="zh-CN" w:bidi="ar-SA"/>
        </w:rPr>
        <w:t>开展公共数据资源</w:t>
      </w:r>
      <w:r>
        <w:rPr>
          <w:rFonts w:hint="default" w:ascii="仿宋_GB2312" w:hAnsi="仿宋_GB2312" w:eastAsia="仿宋_GB2312" w:cs="仿宋_GB2312"/>
          <w:b w:val="0"/>
          <w:bCs w:val="0"/>
          <w:color w:val="auto"/>
          <w:kern w:val="2"/>
          <w:sz w:val="32"/>
          <w:szCs w:val="32"/>
          <w:highlight w:val="none"/>
          <w:lang w:val="en-US" w:eastAsia="zh-CN" w:bidi="ar-SA"/>
        </w:rPr>
        <w:t>登记</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cs="仿宋_GB2312"/>
          <w:color w:val="auto"/>
          <w:kern w:val="2"/>
          <w:sz w:val="32"/>
          <w:szCs w:val="32"/>
          <w:highlight w:val="none"/>
          <w:lang w:val="en-US" w:eastAsia="zh-CN" w:bidi="ar-SA"/>
        </w:rPr>
        <w:t>探索建设企业和行业可信数据空间，打造高质量数据集，分类推进企业数据资源开发利用。</w:t>
      </w:r>
      <w:r>
        <w:rPr>
          <w:rFonts w:hint="eastAsia" w:ascii="仿宋_GB2312" w:hAnsi="仿宋_GB2312" w:cs="黑体"/>
          <w:kern w:val="2"/>
          <w:sz w:val="32"/>
          <w:szCs w:val="32"/>
          <w:lang w:val="en-US" w:eastAsia="zh-CN" w:bidi="ar-SA"/>
        </w:rPr>
        <w:t>发挥公共数据和社会数据融合作用，</w:t>
      </w:r>
      <w:r>
        <w:rPr>
          <w:rFonts w:hint="eastAsia" w:ascii="CESI仿宋-GB2312" w:hAnsi="CESI仿宋-GB2312" w:eastAsia="CESI仿宋-GB2312" w:cs="CESI仿宋-GB2312"/>
          <w:b w:val="0"/>
          <w:bCs w:val="0"/>
          <w:sz w:val="32"/>
          <w:szCs w:val="32"/>
          <w:highlight w:val="none"/>
          <w:lang w:val="en-US" w:eastAsia="zh-CN"/>
        </w:rPr>
        <w:t>探索多样化、可持续的数据要素价值释放路径。</w:t>
      </w:r>
    </w:p>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5EA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463C3121">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3</w:t>
            </w:r>
            <w:r>
              <w:rPr>
                <w:rFonts w:hint="eastAsia" w:ascii="Times New Roman" w:hAnsi="Times New Roman" w:eastAsia="仿宋_GB2312" w:cs="Times New Roman"/>
                <w:b/>
                <w:bCs/>
                <w:color w:val="auto"/>
                <w:sz w:val="28"/>
                <w:szCs w:val="28"/>
                <w:highlight w:val="none"/>
                <w:vertAlign w:val="baseline"/>
                <w:lang w:val="en-US" w:eastAsia="zh-CN"/>
              </w:rPr>
              <w:t xml:space="preserve">  数据资源汇聚提升工程</w:t>
            </w:r>
          </w:p>
        </w:tc>
      </w:tr>
      <w:tr w14:paraId="2B32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061" w:type="dxa"/>
            <w:noWrap w:val="0"/>
            <w:vAlign w:val="top"/>
          </w:tcPr>
          <w:p w14:paraId="7D262A0E">
            <w:pPr>
              <w:keepNext w:val="0"/>
              <w:keepLines w:val="0"/>
              <w:suppressLineNumbers w:val="0"/>
              <w:spacing w:before="0" w:beforeLines="0" w:beforeAutospacing="0" w:after="0" w:afterLines="0" w:afterAutospacing="0" w:line="560" w:lineRule="exact"/>
              <w:ind w:left="0" w:right="0" w:firstLine="562" w:firstLineChars="200"/>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建设政务数据中心。</w:t>
            </w:r>
            <w:r>
              <w:rPr>
                <w:rFonts w:hint="eastAsia" w:ascii="仿宋_GB2312" w:hAnsi="仿宋_GB2312" w:cs="仿宋_GB2312"/>
                <w:b w:val="0"/>
                <w:bCs w:val="0"/>
                <w:color w:val="auto"/>
                <w:sz w:val="28"/>
                <w:szCs w:val="28"/>
                <w:highlight w:val="none"/>
                <w:lang w:val="en-US" w:eastAsia="zh-CN"/>
              </w:rPr>
              <w:t>依托数据资源汇聚平台，推进库表、视频、物联感知、地理空间及电子证照等政务数据的共享、开放与授权运营。</w:t>
            </w:r>
          </w:p>
          <w:p w14:paraId="233664C4">
            <w:pPr>
              <w:keepNext w:val="0"/>
              <w:keepLines w:val="0"/>
              <w:suppressLineNumbers w:val="0"/>
              <w:spacing w:before="0" w:beforeLines="0" w:beforeAutospacing="0" w:after="0" w:afterLines="0" w:afterAutospacing="0" w:line="560" w:lineRule="exact"/>
              <w:ind w:left="0" w:right="0" w:firstLine="0"/>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建设先进存力中心。</w:t>
            </w:r>
            <w:r>
              <w:rPr>
                <w:rFonts w:hint="eastAsia" w:ascii="仿宋_GB2312" w:hAnsi="仿宋_GB2312" w:cs="仿宋_GB2312"/>
                <w:b w:val="0"/>
                <w:bCs w:val="0"/>
                <w:color w:val="auto"/>
                <w:sz w:val="28"/>
                <w:szCs w:val="28"/>
                <w:highlight w:val="none"/>
                <w:lang w:val="en-US" w:eastAsia="zh-CN"/>
              </w:rPr>
              <w:t>引导全国公共、企业和社会数据向韶关集聚，构建数据托管中心，提供低成本安全可信服务及容灾备份支持。</w:t>
            </w:r>
          </w:p>
          <w:p w14:paraId="5329B9DC">
            <w:pPr>
              <w:keepNext w:val="0"/>
              <w:keepLines w:val="0"/>
              <w:suppressLineNumbers w:val="0"/>
              <w:spacing w:before="0" w:beforeLines="0" w:beforeAutospacing="0" w:after="0" w:afterLines="0" w:afterAutospacing="0" w:line="560" w:lineRule="exact"/>
              <w:ind w:left="0" w:right="0" w:firstLine="562" w:firstLineChars="200"/>
              <w:rPr>
                <w:rFonts w:hint="default"/>
                <w:color w:val="auto"/>
              </w:rPr>
            </w:pPr>
            <w:r>
              <w:rPr>
                <w:rFonts w:hint="eastAsia" w:ascii="仿宋_GB2312" w:hAnsi="仿宋_GB2312" w:cs="仿宋_GB2312"/>
                <w:b/>
                <w:bCs/>
                <w:color w:val="auto"/>
                <w:sz w:val="28"/>
                <w:szCs w:val="28"/>
                <w:highlight w:val="none"/>
                <w:lang w:val="en-US" w:eastAsia="zh-CN"/>
              </w:rPr>
              <w:t>建设行业数据灾备中心。</w:t>
            </w:r>
            <w:r>
              <w:rPr>
                <w:rFonts w:hint="eastAsia" w:ascii="仿宋_GB2312" w:hAnsi="仿宋_GB2312" w:cs="仿宋_GB2312"/>
                <w:b w:val="0"/>
                <w:bCs w:val="0"/>
                <w:color w:val="auto"/>
                <w:sz w:val="28"/>
                <w:szCs w:val="28"/>
                <w:highlight w:val="none"/>
                <w:lang w:val="en-US" w:eastAsia="zh-CN"/>
              </w:rPr>
              <w:t>推动全省警务、档案、气象等行业应用级、数据级灾备中心建设，构建可靠可用的灾备体系。</w:t>
            </w:r>
          </w:p>
        </w:tc>
      </w:tr>
    </w:tbl>
    <w:p w14:paraId="219CC4D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1"/>
        <w:rPr>
          <w:rStyle w:val="31"/>
          <w:color w:val="auto"/>
        </w:rPr>
      </w:pPr>
      <w:bookmarkStart w:id="293" w:name="_Toc735926403"/>
      <w:bookmarkStart w:id="294" w:name="_Toc2127423"/>
      <w:bookmarkStart w:id="295" w:name="_Toc889803265"/>
      <w:bookmarkStart w:id="296" w:name="_Toc308215999"/>
      <w:bookmarkStart w:id="297" w:name="_Toc645521395"/>
      <w:bookmarkStart w:id="298" w:name="_Toc1359382484"/>
      <w:bookmarkStart w:id="299" w:name="_Toc1934490404"/>
      <w:bookmarkStart w:id="300" w:name="_Toc125356798"/>
      <w:bookmarkStart w:id="301" w:name="_Toc494843752"/>
      <w:bookmarkStart w:id="302" w:name="_Toc32040"/>
      <w:bookmarkStart w:id="303" w:name="_Toc481142641"/>
      <w:bookmarkStart w:id="304" w:name="_Toc1936604504"/>
      <w:bookmarkStart w:id="305" w:name="_Toc9205966"/>
      <w:bookmarkStart w:id="306" w:name="_Toc1839591297"/>
      <w:bookmarkStart w:id="307" w:name="_Toc601184376"/>
      <w:bookmarkStart w:id="308" w:name="_Toc2105758737"/>
      <w:bookmarkStart w:id="309" w:name="_Toc1475378944"/>
      <w:bookmarkStart w:id="310" w:name="_Toc1918491249"/>
      <w:bookmarkStart w:id="311" w:name="_Toc14465"/>
      <w:bookmarkStart w:id="312" w:name="_Toc1950051648"/>
      <w:bookmarkStart w:id="313" w:name="_Toc1533257331"/>
      <w:bookmarkStart w:id="314" w:name="_Toc17301"/>
      <w:bookmarkStart w:id="315" w:name="_Toc341754071"/>
      <w:bookmarkStart w:id="316" w:name="_Toc18170"/>
      <w:bookmarkStart w:id="317" w:name="_Toc19848"/>
      <w:bookmarkStart w:id="318" w:name="_Toc345263330"/>
      <w:bookmarkStart w:id="319" w:name="_Toc1926745171"/>
      <w:bookmarkStart w:id="320" w:name="_Toc1422444020"/>
      <w:bookmarkStart w:id="321" w:name="_Toc1724135623"/>
      <w:bookmarkStart w:id="322" w:name="_Toc770077731"/>
      <w:bookmarkStart w:id="323" w:name="_Toc21348"/>
      <w:bookmarkStart w:id="324" w:name="_Toc1603905379"/>
      <w:bookmarkStart w:id="325" w:name="_Toc10388"/>
      <w:bookmarkStart w:id="326" w:name="_Toc725329547"/>
      <w:bookmarkStart w:id="327" w:name="_Toc1560538980"/>
      <w:r>
        <w:rPr>
          <w:rStyle w:val="26"/>
          <w:rFonts w:hint="eastAsia" w:ascii="楷体_GB2312" w:hAnsi="楷体_GB2312" w:eastAsia="楷体_GB2312" w:cs="楷体_GB2312"/>
          <w:b w:val="0"/>
          <w:bCs/>
          <w:color w:val="auto"/>
          <w:szCs w:val="32"/>
          <w:highlight w:val="none"/>
          <w:lang w:eastAsia="zh-CN"/>
        </w:rPr>
        <w:t>（三）</w:t>
      </w:r>
      <w:r>
        <w:rPr>
          <w:rStyle w:val="26"/>
          <w:rFonts w:hint="eastAsia" w:ascii="楷体_GB2312" w:hAnsi="楷体_GB2312" w:eastAsia="楷体_GB2312" w:cs="楷体_GB2312"/>
          <w:b w:val="0"/>
          <w:bCs/>
          <w:color w:val="auto"/>
          <w:szCs w:val="32"/>
          <w:highlight w:val="none"/>
          <w:lang w:val="en-US" w:eastAsia="zh-CN"/>
        </w:rPr>
        <w:t>夯实</w:t>
      </w:r>
      <w:r>
        <w:rPr>
          <w:rStyle w:val="26"/>
          <w:rFonts w:hint="eastAsia" w:ascii="楷体_GB2312" w:hAnsi="楷体_GB2312" w:eastAsia="楷体_GB2312" w:cs="楷体_GB2312"/>
          <w:b w:val="0"/>
          <w:bCs/>
          <w:color w:val="auto"/>
          <w:szCs w:val="32"/>
          <w:highlight w:val="none"/>
        </w:rPr>
        <w:t>数据流通利用底座</w:t>
      </w:r>
      <w:bookmarkEnd w:id="293"/>
      <w:bookmarkEnd w:id="294"/>
      <w:bookmarkEnd w:id="295"/>
      <w:bookmarkEnd w:id="296"/>
      <w:bookmarkEnd w:id="297"/>
      <w:bookmarkEnd w:id="298"/>
      <w:bookmarkEnd w:id="299"/>
      <w:bookmarkEnd w:id="300"/>
      <w:bookmarkEnd w:id="301"/>
      <w:bookmarkEnd w:id="302"/>
      <w:bookmarkEnd w:id="303"/>
      <w:bookmarkEnd w:id="304"/>
    </w:p>
    <w:p w14:paraId="5FC192F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Fonts w:hint="default" w:ascii="楷体_GB2312" w:hAnsi="楷体_GB2312" w:eastAsia="楷体_GB2312" w:cs="楷体_GB2312"/>
          <w:b w:val="0"/>
          <w:bCs w:val="0"/>
          <w:color w:val="auto"/>
          <w:sz w:val="32"/>
          <w:szCs w:val="32"/>
          <w:highlight w:val="none"/>
          <w:lang w:val="en" w:eastAsia="zh-CN"/>
        </w:rPr>
      </w:pPr>
      <w:r>
        <w:rPr>
          <w:rFonts w:hint="eastAsia" w:ascii="仿宋_GB2312" w:hAnsi="仿宋_GB2312" w:cs="仿宋_GB2312"/>
          <w:b w:val="0"/>
          <w:bCs w:val="0"/>
          <w:color w:val="auto"/>
          <w:kern w:val="0"/>
          <w:sz w:val="32"/>
          <w:szCs w:val="32"/>
          <w:highlight w:val="none"/>
          <w:lang w:val="en-US" w:eastAsia="zh-CN" w:bidi="ar"/>
        </w:rPr>
        <w:t>强化</w:t>
      </w:r>
      <w:r>
        <w:rPr>
          <w:rFonts w:hint="eastAsia" w:ascii="Times New Roman" w:hAnsi="Times New Roman" w:eastAsia="仿宋_GB2312" w:cs="Times New Roman"/>
          <w:color w:val="auto"/>
          <w:sz w:val="32"/>
          <w:szCs w:val="32"/>
          <w:lang w:val="en-US" w:eastAsia="zh-CN"/>
        </w:rPr>
        <w:t>省数据资源“一网共享”平台韶关分节点、视频和物联感知共享管理平台、时空数据管理平台等</w:t>
      </w:r>
      <w:r>
        <w:rPr>
          <w:rFonts w:hint="eastAsia" w:ascii="Times New Roman" w:hAnsi="Times New Roman" w:cs="Times New Roman"/>
          <w:color w:val="auto"/>
          <w:sz w:val="32"/>
          <w:szCs w:val="32"/>
          <w:lang w:val="en-US" w:eastAsia="zh-CN"/>
        </w:rPr>
        <w:t>建设运营，</w:t>
      </w:r>
      <w:r>
        <w:rPr>
          <w:rFonts w:hint="eastAsia" w:ascii="仿宋_GB2312" w:hAnsi="仿宋_GB2312" w:cs="仿宋_GB2312"/>
          <w:b w:val="0"/>
          <w:bCs w:val="0"/>
          <w:color w:val="auto"/>
          <w:kern w:val="0"/>
          <w:sz w:val="32"/>
          <w:szCs w:val="32"/>
          <w:highlight w:val="none"/>
          <w:lang w:val="en-US" w:eastAsia="zh-CN" w:bidi="ar"/>
        </w:rPr>
        <w:t>建设数据汇聚治理和</w:t>
      </w:r>
      <w:r>
        <w:rPr>
          <w:rFonts w:hint="eastAsia" w:ascii="仿宋_GB2312" w:hAnsi="仿宋_GB2312" w:eastAsia="仿宋_GB2312" w:cs="黑体"/>
          <w:kern w:val="2"/>
          <w:sz w:val="32"/>
          <w:szCs w:val="32"/>
          <w:lang w:val="en-US" w:eastAsia="zh-CN" w:bidi="ar-SA"/>
        </w:rPr>
        <w:t>隐私计算平台、</w:t>
      </w:r>
      <w:r>
        <w:rPr>
          <w:rFonts w:hint="eastAsia" w:ascii="仿宋_GB2312" w:hAnsi="仿宋_GB2312" w:cs="黑体"/>
          <w:kern w:val="2"/>
          <w:sz w:val="32"/>
          <w:szCs w:val="32"/>
          <w:lang w:val="en-US" w:eastAsia="zh-CN" w:bidi="ar-SA"/>
        </w:rPr>
        <w:t>数据资产登记服务平台、</w:t>
      </w:r>
      <w:r>
        <w:rPr>
          <w:rFonts w:hint="eastAsia" w:ascii="仿宋_GB2312" w:hAnsi="仿宋_GB2312" w:eastAsia="仿宋_GB2312" w:cs="黑体"/>
          <w:kern w:val="2"/>
          <w:sz w:val="32"/>
          <w:szCs w:val="32"/>
          <w:lang w:val="en-US" w:eastAsia="zh-CN" w:bidi="ar-SA"/>
        </w:rPr>
        <w:t>标注公共服务平台</w:t>
      </w:r>
      <w:r>
        <w:rPr>
          <w:rFonts w:hint="eastAsia" w:ascii="仿宋_GB2312" w:hAnsi="仿宋_GB2312" w:cs="黑体"/>
          <w:kern w:val="2"/>
          <w:sz w:val="32"/>
          <w:szCs w:val="32"/>
          <w:lang w:val="en-US" w:eastAsia="zh-CN" w:bidi="ar-SA"/>
        </w:rPr>
        <w:t>，</w:t>
      </w:r>
      <w:r>
        <w:rPr>
          <w:rFonts w:hint="eastAsia" w:ascii="Times New Roman" w:hAnsi="Times New Roman" w:cs="Times New Roman"/>
          <w:color w:val="auto"/>
          <w:kern w:val="2"/>
          <w:sz w:val="32"/>
          <w:szCs w:val="32"/>
          <w:highlight w:val="none"/>
          <w:lang w:val="en-US" w:eastAsia="zh-CN" w:bidi="ar-SA"/>
        </w:rPr>
        <w:t>打造城市、行业和企业可信数据空间</w:t>
      </w:r>
      <w:r>
        <w:rPr>
          <w:rFonts w:hint="eastAsia" w:cs="Times New Roman"/>
          <w:b/>
          <w:bCs/>
          <w:color w:val="auto"/>
          <w:kern w:val="2"/>
          <w:sz w:val="32"/>
          <w:szCs w:val="24"/>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推动数据资产登记评估中心建设运营</w:t>
      </w:r>
      <w:r>
        <w:rPr>
          <w:rFonts w:hint="eastAsia" w:ascii="仿宋_GB2312" w:hAnsi="仿宋_GB2312" w:cs="仿宋_GB2312"/>
          <w:b w:val="0"/>
          <w:bCs w:val="0"/>
          <w:color w:val="auto"/>
          <w:kern w:val="2"/>
          <w:sz w:val="32"/>
          <w:szCs w:val="32"/>
          <w:highlight w:val="none"/>
          <w:lang w:val="en-US" w:eastAsia="zh-CN" w:bidi="ar-SA"/>
        </w:rPr>
        <w:t>，鼓励市场主体依托数据交易所（韶关）服务基地开展数据产品合规登记和流通交易。</w:t>
      </w:r>
    </w:p>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14:paraId="05D8494D">
      <w:pPr>
        <w:pageBreakBefore w:val="0"/>
        <w:widowControl w:val="0"/>
        <w:kinsoku/>
        <w:overflowPunct/>
        <w:topLinePunct w:val="0"/>
        <w:autoSpaceDE/>
        <w:autoSpaceDN/>
        <w:bidi w:val="0"/>
        <w:adjustRightInd/>
        <w:spacing w:beforeLines="0" w:afterLines="0" w:line="560" w:lineRule="exact"/>
        <w:ind w:firstLine="640" w:firstLineChars="200"/>
        <w:textAlignment w:val="auto"/>
        <w:outlineLvl w:val="1"/>
        <w:rPr>
          <w:rStyle w:val="31"/>
          <w:color w:val="auto"/>
        </w:rPr>
      </w:pPr>
      <w:bookmarkStart w:id="328" w:name="_Toc897452984"/>
      <w:bookmarkStart w:id="329" w:name="_Toc73374694"/>
      <w:bookmarkStart w:id="330" w:name="_Toc1781976804"/>
      <w:bookmarkStart w:id="331" w:name="_Toc8677427"/>
      <w:bookmarkStart w:id="332" w:name="_Toc191737266"/>
      <w:bookmarkStart w:id="333" w:name="_Toc16136"/>
      <w:bookmarkStart w:id="334" w:name="_Toc517707481"/>
      <w:bookmarkStart w:id="335" w:name="_Toc1837635868"/>
      <w:bookmarkStart w:id="336" w:name="_Toc1763384427"/>
      <w:bookmarkStart w:id="337" w:name="_Toc2113276804"/>
      <w:bookmarkStart w:id="338" w:name="_Toc638314393"/>
      <w:bookmarkStart w:id="339" w:name="_Toc1386255296"/>
      <w:bookmarkStart w:id="340" w:name="_Toc749071751"/>
      <w:bookmarkStart w:id="341" w:name="_Toc640416930"/>
      <w:bookmarkStart w:id="342" w:name="_Toc12039"/>
      <w:bookmarkStart w:id="343" w:name="_Toc1338831407"/>
      <w:bookmarkStart w:id="344" w:name="_Toc24390"/>
      <w:bookmarkStart w:id="345" w:name="_Toc915707956"/>
      <w:bookmarkStart w:id="346" w:name="_Toc212617167"/>
      <w:bookmarkStart w:id="347" w:name="_Toc13746"/>
      <w:bookmarkStart w:id="348" w:name="_Toc229778761"/>
      <w:bookmarkStart w:id="349" w:name="_Toc1400147991"/>
      <w:bookmarkStart w:id="350" w:name="_Toc965897157"/>
      <w:bookmarkStart w:id="351" w:name="_Toc574332889"/>
      <w:bookmarkStart w:id="352" w:name="_Toc1453820095"/>
      <w:bookmarkStart w:id="353" w:name="_Toc6184"/>
      <w:bookmarkStart w:id="354" w:name="_Toc107715027"/>
      <w:bookmarkStart w:id="355" w:name="_Toc2018976764"/>
      <w:bookmarkStart w:id="356" w:name="_Toc2032720319"/>
      <w:bookmarkStart w:id="357" w:name="_Toc86793837"/>
      <w:bookmarkStart w:id="358" w:name="_Toc9222"/>
      <w:bookmarkStart w:id="359" w:name="_Toc1120005782"/>
      <w:bookmarkStart w:id="360" w:name="_Toc495"/>
      <w:bookmarkStart w:id="361" w:name="_Toc259118551"/>
      <w:bookmarkStart w:id="362" w:name="_Toc1500173871"/>
      <w:r>
        <w:rPr>
          <w:rStyle w:val="26"/>
          <w:rFonts w:hint="eastAsia" w:ascii="楷体_GB2312" w:hAnsi="楷体_GB2312" w:eastAsia="楷体_GB2312" w:cs="楷体_GB2312"/>
          <w:b w:val="0"/>
          <w:bCs/>
          <w:color w:val="auto"/>
          <w:szCs w:val="32"/>
          <w:highlight w:val="none"/>
          <w:lang w:val="en-US" w:eastAsia="zh-CN"/>
        </w:rPr>
        <w:t>（四）</w:t>
      </w:r>
      <w:r>
        <w:rPr>
          <w:rStyle w:val="26"/>
          <w:rFonts w:hint="eastAsia" w:ascii="楷体_GB2312" w:hAnsi="楷体_GB2312" w:eastAsia="楷体_GB2312" w:cs="楷体_GB2312"/>
          <w:b w:val="0"/>
          <w:bCs/>
          <w:color w:val="auto"/>
          <w:szCs w:val="32"/>
          <w:highlight w:val="none"/>
        </w:rPr>
        <w:t>挖掘数据应用创新场景</w:t>
      </w:r>
      <w:bookmarkEnd w:id="328"/>
      <w:bookmarkEnd w:id="329"/>
      <w:bookmarkEnd w:id="330"/>
      <w:bookmarkEnd w:id="331"/>
      <w:bookmarkEnd w:id="332"/>
      <w:bookmarkEnd w:id="333"/>
      <w:bookmarkEnd w:id="334"/>
      <w:bookmarkEnd w:id="335"/>
      <w:bookmarkEnd w:id="336"/>
      <w:bookmarkEnd w:id="337"/>
      <w:bookmarkEnd w:id="338"/>
      <w:bookmarkEnd w:id="339"/>
    </w:p>
    <w:p w14:paraId="67C84442">
      <w:pPr>
        <w:pageBreakBefore w:val="0"/>
        <w:widowControl w:val="0"/>
        <w:kinsoku/>
        <w:overflowPunct/>
        <w:topLinePunct w:val="0"/>
        <w:autoSpaceDE/>
        <w:autoSpaceDN/>
        <w:bidi w:val="0"/>
        <w:adjustRightInd/>
        <w:spacing w:beforeLines="0" w:afterLines="0" w:line="56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深入贯彻落实“数据要素×”行动，挖掘典型数据要素应用场景</w:t>
      </w:r>
      <w:r>
        <w:rPr>
          <w:rFonts w:hint="eastAsia" w:ascii="仿宋_GB2312" w:hAnsi="仿宋_GB2312" w:cs="仿宋_GB2312"/>
          <w:color w:val="auto"/>
          <w:kern w:val="2"/>
          <w:sz w:val="32"/>
          <w:szCs w:val="32"/>
          <w:highlight w:val="none"/>
          <w:lang w:val="en-US" w:eastAsia="zh-CN" w:bidi="ar-SA"/>
        </w:rPr>
        <w:t>。</w:t>
      </w:r>
    </w:p>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14:paraId="56FCCF26">
      <w:pPr>
        <w:pStyle w:val="5"/>
        <w:keepNext/>
        <w:keepLines/>
        <w:spacing w:before="0" w:beforeLines="0" w:beforeAutospacing="0" w:after="0" w:afterLines="0" w:afterAutospacing="0" w:line="560" w:lineRule="exact"/>
        <w:ind w:firstLine="640" w:firstLineChars="200"/>
        <w:outlineLvl w:val="0"/>
        <w:rPr>
          <w:rFonts w:hint="eastAsia" w:ascii="Times New Roman" w:hAnsi="Times New Roman" w:eastAsia="黑体" w:cs="Times New Roman"/>
          <w:b w:val="0"/>
          <w:bCs/>
          <w:color w:val="auto"/>
          <w:sz w:val="32"/>
          <w:szCs w:val="32"/>
          <w:highlight w:val="none"/>
          <w:lang w:val="en-US" w:eastAsia="zh-CN"/>
        </w:rPr>
      </w:pPr>
      <w:bookmarkStart w:id="363" w:name="_Toc5183"/>
      <w:r>
        <w:rPr>
          <w:rFonts w:hint="eastAsia" w:ascii="Times New Roman" w:hAnsi="Times New Roman" w:eastAsia="黑体" w:cs="Times New Roman"/>
          <w:b w:val="0"/>
          <w:bCs/>
          <w:color w:val="auto"/>
          <w:sz w:val="32"/>
          <w:szCs w:val="32"/>
          <w:highlight w:val="none"/>
          <w:lang w:val="en-US" w:eastAsia="zh-CN"/>
        </w:rPr>
        <w:t>四、构建数字经济产业运行体系，点燃发展崭新引擎</w:t>
      </w:r>
      <w:bookmarkEnd w:id="363"/>
    </w:p>
    <w:p w14:paraId="6C5A80D0">
      <w:pPr>
        <w:spacing w:beforeLines="0" w:afterLines="0" w:line="560" w:lineRule="exact"/>
        <w:ind w:firstLine="0"/>
        <w:outlineLvl w:val="1"/>
        <w:rPr>
          <w:rStyle w:val="31"/>
          <w:color w:val="auto"/>
        </w:rPr>
      </w:pPr>
      <w:bookmarkStart w:id="364" w:name="_Toc813346910"/>
      <w:bookmarkStart w:id="365" w:name="_Toc1865714639"/>
      <w:bookmarkStart w:id="366" w:name="_Toc5891"/>
      <w:bookmarkStart w:id="367" w:name="_Toc636504844"/>
      <w:bookmarkStart w:id="368" w:name="_Toc702728225"/>
      <w:bookmarkStart w:id="369" w:name="_Toc866427055"/>
      <w:bookmarkStart w:id="370" w:name="_Toc1842443548"/>
      <w:bookmarkStart w:id="371" w:name="_Toc511958391"/>
      <w:bookmarkStart w:id="372" w:name="_Toc189188666"/>
      <w:bookmarkStart w:id="373" w:name="_Toc490079636"/>
      <w:bookmarkStart w:id="374" w:name="_Toc520869058"/>
      <w:bookmarkStart w:id="375" w:name="_Toc248010759"/>
      <w:bookmarkStart w:id="376" w:name="_Toc654622473"/>
      <w:bookmarkStart w:id="377" w:name="_Toc720442865"/>
      <w:bookmarkStart w:id="378" w:name="_Toc2103423019"/>
      <w:bookmarkStart w:id="379" w:name="_Toc1511975214"/>
      <w:bookmarkStart w:id="380" w:name="_Toc1138704519"/>
      <w:bookmarkStart w:id="381" w:name="_Toc1354241245"/>
      <w:bookmarkStart w:id="382" w:name="_Toc717445171"/>
      <w:bookmarkStart w:id="383" w:name="_Toc430002322"/>
      <w:bookmarkStart w:id="384" w:name="_Toc1257736601"/>
      <w:bookmarkStart w:id="385" w:name="_Toc1942913644"/>
      <w:bookmarkStart w:id="386" w:name="_Toc15314"/>
      <w:bookmarkStart w:id="387" w:name="_Toc31661"/>
      <w:bookmarkStart w:id="388" w:name="_Toc23233"/>
      <w:bookmarkStart w:id="389" w:name="_Toc30766"/>
      <w:bookmarkStart w:id="390" w:name="_Toc1884907059"/>
      <w:bookmarkStart w:id="391" w:name="_Toc2137935801"/>
      <w:bookmarkStart w:id="392" w:name="_Toc26925"/>
      <w:bookmarkStart w:id="393" w:name="_Toc135588991"/>
      <w:bookmarkStart w:id="394" w:name="_Toc8880"/>
      <w:bookmarkStart w:id="395" w:name="_Toc1772238812"/>
      <w:bookmarkStart w:id="396" w:name="_Toc988420194"/>
      <w:bookmarkStart w:id="397" w:name="_Toc1244089325"/>
      <w:bookmarkStart w:id="398" w:name="_Toc1115316987"/>
      <w:bookmarkStart w:id="399" w:name="_Toc1031042502"/>
      <w:r>
        <w:rPr>
          <w:rStyle w:val="26"/>
          <w:rFonts w:hint="eastAsia" w:ascii="楷体_GB2312" w:hAnsi="楷体_GB2312" w:eastAsia="楷体_GB2312" w:cs="楷体_GB2312"/>
          <w:b w:val="0"/>
          <w:bCs/>
          <w:color w:val="auto"/>
          <w:szCs w:val="32"/>
          <w:highlight w:val="none"/>
          <w:lang w:eastAsia="zh-CN"/>
        </w:rPr>
        <w:t>（一）发展</w:t>
      </w:r>
      <w:r>
        <w:rPr>
          <w:rStyle w:val="26"/>
          <w:rFonts w:hint="eastAsia" w:ascii="楷体_GB2312" w:hAnsi="楷体_GB2312" w:eastAsia="楷体_GB2312" w:cs="楷体_GB2312"/>
          <w:b w:val="0"/>
          <w:bCs/>
          <w:color w:val="auto"/>
          <w:szCs w:val="32"/>
          <w:highlight w:val="none"/>
          <w:lang w:val="en-US" w:eastAsia="zh-CN"/>
        </w:rPr>
        <w:t>壮大</w:t>
      </w:r>
      <w:r>
        <w:rPr>
          <w:rStyle w:val="26"/>
          <w:rFonts w:hint="eastAsia" w:ascii="楷体_GB2312" w:hAnsi="楷体_GB2312" w:eastAsia="楷体_GB2312" w:cs="楷体_GB2312"/>
          <w:b w:val="0"/>
          <w:bCs/>
          <w:color w:val="auto"/>
          <w:szCs w:val="32"/>
          <w:highlight w:val="none"/>
        </w:rPr>
        <w:t>电子信息制造业</w:t>
      </w:r>
      <w:bookmarkEnd w:id="364"/>
      <w:bookmarkEnd w:id="365"/>
      <w:bookmarkEnd w:id="366"/>
      <w:bookmarkEnd w:id="367"/>
      <w:bookmarkEnd w:id="368"/>
      <w:bookmarkEnd w:id="369"/>
      <w:bookmarkEnd w:id="370"/>
      <w:bookmarkEnd w:id="371"/>
      <w:bookmarkEnd w:id="372"/>
      <w:bookmarkEnd w:id="373"/>
      <w:bookmarkEnd w:id="374"/>
      <w:bookmarkEnd w:id="375"/>
    </w:p>
    <w:p w14:paraId="4D9641B7">
      <w:pPr>
        <w:spacing w:beforeLines="0" w:afterLines="0" w:line="560" w:lineRule="exact"/>
        <w:ind w:firstLine="0"/>
        <w:outlineLvl w:val="9"/>
        <w:rPr>
          <w:rFonts w:hint="eastAsia" w:ascii="仿宋_GB2312" w:hAnsi="仿宋_GB2312" w:cs="仿宋_GB2312"/>
          <w:b w:val="0"/>
          <w:bCs w:val="0"/>
          <w:color w:val="auto"/>
          <w:lang w:val="en-US" w:eastAsia="zh-CN"/>
        </w:rPr>
      </w:pPr>
      <w:r>
        <w:rPr>
          <w:rFonts w:hint="eastAsia" w:ascii="仿宋_GB2312" w:hAnsi="仿宋_GB2312" w:cs="仿宋_GB2312"/>
          <w:b w:val="0"/>
          <w:bCs w:val="0"/>
          <w:color w:val="auto"/>
          <w:lang w:val="en-US" w:eastAsia="zh-CN"/>
        </w:rPr>
        <w:t>做大做强大数据电子信息产业，重点突破发展先进封装技术。积极引进一批封测代工龙头企业。大力发展信创整机、服务器等硬件设备，发展计算机整机及外设产品。扩大智能家具、智能网联汽车等中高端产品供给。</w:t>
      </w:r>
    </w:p>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076ABD31">
      <w:pPr>
        <w:spacing w:beforeLines="0" w:after="0" w:afterLines="0" w:line="560" w:lineRule="exact"/>
        <w:ind w:firstLine="0"/>
        <w:outlineLvl w:val="1"/>
        <w:rPr>
          <w:rStyle w:val="26"/>
          <w:rFonts w:hint="eastAsia" w:ascii="楷体_GB2312" w:hAnsi="楷体_GB2312" w:eastAsia="楷体_GB2312" w:cs="楷体_GB2312"/>
          <w:b w:val="0"/>
          <w:bCs/>
          <w:color w:val="auto"/>
          <w:szCs w:val="32"/>
          <w:highlight w:val="none"/>
        </w:rPr>
      </w:pPr>
      <w:bookmarkStart w:id="400" w:name="_Toc2075611486"/>
      <w:bookmarkStart w:id="401" w:name="_Toc1363619728"/>
      <w:bookmarkStart w:id="402" w:name="_Toc20142"/>
      <w:bookmarkStart w:id="403" w:name="_Toc1612919437"/>
      <w:bookmarkStart w:id="404" w:name="_Toc936313624"/>
      <w:bookmarkStart w:id="405" w:name="_Toc1170867158"/>
      <w:bookmarkStart w:id="406" w:name="_Toc587230983"/>
      <w:bookmarkStart w:id="407" w:name="_Toc1486636391"/>
      <w:bookmarkStart w:id="408" w:name="_Toc1754487967"/>
      <w:bookmarkStart w:id="409" w:name="_Toc852464642"/>
      <w:bookmarkStart w:id="410" w:name="_Toc527208206"/>
      <w:bookmarkStart w:id="411" w:name="_Toc442054193"/>
      <w:bookmarkStart w:id="412" w:name="_Toc4969096"/>
      <w:bookmarkStart w:id="413" w:name="_Toc25111"/>
      <w:bookmarkStart w:id="414" w:name="_Toc8079"/>
      <w:bookmarkStart w:id="415" w:name="_Toc1457119390"/>
      <w:bookmarkStart w:id="416" w:name="_Toc2099360373"/>
      <w:bookmarkStart w:id="417" w:name="_Toc2037058552"/>
      <w:bookmarkStart w:id="418" w:name="_Toc1987770760"/>
      <w:bookmarkStart w:id="419" w:name="_Toc1515757566"/>
      <w:bookmarkStart w:id="420" w:name="_Toc656163805"/>
      <w:bookmarkStart w:id="421" w:name="_Toc1366954497"/>
      <w:bookmarkStart w:id="422" w:name="_Toc7119"/>
      <w:bookmarkStart w:id="423" w:name="_Toc2130915718"/>
      <w:bookmarkStart w:id="424" w:name="_Toc15986"/>
      <w:bookmarkStart w:id="425" w:name="_Toc19187"/>
      <w:bookmarkStart w:id="426" w:name="_Toc25413"/>
      <w:bookmarkStart w:id="427" w:name="_Toc2082787559"/>
      <w:bookmarkStart w:id="428" w:name="_Toc1528039041"/>
      <w:bookmarkStart w:id="429" w:name="_Toc1942360763"/>
      <w:bookmarkStart w:id="430" w:name="_Toc812265992"/>
      <w:bookmarkStart w:id="431" w:name="_Toc655649303"/>
      <w:bookmarkStart w:id="432" w:name="_Toc1549831357"/>
      <w:bookmarkStart w:id="433" w:name="_Toc245558144"/>
      <w:bookmarkStart w:id="434" w:name="_Toc1895034533"/>
      <w:r>
        <w:rPr>
          <w:rStyle w:val="26"/>
          <w:rFonts w:hint="eastAsia" w:ascii="楷体_GB2312" w:hAnsi="楷体_GB2312" w:eastAsia="楷体_GB2312" w:cs="楷体_GB2312"/>
          <w:b w:val="0"/>
          <w:bCs/>
          <w:color w:val="auto"/>
          <w:szCs w:val="32"/>
          <w:highlight w:val="none"/>
          <w:lang w:val="en-US" w:eastAsia="zh-CN"/>
        </w:rPr>
        <w:t>（二）</w:t>
      </w:r>
      <w:r>
        <w:rPr>
          <w:rStyle w:val="26"/>
          <w:rFonts w:hint="eastAsia" w:ascii="楷体_GB2312" w:hAnsi="楷体_GB2312" w:eastAsia="楷体_GB2312" w:cs="楷体_GB2312"/>
          <w:b w:val="0"/>
          <w:bCs/>
          <w:color w:val="auto"/>
          <w:szCs w:val="32"/>
          <w:highlight w:val="none"/>
        </w:rPr>
        <w:t>培育</w:t>
      </w:r>
      <w:r>
        <w:rPr>
          <w:rStyle w:val="26"/>
          <w:rFonts w:hint="eastAsia" w:ascii="楷体_GB2312" w:hAnsi="楷体_GB2312" w:eastAsia="楷体_GB2312" w:cs="楷体_GB2312"/>
          <w:b w:val="0"/>
          <w:bCs/>
          <w:color w:val="auto"/>
          <w:szCs w:val="32"/>
          <w:highlight w:val="none"/>
          <w:lang w:val="en-US" w:eastAsia="zh-CN"/>
        </w:rPr>
        <w:t>发展</w:t>
      </w:r>
      <w:r>
        <w:rPr>
          <w:rStyle w:val="26"/>
          <w:rFonts w:hint="eastAsia" w:ascii="楷体_GB2312" w:hAnsi="楷体_GB2312" w:eastAsia="楷体_GB2312" w:cs="楷体_GB2312"/>
          <w:b w:val="0"/>
          <w:bCs/>
          <w:color w:val="auto"/>
          <w:szCs w:val="32"/>
          <w:highlight w:val="none"/>
        </w:rPr>
        <w:t>新业态新模式</w:t>
      </w:r>
      <w:bookmarkEnd w:id="400"/>
      <w:bookmarkEnd w:id="401"/>
      <w:bookmarkEnd w:id="402"/>
      <w:bookmarkEnd w:id="403"/>
      <w:bookmarkEnd w:id="404"/>
      <w:bookmarkEnd w:id="405"/>
    </w:p>
    <w:p w14:paraId="75E07F60">
      <w:pPr>
        <w:pStyle w:val="12"/>
        <w:spacing w:beforeLines="0" w:after="0" w:afterLines="0" w:line="560" w:lineRule="exact"/>
        <w:ind w:firstLine="0"/>
        <w:outlineLvl w:val="9"/>
        <w:rPr>
          <w:rFonts w:hint="default"/>
          <w:lang w:val="en-US" w:eastAsia="zh-CN"/>
        </w:rPr>
      </w:pPr>
      <w:bookmarkStart w:id="435" w:name="_Toc1688291460"/>
      <w:bookmarkStart w:id="436" w:name="_Toc931002470"/>
      <w:bookmarkStart w:id="437" w:name="_Toc401982328"/>
      <w:bookmarkStart w:id="438" w:name="_Toc384330665"/>
      <w:bookmarkStart w:id="439" w:name="_Toc1823915480"/>
      <w:bookmarkStart w:id="440" w:name="_Toc1103366826"/>
      <w:bookmarkStart w:id="441" w:name="_Toc94575200"/>
      <w:bookmarkStart w:id="442" w:name="_Toc1450833555"/>
      <w:r>
        <w:rPr>
          <w:rFonts w:hint="eastAsia"/>
          <w:lang w:val="en-US" w:eastAsia="zh-CN"/>
        </w:rPr>
        <w:t>挖掘培育更多具有特色的平台企业</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Fonts w:hint="eastAsia"/>
          <w:b w:val="0"/>
          <w:bCs w:val="0"/>
          <w:color w:val="auto"/>
          <w:lang w:val="en-US" w:eastAsia="zh-CN"/>
        </w:rPr>
        <w:t>，</w:t>
      </w:r>
      <w:r>
        <w:rPr>
          <w:rFonts w:hint="eastAsia"/>
          <w:lang w:val="en-US" w:eastAsia="zh-CN"/>
        </w:rPr>
        <w:t>支持平台企业在各行各业构建产业生态。培育</w:t>
      </w:r>
      <w:r>
        <w:rPr>
          <w:rFonts w:hint="eastAsia"/>
          <w:color w:val="auto"/>
          <w:lang w:val="en-US" w:eastAsia="zh-CN"/>
        </w:rPr>
        <w:t>数字经济创新型企业，鼓励数创企业开展创新实践，</w:t>
      </w:r>
      <w:r>
        <w:rPr>
          <w:rFonts w:hint="eastAsia"/>
          <w:lang w:val="en-US" w:eastAsia="zh-CN"/>
        </w:rPr>
        <w:t>强化对数创企业的政策扶持。依托公共算力服务平台及Token工厂，持续丰富模型资源，优化智能调度能力，拓展增值服务边界，推动国产模型出海，开拓词元经济发展路径。</w:t>
      </w:r>
    </w:p>
    <w:p w14:paraId="739E135C">
      <w:pPr>
        <w:pageBreakBefore w:val="0"/>
        <w:widowControl/>
        <w:kinsoku/>
        <w:overflowPunct/>
        <w:topLinePunct w:val="0"/>
        <w:autoSpaceDE/>
        <w:autoSpaceDN/>
        <w:bidi w:val="0"/>
        <w:adjustRightInd/>
        <w:spacing w:beforeLines="0" w:afterLines="0" w:line="560" w:lineRule="exact"/>
        <w:ind w:firstLine="0"/>
        <w:jc w:val="left"/>
        <w:textAlignment w:val="auto"/>
        <w:outlineLvl w:val="1"/>
        <w:rPr>
          <w:rStyle w:val="26"/>
          <w:rFonts w:hint="eastAsia" w:ascii="楷体_GB2312" w:hAnsi="楷体_GB2312" w:eastAsia="楷体_GB2312" w:cs="楷体_GB2312"/>
          <w:b w:val="0"/>
          <w:bCs/>
          <w:color w:val="auto"/>
          <w:szCs w:val="32"/>
          <w:highlight w:val="none"/>
        </w:rPr>
      </w:pPr>
      <w:bookmarkStart w:id="443" w:name="_Toc36347154"/>
      <w:bookmarkStart w:id="444" w:name="_Toc21047"/>
      <w:bookmarkStart w:id="445" w:name="_Toc651857249"/>
      <w:bookmarkStart w:id="446" w:name="_Toc1487794472"/>
      <w:bookmarkStart w:id="447" w:name="_Toc1996830167"/>
      <w:bookmarkStart w:id="448" w:name="_Toc1430765859"/>
      <w:bookmarkStart w:id="449" w:name="_Toc20544"/>
      <w:bookmarkStart w:id="450" w:name="_Toc1466820431"/>
      <w:bookmarkStart w:id="451" w:name="_Toc472988477"/>
      <w:bookmarkStart w:id="452" w:name="_Toc1060046156"/>
      <w:bookmarkStart w:id="453" w:name="_Toc18460"/>
      <w:bookmarkStart w:id="454" w:name="_Toc2069904346"/>
      <w:bookmarkStart w:id="455" w:name="_Toc680610668"/>
      <w:bookmarkStart w:id="456" w:name="_Toc1274260897"/>
      <w:bookmarkStart w:id="457" w:name="_Toc766234309"/>
      <w:bookmarkStart w:id="458" w:name="_Toc669951502"/>
      <w:bookmarkStart w:id="459" w:name="_Toc920402418"/>
      <w:bookmarkStart w:id="460" w:name="_Toc4527"/>
      <w:bookmarkStart w:id="461" w:name="_Toc947846162"/>
      <w:bookmarkStart w:id="462" w:name="_Toc756008449"/>
      <w:bookmarkStart w:id="463" w:name="_Toc1899259206"/>
      <w:bookmarkStart w:id="464" w:name="_Toc1508409327"/>
      <w:bookmarkStart w:id="465" w:name="_Toc502703853"/>
      <w:bookmarkStart w:id="466" w:name="_Toc14024"/>
      <w:bookmarkStart w:id="467" w:name="_Toc630057965"/>
      <w:bookmarkStart w:id="468" w:name="_Toc19219"/>
      <w:bookmarkStart w:id="469" w:name="_Toc1171845028"/>
      <w:bookmarkStart w:id="470" w:name="_Toc589861402"/>
      <w:bookmarkStart w:id="471" w:name="_Toc2027162324"/>
      <w:bookmarkStart w:id="472" w:name="_Toc1901048737"/>
      <w:bookmarkStart w:id="473" w:name="_Toc27680"/>
      <w:bookmarkStart w:id="474" w:name="_Toc81517406"/>
      <w:bookmarkStart w:id="475" w:name="_Toc292442600"/>
      <w:bookmarkStart w:id="476" w:name="_Toc518463887"/>
      <w:bookmarkStart w:id="477" w:name="_Toc912150861"/>
      <w:r>
        <w:rPr>
          <w:rStyle w:val="26"/>
          <w:rFonts w:hint="eastAsia" w:ascii="楷体_GB2312" w:hAnsi="楷体_GB2312" w:eastAsia="楷体_GB2312" w:cs="楷体_GB2312"/>
          <w:b w:val="0"/>
          <w:bCs/>
          <w:color w:val="auto"/>
          <w:szCs w:val="32"/>
          <w:highlight w:val="none"/>
          <w:lang w:eastAsia="zh-CN"/>
        </w:rPr>
        <w:t>（三）</w:t>
      </w:r>
      <w:r>
        <w:rPr>
          <w:rStyle w:val="26"/>
          <w:rFonts w:hint="eastAsia" w:ascii="楷体_GB2312" w:hAnsi="楷体_GB2312" w:eastAsia="楷体_GB2312" w:cs="楷体_GB2312"/>
          <w:b w:val="0"/>
          <w:bCs/>
          <w:color w:val="auto"/>
          <w:szCs w:val="32"/>
          <w:highlight w:val="none"/>
        </w:rPr>
        <w:t>推动人工智能产业发展</w:t>
      </w:r>
      <w:bookmarkEnd w:id="443"/>
      <w:bookmarkEnd w:id="444"/>
      <w:bookmarkEnd w:id="445"/>
      <w:bookmarkEnd w:id="446"/>
      <w:bookmarkEnd w:id="447"/>
      <w:bookmarkEnd w:id="448"/>
    </w:p>
    <w:p w14:paraId="297D5B78">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default"/>
          <w:lang w:val="en-US" w:eastAsia="zh-CN"/>
        </w:rPr>
      </w:pPr>
      <w:bookmarkStart w:id="478" w:name="_Toc1595936312"/>
      <w:bookmarkStart w:id="479" w:name="_Toc165137062"/>
      <w:bookmarkStart w:id="480" w:name="_Toc1166323359"/>
      <w:bookmarkStart w:id="481" w:name="_Toc499656872"/>
      <w:bookmarkStart w:id="482" w:name="_Toc2067101181"/>
      <w:bookmarkStart w:id="483" w:name="_Toc753259799"/>
      <w:bookmarkStart w:id="484" w:name="_Toc10075979"/>
      <w:bookmarkStart w:id="485" w:name="_Toc1127594569"/>
      <w:r>
        <w:rPr>
          <w:rFonts w:hint="default" w:ascii="仿宋_GB2312" w:hAnsi="仿宋_GB2312" w:eastAsia="仿宋_GB2312" w:cs="仿宋_GB2312"/>
          <w:color w:val="auto"/>
          <w:sz w:val="32"/>
          <w:szCs w:val="32"/>
          <w:highlight w:val="none"/>
          <w:lang w:val="en-US" w:eastAsia="zh-CN"/>
        </w:rPr>
        <w:t>鼓励开发和推广行业大模型，</w:t>
      </w:r>
      <w:r>
        <w:rPr>
          <w:rFonts w:hint="eastAsia"/>
          <w:b w:val="0"/>
          <w:bCs w:val="0"/>
          <w:lang w:val="en-US" w:eastAsia="zh-CN"/>
        </w:rPr>
        <w:t>拓展人工智能应用场景，</w:t>
      </w:r>
      <w:r>
        <w:rPr>
          <w:rFonts w:hint="eastAsia"/>
          <w:lang w:val="en-US" w:eastAsia="zh-CN"/>
        </w:rPr>
        <w:t>推动人工智能技术与实体经济深度融合，提升各行业的智能化水平，打造一批具有示范效应的人工智能应用项目。</w:t>
      </w:r>
    </w:p>
    <w:bookmarkEnd w:id="478"/>
    <w:bookmarkEnd w:id="479"/>
    <w:bookmarkEnd w:id="480"/>
    <w:bookmarkEnd w:id="481"/>
    <w:bookmarkEnd w:id="482"/>
    <w:bookmarkEnd w:id="483"/>
    <w:bookmarkEnd w:id="484"/>
    <w:bookmarkEnd w:id="485"/>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D9E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7BF7FB8E">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4</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eastAsia="仿宋_GB2312" w:cs="Times New Roman"/>
                <w:b/>
                <w:bCs/>
                <w:color w:val="auto"/>
                <w:sz w:val="28"/>
                <w:szCs w:val="28"/>
                <w:highlight w:val="none"/>
                <w:lang w:val="en-US" w:eastAsia="zh-CN"/>
              </w:rPr>
              <w:t>人工智能</w:t>
            </w:r>
            <w:r>
              <w:rPr>
                <w:rFonts w:hint="eastAsia" w:ascii="Times New Roman" w:hAnsi="Times New Roman" w:cs="Times New Roman"/>
                <w:b/>
                <w:bCs/>
                <w:color w:val="auto"/>
                <w:sz w:val="28"/>
                <w:szCs w:val="28"/>
                <w:highlight w:val="none"/>
                <w:lang w:val="en-US" w:eastAsia="zh-CN"/>
              </w:rPr>
              <w:t>研发</w:t>
            </w:r>
            <w:r>
              <w:rPr>
                <w:rFonts w:hint="eastAsia" w:ascii="Times New Roman" w:hAnsi="Times New Roman" w:eastAsia="仿宋_GB2312" w:cs="Times New Roman"/>
                <w:b/>
                <w:bCs/>
                <w:color w:val="auto"/>
                <w:sz w:val="28"/>
                <w:szCs w:val="28"/>
                <w:highlight w:val="none"/>
                <w:lang w:val="en-US" w:eastAsia="zh-CN"/>
              </w:rPr>
              <w:t>应用工程</w:t>
            </w:r>
          </w:p>
        </w:tc>
      </w:tr>
      <w:tr w14:paraId="34B1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061" w:type="dxa"/>
            <w:noWrap w:val="0"/>
            <w:vAlign w:val="top"/>
          </w:tcPr>
          <w:p w14:paraId="2A47332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eastAsia" w:ascii="Times New Roman" w:hAnsi="Times New Roman" w:cs="Times New Roman"/>
                <w:b w:val="0"/>
                <w:bCs w:val="0"/>
                <w:color w:val="auto"/>
                <w:sz w:val="28"/>
                <w:szCs w:val="28"/>
                <w:highlight w:val="none"/>
                <w:lang w:val="en-US" w:eastAsia="zh-CN"/>
              </w:rPr>
            </w:pPr>
            <w:r>
              <w:rPr>
                <w:rFonts w:hint="eastAsia" w:ascii="Times New Roman" w:hAnsi="Times New Roman" w:cs="Times New Roman"/>
                <w:b/>
                <w:bCs/>
                <w:color w:val="auto"/>
                <w:sz w:val="28"/>
                <w:szCs w:val="28"/>
                <w:highlight w:val="none"/>
                <w:lang w:val="en-US" w:eastAsia="zh-CN"/>
              </w:rPr>
              <w:t>人工智能大模型研发工程。</w:t>
            </w:r>
            <w:r>
              <w:rPr>
                <w:rFonts w:hint="eastAsia" w:ascii="Times New Roman" w:hAnsi="Times New Roman" w:cs="Times New Roman"/>
                <w:b w:val="0"/>
                <w:bCs w:val="0"/>
                <w:color w:val="auto"/>
                <w:sz w:val="28"/>
                <w:szCs w:val="28"/>
                <w:highlight w:val="none"/>
                <w:lang w:val="en-US" w:eastAsia="zh-CN"/>
              </w:rPr>
              <w:t>基于本地应用场景的试点应用持续推进模型和算法迭代，开发一批面向垂直行业的模型库、工具集、算法包，引导龙头企业差异化研发大模型。</w:t>
            </w:r>
          </w:p>
          <w:p w14:paraId="321C1C05">
            <w:pPr>
              <w:keepNext w:val="0"/>
              <w:keepLines w:val="0"/>
              <w:widowControl/>
              <w:suppressLineNumbers w:val="0"/>
              <w:spacing w:before="0" w:beforeLines="0" w:beforeAutospacing="0" w:after="0" w:afterLines="0" w:afterAutospacing="0" w:line="560" w:lineRule="exact"/>
              <w:ind w:left="0" w:right="0" w:firstLine="562" w:firstLineChars="200"/>
              <w:rPr>
                <w:rFonts w:hint="default"/>
                <w:lang w:val="en-US" w:eastAsia="zh-CN"/>
              </w:rPr>
            </w:pPr>
            <w:r>
              <w:rPr>
                <w:rFonts w:hint="eastAsia" w:ascii="Times New Roman" w:hAnsi="Times New Roman" w:cs="Times New Roman"/>
                <w:b/>
                <w:bCs/>
                <w:color w:val="auto"/>
                <w:sz w:val="28"/>
                <w:szCs w:val="28"/>
                <w:highlight w:val="none"/>
                <w:lang w:val="en-US" w:eastAsia="zh-CN"/>
              </w:rPr>
              <w:t>具身智能赋能工程。</w:t>
            </w:r>
            <w:r>
              <w:rPr>
                <w:rFonts w:hint="eastAsia" w:ascii="Times New Roman" w:hAnsi="Times New Roman" w:cs="Times New Roman"/>
                <w:b w:val="0"/>
                <w:bCs w:val="0"/>
                <w:color w:val="auto"/>
                <w:sz w:val="28"/>
                <w:szCs w:val="28"/>
                <w:highlight w:val="none"/>
                <w:lang w:val="en-US" w:eastAsia="zh-CN"/>
              </w:rPr>
              <w:t>推动在韶建设广东省具身智能（韶关）训练场，推动具身智能机器人在有色金属、化工新材料等行业挖掘典型应用场景。</w:t>
            </w:r>
          </w:p>
        </w:tc>
      </w:tr>
    </w:tbl>
    <w:p w14:paraId="69800AE9">
      <w:pPr>
        <w:pageBreakBefore w:val="0"/>
        <w:widowControl/>
        <w:suppressAutoHyphens/>
        <w:kinsoku/>
        <w:overflowPunct/>
        <w:topLinePunct w:val="0"/>
        <w:autoSpaceDE/>
        <w:autoSpaceDN/>
        <w:bidi w:val="0"/>
        <w:adjustRightInd/>
        <w:spacing w:beforeLines="0" w:after="0" w:afterLines="0" w:afterAutospacing="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rPr>
      </w:pPr>
      <w:bookmarkStart w:id="486" w:name="_Toc1169486789"/>
      <w:bookmarkStart w:id="487" w:name="_Toc205929458"/>
      <w:bookmarkStart w:id="488" w:name="_Toc1369737151"/>
      <w:bookmarkStart w:id="489" w:name="_Toc1049509448"/>
      <w:bookmarkStart w:id="490" w:name="_Toc1114139695"/>
      <w:bookmarkStart w:id="491" w:name="_Toc18609"/>
      <w:bookmarkStart w:id="492" w:name="_Toc13689"/>
      <w:bookmarkStart w:id="493" w:name="_Toc1357578313"/>
      <w:bookmarkStart w:id="494" w:name="_Toc669210800"/>
      <w:bookmarkStart w:id="495" w:name="_Toc2140043574"/>
      <w:bookmarkStart w:id="496" w:name="_Toc1406155810"/>
      <w:bookmarkStart w:id="497" w:name="_Toc536868138"/>
      <w:bookmarkStart w:id="498" w:name="_Toc72810471"/>
      <w:bookmarkStart w:id="499" w:name="_Toc1459366385"/>
      <w:bookmarkStart w:id="500" w:name="_Toc1748353609"/>
      <w:bookmarkStart w:id="501" w:name="_Toc251416039"/>
      <w:bookmarkStart w:id="502" w:name="_Toc28231"/>
      <w:bookmarkStart w:id="503" w:name="_Toc114865912"/>
      <w:bookmarkStart w:id="504" w:name="_Toc1252090657"/>
      <w:bookmarkStart w:id="505" w:name="_Toc30238"/>
      <w:bookmarkStart w:id="506" w:name="_Toc211107752"/>
      <w:bookmarkStart w:id="507" w:name="_Toc750359906"/>
      <w:bookmarkStart w:id="508" w:name="_Toc277909373"/>
      <w:bookmarkStart w:id="509" w:name="_Toc334522203"/>
      <w:bookmarkStart w:id="510" w:name="_Toc16251"/>
      <w:bookmarkStart w:id="511" w:name="_Toc1509556883"/>
      <w:bookmarkStart w:id="512" w:name="_Toc549948592"/>
      <w:bookmarkStart w:id="513" w:name="_Toc1169188589"/>
      <w:bookmarkStart w:id="514" w:name="_Toc14643"/>
      <w:bookmarkStart w:id="515" w:name="_Toc527260406"/>
      <w:bookmarkStart w:id="516" w:name="_Toc5231"/>
      <w:bookmarkStart w:id="517" w:name="_Toc764432413"/>
      <w:bookmarkStart w:id="518" w:name="_Toc1447255747"/>
      <w:bookmarkStart w:id="519" w:name="_Toc2056780504"/>
      <w:bookmarkStart w:id="520" w:name="_Toc822251526"/>
      <w:r>
        <w:rPr>
          <w:rStyle w:val="26"/>
          <w:rFonts w:hint="eastAsia" w:ascii="楷体_GB2312" w:hAnsi="楷体_GB2312" w:eastAsia="楷体_GB2312" w:cs="楷体_GB2312"/>
          <w:b w:val="0"/>
          <w:bCs/>
          <w:color w:val="auto"/>
          <w:szCs w:val="32"/>
          <w:highlight w:val="none"/>
          <w:lang w:val="en-US" w:eastAsia="zh-CN"/>
        </w:rPr>
        <w:t>（四）</w:t>
      </w:r>
      <w:r>
        <w:rPr>
          <w:rStyle w:val="26"/>
          <w:rFonts w:hint="eastAsia" w:ascii="楷体_GB2312" w:hAnsi="楷体_GB2312" w:eastAsia="楷体_GB2312" w:cs="楷体_GB2312"/>
          <w:b w:val="0"/>
          <w:bCs/>
          <w:color w:val="auto"/>
          <w:szCs w:val="32"/>
          <w:highlight w:val="none"/>
        </w:rPr>
        <w:t>抢抓低空经济发展机遇</w:t>
      </w:r>
      <w:bookmarkEnd w:id="486"/>
      <w:bookmarkEnd w:id="487"/>
      <w:bookmarkEnd w:id="488"/>
      <w:bookmarkEnd w:id="489"/>
      <w:bookmarkEnd w:id="490"/>
      <w:bookmarkEnd w:id="491"/>
    </w:p>
    <w:p w14:paraId="1B396C8C">
      <w:pPr>
        <w:pStyle w:val="2"/>
        <w:spacing w:beforeLines="0" w:afterLines="0" w:line="560" w:lineRule="exact"/>
        <w:ind w:firstLine="0"/>
        <w:rPr>
          <w:rFonts w:hint="default" w:ascii="仿宋_GB2312" w:hAnsi="仿宋_GB2312" w:eastAsia="仿宋_GB2312" w:cs="仿宋_GB2312"/>
          <w:color w:val="auto"/>
          <w:sz w:val="32"/>
          <w:szCs w:val="32"/>
          <w:highlight w:val="none"/>
          <w:lang w:val="en-US" w:eastAsia="zh-CN"/>
        </w:rPr>
      </w:pPr>
      <w:bookmarkStart w:id="521" w:name="_Toc18450756"/>
      <w:bookmarkStart w:id="522" w:name="_Toc529209328"/>
      <w:bookmarkStart w:id="523" w:name="_Toc1219333809"/>
      <w:bookmarkStart w:id="524" w:name="_Toc1352427366"/>
      <w:bookmarkStart w:id="525" w:name="_Toc1531345316"/>
      <w:bookmarkStart w:id="526" w:name="_Toc445681005"/>
      <w:bookmarkStart w:id="527" w:name="_Toc1923295380"/>
      <w:bookmarkStart w:id="528" w:name="_Toc1788073657"/>
      <w:r>
        <w:rPr>
          <w:rFonts w:hint="eastAsia" w:ascii="仿宋_GB2312" w:hAnsi="仿宋_GB2312" w:eastAsia="仿宋_GB2312" w:cs="仿宋_GB2312"/>
          <w:color w:val="auto"/>
          <w:sz w:val="32"/>
          <w:szCs w:val="32"/>
          <w:highlight w:val="none"/>
          <w:lang w:val="en-US" w:eastAsia="zh-CN"/>
        </w:rPr>
        <w:t>支持打造广东智能网联+低空多维空间（韶关）综合试验区，探索低空数据标注，推动低空数据交易和开发利用。拓展低空数字应用场景，在林业、农业、物流、应急救援等领域落地应用。依托省政务领域无人机管理平台，推进政务领域无人机应用，持续赋能“百千万工程”。</w:t>
      </w:r>
    </w:p>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14:paraId="2C69EFF6">
      <w:pPr>
        <w:pageBreakBefore w:val="0"/>
        <w:widowControl/>
        <w:kinsoku/>
        <w:overflowPunct/>
        <w:topLinePunct w:val="0"/>
        <w:autoSpaceDE/>
        <w:autoSpaceDN/>
        <w:bidi w:val="0"/>
        <w:adjustRightInd/>
        <w:spacing w:beforeLines="0" w:afterLines="0" w:line="560" w:lineRule="exact"/>
        <w:ind w:firstLine="0"/>
        <w:jc w:val="left"/>
        <w:textAlignment w:val="auto"/>
        <w:outlineLvl w:val="1"/>
        <w:rPr>
          <w:rStyle w:val="26"/>
          <w:rFonts w:hint="eastAsia" w:ascii="楷体_GB2312" w:hAnsi="楷体_GB2312" w:eastAsia="楷体_GB2312" w:cs="楷体_GB2312"/>
          <w:b w:val="0"/>
          <w:bCs/>
          <w:color w:val="auto"/>
          <w:szCs w:val="32"/>
          <w:highlight w:val="none"/>
          <w:lang w:eastAsia="zh-CN"/>
        </w:rPr>
      </w:pPr>
      <w:bookmarkStart w:id="529" w:name="_Toc605025333"/>
      <w:bookmarkStart w:id="530" w:name="_Toc28772"/>
      <w:bookmarkStart w:id="531" w:name="_Toc750219175"/>
      <w:bookmarkStart w:id="532" w:name="_Toc1101960396"/>
      <w:bookmarkStart w:id="533" w:name="_Toc713382423"/>
      <w:bookmarkStart w:id="534" w:name="_Toc581810066"/>
      <w:bookmarkStart w:id="535" w:name="_Toc1949692851"/>
      <w:bookmarkStart w:id="536" w:name="_Toc2800119"/>
      <w:bookmarkStart w:id="537" w:name="_Toc1480784799"/>
      <w:bookmarkStart w:id="538" w:name="_Toc939438927"/>
      <w:bookmarkStart w:id="539" w:name="_Toc1966486949"/>
      <w:bookmarkStart w:id="540" w:name="_Toc2100041522"/>
      <w:bookmarkStart w:id="541" w:name="_Toc1939138316"/>
      <w:bookmarkStart w:id="542" w:name="_Toc1411668194"/>
      <w:bookmarkStart w:id="543" w:name="_Toc16220"/>
      <w:bookmarkStart w:id="544" w:name="_Toc24097059"/>
      <w:bookmarkStart w:id="545" w:name="_Toc298455700"/>
      <w:bookmarkStart w:id="546" w:name="_Toc44622588"/>
      <w:bookmarkStart w:id="547" w:name="_Toc17116"/>
      <w:bookmarkStart w:id="548" w:name="_Toc407137427"/>
      <w:bookmarkStart w:id="549" w:name="_Toc1992354952"/>
      <w:bookmarkStart w:id="550" w:name="_Toc329722878"/>
      <w:bookmarkStart w:id="551" w:name="_Toc829"/>
      <w:bookmarkStart w:id="552" w:name="_Toc12925753"/>
      <w:bookmarkStart w:id="553" w:name="_Toc1629022020"/>
      <w:bookmarkStart w:id="554" w:name="_Toc1807314372"/>
      <w:bookmarkStart w:id="555" w:name="_Toc2088"/>
      <w:bookmarkStart w:id="556" w:name="_Toc1817360424"/>
      <w:bookmarkStart w:id="557" w:name="_Toc954828223"/>
      <w:bookmarkStart w:id="558" w:name="_Toc1421560342"/>
      <w:bookmarkStart w:id="559" w:name="_Toc759300136"/>
      <w:bookmarkStart w:id="560" w:name="_Toc13377"/>
      <w:bookmarkStart w:id="561" w:name="_Toc1687053249"/>
      <w:bookmarkStart w:id="562" w:name="_Toc1899018235"/>
      <w:bookmarkStart w:id="563" w:name="_Toc30203"/>
      <w:r>
        <w:rPr>
          <w:rStyle w:val="26"/>
          <w:rFonts w:hint="eastAsia" w:ascii="楷体_GB2312" w:hAnsi="楷体_GB2312" w:eastAsia="楷体_GB2312" w:cs="楷体_GB2312"/>
          <w:b w:val="0"/>
          <w:bCs/>
          <w:color w:val="auto"/>
          <w:szCs w:val="32"/>
          <w:highlight w:val="none"/>
          <w:lang w:val="en-US" w:eastAsia="zh-CN"/>
        </w:rPr>
        <w:t>（五）</w:t>
      </w:r>
      <w:r>
        <w:rPr>
          <w:rStyle w:val="26"/>
          <w:rFonts w:hint="eastAsia" w:ascii="楷体_GB2312" w:hAnsi="楷体_GB2312" w:eastAsia="楷体_GB2312" w:cs="楷体_GB2312"/>
          <w:b w:val="0"/>
          <w:bCs/>
          <w:color w:val="auto"/>
          <w:szCs w:val="32"/>
          <w:highlight w:val="none"/>
          <w:lang w:eastAsia="zh-CN"/>
        </w:rPr>
        <w:t>提升制造业数字化发展水平</w:t>
      </w:r>
      <w:bookmarkEnd w:id="529"/>
      <w:bookmarkEnd w:id="530"/>
      <w:bookmarkEnd w:id="531"/>
      <w:bookmarkEnd w:id="532"/>
      <w:bookmarkEnd w:id="533"/>
      <w:bookmarkEnd w:id="534"/>
    </w:p>
    <w:bookmarkEnd w:id="535"/>
    <w:bookmarkEnd w:id="536"/>
    <w:bookmarkEnd w:id="537"/>
    <w:bookmarkEnd w:id="538"/>
    <w:bookmarkEnd w:id="539"/>
    <w:bookmarkEnd w:id="540"/>
    <w:p w14:paraId="160B0767">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default" w:ascii="仿宋_GB2312" w:hAnsi="仿宋_GB2312" w:cs="仿宋_GB2312"/>
          <w:color w:val="auto"/>
          <w:sz w:val="32"/>
          <w:szCs w:val="40"/>
          <w:highlight w:val="yellow"/>
          <w:lang w:val="en-US" w:eastAsia="zh-CN" w:bidi="ar"/>
        </w:rPr>
      </w:pPr>
      <w:r>
        <w:rPr>
          <w:rFonts w:hint="eastAsia" w:ascii="仿宋_GB2312" w:hAnsi="仿宋_GB2312" w:cs="仿宋_GB2312"/>
          <w:color w:val="auto"/>
          <w:sz w:val="32"/>
          <w:szCs w:val="40"/>
          <w:highlight w:val="none"/>
          <w:lang w:val="en-US" w:eastAsia="zh-CN" w:bidi="ar"/>
        </w:rPr>
        <w:t>支持重点企业牵头打造行业级工业互联网平台，带动全链条数字化协同。</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rFonts w:hint="eastAsia" w:ascii="仿宋_GB2312" w:hAnsi="仿宋_GB2312" w:cs="仿宋_GB2312"/>
          <w:color w:val="auto"/>
          <w:sz w:val="32"/>
          <w:szCs w:val="40"/>
          <w:highlight w:val="none"/>
          <w:lang w:val="en-US" w:eastAsia="zh-CN" w:bidi="ar"/>
        </w:rPr>
        <w:t>推动企业数智化转型，</w:t>
      </w:r>
      <w:r>
        <w:rPr>
          <w:rFonts w:hint="eastAsia" w:ascii="仿宋_GB2312" w:hAnsi="仿宋_GB2312" w:cs="仿宋_GB2312"/>
          <w:color w:val="auto"/>
          <w:sz w:val="32"/>
          <w:szCs w:val="40"/>
          <w:highlight w:val="none"/>
          <w:lang w:eastAsia="zh-CN" w:bidi="ar"/>
        </w:rPr>
        <w:t>加快</w:t>
      </w:r>
      <w:r>
        <w:rPr>
          <w:rFonts w:hint="eastAsia" w:ascii="仿宋_GB2312" w:hAnsi="仿宋_GB2312" w:cs="仿宋_GB2312"/>
          <w:color w:val="auto"/>
          <w:sz w:val="32"/>
          <w:szCs w:val="40"/>
          <w:highlight w:val="none"/>
          <w:lang w:val="en-US" w:eastAsia="zh-CN" w:bidi="ar"/>
        </w:rPr>
        <w:t>建设</w:t>
      </w:r>
      <w:r>
        <w:rPr>
          <w:rFonts w:hint="eastAsia" w:ascii="仿宋_GB2312" w:hAnsi="仿宋_GB2312" w:cs="仿宋_GB2312"/>
          <w:color w:val="auto"/>
          <w:sz w:val="32"/>
          <w:szCs w:val="40"/>
          <w:highlight w:val="none"/>
          <w:lang w:eastAsia="zh-CN" w:bidi="ar"/>
        </w:rPr>
        <w:t>智能工厂、数字化车间。探索应用国家级汽车技术创新和公共技术服务平台，实现汽车缺陷检测及智能应用。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567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4DD616D9">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5</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制造业领域数字化转型</w:t>
            </w:r>
            <w:r>
              <w:rPr>
                <w:rFonts w:hint="eastAsia" w:ascii="Times New Roman" w:hAnsi="Times New Roman" w:eastAsia="仿宋_GB2312" w:cs="Times New Roman"/>
                <w:b/>
                <w:bCs/>
                <w:color w:val="auto"/>
                <w:sz w:val="28"/>
                <w:szCs w:val="28"/>
                <w:highlight w:val="none"/>
                <w:vertAlign w:val="baseline"/>
                <w:lang w:val="en-US" w:eastAsia="zh-CN"/>
              </w:rPr>
              <w:t>工程</w:t>
            </w:r>
          </w:p>
        </w:tc>
      </w:tr>
      <w:tr w14:paraId="78B9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061" w:type="dxa"/>
            <w:noWrap w:val="0"/>
            <w:vAlign w:val="top"/>
          </w:tcPr>
          <w:p w14:paraId="0A467F56">
            <w:pPr>
              <w:keepNext w:val="0"/>
              <w:keepLines w:val="0"/>
              <w:suppressLineNumbers w:val="0"/>
              <w:spacing w:before="0" w:beforeLines="0" w:beforeAutospacing="0" w:after="0" w:afterLines="0" w:afterAutospacing="0" w:line="560" w:lineRule="exact"/>
              <w:ind w:left="0" w:right="0" w:firstLine="562" w:firstLineChars="200"/>
              <w:rPr>
                <w:rFonts w:hint="default"/>
                <w:color w:val="auto"/>
                <w:lang w:val="en-US" w:eastAsia="zh-CN"/>
              </w:rPr>
            </w:pPr>
            <w:r>
              <w:rPr>
                <w:rFonts w:hint="eastAsia" w:ascii="仿宋_GB2312" w:hAnsi="仿宋_GB2312" w:cs="仿宋_GB2312"/>
                <w:b/>
                <w:bCs/>
                <w:color w:val="auto"/>
                <w:sz w:val="28"/>
                <w:szCs w:val="28"/>
                <w:lang w:val="en-US" w:eastAsia="zh-CN"/>
              </w:rPr>
              <w:t>推进中小企业数字化转型试点城市建设。</w:t>
            </w:r>
            <w:r>
              <w:rPr>
                <w:rFonts w:hint="eastAsia" w:ascii="仿宋_GB2312" w:hAnsi="仿宋_GB2312" w:cs="仿宋_GB2312"/>
                <w:b w:val="0"/>
                <w:bCs w:val="0"/>
                <w:color w:val="auto"/>
                <w:sz w:val="28"/>
                <w:szCs w:val="28"/>
                <w:lang w:val="en-US" w:eastAsia="zh-CN"/>
              </w:rPr>
              <w:t>加快推动中小企业技术创新和数字化改造，围绕矿山机械、汽车零配件、环保建材、精细化工、食品饮料等领域开展试点工作，持续推动企业扩能升级。</w:t>
            </w:r>
          </w:p>
        </w:tc>
      </w:tr>
    </w:tbl>
    <w:p w14:paraId="65C19C31">
      <w:pPr>
        <w:pageBreakBefore w:val="0"/>
        <w:widowControl/>
        <w:kinsoku/>
        <w:overflowPunct/>
        <w:topLinePunct w:val="0"/>
        <w:autoSpaceDE/>
        <w:autoSpaceDN/>
        <w:bidi w:val="0"/>
        <w:adjustRightInd/>
        <w:spacing w:beforeLines="0" w:afterLines="0" w:line="560" w:lineRule="exact"/>
        <w:ind w:firstLine="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564" w:name="_Toc10734"/>
      <w:bookmarkStart w:id="565" w:name="_Toc872100351"/>
      <w:bookmarkStart w:id="566" w:name="_Toc1959431467"/>
      <w:bookmarkStart w:id="567" w:name="_Toc122191714"/>
      <w:bookmarkStart w:id="568" w:name="_Toc317749659"/>
      <w:bookmarkStart w:id="569" w:name="_Toc1880582862"/>
      <w:bookmarkStart w:id="570" w:name="_Toc1444833970"/>
      <w:bookmarkStart w:id="571" w:name="_Toc248720386"/>
      <w:bookmarkStart w:id="572" w:name="_Toc1346078706"/>
      <w:bookmarkStart w:id="573" w:name="_Toc1955451004"/>
      <w:bookmarkStart w:id="574" w:name="_Toc796289177"/>
      <w:bookmarkStart w:id="575" w:name="_Toc1796504601"/>
      <w:bookmarkStart w:id="576" w:name="_Toc1438626459"/>
      <w:bookmarkStart w:id="577" w:name="_Toc340819496"/>
      <w:bookmarkStart w:id="578" w:name="_Toc1465320003"/>
      <w:bookmarkStart w:id="579" w:name="_Toc1664497164"/>
      <w:bookmarkStart w:id="580" w:name="_Toc710614009"/>
      <w:bookmarkStart w:id="581" w:name="_Toc1266954731"/>
      <w:bookmarkStart w:id="582" w:name="_Toc4562"/>
      <w:bookmarkStart w:id="583" w:name="_Toc2015082224"/>
      <w:bookmarkStart w:id="584" w:name="_Toc2071217604"/>
      <w:bookmarkStart w:id="585" w:name="_Toc585975226"/>
      <w:bookmarkStart w:id="586" w:name="_Toc1344064455"/>
      <w:bookmarkStart w:id="587" w:name="_Toc9869"/>
      <w:bookmarkStart w:id="588" w:name="_Toc1183206322"/>
      <w:bookmarkStart w:id="589" w:name="_Toc1074"/>
      <w:bookmarkStart w:id="590" w:name="_Toc28352"/>
      <w:bookmarkStart w:id="591" w:name="_Toc14218"/>
      <w:bookmarkStart w:id="592" w:name="_Toc269695547"/>
      <w:bookmarkStart w:id="593" w:name="_Toc756963879"/>
      <w:bookmarkStart w:id="594" w:name="_Toc31318"/>
      <w:bookmarkStart w:id="595" w:name="_Toc341296329"/>
      <w:bookmarkStart w:id="596" w:name="_Toc2017783141"/>
      <w:bookmarkStart w:id="597" w:name="_Toc664750478"/>
      <w:bookmarkStart w:id="598" w:name="_Toc896682675"/>
      <w:r>
        <w:rPr>
          <w:rStyle w:val="26"/>
          <w:rFonts w:hint="eastAsia" w:ascii="楷体_GB2312" w:hAnsi="楷体_GB2312" w:eastAsia="楷体_GB2312" w:cs="楷体_GB2312"/>
          <w:b w:val="0"/>
          <w:bCs/>
          <w:color w:val="auto"/>
          <w:szCs w:val="32"/>
          <w:highlight w:val="none"/>
          <w:lang w:eastAsia="zh-CN"/>
        </w:rPr>
        <w:t>（六）</w:t>
      </w:r>
      <w:r>
        <w:rPr>
          <w:rStyle w:val="26"/>
          <w:rFonts w:hint="eastAsia" w:ascii="楷体_GB2312" w:hAnsi="楷体_GB2312" w:eastAsia="楷体_GB2312" w:cs="楷体_GB2312"/>
          <w:b w:val="0"/>
          <w:bCs/>
          <w:color w:val="auto"/>
          <w:szCs w:val="32"/>
          <w:highlight w:val="none"/>
        </w:rPr>
        <w:t>深入推动农业数字化</w:t>
      </w:r>
      <w:r>
        <w:rPr>
          <w:rStyle w:val="26"/>
          <w:rFonts w:hint="eastAsia" w:ascii="楷体_GB2312" w:hAnsi="楷体_GB2312" w:eastAsia="楷体_GB2312" w:cs="楷体_GB2312"/>
          <w:b w:val="0"/>
          <w:bCs/>
          <w:color w:val="auto"/>
          <w:szCs w:val="32"/>
          <w:highlight w:val="none"/>
          <w:lang w:val="en-US" w:eastAsia="zh-CN"/>
        </w:rPr>
        <w:t>智能化</w:t>
      </w:r>
      <w:bookmarkEnd w:id="564"/>
      <w:bookmarkEnd w:id="565"/>
      <w:bookmarkEnd w:id="566"/>
      <w:bookmarkEnd w:id="567"/>
      <w:bookmarkEnd w:id="568"/>
      <w:bookmarkEnd w:id="569"/>
    </w:p>
    <w:bookmarkEnd w:id="570"/>
    <w:bookmarkEnd w:id="571"/>
    <w:bookmarkEnd w:id="572"/>
    <w:bookmarkEnd w:id="573"/>
    <w:bookmarkEnd w:id="574"/>
    <w:bookmarkEnd w:id="575"/>
    <w:p w14:paraId="026AA05C">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default" w:ascii="仿宋_GB2312" w:hAnsi="宋体" w:cs="仿宋_GB2312"/>
          <w:color w:val="auto"/>
          <w:kern w:val="0"/>
          <w:sz w:val="31"/>
          <w:szCs w:val="31"/>
          <w:lang w:val="en-US" w:eastAsia="zh-CN" w:bidi="ar"/>
        </w:rPr>
      </w:pPr>
      <w:r>
        <w:rPr>
          <w:rFonts w:hint="eastAsia" w:ascii="仿宋_GB2312" w:hAnsi="仿宋_GB2312" w:cs="仿宋_GB2312"/>
          <w:b w:val="0"/>
          <w:bCs w:val="0"/>
          <w:color w:val="auto"/>
          <w:sz w:val="32"/>
          <w:szCs w:val="40"/>
          <w:highlight w:val="none"/>
          <w:lang w:val="en-US" w:eastAsia="zh-CN" w:bidi="ar"/>
        </w:rPr>
        <w:t>推动建设数字农业试点、智慧农场示范区，推进高标准农田、畜禽养殖场、水产养殖区数字化改造，加快推广遥感监测网络、无人机、智能农机装备、物联网监测系统的应用。</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Fonts w:hint="eastAsia" w:ascii="仿宋_GB2312" w:hAnsi="仿宋_GB2312" w:cs="仿宋_GB2312"/>
          <w:b w:val="0"/>
          <w:bCs w:val="0"/>
          <w:color w:val="auto"/>
          <w:sz w:val="32"/>
          <w:szCs w:val="40"/>
          <w:highlight w:val="none"/>
          <w:lang w:val="en-US" w:eastAsia="zh-CN" w:bidi="ar"/>
        </w:rPr>
        <w:t>深化全产业链数字技术融合应用，聚焦农业生产、加工、流通、服务全链条，培育推广一批数字化转型典型场景。</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D9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D9628FC">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6</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智慧农业</w:t>
            </w:r>
            <w:r>
              <w:rPr>
                <w:rFonts w:hint="eastAsia" w:ascii="Times New Roman" w:hAnsi="Times New Roman" w:eastAsia="仿宋_GB2312" w:cs="Times New Roman"/>
                <w:b/>
                <w:bCs/>
                <w:color w:val="auto"/>
                <w:sz w:val="28"/>
                <w:szCs w:val="28"/>
                <w:highlight w:val="none"/>
                <w:vertAlign w:val="baseline"/>
                <w:lang w:val="en-US" w:eastAsia="zh-CN"/>
              </w:rPr>
              <w:t>工程</w:t>
            </w:r>
          </w:p>
        </w:tc>
      </w:tr>
      <w:tr w14:paraId="1A4A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061" w:type="dxa"/>
            <w:noWrap w:val="0"/>
            <w:vAlign w:val="top"/>
          </w:tcPr>
          <w:p w14:paraId="7F5314F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eastAsia" w:ascii="仿宋_GB2312" w:hAnsi="仿宋_GB2312" w:eastAsia="仿宋_GB2312" w:cs="仿宋_GB2312"/>
                <w:color w:val="auto"/>
                <w:sz w:val="28"/>
                <w:szCs w:val="28"/>
              </w:rPr>
            </w:pPr>
            <w:r>
              <w:rPr>
                <w:rFonts w:hint="eastAsia" w:ascii="仿宋_GB2312" w:hAnsi="仿宋_GB2312" w:cs="仿宋_GB2312"/>
                <w:b/>
                <w:bCs/>
                <w:color w:val="auto"/>
                <w:sz w:val="28"/>
                <w:szCs w:val="28"/>
                <w:lang w:val="en-US" w:eastAsia="zh-CN"/>
              </w:rPr>
              <w:t>农业大数据工程。</w:t>
            </w:r>
            <w:r>
              <w:rPr>
                <w:rFonts w:hint="eastAsia" w:ascii="仿宋_GB2312" w:hAnsi="仿宋_GB2312" w:eastAsia="仿宋_GB2312" w:cs="仿宋_GB2312"/>
                <w:color w:val="auto"/>
                <w:sz w:val="28"/>
                <w:szCs w:val="28"/>
              </w:rPr>
              <w:t>通过融合农业、气象等多维数据，构建北斗导航、遥感监测、气象预警与土壤墒情等多源数据融合的智慧农业体系。整合农业生产、农产品流通等数据，开发农产品质量溯源、农业生产监测等数据产品，助力乡村振兴</w:t>
            </w:r>
            <w:r>
              <w:rPr>
                <w:rFonts w:hint="eastAsia" w:ascii="仿宋_GB2312" w:hAnsi="仿宋_GB2312" w:cs="仿宋_GB2312"/>
                <w:color w:val="auto"/>
                <w:sz w:val="28"/>
                <w:szCs w:val="28"/>
                <w:lang w:eastAsia="zh-CN"/>
              </w:rPr>
              <w:t>。</w:t>
            </w:r>
            <w:r>
              <w:rPr>
                <w:rFonts w:hint="eastAsia" w:ascii="仿宋_GB2312" w:hAnsi="仿宋_GB2312" w:eastAsia="仿宋_GB2312" w:cs="仿宋_GB2312"/>
                <w:color w:val="auto"/>
                <w:sz w:val="28"/>
                <w:szCs w:val="28"/>
              </w:rPr>
              <w:t>打造农产品全链条追溯系统，集成区块链、时间戳等技术，覆盖种植、加工、流通环节。</w:t>
            </w:r>
          </w:p>
          <w:p w14:paraId="6C28762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default" w:ascii="仿宋_GB2312" w:hAnsi="仿宋_GB2312" w:cs="仿宋_GB2312"/>
                <w:b w:val="0"/>
                <w:bCs w:val="0"/>
                <w:color w:val="auto"/>
                <w:sz w:val="28"/>
                <w:szCs w:val="28"/>
                <w:lang w:val="en-US" w:eastAsia="zh-CN"/>
              </w:rPr>
            </w:pPr>
            <w:r>
              <w:rPr>
                <w:rFonts w:hint="eastAsia" w:ascii="仿宋_GB2312" w:hAnsi="仿宋_GB2312" w:cs="仿宋_GB2312"/>
                <w:b/>
                <w:bCs/>
                <w:color w:val="auto"/>
                <w:sz w:val="28"/>
                <w:szCs w:val="28"/>
                <w:lang w:eastAsia="zh-CN"/>
              </w:rPr>
              <w:t>推进智慧农业工程。</w:t>
            </w:r>
            <w:r>
              <w:rPr>
                <w:rFonts w:hint="eastAsia" w:ascii="仿宋_GB2312" w:hAnsi="仿宋_GB2312" w:cs="仿宋_GB2312"/>
                <w:b w:val="0"/>
                <w:bCs w:val="0"/>
                <w:color w:val="auto"/>
                <w:sz w:val="28"/>
                <w:szCs w:val="28"/>
                <w:lang w:eastAsia="zh-CN"/>
              </w:rPr>
              <w:t>围绕各县市区特色产业，系统推进数字化农业转型升级，推动畜禽养殖、种植产业等领域的智能监测调度，赋能数字技术</w:t>
            </w:r>
            <w:r>
              <w:rPr>
                <w:rFonts w:hint="eastAsia" w:ascii="仿宋_GB2312" w:hAnsi="仿宋_GB2312" w:cs="仿宋_GB2312"/>
                <w:b w:val="0"/>
                <w:bCs w:val="0"/>
                <w:color w:val="auto"/>
                <w:sz w:val="28"/>
                <w:szCs w:val="28"/>
                <w:lang w:val="en-US" w:eastAsia="zh-CN"/>
              </w:rPr>
              <w:t>在</w:t>
            </w:r>
            <w:r>
              <w:rPr>
                <w:rFonts w:hint="eastAsia" w:ascii="仿宋_GB2312" w:hAnsi="仿宋_GB2312" w:cs="仿宋_GB2312"/>
                <w:b w:val="0"/>
                <w:bCs w:val="0"/>
                <w:color w:val="auto"/>
                <w:sz w:val="28"/>
                <w:szCs w:val="28"/>
                <w:lang w:eastAsia="zh-CN"/>
              </w:rPr>
              <w:t>县域农特产品中的全面应用，探索打造无人种植、</w:t>
            </w:r>
            <w:r>
              <w:rPr>
                <w:rFonts w:hint="eastAsia" w:ascii="仿宋_GB2312" w:hAnsi="仿宋_GB2312" w:cs="仿宋_GB2312"/>
                <w:b w:val="0"/>
                <w:bCs w:val="0"/>
                <w:color w:val="auto"/>
                <w:sz w:val="28"/>
                <w:szCs w:val="28"/>
                <w:lang w:val="en-US" w:eastAsia="zh-CN"/>
              </w:rPr>
              <w:t>智慧稻田、智能养殖、</w:t>
            </w:r>
            <w:r>
              <w:rPr>
                <w:rFonts w:hint="eastAsia" w:ascii="仿宋_GB2312" w:hAnsi="仿宋_GB2312" w:cs="仿宋_GB2312"/>
                <w:b w:val="0"/>
                <w:bCs w:val="0"/>
                <w:color w:val="auto"/>
                <w:sz w:val="28"/>
                <w:szCs w:val="28"/>
                <w:lang w:eastAsia="zh-CN"/>
              </w:rPr>
              <w:t>智能温室等应用场景。</w:t>
            </w:r>
          </w:p>
        </w:tc>
      </w:tr>
    </w:tbl>
    <w:p w14:paraId="12A6B519">
      <w:pPr>
        <w:pageBreakBefore w:val="0"/>
        <w:widowControl w:val="0"/>
        <w:kinsoku/>
        <w:overflowPunct/>
        <w:topLinePunct w:val="0"/>
        <w:autoSpaceDE/>
        <w:autoSpaceDN/>
        <w:bidi w:val="0"/>
        <w:adjustRightInd/>
        <w:spacing w:beforeLines="0" w:afterLines="0" w:line="560" w:lineRule="exact"/>
        <w:ind w:firstLine="0"/>
        <w:jc w:val="both"/>
        <w:textAlignment w:val="auto"/>
        <w:outlineLvl w:val="1"/>
        <w:rPr>
          <w:rStyle w:val="31"/>
          <w:color w:val="auto"/>
        </w:rPr>
      </w:pPr>
      <w:bookmarkStart w:id="599" w:name="_Toc764208089"/>
      <w:bookmarkStart w:id="600" w:name="_Toc1964815715"/>
      <w:bookmarkStart w:id="601" w:name="_Toc754231962"/>
      <w:bookmarkStart w:id="602" w:name="_Toc2070878644"/>
      <w:bookmarkStart w:id="603" w:name="_Toc1963131310"/>
      <w:bookmarkStart w:id="604" w:name="_Toc13378"/>
      <w:bookmarkStart w:id="605" w:name="_Toc41437495"/>
      <w:bookmarkStart w:id="606" w:name="_Toc1682908821"/>
      <w:bookmarkStart w:id="607" w:name="_Toc2060380604"/>
      <w:bookmarkStart w:id="608" w:name="_Toc1942562486"/>
      <w:bookmarkStart w:id="609" w:name="_Toc620908141"/>
      <w:bookmarkStart w:id="610" w:name="_Toc912111120"/>
      <w:bookmarkStart w:id="611" w:name="_Toc31213"/>
      <w:bookmarkStart w:id="612" w:name="_Toc1044422059"/>
      <w:bookmarkStart w:id="613" w:name="_Toc198103280"/>
      <w:bookmarkStart w:id="614" w:name="_Toc830715874"/>
      <w:bookmarkStart w:id="615" w:name="_Toc871982049"/>
      <w:bookmarkStart w:id="616" w:name="_Toc108002849"/>
      <w:bookmarkStart w:id="617" w:name="_Toc29869"/>
      <w:bookmarkStart w:id="618" w:name="_Toc486861568"/>
      <w:bookmarkStart w:id="619" w:name="_Toc1671115774"/>
      <w:bookmarkStart w:id="620" w:name="_Toc1802"/>
      <w:bookmarkStart w:id="621" w:name="_Toc1096636385"/>
      <w:bookmarkStart w:id="622" w:name="_Toc1776848434"/>
      <w:bookmarkStart w:id="623" w:name="_Toc2307"/>
      <w:bookmarkStart w:id="624" w:name="_Toc1730775583"/>
      <w:bookmarkStart w:id="625" w:name="_Toc247498615"/>
      <w:bookmarkStart w:id="626" w:name="_Toc630814023"/>
      <w:bookmarkStart w:id="627" w:name="_Toc1946215790"/>
      <w:bookmarkStart w:id="628" w:name="_Toc2711"/>
      <w:bookmarkStart w:id="629" w:name="_Toc297319340"/>
      <w:bookmarkStart w:id="630" w:name="_Toc8255"/>
      <w:bookmarkStart w:id="631" w:name="_Toc1758986294"/>
      <w:bookmarkStart w:id="632" w:name="_Toc693384067"/>
      <w:bookmarkStart w:id="633" w:name="_Toc1414955235"/>
      <w:r>
        <w:rPr>
          <w:rStyle w:val="26"/>
          <w:rFonts w:hint="eastAsia" w:ascii="楷体_GB2312" w:hAnsi="楷体_GB2312" w:eastAsia="楷体_GB2312" w:cs="楷体_GB2312"/>
          <w:b w:val="0"/>
          <w:bCs/>
          <w:color w:val="auto"/>
          <w:szCs w:val="32"/>
          <w:highlight w:val="none"/>
          <w:lang w:eastAsia="zh-CN"/>
        </w:rPr>
        <w:t>（七）</w:t>
      </w:r>
      <w:r>
        <w:rPr>
          <w:rStyle w:val="26"/>
          <w:rFonts w:hint="eastAsia" w:ascii="楷体_GB2312" w:hAnsi="楷体_GB2312" w:eastAsia="楷体_GB2312" w:cs="楷体_GB2312"/>
          <w:b w:val="0"/>
          <w:bCs/>
          <w:color w:val="auto"/>
          <w:szCs w:val="32"/>
          <w:highlight w:val="none"/>
        </w:rPr>
        <w:t>加快服务业数字化转型升级</w:t>
      </w:r>
      <w:bookmarkEnd w:id="599"/>
      <w:bookmarkEnd w:id="600"/>
      <w:bookmarkEnd w:id="601"/>
      <w:bookmarkEnd w:id="602"/>
      <w:bookmarkEnd w:id="603"/>
      <w:bookmarkEnd w:id="604"/>
      <w:bookmarkEnd w:id="605"/>
      <w:bookmarkEnd w:id="606"/>
      <w:bookmarkEnd w:id="607"/>
      <w:bookmarkEnd w:id="608"/>
      <w:bookmarkEnd w:id="609"/>
      <w:bookmarkEnd w:id="610"/>
    </w:p>
    <w:p w14:paraId="388390DA">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color w:val="auto"/>
          <w:sz w:val="32"/>
          <w:szCs w:val="40"/>
          <w:highlight w:val="none"/>
          <w:lang w:val="en-US" w:eastAsia="zh-CN" w:bidi="ar"/>
        </w:rPr>
      </w:pPr>
      <w:r>
        <w:rPr>
          <w:rFonts w:hint="eastAsia" w:ascii="仿宋_GB2312" w:hAnsi="仿宋_GB2312" w:eastAsia="仿宋_GB2312" w:cs="仿宋_GB2312"/>
          <w:color w:val="auto"/>
          <w:sz w:val="32"/>
          <w:szCs w:val="40"/>
          <w:highlight w:val="none"/>
          <w:lang w:val="en-US" w:eastAsia="zh-CN" w:bidi="ar"/>
        </w:rPr>
        <w:t>鼓励</w:t>
      </w:r>
      <w:r>
        <w:rPr>
          <w:rFonts w:hint="eastAsia" w:ascii="仿宋_GB2312" w:hAnsi="仿宋_GB2312" w:cs="仿宋_GB2312"/>
          <w:color w:val="auto"/>
          <w:sz w:val="32"/>
          <w:szCs w:val="40"/>
          <w:highlight w:val="none"/>
          <w:lang w:val="en-US" w:eastAsia="zh-CN" w:bidi="ar"/>
        </w:rPr>
        <w:t>零售</w:t>
      </w:r>
      <w:r>
        <w:rPr>
          <w:rFonts w:hint="eastAsia" w:ascii="仿宋_GB2312" w:hAnsi="仿宋_GB2312" w:eastAsia="仿宋_GB2312" w:cs="仿宋_GB2312"/>
          <w:color w:val="auto"/>
          <w:sz w:val="32"/>
          <w:szCs w:val="40"/>
          <w:highlight w:val="none"/>
          <w:lang w:val="en-US" w:eastAsia="zh-CN" w:bidi="ar"/>
        </w:rPr>
        <w:t>商家</w:t>
      </w:r>
      <w:r>
        <w:rPr>
          <w:rFonts w:hint="eastAsia" w:ascii="仿宋_GB2312" w:hAnsi="仿宋_GB2312" w:cs="仿宋_GB2312"/>
          <w:color w:val="auto"/>
          <w:sz w:val="32"/>
          <w:szCs w:val="40"/>
          <w:highlight w:val="none"/>
          <w:lang w:val="en-US" w:eastAsia="zh-CN" w:bidi="ar"/>
        </w:rPr>
        <w:t>等传统服务业</w:t>
      </w:r>
      <w:r>
        <w:rPr>
          <w:rFonts w:hint="eastAsia" w:ascii="仿宋_GB2312" w:hAnsi="仿宋_GB2312" w:eastAsia="仿宋_GB2312" w:cs="仿宋_GB2312"/>
          <w:color w:val="auto"/>
          <w:sz w:val="32"/>
          <w:szCs w:val="40"/>
          <w:highlight w:val="none"/>
          <w:lang w:val="en-US" w:eastAsia="zh-CN" w:bidi="ar"/>
        </w:rPr>
        <w:t>开展数字化转型，推动商圈综合体、商超、便利店等传统业态进行数字化改造</w:t>
      </w:r>
      <w:r>
        <w:rPr>
          <w:rFonts w:hint="eastAsia" w:ascii="仿宋_GB2312" w:hAnsi="仿宋_GB2312" w:cs="仿宋_GB2312"/>
          <w:color w:val="auto"/>
          <w:sz w:val="32"/>
          <w:szCs w:val="40"/>
          <w:highlight w:val="none"/>
          <w:lang w:val="en-US" w:eastAsia="zh-CN" w:bidi="ar"/>
        </w:rPr>
        <w:t>。</w:t>
      </w:r>
      <w:r>
        <w:rPr>
          <w:rFonts w:hint="eastAsia" w:ascii="仿宋_GB2312" w:hAnsi="仿宋_GB2312" w:eastAsia="仿宋_GB2312" w:cs="仿宋_GB2312"/>
          <w:color w:val="auto"/>
          <w:sz w:val="32"/>
          <w:szCs w:val="40"/>
          <w:highlight w:val="none"/>
          <w:lang w:val="en-US" w:eastAsia="zh-CN" w:bidi="ar"/>
        </w:rPr>
        <w:t>积极培育</w:t>
      </w:r>
      <w:r>
        <w:rPr>
          <w:rFonts w:hint="eastAsia" w:ascii="仿宋_GB2312" w:hAnsi="仿宋_GB2312" w:cs="仿宋_GB2312"/>
          <w:color w:val="auto"/>
          <w:sz w:val="32"/>
          <w:szCs w:val="40"/>
          <w:highlight w:val="none"/>
          <w:lang w:val="en-US" w:eastAsia="zh-CN" w:bidi="ar"/>
        </w:rPr>
        <w:t>数字化</w:t>
      </w:r>
      <w:r>
        <w:rPr>
          <w:rFonts w:hint="eastAsia" w:ascii="仿宋_GB2312" w:hAnsi="仿宋_GB2312" w:eastAsia="仿宋_GB2312" w:cs="仿宋_GB2312"/>
          <w:color w:val="auto"/>
          <w:sz w:val="32"/>
          <w:szCs w:val="40"/>
          <w:highlight w:val="none"/>
          <w:lang w:val="en-US" w:eastAsia="zh-CN" w:bidi="ar"/>
        </w:rPr>
        <w:t>服务业态，提升服务业的智能化、个性化、便捷化水平。</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4CB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5552F100">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7</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服务业数字化转型</w:t>
            </w:r>
            <w:r>
              <w:rPr>
                <w:rFonts w:hint="eastAsia" w:ascii="Times New Roman" w:hAnsi="Times New Roman" w:eastAsia="仿宋_GB2312" w:cs="Times New Roman"/>
                <w:b/>
                <w:bCs/>
                <w:color w:val="auto"/>
                <w:sz w:val="28"/>
                <w:szCs w:val="28"/>
                <w:highlight w:val="none"/>
                <w:vertAlign w:val="baseline"/>
                <w:lang w:val="en-US" w:eastAsia="zh-CN"/>
              </w:rPr>
              <w:t>工程</w:t>
            </w:r>
          </w:p>
        </w:tc>
      </w:tr>
      <w:tr w14:paraId="3FE8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061" w:type="dxa"/>
            <w:noWrap w:val="0"/>
            <w:vAlign w:val="top"/>
          </w:tcPr>
          <w:p w14:paraId="1159C653">
            <w:pPr>
              <w:keepNext w:val="0"/>
              <w:keepLines w:val="0"/>
              <w:widowControl/>
              <w:suppressLineNumbers w:val="0"/>
              <w:spacing w:before="0" w:beforeLines="0" w:beforeAutospacing="0" w:after="0" w:afterLines="0" w:afterAutospacing="0"/>
              <w:ind w:left="0" w:right="0" w:firstLine="562" w:firstLineChars="200"/>
              <w:rPr>
                <w:rFonts w:hint="eastAsia" w:ascii="仿宋_GB2312" w:hAnsi="仿宋_GB2312" w:cs="仿宋_GB2312"/>
                <w:b w:val="0"/>
                <w:bCs w:val="0"/>
                <w:color w:val="auto"/>
                <w:sz w:val="28"/>
                <w:szCs w:val="28"/>
                <w:lang w:val="en-US" w:eastAsia="zh-CN"/>
              </w:rPr>
            </w:pPr>
            <w:r>
              <w:rPr>
                <w:rFonts w:hint="eastAsia" w:ascii="仿宋_GB2312" w:hAnsi="仿宋_GB2312" w:cs="仿宋_GB2312"/>
                <w:b/>
                <w:bCs/>
                <w:color w:val="auto"/>
                <w:sz w:val="28"/>
                <w:szCs w:val="28"/>
                <w:lang w:val="en-US" w:eastAsia="zh-CN"/>
              </w:rPr>
              <w:t>培育数字消费场景。</w:t>
            </w:r>
            <w:r>
              <w:rPr>
                <w:rFonts w:hint="eastAsia" w:ascii="仿宋_GB2312" w:hAnsi="仿宋_GB2312" w:cs="仿宋_GB2312"/>
                <w:b w:val="0"/>
                <w:bCs w:val="0"/>
                <w:color w:val="auto"/>
                <w:sz w:val="28"/>
                <w:szCs w:val="28"/>
                <w:lang w:val="en-US" w:eastAsia="zh-CN"/>
              </w:rPr>
              <w:t>推进智慧金融、智慧商圈等消费体系建设，引导企业开展云上运营，培育垂直电商平台，激发跨境贸易活力，建设跨境电商综试区，引进头部平台，支持中小企业“触网出海”。</w:t>
            </w:r>
          </w:p>
          <w:p w14:paraId="706E6FA7">
            <w:pPr>
              <w:keepNext w:val="0"/>
              <w:keepLines w:val="0"/>
              <w:widowControl/>
              <w:suppressLineNumbers w:val="0"/>
              <w:spacing w:before="0" w:beforeLines="0" w:beforeAutospacing="0" w:after="0" w:afterLines="0" w:afterAutospacing="0"/>
              <w:ind w:left="0" w:right="0" w:firstLine="562" w:firstLineChars="200"/>
              <w:rPr>
                <w:rFonts w:hint="default" w:ascii="仿宋_GB2312" w:hAnsi="仿宋_GB2312" w:cs="仿宋_GB2312"/>
                <w:color w:val="auto"/>
                <w:kern w:val="2"/>
                <w:sz w:val="28"/>
                <w:szCs w:val="28"/>
                <w:lang w:val="en-US" w:eastAsia="zh-CN" w:bidi="ar"/>
              </w:rPr>
            </w:pPr>
            <w:r>
              <w:rPr>
                <w:rFonts w:hint="eastAsia" w:ascii="仿宋_GB2312" w:hAnsi="仿宋_GB2312" w:cs="仿宋_GB2312"/>
                <w:b/>
                <w:bCs/>
                <w:color w:val="auto"/>
                <w:sz w:val="28"/>
                <w:szCs w:val="28"/>
                <w:lang w:val="en-US" w:eastAsia="zh-CN"/>
              </w:rPr>
              <w:t>发展物流交通体系。</w:t>
            </w:r>
            <w:r>
              <w:rPr>
                <w:rFonts w:hint="eastAsia" w:ascii="仿宋_GB2312" w:hAnsi="仿宋_GB2312" w:cs="仿宋_GB2312"/>
                <w:b w:val="0"/>
                <w:bCs w:val="0"/>
                <w:color w:val="auto"/>
                <w:sz w:val="28"/>
                <w:szCs w:val="28"/>
                <w:lang w:val="en-US" w:eastAsia="zh-CN"/>
              </w:rPr>
              <w:t>推广无人车、无人机、无人仓，完善快递柜及起降站点，构建绿色货运配送体系与县镇村三级物流网络。推动信号、公交、停车、充电智能化，探索车路协同。</w:t>
            </w:r>
          </w:p>
        </w:tc>
      </w:tr>
    </w:tbl>
    <w:p w14:paraId="71B24149">
      <w:pPr>
        <w:spacing w:beforeLines="0" w:afterLines="0" w:line="560" w:lineRule="exact"/>
        <w:ind w:firstLine="0"/>
        <w:outlineLvl w:val="1"/>
        <w:rPr>
          <w:rStyle w:val="26"/>
          <w:rFonts w:hint="eastAsia" w:ascii="楷体_GB2312" w:hAnsi="楷体_GB2312" w:eastAsia="楷体_GB2312" w:cs="楷体_GB2312"/>
          <w:b w:val="0"/>
          <w:bCs/>
          <w:color w:val="auto"/>
          <w:szCs w:val="32"/>
          <w:highlight w:val="none"/>
          <w:lang w:val="en-US" w:eastAsia="zh-CN"/>
        </w:rPr>
      </w:pPr>
      <w:bookmarkStart w:id="634" w:name="_Toc1957568200"/>
      <w:bookmarkStart w:id="635" w:name="_Toc1394452679"/>
      <w:bookmarkStart w:id="636" w:name="_Toc2400"/>
      <w:bookmarkStart w:id="637" w:name="_Toc2058480170"/>
      <w:bookmarkStart w:id="638" w:name="_Toc1058374298"/>
      <w:bookmarkStart w:id="639" w:name="_Toc1845293567"/>
      <w:bookmarkStart w:id="640" w:name="_Toc5130"/>
      <w:bookmarkStart w:id="641" w:name="_Toc2019534357"/>
      <w:bookmarkStart w:id="642" w:name="_Toc467394545"/>
      <w:bookmarkStart w:id="643" w:name="_Toc2354"/>
      <w:bookmarkStart w:id="644" w:name="_Toc2059704996"/>
      <w:bookmarkStart w:id="645" w:name="_Toc1668685326"/>
      <w:bookmarkStart w:id="646" w:name="_Toc1705923130"/>
      <w:bookmarkStart w:id="647" w:name="_Toc913351713"/>
      <w:bookmarkStart w:id="648" w:name="_Toc1904989281"/>
      <w:bookmarkStart w:id="649" w:name="_Toc66094222"/>
      <w:bookmarkStart w:id="650" w:name="_Toc1596150560"/>
      <w:bookmarkStart w:id="651" w:name="_Toc1133348990"/>
      <w:bookmarkStart w:id="652" w:name="_Toc1101512719"/>
      <w:bookmarkStart w:id="653" w:name="_Toc1979055860"/>
      <w:bookmarkStart w:id="654" w:name="_Toc7641"/>
      <w:bookmarkStart w:id="655" w:name="_Toc640995800"/>
      <w:bookmarkStart w:id="656" w:name="_Toc1664679584"/>
      <w:bookmarkStart w:id="657" w:name="_Toc1844547499"/>
      <w:bookmarkStart w:id="658" w:name="_Toc31916"/>
      <w:bookmarkStart w:id="659" w:name="_Toc42764726"/>
      <w:bookmarkStart w:id="660" w:name="_Toc18939"/>
      <w:bookmarkStart w:id="661" w:name="_Toc27487004"/>
      <w:bookmarkStart w:id="662" w:name="_Toc705390111"/>
      <w:bookmarkStart w:id="663" w:name="_Toc179403494"/>
      <w:bookmarkStart w:id="664" w:name="_Toc668255858"/>
      <w:bookmarkStart w:id="665" w:name="_Toc13962"/>
      <w:bookmarkStart w:id="666" w:name="_Toc372380272"/>
      <w:bookmarkStart w:id="667" w:name="_Toc886119650"/>
      <w:bookmarkStart w:id="668" w:name="_Toc1437197124"/>
      <w:r>
        <w:rPr>
          <w:rStyle w:val="26"/>
          <w:rFonts w:hint="eastAsia" w:ascii="楷体_GB2312" w:hAnsi="楷体_GB2312" w:eastAsia="楷体_GB2312" w:cs="楷体_GB2312"/>
          <w:b w:val="0"/>
          <w:bCs/>
          <w:color w:val="auto"/>
          <w:szCs w:val="32"/>
          <w:highlight w:val="none"/>
          <w:lang w:val="en-US" w:eastAsia="zh-CN"/>
        </w:rPr>
        <w:t>（八）加快推进数字产业融合发展</w:t>
      </w:r>
      <w:bookmarkEnd w:id="634"/>
      <w:bookmarkEnd w:id="635"/>
      <w:bookmarkEnd w:id="636"/>
      <w:bookmarkEnd w:id="637"/>
      <w:bookmarkEnd w:id="638"/>
      <w:bookmarkEnd w:id="639"/>
    </w:p>
    <w:p w14:paraId="658FC914">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lang w:val="en-US" w:eastAsia="zh-CN"/>
        </w:rPr>
      </w:pPr>
      <w:bookmarkStart w:id="669" w:name="_Toc1432347096"/>
      <w:bookmarkStart w:id="670" w:name="_Toc1197611160"/>
      <w:bookmarkStart w:id="671" w:name="_Toc2058779917"/>
      <w:bookmarkStart w:id="672" w:name="_Toc1907540498"/>
      <w:bookmarkStart w:id="673" w:name="_Toc1442348013"/>
      <w:bookmarkStart w:id="674" w:name="_Toc434736349"/>
      <w:bookmarkStart w:id="675" w:name="_Toc1455645551"/>
      <w:bookmarkStart w:id="676" w:name="_Toc759387552"/>
      <w:r>
        <w:rPr>
          <w:rFonts w:hint="eastAsia" w:ascii="仿宋_GB2312" w:hAnsi="仿宋_GB2312" w:eastAsia="仿宋_GB2312" w:cs="仿宋_GB2312"/>
          <w:b w:val="0"/>
          <w:bCs w:val="0"/>
          <w:color w:val="auto"/>
          <w:sz w:val="32"/>
          <w:szCs w:val="40"/>
          <w:highlight w:val="none"/>
          <w:lang w:val="en-US" w:eastAsia="zh-CN" w:bidi="ar"/>
        </w:rPr>
        <w:t>完善大数据产业链。</w:t>
      </w:r>
      <w:bookmarkEnd w:id="669"/>
      <w:bookmarkEnd w:id="670"/>
      <w:bookmarkEnd w:id="671"/>
      <w:bookmarkEnd w:id="672"/>
      <w:bookmarkEnd w:id="673"/>
      <w:bookmarkEnd w:id="674"/>
      <w:bookmarkEnd w:id="675"/>
      <w:bookmarkEnd w:id="676"/>
      <w:r>
        <w:rPr>
          <w:rFonts w:hint="eastAsia" w:ascii="仿宋_GB2312" w:hAnsi="仿宋_GB2312" w:eastAsia="仿宋_GB2312" w:cs="仿宋_GB2312"/>
          <w:color w:val="auto"/>
          <w:sz w:val="32"/>
          <w:szCs w:val="40"/>
          <w:highlight w:val="none"/>
          <w:lang w:val="en-US" w:eastAsia="zh-CN" w:bidi="ar"/>
        </w:rPr>
        <w:t>推进大数据及关联产业发展，推进全产业链精准招商，形成完整产业链生态。</w:t>
      </w:r>
      <w:r>
        <w:rPr>
          <w:rFonts w:hint="eastAsia" w:ascii="仿宋_GB2312" w:hAnsi="仿宋_GB2312" w:eastAsia="仿宋_GB2312" w:cs="仿宋_GB2312"/>
          <w:b w:val="0"/>
          <w:bCs w:val="0"/>
          <w:color w:val="auto"/>
          <w:sz w:val="32"/>
          <w:szCs w:val="40"/>
          <w:highlight w:val="none"/>
          <w:lang w:val="en-US" w:eastAsia="zh-CN" w:bidi="ar"/>
        </w:rPr>
        <w:t>优化韶关集群产业布局，</w:t>
      </w:r>
      <w:r>
        <w:rPr>
          <w:rFonts w:hint="eastAsia" w:ascii="仿宋_GB2312" w:hAnsi="仿宋_GB2312" w:cs="仿宋_GB2312"/>
          <w:b w:val="0"/>
          <w:bCs w:val="0"/>
          <w:color w:val="auto"/>
          <w:sz w:val="32"/>
          <w:szCs w:val="40"/>
          <w:highlight w:val="none"/>
          <w:lang w:val="en-US" w:eastAsia="zh-CN" w:bidi="ar"/>
        </w:rPr>
        <w:t>积极培育大数据、算力产业</w:t>
      </w:r>
      <w:r>
        <w:rPr>
          <w:rFonts w:hint="eastAsia" w:ascii="仿宋_GB2312" w:hAnsi="仿宋_GB2312" w:eastAsia="仿宋_GB2312" w:cs="仿宋_GB2312"/>
          <w:color w:val="auto"/>
          <w:sz w:val="32"/>
          <w:szCs w:val="40"/>
          <w:highlight w:val="none"/>
          <w:lang w:val="en-US" w:eastAsia="zh-CN" w:bidi="ar"/>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847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0C4C52A8">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8  数据企业招引</w:t>
            </w:r>
            <w:r>
              <w:rPr>
                <w:rFonts w:hint="eastAsia" w:ascii="Times New Roman" w:hAnsi="Times New Roman" w:eastAsia="仿宋_GB2312" w:cs="Times New Roman"/>
                <w:b/>
                <w:bCs/>
                <w:color w:val="auto"/>
                <w:sz w:val="28"/>
                <w:szCs w:val="28"/>
                <w:highlight w:val="none"/>
                <w:vertAlign w:val="baseline"/>
                <w:lang w:val="en-US" w:eastAsia="zh-CN"/>
              </w:rPr>
              <w:t>工程</w:t>
            </w:r>
          </w:p>
        </w:tc>
      </w:tr>
      <w:tr w14:paraId="0DF7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061" w:type="dxa"/>
            <w:noWrap w:val="0"/>
            <w:vAlign w:val="top"/>
          </w:tcPr>
          <w:p w14:paraId="0528566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eastAsia" w:ascii="仿宋_GB2312" w:hAnsi="仿宋_GB2312" w:cs="仿宋_GB2312"/>
                <w:b w:val="0"/>
                <w:bCs w:val="0"/>
                <w:color w:val="auto"/>
                <w:sz w:val="28"/>
                <w:szCs w:val="28"/>
                <w:lang w:val="en-US" w:eastAsia="zh-CN"/>
              </w:rPr>
            </w:pPr>
            <w:r>
              <w:rPr>
                <w:rFonts w:hint="eastAsia" w:ascii="仿宋_GB2312" w:hAnsi="仿宋_GB2312" w:cs="仿宋_GB2312"/>
                <w:b/>
                <w:bCs/>
                <w:color w:val="auto"/>
                <w:sz w:val="28"/>
                <w:szCs w:val="28"/>
                <w:lang w:val="en-US" w:eastAsia="zh-CN"/>
              </w:rPr>
              <w:t>大力发展数据标注产业。</w:t>
            </w:r>
            <w:r>
              <w:rPr>
                <w:rFonts w:hint="eastAsia" w:ascii="仿宋_GB2312" w:hAnsi="仿宋_GB2312" w:cs="仿宋_GB2312"/>
                <w:b w:val="0"/>
                <w:bCs w:val="0"/>
                <w:color w:val="auto"/>
                <w:sz w:val="28"/>
                <w:szCs w:val="28"/>
                <w:lang w:val="en-US" w:eastAsia="zh-CN"/>
              </w:rPr>
              <w:t>构建以粤港澳大湾区数据应用产业园为核心的数据标注基地，大力招引数据标注企业，打造“算力－标注－应用”全链条产业生态，鼓励引导行业龙头企业立足市场需求，打造高质量行业数据集。</w:t>
            </w:r>
          </w:p>
          <w:p w14:paraId="6231FBD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eastAsia" w:ascii="仿宋_GB2312" w:hAnsi="仿宋_GB2312" w:cs="仿宋_GB2312"/>
                <w:b w:val="0"/>
                <w:bCs w:val="0"/>
                <w:color w:val="auto"/>
                <w:sz w:val="28"/>
                <w:szCs w:val="28"/>
                <w:lang w:eastAsia="zh-CN"/>
              </w:rPr>
            </w:pPr>
            <w:r>
              <w:rPr>
                <w:rFonts w:hint="eastAsia" w:ascii="仿宋_GB2312" w:hAnsi="仿宋_GB2312" w:cs="仿宋_GB2312"/>
                <w:b/>
                <w:bCs/>
                <w:color w:val="auto"/>
                <w:sz w:val="28"/>
                <w:szCs w:val="28"/>
                <w:lang w:eastAsia="zh-CN"/>
              </w:rPr>
              <w:t>强化技术应用企业培育招引。</w:t>
            </w:r>
            <w:r>
              <w:rPr>
                <w:rFonts w:hint="eastAsia" w:ascii="仿宋_GB2312" w:hAnsi="仿宋_GB2312" w:cs="仿宋_GB2312"/>
                <w:b w:val="0"/>
                <w:bCs w:val="0"/>
                <w:color w:val="auto"/>
                <w:sz w:val="28"/>
                <w:szCs w:val="28"/>
                <w:lang w:eastAsia="zh-CN"/>
              </w:rPr>
              <w:t>加强与粤港澳大湾区互联网公司和金融机构对接，引导互联网公司、金融机构等将数据生产系统落地韶关。</w:t>
            </w:r>
          </w:p>
          <w:p w14:paraId="3CDB383E">
            <w:pPr>
              <w:keepNext w:val="0"/>
              <w:keepLines w:val="0"/>
              <w:suppressLineNumbers w:val="0"/>
              <w:spacing w:before="0" w:beforeLines="0" w:beforeAutospacing="0" w:after="0" w:afterLines="0" w:afterAutospacing="0" w:line="560" w:lineRule="exact"/>
              <w:ind w:left="0" w:right="0" w:firstLine="562"/>
              <w:textAlignment w:val="auto"/>
              <w:rPr>
                <w:rFonts w:hint="eastAsia"/>
                <w:lang w:eastAsia="zh-CN"/>
              </w:rPr>
            </w:pPr>
            <w:r>
              <w:rPr>
                <w:rFonts w:hint="eastAsia" w:ascii="仿宋_GB2312" w:hAnsi="仿宋_GB2312" w:cs="仿宋_GB2312"/>
                <w:b/>
                <w:bCs/>
                <w:color w:val="auto"/>
                <w:sz w:val="28"/>
                <w:szCs w:val="28"/>
                <w:lang w:eastAsia="zh-CN"/>
              </w:rPr>
              <w:t>建设配套设施产业体系。</w:t>
            </w:r>
            <w:r>
              <w:rPr>
                <w:rFonts w:hint="eastAsia" w:ascii="仿宋_GB2312" w:hAnsi="仿宋_GB2312" w:cs="仿宋_GB2312"/>
                <w:b w:val="0"/>
                <w:bCs w:val="0"/>
                <w:color w:val="auto"/>
                <w:sz w:val="28"/>
                <w:szCs w:val="28"/>
                <w:lang w:eastAsia="zh-CN"/>
              </w:rPr>
              <w:t>支持县域特色优势产业与数字化信息化智能化融合发展，重点推动发展服务器、</w:t>
            </w:r>
            <w:r>
              <w:rPr>
                <w:rFonts w:hint="eastAsia" w:ascii="仿宋_GB2312" w:hAnsi="仿宋_GB2312" w:cs="仿宋_GB2312"/>
                <w:b w:val="0"/>
                <w:bCs w:val="0"/>
                <w:color w:val="auto"/>
                <w:sz w:val="28"/>
                <w:szCs w:val="28"/>
                <w:lang w:val="en-US" w:eastAsia="zh-CN"/>
              </w:rPr>
              <w:t>机柜、供配电设备、数据中心电池、新型储能装备、</w:t>
            </w:r>
            <w:r>
              <w:rPr>
                <w:rFonts w:hint="eastAsia" w:ascii="仿宋_GB2312" w:hAnsi="仿宋_GB2312" w:cs="仿宋_GB2312"/>
                <w:b w:val="0"/>
                <w:bCs w:val="0"/>
                <w:color w:val="auto"/>
                <w:sz w:val="28"/>
                <w:szCs w:val="28"/>
                <w:lang w:eastAsia="zh-CN"/>
              </w:rPr>
              <w:t>网络通信设备制造等产业。</w:t>
            </w:r>
          </w:p>
        </w:tc>
      </w:t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tbl>
    <w:p w14:paraId="1AECC992">
      <w:pPr>
        <w:pStyle w:val="5"/>
        <w:keepNext/>
        <w:keepLines/>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textAlignment w:val="auto"/>
        <w:outlineLvl w:val="0"/>
        <w:rPr>
          <w:rFonts w:hint="eastAsia" w:ascii="Times New Roman" w:hAnsi="Times New Roman" w:eastAsia="黑体" w:cs="Times New Roman"/>
          <w:b w:val="0"/>
          <w:bCs/>
          <w:color w:val="auto"/>
          <w:sz w:val="32"/>
          <w:szCs w:val="32"/>
          <w:highlight w:val="none"/>
          <w:lang w:val="en-US" w:eastAsia="zh-CN" w:bidi="ar"/>
        </w:rPr>
      </w:pPr>
      <w:bookmarkStart w:id="677" w:name="_Toc1530401709"/>
      <w:bookmarkStart w:id="678" w:name="_Toc1484423928"/>
      <w:bookmarkStart w:id="679" w:name="_Toc1325133785"/>
      <w:bookmarkStart w:id="680" w:name="_Toc30027"/>
      <w:bookmarkStart w:id="681" w:name="_Toc7135988"/>
      <w:bookmarkStart w:id="682" w:name="_Toc563068406"/>
      <w:bookmarkStart w:id="683" w:name="_Toc602"/>
      <w:bookmarkStart w:id="684" w:name="_Toc1282279833"/>
      <w:bookmarkStart w:id="685" w:name="_Toc1662412714"/>
      <w:bookmarkStart w:id="686" w:name="_Toc6996"/>
      <w:bookmarkStart w:id="687" w:name="_Toc1989438123"/>
      <w:bookmarkStart w:id="688" w:name="_Toc452904794"/>
      <w:bookmarkStart w:id="689" w:name="_Toc477890925"/>
      <w:bookmarkStart w:id="690" w:name="_Toc1408521036"/>
      <w:bookmarkStart w:id="691" w:name="_Toc9317"/>
      <w:bookmarkStart w:id="692" w:name="_Toc29327"/>
      <w:bookmarkStart w:id="693" w:name="_Toc1728030522"/>
      <w:bookmarkStart w:id="694" w:name="_Toc1809884212"/>
      <w:bookmarkStart w:id="695" w:name="_Toc1042659485"/>
      <w:bookmarkStart w:id="696" w:name="_Toc656471681"/>
      <w:bookmarkStart w:id="697" w:name="_Toc179327104"/>
      <w:bookmarkStart w:id="698" w:name="_Toc1245314721"/>
      <w:bookmarkStart w:id="699" w:name="_Toc1537180141"/>
      <w:bookmarkStart w:id="700" w:name="_Toc1399389935"/>
      <w:bookmarkStart w:id="701" w:name="_Toc1789353829"/>
      <w:bookmarkStart w:id="702" w:name="_Toc1721482146"/>
      <w:bookmarkStart w:id="703" w:name="_Toc2020234210"/>
      <w:bookmarkStart w:id="704" w:name="_Toc923560829"/>
      <w:bookmarkStart w:id="705" w:name="_Toc1048918393"/>
      <w:bookmarkStart w:id="706" w:name="_Toc402180942"/>
      <w:bookmarkStart w:id="707" w:name="_Toc1580484119"/>
      <w:bookmarkStart w:id="708" w:name="_Toc731384127"/>
      <w:bookmarkStart w:id="709" w:name="_Toc521158099"/>
      <w:bookmarkStart w:id="710" w:name="_Toc996925826"/>
      <w:bookmarkStart w:id="711" w:name="_Toc22691"/>
      <w:bookmarkStart w:id="712" w:name="_Toc8930"/>
      <w:r>
        <w:rPr>
          <w:rFonts w:hint="eastAsia" w:ascii="Times New Roman" w:hAnsi="Times New Roman" w:eastAsia="黑体" w:cs="Times New Roman"/>
          <w:b w:val="0"/>
          <w:bCs/>
          <w:color w:val="auto"/>
          <w:sz w:val="32"/>
          <w:szCs w:val="32"/>
          <w:highlight w:val="none"/>
          <w:lang w:val="en-US" w:eastAsia="zh-CN" w:bidi="ar"/>
        </w:rPr>
        <w:t>五、</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Fonts w:hint="eastAsia" w:ascii="Times New Roman" w:hAnsi="Times New Roman" w:eastAsia="黑体" w:cs="Times New Roman"/>
          <w:b w:val="0"/>
          <w:bCs/>
          <w:color w:val="auto"/>
          <w:sz w:val="32"/>
          <w:szCs w:val="32"/>
          <w:highlight w:val="none"/>
          <w:lang w:val="en-US" w:eastAsia="zh-CN"/>
        </w:rPr>
        <w:t>大力实施数字政府转型升级，提升政务服务质效</w:t>
      </w:r>
      <w:bookmarkEnd w:id="712"/>
    </w:p>
    <w:p w14:paraId="047952FB">
      <w:pPr>
        <w:pageBreakBefore w:val="0"/>
        <w:widowControl/>
        <w:kinsoku/>
        <w:overflowPunct/>
        <w:topLinePunct w:val="0"/>
        <w:autoSpaceDE/>
        <w:autoSpaceDN/>
        <w:bidi w:val="0"/>
        <w:adjustRightInd/>
        <w:spacing w:beforeLines="0" w:afterLines="0" w:line="560" w:lineRule="exact"/>
        <w:ind w:firstLine="0"/>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713" w:name="_Toc1875975145"/>
      <w:bookmarkStart w:id="714" w:name="_Toc1290115409"/>
      <w:bookmarkStart w:id="715" w:name="_Toc2026017025"/>
      <w:bookmarkStart w:id="716" w:name="_Toc834774005"/>
      <w:bookmarkStart w:id="717" w:name="_Toc1973856758"/>
      <w:bookmarkStart w:id="718" w:name="_Toc27701"/>
      <w:bookmarkStart w:id="719" w:name="_Toc1868316713"/>
      <w:bookmarkStart w:id="720" w:name="_Toc1814589550"/>
      <w:bookmarkStart w:id="721" w:name="_Toc1773261410"/>
      <w:bookmarkStart w:id="722" w:name="_Toc22810544"/>
      <w:bookmarkStart w:id="723" w:name="_Toc1014558352"/>
      <w:bookmarkStart w:id="724" w:name="_Toc1378116596"/>
      <w:bookmarkStart w:id="725" w:name="_Toc1428981791"/>
      <w:bookmarkStart w:id="726" w:name="_Toc14575"/>
      <w:bookmarkStart w:id="727" w:name="_Toc15991"/>
      <w:bookmarkStart w:id="728" w:name="_Toc784920068"/>
      <w:bookmarkStart w:id="729" w:name="_Toc20795"/>
      <w:bookmarkStart w:id="730" w:name="_Toc2130583202"/>
      <w:bookmarkStart w:id="731" w:name="_Toc649486157"/>
      <w:bookmarkStart w:id="732" w:name="_Toc928805323"/>
      <w:bookmarkStart w:id="733" w:name="_Toc1274300000"/>
      <w:bookmarkStart w:id="734" w:name="_Toc1367"/>
      <w:bookmarkStart w:id="735" w:name="_Toc1786081897"/>
      <w:bookmarkStart w:id="736" w:name="_Toc945071467"/>
      <w:bookmarkStart w:id="737" w:name="_Toc970334703"/>
      <w:bookmarkStart w:id="738" w:name="_Toc23313"/>
      <w:bookmarkStart w:id="739" w:name="_Toc1711796741"/>
      <w:bookmarkStart w:id="740" w:name="_Toc434263112"/>
      <w:bookmarkStart w:id="741" w:name="_Toc321124017"/>
      <w:bookmarkStart w:id="742" w:name="_Toc32146"/>
      <w:bookmarkStart w:id="743" w:name="_Toc1025286145"/>
      <w:bookmarkStart w:id="744" w:name="_Toc802302311"/>
      <w:bookmarkStart w:id="745" w:name="_Toc152693262"/>
      <w:bookmarkStart w:id="746" w:name="_Toc359474785"/>
      <w:bookmarkStart w:id="747" w:name="_Toc1147943222"/>
      <w:bookmarkStart w:id="748" w:name="_Toc417533799"/>
      <w:bookmarkStart w:id="749" w:name="_Toc371737791"/>
      <w:bookmarkStart w:id="750" w:name="_Toc1551070141"/>
      <w:bookmarkStart w:id="751" w:name="_Toc133542706"/>
      <w:bookmarkStart w:id="752" w:name="_Toc514925643"/>
      <w:bookmarkStart w:id="753" w:name="_Toc360725744"/>
      <w:bookmarkStart w:id="754" w:name="_Toc1700494013"/>
      <w:bookmarkStart w:id="755" w:name="_Toc1075153784"/>
      <w:bookmarkStart w:id="756" w:name="_Toc630475183"/>
      <w:bookmarkStart w:id="757" w:name="_Toc1483097813"/>
      <w:bookmarkStart w:id="758" w:name="_Toc545820872"/>
      <w:bookmarkStart w:id="759" w:name="_Toc137988513"/>
      <w:bookmarkStart w:id="760" w:name="_Toc727278886"/>
      <w:bookmarkStart w:id="761" w:name="_Toc88138135"/>
      <w:bookmarkStart w:id="762" w:name="_Toc1640131490"/>
      <w:bookmarkStart w:id="763" w:name="_Toc1771847991"/>
      <w:bookmarkStart w:id="764" w:name="_Toc62727159"/>
      <w:bookmarkStart w:id="765" w:name="_Toc1767837113"/>
      <w:bookmarkStart w:id="766" w:name="_Toc19417"/>
      <w:bookmarkStart w:id="767" w:name="_Toc1342140401"/>
      <w:bookmarkStart w:id="768" w:name="_Toc2075968366"/>
      <w:bookmarkStart w:id="769" w:name="_Toc83865335"/>
      <w:bookmarkStart w:id="770" w:name="_Toc1965120459"/>
      <w:bookmarkStart w:id="771" w:name="_Toc8865"/>
      <w:bookmarkStart w:id="772" w:name="_Toc15908"/>
      <w:bookmarkStart w:id="773" w:name="_Toc26054"/>
      <w:r>
        <w:rPr>
          <w:rStyle w:val="26"/>
          <w:rFonts w:hint="eastAsia" w:ascii="楷体_GB2312" w:hAnsi="楷体_GB2312" w:eastAsia="楷体_GB2312" w:cs="楷体_GB2312"/>
          <w:b w:val="0"/>
          <w:bCs/>
          <w:color w:val="auto"/>
          <w:szCs w:val="32"/>
          <w:highlight w:val="none"/>
          <w:lang w:eastAsia="zh-CN"/>
        </w:rPr>
        <w:t>（一）</w:t>
      </w:r>
      <w:r>
        <w:rPr>
          <w:rStyle w:val="26"/>
          <w:rFonts w:hint="eastAsia" w:ascii="楷体_GB2312" w:hAnsi="楷体_GB2312" w:eastAsia="楷体_GB2312" w:cs="楷体_GB2312"/>
          <w:b w:val="0"/>
          <w:bCs/>
          <w:color w:val="auto"/>
          <w:szCs w:val="32"/>
          <w:highlight w:val="none"/>
          <w:lang w:val="en-US" w:eastAsia="zh-CN"/>
        </w:rPr>
        <w:t>提升</w:t>
      </w:r>
      <w:r>
        <w:rPr>
          <w:rStyle w:val="26"/>
          <w:rFonts w:hint="eastAsia" w:ascii="楷体_GB2312" w:hAnsi="楷体_GB2312" w:eastAsia="楷体_GB2312" w:cs="楷体_GB2312"/>
          <w:b w:val="0"/>
          <w:bCs/>
          <w:color w:val="auto"/>
          <w:szCs w:val="32"/>
          <w:highlight w:val="none"/>
        </w:rPr>
        <w:t>政府</w:t>
      </w:r>
      <w:r>
        <w:rPr>
          <w:rStyle w:val="26"/>
          <w:rFonts w:hint="eastAsia" w:ascii="楷体_GB2312" w:hAnsi="楷体_GB2312" w:eastAsia="楷体_GB2312" w:cs="楷体_GB2312"/>
          <w:b w:val="0"/>
          <w:bCs/>
          <w:color w:val="auto"/>
          <w:szCs w:val="32"/>
          <w:highlight w:val="none"/>
          <w:lang w:val="en-US" w:eastAsia="zh-CN"/>
        </w:rPr>
        <w:t>运行数字化水平</w:t>
      </w:r>
      <w:bookmarkEnd w:id="713"/>
      <w:bookmarkEnd w:id="714"/>
      <w:bookmarkEnd w:id="715"/>
      <w:bookmarkEnd w:id="716"/>
      <w:bookmarkEnd w:id="717"/>
      <w:bookmarkEnd w:id="718"/>
    </w:p>
    <w:bookmarkEnd w:id="719"/>
    <w:bookmarkEnd w:id="720"/>
    <w:bookmarkEnd w:id="721"/>
    <w:bookmarkEnd w:id="722"/>
    <w:bookmarkEnd w:id="723"/>
    <w:bookmarkEnd w:id="724"/>
    <w:p w14:paraId="7BDC1EA4">
      <w:pPr>
        <w:pageBreakBefore w:val="0"/>
        <w:widowControl w:val="0"/>
        <w:kinsoku/>
        <w:overflowPunct/>
        <w:topLinePunct w:val="0"/>
        <w:autoSpaceDE/>
        <w:autoSpaceDN/>
        <w:bidi w:val="0"/>
        <w:adjustRightInd/>
        <w:spacing w:beforeLines="0" w:afterLines="0" w:line="560" w:lineRule="exact"/>
        <w:ind w:firstLine="0"/>
        <w:textAlignment w:val="auto"/>
        <w:outlineLvl w:val="9"/>
        <w:rPr>
          <w:rFonts w:hint="eastAsia" w:ascii="仿宋_GB2312" w:hAnsi="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进一步加强</w:t>
      </w:r>
      <w:r>
        <w:rPr>
          <w:rFonts w:hint="eastAsia" w:ascii="仿宋_GB2312" w:hAnsi="仿宋_GB2312" w:cs="仿宋_GB2312"/>
          <w:color w:val="auto"/>
          <w:sz w:val="32"/>
          <w:szCs w:val="32"/>
          <w:highlight w:val="none"/>
          <w:lang w:val="en-US" w:eastAsia="zh-CN"/>
        </w:rPr>
        <w:t>全市</w:t>
      </w:r>
      <w:r>
        <w:rPr>
          <w:rFonts w:hint="eastAsia" w:ascii="仿宋_GB2312" w:hAnsi="仿宋_GB2312" w:eastAsia="仿宋_GB2312" w:cs="仿宋_GB2312"/>
          <w:color w:val="auto"/>
          <w:sz w:val="32"/>
          <w:szCs w:val="32"/>
          <w:highlight w:val="none"/>
          <w:lang w:val="en-US" w:eastAsia="zh-CN"/>
        </w:rPr>
        <w:t>政务信息</w:t>
      </w:r>
      <w:r>
        <w:rPr>
          <w:rFonts w:hint="eastAsia" w:ascii="仿宋_GB2312" w:hAnsi="仿宋_GB2312" w:cs="仿宋_GB2312"/>
          <w:color w:val="auto"/>
          <w:sz w:val="32"/>
          <w:szCs w:val="32"/>
          <w:highlight w:val="none"/>
          <w:lang w:val="en-US" w:eastAsia="zh-CN"/>
        </w:rPr>
        <w:t>系统和项目的</w:t>
      </w:r>
      <w:r>
        <w:rPr>
          <w:rFonts w:hint="eastAsia" w:ascii="仿宋_GB2312" w:hAnsi="仿宋_GB2312" w:eastAsia="仿宋_GB2312" w:cs="仿宋_GB2312"/>
          <w:color w:val="auto"/>
          <w:sz w:val="32"/>
          <w:szCs w:val="32"/>
          <w:highlight w:val="none"/>
          <w:lang w:val="en-US" w:eastAsia="zh-CN"/>
        </w:rPr>
        <w:t>统筹</w:t>
      </w:r>
      <w:r>
        <w:rPr>
          <w:rFonts w:hint="eastAsia" w:ascii="仿宋_GB2312" w:hAnsi="仿宋_GB2312" w:cs="仿宋_GB2312"/>
          <w:color w:val="auto"/>
          <w:sz w:val="32"/>
          <w:szCs w:val="32"/>
          <w:highlight w:val="none"/>
          <w:lang w:val="en-US" w:eastAsia="zh-CN"/>
        </w:rPr>
        <w:t>规划和管理，强化政务信息系统的集约建设和整合共享。推进党政机关数智化建设，建设广东省政务智能联合创新工场（韶关工场），推动人工智能赋能政务领域。深化政务数据协同共享，推进“机关内部一件事”“一表通”改革，切实提升政府运行效能。</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684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068CCA10">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9</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lang w:val="en-US" w:eastAsia="zh-CN"/>
              </w:rPr>
              <w:t>数字机关建设</w:t>
            </w:r>
            <w:r>
              <w:rPr>
                <w:rFonts w:hint="eastAsia" w:ascii="Times New Roman" w:hAnsi="Times New Roman" w:eastAsia="仿宋_GB2312" w:cs="Times New Roman"/>
                <w:b/>
                <w:bCs/>
                <w:color w:val="auto"/>
                <w:sz w:val="28"/>
                <w:szCs w:val="28"/>
                <w:highlight w:val="none"/>
                <w:lang w:val="en-US" w:eastAsia="zh-CN"/>
              </w:rPr>
              <w:t>工程</w:t>
            </w:r>
          </w:p>
        </w:tc>
      </w:tr>
      <w:tr w14:paraId="4389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061" w:type="dxa"/>
            <w:noWrap w:val="0"/>
            <w:vAlign w:val="top"/>
          </w:tcPr>
          <w:p w14:paraId="600C9FDF">
            <w:pPr>
              <w:pStyle w:val="12"/>
              <w:keepNext w:val="0"/>
              <w:keepLines w:val="0"/>
              <w:pageBreakBefore w:val="0"/>
              <w:widowControl w:val="0"/>
              <w:suppressLineNumbers w:val="0"/>
              <w:kinsoku/>
              <w:wordWrap/>
              <w:overflowPunct/>
              <w:topLinePunct w:val="0"/>
              <w:autoSpaceDE/>
              <w:autoSpaceDN/>
              <w:bidi w:val="0"/>
              <w:adjustRightInd/>
              <w:snapToGrid/>
              <w:spacing w:beforeLines="0" w:beforeAutospacing="0" w:after="0" w:afterLines="0" w:afterAutospacing="0" w:line="560" w:lineRule="exact"/>
              <w:ind w:left="0" w:right="0" w:firstLine="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开展数字政府平台整合优化。</w:t>
            </w:r>
            <w:r>
              <w:rPr>
                <w:rFonts w:hint="eastAsia" w:ascii="仿宋_GB2312" w:hAnsi="仿宋_GB2312" w:eastAsia="仿宋_GB2312" w:cs="仿宋_GB2312"/>
                <w:b w:val="0"/>
                <w:bCs w:val="0"/>
                <w:color w:val="auto"/>
                <w:sz w:val="28"/>
                <w:szCs w:val="28"/>
                <w:highlight w:val="none"/>
                <w:lang w:val="en-US" w:eastAsia="zh-CN"/>
              </w:rPr>
              <w:t>梳理政务服务应用和政务办公、机关事务管理等</w:t>
            </w:r>
            <w:r>
              <w:rPr>
                <w:rFonts w:hint="eastAsia" w:ascii="仿宋_GB2312" w:hAnsi="仿宋_GB2312" w:cs="仿宋_GB2312"/>
                <w:b w:val="0"/>
                <w:bCs w:val="0"/>
                <w:color w:val="auto"/>
                <w:sz w:val="28"/>
                <w:szCs w:val="28"/>
                <w:highlight w:val="none"/>
                <w:lang w:val="en-US" w:eastAsia="zh-CN"/>
              </w:rPr>
              <w:t>政务协同</w:t>
            </w:r>
            <w:r>
              <w:rPr>
                <w:rFonts w:hint="eastAsia" w:ascii="仿宋_GB2312" w:hAnsi="仿宋_GB2312" w:eastAsia="仿宋_GB2312" w:cs="仿宋_GB2312"/>
                <w:b w:val="0"/>
                <w:bCs w:val="0"/>
                <w:color w:val="auto"/>
                <w:sz w:val="28"/>
                <w:szCs w:val="28"/>
                <w:highlight w:val="none"/>
                <w:lang w:val="en-US" w:eastAsia="zh-CN"/>
              </w:rPr>
              <w:t>应用</w:t>
            </w:r>
            <w:r>
              <w:rPr>
                <w:rFonts w:hint="eastAsia" w:ascii="仿宋_GB2312" w:hAnsi="仿宋_GB2312" w:cs="仿宋_GB2312"/>
                <w:b w:val="0"/>
                <w:bCs w:val="0"/>
                <w:color w:val="auto"/>
                <w:sz w:val="28"/>
                <w:szCs w:val="28"/>
                <w:highlight w:val="none"/>
                <w:lang w:val="en-US" w:eastAsia="zh-CN"/>
              </w:rPr>
              <w:t>系统</w:t>
            </w:r>
            <w:r>
              <w:rPr>
                <w:rFonts w:hint="eastAsia" w:ascii="仿宋_GB2312" w:hAnsi="仿宋_GB2312" w:eastAsia="仿宋_GB2312" w:cs="仿宋_GB2312"/>
                <w:b w:val="0"/>
                <w:bCs w:val="0"/>
                <w:color w:val="auto"/>
                <w:sz w:val="28"/>
                <w:szCs w:val="28"/>
                <w:highlight w:val="none"/>
                <w:lang w:val="en-US" w:eastAsia="zh-CN"/>
              </w:rPr>
              <w:t>，统一接入到“粤省事”和“粤政易”两大核心服务入口</w:t>
            </w:r>
            <w:r>
              <w:rPr>
                <w:rFonts w:hint="eastAsia" w:ascii="仿宋_GB2312" w:hAnsi="仿宋_GB2312" w:cs="仿宋_GB2312"/>
                <w:b w:val="0"/>
                <w:bCs w:val="0"/>
                <w:color w:val="auto"/>
                <w:sz w:val="28"/>
                <w:szCs w:val="28"/>
                <w:highlight w:val="none"/>
                <w:lang w:val="en-US" w:eastAsia="zh-CN"/>
              </w:rPr>
              <w:t>。</w:t>
            </w:r>
          </w:p>
          <w:p w14:paraId="2D433F7A">
            <w:pPr>
              <w:pStyle w:val="12"/>
              <w:keepNext w:val="0"/>
              <w:keepLines w:val="0"/>
              <w:pageBreakBefore w:val="0"/>
              <w:widowControl w:val="0"/>
              <w:suppressLineNumbers w:val="0"/>
              <w:kinsoku/>
              <w:wordWrap/>
              <w:overflowPunct/>
              <w:topLinePunct w:val="0"/>
              <w:autoSpaceDE/>
              <w:autoSpaceDN/>
              <w:bidi w:val="0"/>
              <w:adjustRightInd/>
              <w:snapToGrid/>
              <w:spacing w:beforeLines="0" w:beforeAutospacing="0" w:after="0" w:afterLines="0" w:afterAutospacing="0" w:line="560" w:lineRule="exact"/>
              <w:ind w:left="0" w:right="0" w:firstLine="0"/>
              <w:textAlignment w:val="auto"/>
              <w:rPr>
                <w:rFonts w:hint="default" w:ascii="仿宋_GB2312" w:hAnsi="仿宋_GB2312" w:eastAsia="仿宋_GB2312" w:cs="仿宋_GB2312"/>
                <w:b w:val="0"/>
                <w:bCs w:val="0"/>
                <w:color w:val="auto"/>
                <w:kern w:val="2"/>
                <w:sz w:val="28"/>
                <w:szCs w:val="28"/>
                <w:lang w:val="en-US" w:eastAsia="zh-CN" w:bidi="ar-SA"/>
              </w:rPr>
            </w:pPr>
            <w:r>
              <w:rPr>
                <w:rFonts w:hint="eastAsia" w:ascii="仿宋_GB2312" w:hAnsi="仿宋_GB2312" w:cs="仿宋_GB2312"/>
                <w:b/>
                <w:bCs/>
                <w:color w:val="auto"/>
                <w:kern w:val="2"/>
                <w:sz w:val="28"/>
                <w:szCs w:val="28"/>
                <w:lang w:val="en-US" w:eastAsia="zh-CN" w:bidi="ar-SA"/>
              </w:rPr>
              <w:t>推进政务履职监督工程。</w:t>
            </w:r>
            <w:r>
              <w:rPr>
                <w:rFonts w:hint="eastAsia" w:ascii="仿宋_GB2312" w:hAnsi="仿宋_GB2312" w:cs="仿宋_GB2312"/>
                <w:b w:val="0"/>
                <w:bCs w:val="0"/>
                <w:color w:val="auto"/>
                <w:kern w:val="2"/>
                <w:sz w:val="28"/>
                <w:szCs w:val="28"/>
                <w:lang w:val="en-US" w:eastAsia="zh-CN" w:bidi="ar-SA"/>
              </w:rPr>
              <w:t>本地部署</w:t>
            </w:r>
            <w:r>
              <w:rPr>
                <w:rFonts w:hint="eastAsia" w:ascii="仿宋_GB2312" w:hAnsi="仿宋_GB2312" w:eastAsia="仿宋_GB2312" w:cs="仿宋_GB2312"/>
                <w:b w:val="0"/>
                <w:bCs w:val="0"/>
                <w:color w:val="auto"/>
                <w:kern w:val="2"/>
                <w:sz w:val="28"/>
                <w:szCs w:val="28"/>
                <w:lang w:val="en-US" w:eastAsia="zh-CN" w:bidi="ar-SA"/>
              </w:rPr>
              <w:t>数字人大平台，搭建线上代表联络站和民主民意表达平台，实现议案建议全流程闭环管理。</w:t>
            </w:r>
          </w:p>
          <w:p w14:paraId="3577446C">
            <w:pPr>
              <w:pStyle w:val="12"/>
              <w:keepNext w:val="0"/>
              <w:keepLines w:val="0"/>
              <w:pageBreakBefore w:val="0"/>
              <w:widowControl w:val="0"/>
              <w:suppressLineNumbers w:val="0"/>
              <w:kinsoku/>
              <w:wordWrap/>
              <w:overflowPunct/>
              <w:topLinePunct w:val="0"/>
              <w:autoSpaceDE/>
              <w:autoSpaceDN/>
              <w:bidi w:val="0"/>
              <w:adjustRightInd/>
              <w:snapToGrid/>
              <w:spacing w:beforeLines="0" w:beforeAutospacing="0" w:after="0" w:afterLines="0" w:afterAutospacing="0" w:line="560" w:lineRule="exact"/>
              <w:ind w:left="0" w:right="0" w:firstLine="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全面规范基层填表报数</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val="0"/>
                <w:bCs w:val="0"/>
                <w:color w:val="auto"/>
                <w:sz w:val="28"/>
                <w:szCs w:val="28"/>
                <w:highlight w:val="none"/>
                <w:lang w:val="en-US" w:eastAsia="zh-CN"/>
              </w:rPr>
              <w:t>推进</w:t>
            </w:r>
            <w:r>
              <w:rPr>
                <w:rFonts w:hint="eastAsia" w:ascii="仿宋_GB2312" w:hAnsi="仿宋_GB2312" w:eastAsia="仿宋_GB2312" w:cs="仿宋_GB2312"/>
                <w:b w:val="0"/>
                <w:bCs w:val="0"/>
                <w:color w:val="auto"/>
                <w:sz w:val="28"/>
                <w:szCs w:val="28"/>
                <w:highlight w:val="none"/>
                <w:lang w:val="en-US" w:eastAsia="zh-CN"/>
              </w:rPr>
              <w:t>“一表通”</w:t>
            </w:r>
            <w:r>
              <w:rPr>
                <w:rFonts w:hint="eastAsia" w:ascii="仿宋_GB2312" w:hAnsi="仿宋_GB2312" w:cs="仿宋_GB2312"/>
                <w:b w:val="0"/>
                <w:bCs w:val="0"/>
                <w:color w:val="auto"/>
                <w:sz w:val="28"/>
                <w:szCs w:val="28"/>
                <w:highlight w:val="none"/>
                <w:lang w:val="en-US" w:eastAsia="zh-CN"/>
              </w:rPr>
              <w:t>改革</w:t>
            </w:r>
            <w:r>
              <w:rPr>
                <w:rFonts w:hint="eastAsia" w:ascii="仿宋_GB2312" w:hAnsi="仿宋_GB2312" w:eastAsia="仿宋_GB2312" w:cs="仿宋_GB2312"/>
                <w:color w:val="auto"/>
                <w:kern w:val="0"/>
                <w:sz w:val="28"/>
                <w:szCs w:val="28"/>
                <w:lang w:val="en-US" w:eastAsia="zh-CN" w:bidi="ar"/>
              </w:rPr>
              <w:t>，严格落实“无审批不新增”，整合数据项相近、报送周期相似的报表，统一归集至“一表通”系统，实现“一个入口填报、一个系统管理”，</w:t>
            </w:r>
            <w:r>
              <w:rPr>
                <w:rFonts w:hint="eastAsia" w:ascii="仿宋_GB2312" w:hAnsi="仿宋_GB2312" w:eastAsia="仿宋_GB2312" w:cs="仿宋_GB2312"/>
                <w:b w:val="0"/>
                <w:bCs w:val="0"/>
                <w:color w:val="auto"/>
                <w:sz w:val="28"/>
                <w:szCs w:val="28"/>
                <w:highlight w:val="none"/>
                <w:lang w:val="en-US" w:eastAsia="zh-CN"/>
              </w:rPr>
              <w:t>强化数据共享，实现基层数据“一次采集、多方共用”。</w:t>
            </w:r>
          </w:p>
          <w:p w14:paraId="27F175CF">
            <w:pPr>
              <w:pStyle w:val="12"/>
              <w:keepNext w:val="0"/>
              <w:keepLines w:val="0"/>
              <w:suppressLineNumbers w:val="0"/>
              <w:spacing w:beforeLines="0" w:beforeAutospacing="0" w:after="0" w:afterLines="0" w:afterAutospacing="0" w:line="560" w:lineRule="exact"/>
              <w:ind w:left="0" w:right="0" w:firstLine="0"/>
              <w:rPr>
                <w:rFonts w:hint="default"/>
                <w:lang w:val="en-US" w:eastAsia="zh-CN"/>
              </w:rPr>
            </w:pPr>
            <w:r>
              <w:rPr>
                <w:rFonts w:hint="eastAsia" w:ascii="仿宋_GB2312" w:hAnsi="仿宋_GB2312" w:cs="仿宋_GB2312"/>
                <w:b/>
                <w:bCs/>
                <w:color w:val="auto"/>
                <w:kern w:val="2"/>
                <w:sz w:val="28"/>
                <w:szCs w:val="28"/>
                <w:highlight w:val="none"/>
                <w:lang w:val="en-US" w:eastAsia="zh-CN" w:bidi="ar"/>
              </w:rPr>
              <w:t>推进数字档案建设。</w:t>
            </w:r>
            <w:r>
              <w:rPr>
                <w:rFonts w:hint="eastAsia" w:ascii="仿宋_GB2312" w:hAnsi="仿宋_GB2312" w:cs="仿宋_GB2312"/>
                <w:b w:val="0"/>
                <w:bCs w:val="0"/>
                <w:color w:val="auto"/>
                <w:kern w:val="2"/>
                <w:sz w:val="28"/>
                <w:szCs w:val="28"/>
                <w:highlight w:val="none"/>
                <w:lang w:val="en-US" w:eastAsia="zh-CN" w:bidi="ar"/>
              </w:rPr>
              <w:t>实施韶关市数字档案馆升级改造，构建“馆室一体化”架构，实现我市OA系统电子文件在线归档和数字档案数据无缝移交，确保电子档案数据真实、完整、安全、可用。</w:t>
            </w:r>
          </w:p>
        </w:tc>
      </w:t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tbl>
    <w:p w14:paraId="71878D03">
      <w:pPr>
        <w:keepNext w:val="0"/>
        <w:keepLines w:val="0"/>
        <w:pageBreakBefore w:val="0"/>
        <w:widowControl/>
        <w:numPr>
          <w:ilvl w:val="-1"/>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outlineLvl w:val="1"/>
        <w:rPr>
          <w:rStyle w:val="26"/>
          <w:rFonts w:hint="eastAsia" w:ascii="楷体_GB2312" w:hAnsi="楷体_GB2312" w:eastAsia="楷体_GB2312" w:cs="楷体_GB2312"/>
          <w:b w:val="0"/>
          <w:bCs/>
          <w:color w:val="auto"/>
          <w:sz w:val="32"/>
          <w:szCs w:val="32"/>
          <w:highlight w:val="none"/>
          <w:lang w:val="en-US" w:eastAsia="zh-CN"/>
        </w:rPr>
      </w:pPr>
      <w:bookmarkStart w:id="774" w:name="_Toc1910400530"/>
      <w:bookmarkStart w:id="775" w:name="_Toc809465935"/>
      <w:bookmarkStart w:id="776" w:name="_Toc28006"/>
      <w:bookmarkStart w:id="777" w:name="_Toc2121958623"/>
      <w:bookmarkStart w:id="778" w:name="_Toc1566676599"/>
      <w:bookmarkStart w:id="779" w:name="_Toc992861794"/>
      <w:r>
        <w:rPr>
          <w:rStyle w:val="26"/>
          <w:rFonts w:hint="eastAsia" w:ascii="楷体_GB2312" w:hAnsi="楷体_GB2312" w:eastAsia="楷体_GB2312" w:cs="楷体_GB2312"/>
          <w:b w:val="0"/>
          <w:bCs/>
          <w:color w:val="auto"/>
          <w:sz w:val="32"/>
          <w:szCs w:val="32"/>
          <w:highlight w:val="none"/>
          <w:lang w:val="en-US" w:eastAsia="zh-CN"/>
        </w:rPr>
        <w:t>（二）持续深化政务服务改革</w:t>
      </w:r>
      <w:bookmarkEnd w:id="774"/>
      <w:bookmarkEnd w:id="775"/>
      <w:bookmarkEnd w:id="776"/>
      <w:bookmarkEnd w:id="777"/>
      <w:bookmarkEnd w:id="778"/>
      <w:bookmarkEnd w:id="779"/>
    </w:p>
    <w:p w14:paraId="35D6E62A">
      <w:pPr>
        <w:keepNext w:val="0"/>
        <w:keepLines w:val="0"/>
        <w:widowControl w:val="0"/>
        <w:suppressLineNumbers w:val="0"/>
        <w:spacing w:before="0" w:beforeLines="0" w:beforeAutospacing="0" w:after="0" w:afterLines="0" w:afterAutospacing="0"/>
        <w:ind w:left="0" w:right="0" w:firstLine="0"/>
        <w:jc w:val="both"/>
        <w:outlineLvl w:val="9"/>
        <w:rPr>
          <w:rFonts w:hint="eastAsia" w:ascii="仿宋_GB2312" w:hAnsi="Calibri" w:eastAsia="仿宋_GB2312" w:cs="仿宋_GB2312"/>
          <w:b w:val="0"/>
          <w:bCs/>
          <w:color w:val="auto"/>
          <w:kern w:val="0"/>
          <w:sz w:val="32"/>
          <w:szCs w:val="32"/>
          <w:lang w:val="en-US" w:eastAsia="zh-CN" w:bidi="ar"/>
        </w:rPr>
      </w:pPr>
      <w:r>
        <w:rPr>
          <w:rFonts w:hint="eastAsia" w:ascii="仿宋_GB2312" w:hAnsi="Calibri" w:eastAsia="仿宋_GB2312" w:cs="仿宋_GB2312"/>
          <w:b w:val="0"/>
          <w:bCs/>
          <w:color w:val="auto"/>
          <w:kern w:val="0"/>
          <w:sz w:val="32"/>
          <w:szCs w:val="32"/>
          <w:lang w:val="en-US" w:eastAsia="zh-CN" w:bidi="ar"/>
        </w:rPr>
        <w:t>全面精简审批备案事项和申报材料，压减审批时限，全力提升行政审批效率。扩大</w:t>
      </w:r>
      <w:r>
        <w:rPr>
          <w:rFonts w:hint="eastAsia" w:ascii="仿宋_GB2312" w:cs="仿宋_GB2312"/>
          <w:b w:val="0"/>
          <w:bCs/>
          <w:color w:val="auto"/>
          <w:kern w:val="0"/>
          <w:sz w:val="32"/>
          <w:szCs w:val="32"/>
          <w:lang w:val="en-US" w:eastAsia="zh-CN" w:bidi="ar"/>
        </w:rPr>
        <w:t>告知</w:t>
      </w:r>
      <w:r>
        <w:rPr>
          <w:rFonts w:hint="eastAsia" w:ascii="仿宋_GB2312" w:hAnsi="Calibri" w:eastAsia="仿宋_GB2312" w:cs="仿宋_GB2312"/>
          <w:b w:val="0"/>
          <w:bCs/>
          <w:color w:val="auto"/>
          <w:kern w:val="0"/>
          <w:sz w:val="32"/>
          <w:szCs w:val="32"/>
          <w:lang w:val="en-US" w:eastAsia="zh-CN" w:bidi="ar"/>
        </w:rPr>
        <w:t>承诺、容缺受理适用范围，优化并联审批，推行联合评审、勘验、验收。升级建设“即接即办”平台，整合多渠道民生诉求数据资源。强化平台数据分析，为政府决策提供科学依据。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79A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6751A38">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10 深化政务服务改革工程</w:t>
            </w:r>
          </w:p>
        </w:tc>
      </w:tr>
      <w:tr w14:paraId="68D2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3D089FD1">
            <w:pPr>
              <w:keepNext w:val="0"/>
              <w:keepLines w:val="0"/>
              <w:suppressLineNumbers w:val="0"/>
              <w:spacing w:before="0" w:beforeLines="0" w:beforeAutospacing="0" w:after="0" w:afterLines="0" w:afterAutospacing="0" w:line="560" w:lineRule="exact"/>
              <w:ind w:left="0" w:right="0" w:firstLine="0"/>
              <w:rPr>
                <w:rFonts w:hint="eastAsia" w:ascii="仿宋_GB2312" w:hAnsi="仿宋_GB2312" w:eastAsia="仿宋_GB2312" w:cs="仿宋_GB2312"/>
                <w:i w:val="0"/>
                <w:caps w:val="0"/>
                <w:color w:val="auto"/>
                <w:spacing w:val="0"/>
                <w:sz w:val="28"/>
                <w:szCs w:val="28"/>
                <w:highlight w:val="none"/>
                <w:shd w:val="clear"/>
              </w:rPr>
            </w:pPr>
            <w:r>
              <w:rPr>
                <w:rFonts w:hint="eastAsia" w:ascii="仿宋_GB2312" w:hAnsi="仿宋_GB2312" w:cs="仿宋_GB2312"/>
                <w:b/>
                <w:bCs/>
                <w:color w:val="auto"/>
                <w:sz w:val="28"/>
                <w:szCs w:val="28"/>
                <w:highlight w:val="none"/>
                <w:lang w:val="en-US" w:eastAsia="zh-CN"/>
              </w:rPr>
              <w:t>深化“高效办成一件事</w:t>
            </w:r>
            <w:r>
              <w:rPr>
                <w:rFonts w:hint="default" w:ascii="仿宋_GB2312" w:hAnsi="仿宋_GB2312" w:cs="仿宋_GB2312"/>
                <w:b/>
                <w:bCs/>
                <w:color w:val="auto"/>
                <w:sz w:val="28"/>
                <w:szCs w:val="28"/>
                <w:highlight w:val="none"/>
                <w:lang w:val="en-US" w:eastAsia="zh-CN"/>
              </w:rPr>
              <w:t>”</w:t>
            </w:r>
            <w:r>
              <w:rPr>
                <w:rFonts w:hint="eastAsia" w:ascii="仿宋_GB2312" w:hAnsi="仿宋_GB2312" w:cs="仿宋_GB2312"/>
                <w:b/>
                <w:bCs/>
                <w:color w:val="auto"/>
                <w:sz w:val="28"/>
                <w:szCs w:val="28"/>
                <w:highlight w:val="none"/>
                <w:lang w:val="en-US" w:eastAsia="zh-CN"/>
              </w:rPr>
              <w:t>改革。</w:t>
            </w:r>
            <w:r>
              <w:rPr>
                <w:rFonts w:hint="eastAsia" w:ascii="仿宋_GB2312" w:hAnsi="仿宋_GB2312" w:cs="仿宋_GB2312"/>
                <w:b w:val="0"/>
                <w:bCs w:val="0"/>
                <w:color w:val="auto"/>
                <w:sz w:val="28"/>
                <w:szCs w:val="28"/>
                <w:highlight w:val="none"/>
                <w:lang w:val="en-US" w:eastAsia="zh-CN"/>
              </w:rPr>
              <w:t>健全“高效办成一件事”重点事项常态化推进机制，实现总体清单内重点事项全面落地实施。新增一批本地特色“一件事”集成服务，编制韶关市“一件事”办事指南。</w:t>
            </w:r>
          </w:p>
          <w:p w14:paraId="1765FE94">
            <w:pPr>
              <w:keepNext w:val="0"/>
              <w:keepLines w:val="0"/>
              <w:suppressLineNumbers w:val="0"/>
              <w:spacing w:before="0" w:beforeLines="0" w:beforeAutospacing="0" w:after="0" w:afterLines="0" w:afterAutospacing="0" w:line="560" w:lineRule="exact"/>
              <w:ind w:left="0" w:right="0" w:firstLine="0"/>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全面提升大厅“三化”建设。</w:t>
            </w:r>
            <w:r>
              <w:rPr>
                <w:rFonts w:hint="eastAsia" w:ascii="仿宋_GB2312" w:hAnsi="仿宋_GB2312" w:eastAsia="仿宋_GB2312" w:cs="仿宋_GB2312"/>
                <w:i w:val="0"/>
                <w:caps w:val="0"/>
                <w:color w:val="auto"/>
                <w:spacing w:val="0"/>
                <w:sz w:val="28"/>
                <w:szCs w:val="28"/>
                <w:highlight w:val="none"/>
                <w:shd w:val="clear"/>
              </w:rPr>
              <w:t>落实政务服务“应进必进”工作，确保所有依申请办理政务服务事项进驻政务服务中心。优化服务模式，科学规划设置特色服务窗口。</w:t>
            </w:r>
            <w:r>
              <w:rPr>
                <w:rFonts w:hint="eastAsia" w:ascii="仿宋_GB2312" w:hAnsi="仿宋_GB2312" w:cs="仿宋_GB2312"/>
                <w:i w:val="0"/>
                <w:caps w:val="0"/>
                <w:color w:val="auto"/>
                <w:spacing w:val="0"/>
                <w:sz w:val="28"/>
                <w:szCs w:val="28"/>
                <w:highlight w:val="none"/>
                <w:shd w:val="clear"/>
                <w:lang w:val="en-US" w:eastAsia="zh-CN"/>
              </w:rPr>
              <w:t>探索人工智能赋能，打造智慧便捷、无感普惠的服务体验。</w:t>
            </w:r>
          </w:p>
        </w:tc>
      </w:tr>
    </w:tbl>
    <w:p w14:paraId="03AB11F3">
      <w:pPr>
        <w:keepNext w:val="0"/>
        <w:keepLines w:val="0"/>
        <w:widowControl/>
        <w:numPr>
          <w:ilvl w:val="0"/>
          <w:numId w:val="0"/>
        </w:numPr>
        <w:suppressLineNumbers w:val="0"/>
        <w:spacing w:before="0" w:beforeLines="0" w:beforeAutospacing="0" w:after="0" w:afterLines="0" w:afterAutospacing="0"/>
        <w:ind w:left="0" w:right="0" w:firstLine="640"/>
        <w:jc w:val="left"/>
        <w:outlineLvl w:val="1"/>
        <w:rPr>
          <w:rStyle w:val="26"/>
          <w:rFonts w:hint="eastAsia" w:ascii="楷体_GB2312" w:hAnsi="楷体_GB2312" w:eastAsia="楷体_GB2312" w:cs="楷体_GB2312"/>
          <w:b w:val="0"/>
          <w:bCs/>
          <w:color w:val="auto"/>
          <w:szCs w:val="32"/>
          <w:highlight w:val="none"/>
        </w:rPr>
      </w:pPr>
      <w:bookmarkStart w:id="780" w:name="_Toc776239569"/>
      <w:bookmarkStart w:id="781" w:name="_Toc624527027"/>
      <w:bookmarkStart w:id="782" w:name="_Toc148274724"/>
      <w:bookmarkStart w:id="783" w:name="_Toc965160348"/>
      <w:bookmarkStart w:id="784" w:name="_Toc2134641368"/>
      <w:bookmarkStart w:id="785" w:name="_Toc13898"/>
      <w:bookmarkStart w:id="786" w:name="_Toc46700320"/>
      <w:bookmarkStart w:id="787" w:name="_Toc4179"/>
      <w:bookmarkStart w:id="788" w:name="_Toc487054286"/>
      <w:bookmarkStart w:id="789" w:name="_Toc359801088"/>
      <w:bookmarkStart w:id="790" w:name="_Toc1253082144"/>
      <w:bookmarkStart w:id="791" w:name="_Toc685030816"/>
      <w:bookmarkStart w:id="792" w:name="_Toc1029041027"/>
      <w:bookmarkStart w:id="793" w:name="_Toc556928665"/>
      <w:bookmarkStart w:id="794" w:name="_Toc200808800"/>
      <w:bookmarkStart w:id="795" w:name="_Toc1720193279"/>
      <w:bookmarkStart w:id="796" w:name="_Toc132180770"/>
      <w:bookmarkStart w:id="797" w:name="_Toc703263252"/>
      <w:bookmarkStart w:id="798" w:name="_Toc606815537"/>
      <w:bookmarkStart w:id="799" w:name="_Toc225982917"/>
      <w:bookmarkStart w:id="800" w:name="_Toc1916897589"/>
      <w:bookmarkStart w:id="801" w:name="_Toc7896"/>
      <w:bookmarkStart w:id="802" w:name="_Toc20977984"/>
      <w:bookmarkStart w:id="803" w:name="_Toc1332571490"/>
      <w:bookmarkStart w:id="804" w:name="_Toc1958232281"/>
      <w:bookmarkStart w:id="805" w:name="_Toc115402738"/>
      <w:bookmarkStart w:id="806" w:name="_Toc1050740706"/>
      <w:bookmarkStart w:id="807" w:name="_Toc522505712"/>
      <w:bookmarkStart w:id="808" w:name="_Toc819693026"/>
      <w:bookmarkStart w:id="809" w:name="_Toc1310191107"/>
      <w:bookmarkStart w:id="810" w:name="_Toc26915"/>
      <w:bookmarkStart w:id="811" w:name="_Toc614949095"/>
      <w:r>
        <w:rPr>
          <w:rStyle w:val="26"/>
          <w:rFonts w:hint="eastAsia" w:ascii="楷体_GB2312" w:hAnsi="楷体_GB2312" w:eastAsia="楷体_GB2312" w:cs="楷体_GB2312"/>
          <w:b w:val="0"/>
          <w:bCs/>
          <w:color w:val="auto"/>
          <w:szCs w:val="32"/>
          <w:highlight w:val="none"/>
          <w:lang w:val="en-US" w:eastAsia="zh-CN"/>
        </w:rPr>
        <w:t>（三）</w:t>
      </w:r>
      <w:r>
        <w:rPr>
          <w:rStyle w:val="26"/>
          <w:rFonts w:hint="eastAsia" w:ascii="楷体_GB2312" w:hAnsi="楷体_GB2312" w:eastAsia="楷体_GB2312" w:cs="楷体_GB2312"/>
          <w:b w:val="0"/>
          <w:bCs/>
          <w:color w:val="auto"/>
          <w:szCs w:val="32"/>
          <w:highlight w:val="none"/>
        </w:rPr>
        <w:t>推进</w:t>
      </w:r>
      <w:r>
        <w:rPr>
          <w:rStyle w:val="26"/>
          <w:rFonts w:hint="eastAsia" w:ascii="楷体_GB2312" w:hAnsi="楷体_GB2312" w:eastAsia="楷体_GB2312" w:cs="楷体_GB2312"/>
          <w:b w:val="0"/>
          <w:bCs/>
          <w:color w:val="auto"/>
          <w:szCs w:val="32"/>
          <w:highlight w:val="none"/>
          <w:lang w:eastAsia="zh-CN"/>
        </w:rPr>
        <w:t>政务</w:t>
      </w:r>
      <w:r>
        <w:rPr>
          <w:rStyle w:val="26"/>
          <w:rFonts w:hint="eastAsia" w:ascii="楷体_GB2312" w:hAnsi="楷体_GB2312" w:eastAsia="楷体_GB2312" w:cs="楷体_GB2312"/>
          <w:b w:val="0"/>
          <w:bCs/>
          <w:color w:val="auto"/>
          <w:szCs w:val="32"/>
          <w:highlight w:val="none"/>
          <w:lang w:val="en-US" w:eastAsia="zh-CN"/>
        </w:rPr>
        <w:t>服务</w:t>
      </w:r>
      <w:r>
        <w:rPr>
          <w:rStyle w:val="26"/>
          <w:rFonts w:hint="eastAsia" w:ascii="楷体_GB2312" w:hAnsi="楷体_GB2312" w:eastAsia="楷体_GB2312" w:cs="楷体_GB2312"/>
          <w:b w:val="0"/>
          <w:bCs/>
          <w:color w:val="auto"/>
          <w:szCs w:val="32"/>
          <w:highlight w:val="none"/>
        </w:rPr>
        <w:t>区域协同</w:t>
      </w:r>
      <w:bookmarkEnd w:id="780"/>
      <w:bookmarkEnd w:id="781"/>
      <w:bookmarkEnd w:id="782"/>
      <w:bookmarkEnd w:id="783"/>
      <w:bookmarkEnd w:id="784"/>
      <w:bookmarkEnd w:id="785"/>
    </w:p>
    <w:p w14:paraId="3C02C904">
      <w:pPr>
        <w:keepNext w:val="0"/>
        <w:keepLines w:val="0"/>
        <w:widowControl w:val="0"/>
        <w:suppressLineNumbers w:val="0"/>
        <w:spacing w:before="0" w:beforeLines="0" w:beforeAutospacing="0" w:after="0" w:afterLines="0" w:afterAutospacing="0"/>
        <w:ind w:left="0" w:right="0" w:firstLine="0"/>
        <w:jc w:val="both"/>
        <w:outlineLvl w:val="9"/>
        <w:rPr>
          <w:rStyle w:val="31"/>
          <w:color w:val="auto"/>
        </w:rPr>
      </w:pPr>
      <w:bookmarkStart w:id="812" w:name="_Toc55205221"/>
      <w:bookmarkStart w:id="813" w:name="_Toc1992460923"/>
      <w:bookmarkStart w:id="814" w:name="_Toc1128644603"/>
      <w:bookmarkStart w:id="815" w:name="_Toc1949838955"/>
      <w:bookmarkStart w:id="816" w:name="_Toc596960947"/>
      <w:bookmarkStart w:id="817" w:name="_Toc158932961"/>
      <w:bookmarkStart w:id="818" w:name="_Toc2134062885"/>
      <w:bookmarkStart w:id="819" w:name="_Toc2050003256"/>
      <w:r>
        <w:rPr>
          <w:rFonts w:hint="eastAsia" w:ascii="仿宋_GB2312" w:cs="仿宋_GB2312"/>
          <w:b w:val="0"/>
          <w:bCs/>
          <w:color w:val="auto"/>
          <w:kern w:val="0"/>
          <w:sz w:val="32"/>
          <w:szCs w:val="32"/>
          <w:lang w:val="en-US" w:eastAsia="zh-CN" w:bidi="ar"/>
        </w:rPr>
        <w:t>推行“跨域通办”，</w:t>
      </w:r>
      <w:r>
        <w:rPr>
          <w:rFonts w:hint="default" w:ascii="仿宋_GB2312" w:hAnsi="Calibri" w:eastAsia="仿宋_GB2312" w:cs="仿宋_GB2312"/>
          <w:b w:val="0"/>
          <w:bCs/>
          <w:color w:val="auto"/>
          <w:kern w:val="0"/>
          <w:sz w:val="32"/>
          <w:szCs w:val="32"/>
          <w:lang w:val="en-US" w:eastAsia="zh-CN" w:bidi="ar"/>
        </w:rPr>
        <w:t>营造</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湾区级</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营商体验</w:t>
      </w:r>
      <w:r>
        <w:rPr>
          <w:rFonts w:hint="default" w:ascii="仿宋_GB2312" w:hAnsi="Calibri" w:eastAsia="仿宋_GB2312" w:cs="仿宋_GB2312"/>
          <w:bCs/>
          <w:i w:val="0"/>
          <w:caps w:val="0"/>
          <w:color w:val="auto"/>
          <w:spacing w:val="0"/>
          <w:kern w:val="0"/>
          <w:sz w:val="32"/>
          <w:szCs w:val="32"/>
          <w:shd w:val="clear" w:color="auto" w:fill="auto"/>
          <w:lang w:val="en-US" w:eastAsia="zh-CN" w:bidi="ar"/>
        </w:rPr>
        <w:t>，实现与大湾区核心城市高频事项</w:t>
      </w:r>
      <w:r>
        <w:rPr>
          <w:rFonts w:hint="eastAsia" w:ascii="仿宋_GB2312" w:cs="仿宋_GB2312"/>
          <w:bCs/>
          <w:i w:val="0"/>
          <w:caps w:val="0"/>
          <w:color w:val="auto"/>
          <w:spacing w:val="0"/>
          <w:kern w:val="0"/>
          <w:sz w:val="32"/>
          <w:szCs w:val="32"/>
          <w:shd w:val="clear" w:color="auto" w:fill="auto"/>
          <w:lang w:val="en-US" w:eastAsia="zh-CN" w:bidi="ar"/>
        </w:rPr>
        <w:t>“</w:t>
      </w:r>
      <w:r>
        <w:rPr>
          <w:rFonts w:hint="default" w:ascii="仿宋_GB2312" w:hAnsi="Calibri" w:eastAsia="仿宋_GB2312" w:cs="仿宋_GB2312"/>
          <w:bCs/>
          <w:i w:val="0"/>
          <w:caps w:val="0"/>
          <w:color w:val="auto"/>
          <w:spacing w:val="0"/>
          <w:kern w:val="0"/>
          <w:sz w:val="32"/>
          <w:szCs w:val="32"/>
          <w:shd w:val="clear" w:color="auto" w:fill="auto"/>
          <w:lang w:val="en-US" w:eastAsia="zh-CN" w:bidi="ar"/>
        </w:rPr>
        <w:t>跨域通办</w:t>
      </w:r>
      <w:r>
        <w:rPr>
          <w:rFonts w:hint="eastAsia" w:ascii="仿宋_GB2312" w:cs="仿宋_GB2312"/>
          <w:bCs/>
          <w:i w:val="0"/>
          <w:caps w:val="0"/>
          <w:color w:val="auto"/>
          <w:spacing w:val="0"/>
          <w:kern w:val="0"/>
          <w:sz w:val="32"/>
          <w:szCs w:val="32"/>
          <w:shd w:val="clear" w:color="auto" w:fill="auto"/>
          <w:lang w:val="en-US" w:eastAsia="zh-CN" w:bidi="ar"/>
        </w:rPr>
        <w:t>”</w:t>
      </w:r>
      <w:r>
        <w:rPr>
          <w:rFonts w:hint="default" w:ascii="仿宋_GB2312" w:hAnsi="Calibri" w:eastAsia="仿宋_GB2312" w:cs="仿宋_GB2312"/>
          <w:b w:val="0"/>
          <w:bCs/>
          <w:color w:val="auto"/>
          <w:kern w:val="0"/>
          <w:sz w:val="32"/>
          <w:szCs w:val="32"/>
          <w:lang w:val="en-US" w:eastAsia="zh-CN" w:bidi="ar"/>
        </w:rPr>
        <w:t>。</w:t>
      </w:r>
      <w:r>
        <w:rPr>
          <w:rFonts w:hint="eastAsia" w:ascii="仿宋_GB2312" w:cs="仿宋_GB2312"/>
          <w:b w:val="0"/>
          <w:bCs w:val="0"/>
          <w:color w:val="auto"/>
          <w:kern w:val="0"/>
          <w:sz w:val="32"/>
          <w:szCs w:val="32"/>
          <w:lang w:val="en-US" w:eastAsia="zh-CN" w:bidi="ar"/>
        </w:rPr>
        <w:t>推行“跨省通办”，</w:t>
      </w:r>
      <w:r>
        <w:rPr>
          <w:rFonts w:hint="default" w:ascii="仿宋_GB2312" w:hAnsi="Calibri" w:eastAsia="仿宋_GB2312" w:cs="仿宋_GB2312"/>
          <w:b w:val="0"/>
          <w:bCs/>
          <w:color w:val="auto"/>
          <w:kern w:val="0"/>
          <w:sz w:val="32"/>
          <w:szCs w:val="32"/>
          <w:lang w:val="en-US" w:eastAsia="zh-CN" w:bidi="ar"/>
        </w:rPr>
        <w:t>升级与湘赣区域</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跨省通办</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，扩大合作城市范围，升级建设线上</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跨省通办</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服务专区。</w:t>
      </w:r>
      <w:r>
        <w:rPr>
          <w:rFonts w:hint="default" w:ascii="仿宋_GB2312" w:hAnsi="Calibri" w:eastAsia="仿宋_GB2312" w:cs="仿宋_GB2312"/>
          <w:b w:val="0"/>
          <w:bCs w:val="0"/>
          <w:color w:val="auto"/>
          <w:kern w:val="0"/>
          <w:sz w:val="32"/>
          <w:szCs w:val="32"/>
          <w:lang w:val="en-US" w:eastAsia="zh-CN" w:bidi="ar"/>
        </w:rPr>
        <w:t>全面推行</w:t>
      </w:r>
      <w:r>
        <w:rPr>
          <w:rFonts w:hint="eastAsia" w:ascii="仿宋_GB2312" w:cs="仿宋_GB2312"/>
          <w:b w:val="0"/>
          <w:bCs w:val="0"/>
          <w:color w:val="auto"/>
          <w:kern w:val="0"/>
          <w:sz w:val="32"/>
          <w:szCs w:val="32"/>
          <w:lang w:val="en-US" w:eastAsia="zh-CN" w:bidi="ar"/>
        </w:rPr>
        <w:t>“</w:t>
      </w:r>
      <w:r>
        <w:rPr>
          <w:rFonts w:hint="default" w:ascii="仿宋_GB2312" w:hAnsi="Calibri" w:eastAsia="仿宋_GB2312" w:cs="仿宋_GB2312"/>
          <w:b w:val="0"/>
          <w:bCs w:val="0"/>
          <w:color w:val="auto"/>
          <w:kern w:val="0"/>
          <w:sz w:val="32"/>
          <w:szCs w:val="32"/>
          <w:lang w:val="en-US" w:eastAsia="zh-CN" w:bidi="ar"/>
        </w:rPr>
        <w:t>市内通办</w:t>
      </w:r>
      <w:r>
        <w:rPr>
          <w:rFonts w:hint="eastAsia" w:ascii="仿宋_GB2312" w:cs="仿宋_GB2312"/>
          <w:b w:val="0"/>
          <w:bCs w:val="0"/>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大力实施</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收受分离</w:t>
      </w:r>
      <w:r>
        <w:rPr>
          <w:rFonts w:hint="eastAsia" w:ascii="仿宋_GB2312" w:cs="仿宋_GB2312"/>
          <w:b w:val="0"/>
          <w:bCs/>
          <w:color w:val="auto"/>
          <w:kern w:val="0"/>
          <w:sz w:val="32"/>
          <w:szCs w:val="32"/>
          <w:lang w:val="en-US" w:eastAsia="zh-CN" w:bidi="ar"/>
        </w:rPr>
        <w:t>”</w:t>
      </w:r>
      <w:r>
        <w:rPr>
          <w:rFonts w:hint="default" w:ascii="仿宋_GB2312" w:hAnsi="Calibri" w:eastAsia="仿宋_GB2312" w:cs="仿宋_GB2312"/>
          <w:b w:val="0"/>
          <w:bCs/>
          <w:color w:val="auto"/>
          <w:kern w:val="0"/>
          <w:sz w:val="32"/>
          <w:szCs w:val="32"/>
          <w:lang w:val="en-US" w:eastAsia="zh-CN" w:bidi="ar"/>
        </w:rPr>
        <w:t>模式，打破属地限制。</w:t>
      </w:r>
    </w:p>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316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1933E78">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11 政务协同推进工程</w:t>
            </w:r>
          </w:p>
        </w:tc>
      </w:tr>
      <w:tr w14:paraId="1C41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32E7AE5E">
            <w:pPr>
              <w:keepNext w:val="0"/>
              <w:keepLines w:val="0"/>
              <w:suppressLineNumbers w:val="0"/>
              <w:spacing w:before="0" w:beforeLines="0" w:beforeAutospacing="0" w:after="0" w:afterLines="0" w:afterAutospacing="0" w:line="560" w:lineRule="exact"/>
              <w:ind w:left="0" w:right="0" w:firstLine="562" w:firstLineChars="200"/>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cs="仿宋_GB2312"/>
                <w:b/>
                <w:bCs/>
                <w:color w:val="auto"/>
                <w:sz w:val="28"/>
                <w:szCs w:val="28"/>
                <w:highlight w:val="none"/>
                <w:lang w:val="en-US" w:eastAsia="zh-CN"/>
              </w:rPr>
              <w:t>打造</w:t>
            </w:r>
            <w:r>
              <w:rPr>
                <w:rFonts w:hint="eastAsia" w:ascii="仿宋_GB2312" w:hAnsi="仿宋_GB2312" w:eastAsia="仿宋_GB2312" w:cs="仿宋_GB2312"/>
                <w:b/>
                <w:bCs/>
                <w:color w:val="auto"/>
                <w:sz w:val="28"/>
                <w:szCs w:val="28"/>
                <w:highlight w:val="none"/>
                <w:lang w:eastAsia="zh-CN"/>
              </w:rPr>
              <w:t>“韶关帮办”</w:t>
            </w:r>
            <w:r>
              <w:rPr>
                <w:rFonts w:hint="eastAsia" w:ascii="仿宋_GB2312" w:hAnsi="仿宋_GB2312" w:cs="仿宋_GB2312"/>
                <w:b/>
                <w:bCs/>
                <w:color w:val="auto"/>
                <w:sz w:val="28"/>
                <w:szCs w:val="28"/>
                <w:highlight w:val="none"/>
                <w:lang w:val="en-US" w:eastAsia="zh-CN"/>
              </w:rPr>
              <w:t>品牌</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eastAsia="zh-CN"/>
              </w:rPr>
              <w:t>推广“全员帮办”服务理念，推动服务意识从“首席服务官”向“全员服务官”延伸，确保所有窗口人员具备专业的帮办导办能力，为特殊群体和复杂事项提供暖心贴心服务。</w:t>
            </w:r>
          </w:p>
          <w:p w14:paraId="3D93EDBA">
            <w:pPr>
              <w:keepNext w:val="0"/>
              <w:keepLines w:val="0"/>
              <w:suppressLineNumbers w:val="0"/>
              <w:spacing w:before="0" w:beforeLines="0" w:beforeAutospacing="0" w:after="0" w:afterLines="0" w:afterAutospacing="0" w:line="560" w:lineRule="exact"/>
              <w:ind w:left="0" w:right="0" w:firstLine="562" w:firstLineChars="200"/>
              <w:rPr>
                <w:rFonts w:hint="default"/>
                <w:color w:val="auto"/>
              </w:rPr>
            </w:pPr>
            <w:r>
              <w:rPr>
                <w:rFonts w:hint="eastAsia" w:ascii="仿宋_GB2312" w:hAnsi="仿宋_GB2312" w:eastAsia="仿宋_GB2312" w:cs="仿宋_GB2312"/>
                <w:b/>
                <w:bCs/>
                <w:color w:val="auto"/>
                <w:sz w:val="28"/>
                <w:szCs w:val="28"/>
                <w:highlight w:val="none"/>
                <w:lang w:eastAsia="zh-CN"/>
              </w:rPr>
              <w:t>融入数字湾区协同发展。</w:t>
            </w:r>
            <w:r>
              <w:rPr>
                <w:rFonts w:hint="eastAsia" w:ascii="仿宋_GB2312" w:hAnsi="仿宋_GB2312" w:eastAsia="仿宋_GB2312" w:cs="仿宋_GB2312"/>
                <w:b w:val="0"/>
                <w:bCs w:val="0"/>
                <w:color w:val="auto"/>
                <w:sz w:val="28"/>
                <w:szCs w:val="28"/>
                <w:highlight w:val="none"/>
                <w:lang w:eastAsia="zh-CN"/>
              </w:rPr>
              <w:t>依托“湾事通”泛公共服务平台，推动韶关与大湾区在政务服务、医疗、教育、旅游等领域信息共享、服务互通。</w:t>
            </w:r>
          </w:p>
        </w:tc>
      </w:tr>
    </w:tbl>
    <w:p w14:paraId="37CEEE62">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rPr>
      </w:pPr>
      <w:bookmarkStart w:id="820" w:name="_Toc956626002"/>
      <w:bookmarkStart w:id="821" w:name="_Toc2665"/>
      <w:bookmarkStart w:id="822" w:name="_Toc1978217979"/>
      <w:bookmarkStart w:id="823" w:name="_Toc102602728"/>
      <w:bookmarkStart w:id="824" w:name="_Toc1546227494"/>
      <w:bookmarkStart w:id="825" w:name="_Toc1166908800"/>
      <w:bookmarkStart w:id="826" w:name="_Toc79856113"/>
      <w:bookmarkStart w:id="827" w:name="_Toc1166225071"/>
      <w:bookmarkStart w:id="828" w:name="_Toc1478661015"/>
      <w:bookmarkStart w:id="829" w:name="_Toc78451525"/>
      <w:r>
        <w:rPr>
          <w:rStyle w:val="26"/>
          <w:rFonts w:hint="eastAsia" w:ascii="楷体_GB2312" w:hAnsi="楷体_GB2312" w:eastAsia="楷体_GB2312" w:cs="楷体_GB2312"/>
          <w:b w:val="0"/>
          <w:bCs/>
          <w:color w:val="auto"/>
          <w:szCs w:val="32"/>
          <w:highlight w:val="none"/>
          <w:lang w:val="en-US" w:eastAsia="zh-CN"/>
        </w:rPr>
        <w:t>（四）</w:t>
      </w:r>
      <w:r>
        <w:rPr>
          <w:rStyle w:val="26"/>
          <w:rFonts w:hint="eastAsia" w:ascii="楷体_GB2312" w:hAnsi="楷体_GB2312" w:eastAsia="楷体_GB2312" w:cs="楷体_GB2312"/>
          <w:b w:val="0"/>
          <w:bCs/>
          <w:color w:val="auto"/>
          <w:szCs w:val="32"/>
          <w:highlight w:val="none"/>
        </w:rPr>
        <w:t>完善招投标领域监管体系</w:t>
      </w:r>
      <w:bookmarkEnd w:id="820"/>
      <w:bookmarkEnd w:id="821"/>
      <w:bookmarkEnd w:id="822"/>
      <w:bookmarkEnd w:id="823"/>
      <w:bookmarkEnd w:id="824"/>
      <w:bookmarkEnd w:id="825"/>
    </w:p>
    <w:p w14:paraId="7921731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Style w:val="31"/>
          <w:color w:val="auto"/>
        </w:rPr>
      </w:pPr>
      <w:bookmarkStart w:id="830" w:name="_Toc61293356"/>
      <w:bookmarkStart w:id="831" w:name="_Toc776925465"/>
      <w:bookmarkStart w:id="832" w:name="_Toc1448705675"/>
      <w:bookmarkStart w:id="833" w:name="_Toc1135134357"/>
      <w:bookmarkStart w:id="834" w:name="_Toc442109690"/>
      <w:bookmarkStart w:id="835" w:name="_Toc1000983273"/>
      <w:bookmarkStart w:id="836" w:name="_Toc1365351590"/>
      <w:bookmarkStart w:id="837" w:name="_Toc1642287916"/>
      <w:r>
        <w:rPr>
          <w:rFonts w:hint="eastAsia" w:ascii="仿宋_GB2312" w:hAnsi="仿宋_GB2312" w:eastAsia="仿宋_GB2312" w:cs="仿宋_GB2312"/>
          <w:b w:val="0"/>
          <w:bCs w:val="0"/>
          <w:color w:val="auto"/>
          <w:kern w:val="2"/>
          <w:szCs w:val="32"/>
          <w:highlight w:val="none"/>
          <w:lang w:val="en-US" w:eastAsia="zh-CN" w:bidi="ar-SA"/>
        </w:rPr>
        <w:t>推进“评定分离”模式数字化转型，</w:t>
      </w:r>
      <w:r>
        <w:rPr>
          <w:rFonts w:hint="eastAsia" w:ascii="仿宋_GB2312" w:hAnsi="仿宋_GB2312" w:cs="仿宋_GB2312"/>
          <w:b w:val="0"/>
          <w:bCs w:val="0"/>
          <w:color w:val="auto"/>
          <w:kern w:val="2"/>
          <w:szCs w:val="32"/>
          <w:highlight w:val="none"/>
          <w:lang w:val="en-US" w:eastAsia="zh-CN" w:bidi="ar-SA"/>
        </w:rPr>
        <w:t>探索</w:t>
      </w:r>
      <w:r>
        <w:rPr>
          <w:rFonts w:hint="eastAsia" w:ascii="仿宋_GB2312" w:hAnsi="仿宋_GB2312" w:eastAsia="仿宋_GB2312" w:cs="仿宋_GB2312"/>
          <w:b w:val="0"/>
          <w:bCs w:val="0"/>
          <w:color w:val="auto"/>
          <w:kern w:val="2"/>
          <w:szCs w:val="32"/>
          <w:highlight w:val="none"/>
          <w:lang w:val="en-US" w:eastAsia="zh-CN" w:bidi="ar-SA"/>
        </w:rPr>
        <w:t>暗标管理应用功能</w:t>
      </w:r>
      <w:r>
        <w:rPr>
          <w:rFonts w:hint="eastAsia" w:ascii="仿宋_GB2312" w:hAnsi="仿宋_GB2312" w:cs="仿宋_GB2312"/>
          <w:b w:val="0"/>
          <w:bCs w:val="0"/>
          <w:color w:val="auto"/>
          <w:kern w:val="2"/>
          <w:szCs w:val="32"/>
          <w:highlight w:val="none"/>
          <w:lang w:val="en-US" w:eastAsia="zh-CN" w:bidi="ar-SA"/>
        </w:rPr>
        <w:t>。</w:t>
      </w:r>
      <w:r>
        <w:rPr>
          <w:rFonts w:hint="eastAsia" w:ascii="仿宋_GB2312" w:hAnsi="仿宋_GB2312" w:eastAsia="仿宋_GB2312" w:cs="仿宋_GB2312"/>
          <w:b w:val="0"/>
          <w:bCs w:val="0"/>
          <w:color w:val="auto"/>
          <w:kern w:val="2"/>
          <w:szCs w:val="32"/>
          <w:highlight w:val="none"/>
          <w:lang w:val="en-US" w:eastAsia="zh-CN" w:bidi="ar-SA"/>
        </w:rPr>
        <w:t>推进跨省、跨市远程异地评标常态化，探索实行远程异地评标“双随机”工作机制，构建智慧化公共资源交易监管体系。</w:t>
      </w:r>
    </w:p>
    <w:bookmarkEnd w:id="771"/>
    <w:bookmarkEnd w:id="772"/>
    <w:bookmarkEnd w:id="773"/>
    <w:bookmarkEnd w:id="826"/>
    <w:bookmarkEnd w:id="827"/>
    <w:bookmarkEnd w:id="828"/>
    <w:bookmarkEnd w:id="829"/>
    <w:bookmarkEnd w:id="830"/>
    <w:bookmarkEnd w:id="831"/>
    <w:bookmarkEnd w:id="832"/>
    <w:bookmarkEnd w:id="833"/>
    <w:bookmarkEnd w:id="834"/>
    <w:bookmarkEnd w:id="835"/>
    <w:bookmarkEnd w:id="836"/>
    <w:bookmarkEnd w:id="837"/>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0FD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5EAA036">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12 招投标机制健全工程</w:t>
            </w:r>
          </w:p>
        </w:tc>
      </w:tr>
      <w:tr w14:paraId="2B12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45CEB480">
            <w:pPr>
              <w:keepNext w:val="0"/>
              <w:keepLines w:val="0"/>
              <w:suppressLineNumbers w:val="0"/>
              <w:spacing w:before="0" w:beforeLines="0" w:beforeAutospacing="0" w:after="0" w:afterLines="0" w:afterAutospacing="0" w:line="560" w:lineRule="exact"/>
              <w:ind w:left="0" w:right="0" w:firstLine="562"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构建智慧监管模型。</w:t>
            </w:r>
            <w:r>
              <w:rPr>
                <w:rFonts w:hint="eastAsia" w:ascii="仿宋_GB2312" w:hAnsi="仿宋_GB2312" w:eastAsia="仿宋_GB2312" w:cs="仿宋_GB2312"/>
                <w:color w:val="auto"/>
                <w:sz w:val="28"/>
                <w:szCs w:val="28"/>
                <w:highlight w:val="none"/>
                <w:lang w:eastAsia="zh-CN"/>
              </w:rPr>
              <w:t>整合交易相关数据资源，推进数据标准规范建设，逐步形成可动态完善、持续优化的交易数据库。利用平台沉淀的数据，构建针对“围标串标”“异常报价”“关联关系”等风险点的智能识别模型。</w:t>
            </w:r>
          </w:p>
          <w:p w14:paraId="7292FD0D">
            <w:pPr>
              <w:keepNext w:val="0"/>
              <w:keepLines w:val="0"/>
              <w:suppressLineNumbers w:val="0"/>
              <w:spacing w:before="0" w:beforeLines="0" w:beforeAutospacing="0" w:after="0" w:afterLines="0" w:afterAutospacing="0" w:line="560" w:lineRule="exact"/>
              <w:ind w:left="0" w:right="0" w:firstLine="562" w:firstLineChars="200"/>
              <w:rPr>
                <w:rFonts w:hint="default"/>
              </w:rPr>
            </w:pPr>
            <w:r>
              <w:rPr>
                <w:rFonts w:hint="eastAsia" w:ascii="仿宋_GB2312" w:hAnsi="仿宋_GB2312" w:eastAsia="仿宋_GB2312" w:cs="仿宋_GB2312"/>
                <w:b/>
                <w:bCs/>
                <w:color w:val="auto"/>
                <w:sz w:val="28"/>
                <w:szCs w:val="28"/>
                <w:highlight w:val="none"/>
                <w:lang w:eastAsia="zh-CN"/>
              </w:rPr>
              <w:t>推行“承诺+信用”制。</w:t>
            </w:r>
            <w:r>
              <w:rPr>
                <w:rFonts w:hint="eastAsia" w:ascii="仿宋_GB2312" w:hAnsi="仿宋_GB2312" w:eastAsia="仿宋_GB2312" w:cs="仿宋_GB2312"/>
                <w:color w:val="auto"/>
                <w:sz w:val="28"/>
                <w:szCs w:val="28"/>
                <w:highlight w:val="none"/>
                <w:lang w:eastAsia="zh-CN"/>
              </w:rPr>
              <w:t>积极推广保函、保险等非现金方式替代现金保证金，完善保证金快速退还相关安排，减轻市场主体资金压力。</w:t>
            </w:r>
            <w:r>
              <w:rPr>
                <w:rFonts w:hint="eastAsia" w:ascii="仿宋_GB2312" w:hAnsi="仿宋_GB2312" w:eastAsia="仿宋_GB2312" w:cs="仿宋_GB2312"/>
                <w:color w:val="auto"/>
                <w:sz w:val="28"/>
                <w:szCs w:val="28"/>
                <w:highlight w:val="none"/>
                <w:lang w:val="en-US" w:eastAsia="zh-CN"/>
              </w:rPr>
              <w:t>推行信用核查</w:t>
            </w:r>
            <w:r>
              <w:rPr>
                <w:rFonts w:hint="eastAsia" w:ascii="仿宋_GB2312" w:hAnsi="仿宋_GB2312" w:eastAsia="仿宋_GB2312" w:cs="仿宋_GB2312"/>
                <w:color w:val="auto"/>
                <w:sz w:val="28"/>
                <w:szCs w:val="28"/>
                <w:highlight w:val="none"/>
                <w:lang w:eastAsia="zh-CN"/>
              </w:rPr>
              <w:t>，允许供应商在投标时以书面承诺代替部分证明材料，事后进行信用核查，切实减轻企业负担。</w:t>
            </w:r>
          </w:p>
        </w:tc>
      </w:tr>
    </w:tbl>
    <w:p w14:paraId="7EFF344C">
      <w:pPr>
        <w:pStyle w:val="5"/>
        <w:keepNext/>
        <w:keepLines/>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textAlignment w:val="auto"/>
        <w:outlineLvl w:val="0"/>
        <w:rPr>
          <w:rFonts w:hint="eastAsia" w:ascii="Times New Roman" w:hAnsi="Times New Roman" w:eastAsia="黑体" w:cs="Times New Roman"/>
          <w:b w:val="0"/>
          <w:bCs/>
          <w:color w:val="auto"/>
          <w:kern w:val="44"/>
          <w:sz w:val="32"/>
          <w:szCs w:val="32"/>
          <w:highlight w:val="none"/>
          <w:lang w:val="en-US" w:eastAsia="zh-CN" w:bidi="ar"/>
        </w:rPr>
      </w:pPr>
      <w:bookmarkStart w:id="838" w:name="_Toc1308"/>
      <w:r>
        <w:rPr>
          <w:rFonts w:hint="eastAsia" w:ascii="Times New Roman" w:hAnsi="Times New Roman" w:eastAsia="黑体" w:cs="Times New Roman"/>
          <w:b w:val="0"/>
          <w:bCs/>
          <w:color w:val="auto"/>
          <w:sz w:val="32"/>
          <w:szCs w:val="32"/>
          <w:highlight w:val="none"/>
          <w:lang w:val="en-US" w:eastAsia="zh-CN" w:bidi="ar"/>
        </w:rPr>
        <w:t>六、</w:t>
      </w:r>
      <w:r>
        <w:rPr>
          <w:rFonts w:hint="eastAsia" w:ascii="Times New Roman" w:hAnsi="Times New Roman" w:eastAsia="黑体" w:cs="Times New Roman"/>
          <w:b w:val="0"/>
          <w:bCs/>
          <w:color w:val="auto"/>
          <w:sz w:val="32"/>
          <w:szCs w:val="32"/>
          <w:highlight w:val="none"/>
          <w:lang w:val="en-US" w:eastAsia="zh-CN"/>
        </w:rPr>
        <w:t>打造普惠智慧社会服务体系，完善公共服务能力</w:t>
      </w:r>
      <w:bookmarkEnd w:id="838"/>
    </w:p>
    <w:p w14:paraId="5810DBAD">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839" w:name="_Toc25981"/>
      <w:bookmarkStart w:id="840" w:name="_Toc1097708197"/>
      <w:bookmarkStart w:id="841" w:name="_Toc576932729"/>
      <w:bookmarkStart w:id="842" w:name="_Toc2066456645"/>
      <w:bookmarkStart w:id="843" w:name="_Toc422075901"/>
      <w:bookmarkStart w:id="844" w:name="_Toc1378882389"/>
      <w:bookmarkStart w:id="845" w:name="_Toc345863550"/>
      <w:bookmarkStart w:id="846" w:name="_Toc1661068824"/>
      <w:bookmarkStart w:id="847" w:name="_Toc361276744"/>
      <w:bookmarkStart w:id="848" w:name="_Toc215570003"/>
      <w:bookmarkStart w:id="849" w:name="_Toc1643184567"/>
      <w:bookmarkStart w:id="850" w:name="_Toc1557831447"/>
      <w:bookmarkStart w:id="851" w:name="_Toc491293111"/>
      <w:bookmarkStart w:id="852" w:name="_Toc890481647"/>
      <w:bookmarkStart w:id="853" w:name="_Toc618856700"/>
      <w:bookmarkStart w:id="854" w:name="_Toc3767"/>
      <w:bookmarkStart w:id="855" w:name="_Toc1241101951"/>
      <w:bookmarkStart w:id="856" w:name="_Toc1195296308"/>
      <w:bookmarkStart w:id="857" w:name="_Toc710949609"/>
      <w:bookmarkStart w:id="858" w:name="_Toc1597821182"/>
      <w:bookmarkStart w:id="859" w:name="_Toc82605792"/>
      <w:bookmarkStart w:id="860" w:name="_Toc13794"/>
      <w:bookmarkStart w:id="861" w:name="_Toc2207"/>
      <w:bookmarkStart w:id="862" w:name="_Toc1248270410"/>
      <w:bookmarkStart w:id="863" w:name="_Toc1335461338"/>
      <w:bookmarkStart w:id="864" w:name="_Toc30546"/>
      <w:bookmarkStart w:id="865" w:name="_Toc205212912"/>
      <w:bookmarkStart w:id="866" w:name="_Toc356904965"/>
      <w:bookmarkStart w:id="867" w:name="_Toc302922488"/>
      <w:bookmarkStart w:id="868" w:name="_Toc1843252925"/>
      <w:bookmarkStart w:id="869" w:name="_Toc1059719975"/>
      <w:bookmarkStart w:id="870" w:name="_Toc1906762766"/>
      <w:bookmarkStart w:id="871" w:name="_Toc10696"/>
      <w:bookmarkStart w:id="872" w:name="_Toc14518"/>
      <w:bookmarkStart w:id="873" w:name="_Toc460125236"/>
      <w:r>
        <w:rPr>
          <w:rStyle w:val="26"/>
          <w:rFonts w:hint="eastAsia" w:ascii="楷体_GB2312" w:hAnsi="楷体_GB2312" w:eastAsia="楷体_GB2312" w:cs="楷体_GB2312"/>
          <w:b w:val="0"/>
          <w:bCs/>
          <w:color w:val="auto"/>
          <w:szCs w:val="32"/>
          <w:highlight w:val="none"/>
          <w:lang w:eastAsia="zh-CN"/>
        </w:rPr>
        <w:t>（一）</w:t>
      </w:r>
      <w:r>
        <w:rPr>
          <w:rStyle w:val="26"/>
          <w:rFonts w:hint="eastAsia" w:ascii="楷体_GB2312" w:hAnsi="楷体_GB2312" w:eastAsia="楷体_GB2312" w:cs="楷体_GB2312"/>
          <w:b w:val="0"/>
          <w:bCs/>
          <w:color w:val="auto"/>
          <w:szCs w:val="32"/>
          <w:highlight w:val="none"/>
          <w:lang w:val="en-US" w:eastAsia="zh-CN"/>
        </w:rPr>
        <w:t>提升中小学教育</w:t>
      </w:r>
      <w:r>
        <w:rPr>
          <w:rStyle w:val="26"/>
          <w:rFonts w:hint="eastAsia" w:ascii="楷体_GB2312" w:hAnsi="楷体_GB2312" w:eastAsia="楷体_GB2312" w:cs="楷体_GB2312"/>
          <w:b w:val="0"/>
          <w:bCs/>
          <w:color w:val="auto"/>
          <w:szCs w:val="32"/>
          <w:highlight w:val="none"/>
        </w:rPr>
        <w:t>智慧</w:t>
      </w:r>
      <w:r>
        <w:rPr>
          <w:rStyle w:val="26"/>
          <w:rFonts w:hint="eastAsia" w:ascii="楷体_GB2312" w:hAnsi="楷体_GB2312" w:eastAsia="楷体_GB2312" w:cs="楷体_GB2312"/>
          <w:b w:val="0"/>
          <w:bCs/>
          <w:color w:val="auto"/>
          <w:szCs w:val="32"/>
          <w:highlight w:val="none"/>
          <w:lang w:val="en-US" w:eastAsia="zh-CN"/>
        </w:rPr>
        <w:t>化水平</w:t>
      </w:r>
      <w:bookmarkEnd w:id="839"/>
      <w:bookmarkEnd w:id="840"/>
      <w:bookmarkEnd w:id="841"/>
      <w:bookmarkEnd w:id="842"/>
      <w:bookmarkEnd w:id="843"/>
      <w:bookmarkEnd w:id="844"/>
    </w:p>
    <w:p w14:paraId="512F5B5E">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default" w:ascii="仿宋_GB2312" w:hAnsi="仿宋_GB2312" w:cs="仿宋_GB2312"/>
          <w:b w:val="0"/>
          <w:bCs w:val="0"/>
          <w:color w:val="auto"/>
          <w:sz w:val="32"/>
          <w:szCs w:val="32"/>
          <w:highlight w:val="none"/>
          <w:lang w:val="en-US" w:eastAsia="zh-CN"/>
        </w:rPr>
      </w:pPr>
      <w:bookmarkStart w:id="874" w:name="_Toc1490539957"/>
      <w:bookmarkStart w:id="875" w:name="_Toc1802368925"/>
      <w:bookmarkStart w:id="876" w:name="_Toc1906003665"/>
      <w:bookmarkStart w:id="877" w:name="_Toc2050950801"/>
      <w:bookmarkStart w:id="878" w:name="_Toc1167632653"/>
      <w:bookmarkStart w:id="879" w:name="_Toc438925544"/>
      <w:bookmarkStart w:id="880" w:name="_Toc1410916273"/>
      <w:bookmarkStart w:id="881" w:name="_Toc899988763"/>
      <w:r>
        <w:rPr>
          <w:rFonts w:hint="eastAsia" w:ascii="仿宋_GB2312" w:hAnsi="仿宋_GB2312" w:eastAsia="仿宋_GB2312" w:cs="仿宋_GB2312"/>
          <w:b w:val="0"/>
          <w:bCs w:val="0"/>
          <w:color w:val="auto"/>
          <w:sz w:val="32"/>
          <w:szCs w:val="32"/>
          <w:highlight w:val="none"/>
          <w:lang w:val="en-US" w:eastAsia="zh-CN"/>
        </w:rPr>
        <w:t>加快推进人工智能技术与教育教学深度融合，</w:t>
      </w:r>
      <w:r>
        <w:rPr>
          <w:rFonts w:hint="eastAsia" w:ascii="仿宋_GB2312" w:hAnsi="仿宋_GB2312" w:cs="仿宋_GB2312"/>
          <w:b w:val="0"/>
          <w:bCs w:val="0"/>
          <w:color w:val="auto"/>
          <w:sz w:val="32"/>
          <w:szCs w:val="32"/>
          <w:highlight w:val="none"/>
          <w:lang w:val="en-US" w:eastAsia="zh-CN"/>
        </w:rPr>
        <w:t>实现优质教育资源共建共享共用。</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Pr>
          <w:rFonts w:hint="eastAsia" w:ascii="仿宋_GB2312" w:hAnsi="仿宋_GB2312" w:cs="仿宋_GB2312"/>
          <w:b w:val="0"/>
          <w:bCs w:val="0"/>
          <w:color w:val="auto"/>
          <w:sz w:val="32"/>
          <w:szCs w:val="32"/>
          <w:highlight w:val="none"/>
          <w:lang w:val="en-US" w:eastAsia="zh-CN"/>
        </w:rPr>
        <w:t>打造全市统一的协同育人智慧平台，整合线上线下资源，整体提升青少年学生身心健康</w:t>
      </w:r>
      <w:bookmarkStart w:id="1324" w:name="_GoBack"/>
      <w:bookmarkEnd w:id="1324"/>
      <w:r>
        <w:rPr>
          <w:rFonts w:hint="eastAsia" w:ascii="仿宋_GB2312" w:hAnsi="仿宋_GB2312" w:cs="仿宋_GB2312"/>
          <w:b w:val="0"/>
          <w:bCs w:val="0"/>
          <w:color w:val="auto"/>
          <w:sz w:val="32"/>
          <w:szCs w:val="32"/>
          <w:highlight w:val="none"/>
          <w:lang w:val="en-US" w:eastAsia="zh-CN"/>
        </w:rPr>
        <w:t>水平。</w:t>
      </w:r>
    </w:p>
    <w:p w14:paraId="03D07570">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882" w:name="_Toc264762667"/>
      <w:bookmarkStart w:id="883" w:name="_Toc137258407"/>
      <w:bookmarkStart w:id="884" w:name="_Toc1611263554"/>
      <w:bookmarkStart w:id="885" w:name="_Toc2019741386"/>
      <w:bookmarkStart w:id="886" w:name="_Toc29147"/>
      <w:bookmarkStart w:id="887" w:name="_Toc1682328254"/>
      <w:bookmarkStart w:id="888" w:name="_Toc1504386844"/>
      <w:bookmarkStart w:id="889" w:name="_Toc1068571369"/>
      <w:bookmarkStart w:id="890" w:name="_Toc1197889949"/>
      <w:bookmarkStart w:id="891" w:name="_Toc2026343613"/>
      <w:bookmarkStart w:id="892" w:name="_Toc1085997036"/>
      <w:bookmarkStart w:id="893" w:name="_Toc1132582548"/>
      <w:bookmarkStart w:id="894" w:name="_Toc585831961"/>
      <w:bookmarkStart w:id="895" w:name="_Toc536466747"/>
      <w:bookmarkStart w:id="896" w:name="_Toc1215850352"/>
      <w:bookmarkStart w:id="897" w:name="_Toc1243243966"/>
      <w:bookmarkStart w:id="898" w:name="_Toc1875207551"/>
      <w:bookmarkStart w:id="899" w:name="_Toc11685"/>
      <w:bookmarkStart w:id="900" w:name="_Toc1734349651"/>
      <w:bookmarkStart w:id="901" w:name="_Toc1322876864"/>
      <w:bookmarkStart w:id="902" w:name="_Toc1838875104"/>
      <w:bookmarkStart w:id="903" w:name="_Toc506352998"/>
      <w:bookmarkStart w:id="904" w:name="_Toc32348"/>
      <w:bookmarkStart w:id="905" w:name="_Toc738831541"/>
      <w:bookmarkStart w:id="906" w:name="_Toc27624"/>
      <w:bookmarkStart w:id="907" w:name="_Toc1531435913"/>
      <w:bookmarkStart w:id="908" w:name="_Toc15522"/>
      <w:bookmarkStart w:id="909" w:name="_Toc1219366736"/>
      <w:bookmarkStart w:id="910" w:name="_Toc1885801671"/>
      <w:bookmarkStart w:id="911" w:name="_Toc1286887603"/>
      <w:bookmarkStart w:id="912" w:name="_Toc518808735"/>
      <w:bookmarkStart w:id="913" w:name="_Toc1763085092"/>
      <w:bookmarkStart w:id="914" w:name="_Toc29326"/>
      <w:bookmarkStart w:id="915" w:name="_Toc26416"/>
      <w:bookmarkStart w:id="916" w:name="_Toc2131717739"/>
      <w:r>
        <w:rPr>
          <w:rStyle w:val="26"/>
          <w:rFonts w:hint="eastAsia" w:ascii="楷体_GB2312" w:hAnsi="楷体_GB2312" w:eastAsia="楷体_GB2312" w:cs="楷体_GB2312"/>
          <w:b w:val="0"/>
          <w:bCs/>
          <w:color w:val="auto"/>
          <w:szCs w:val="32"/>
          <w:highlight w:val="none"/>
          <w:lang w:eastAsia="zh-CN"/>
        </w:rPr>
        <w:t>（二）</w:t>
      </w:r>
      <w:r>
        <w:rPr>
          <w:rStyle w:val="26"/>
          <w:rFonts w:hint="eastAsia" w:ascii="楷体_GB2312" w:hAnsi="楷体_GB2312" w:eastAsia="楷体_GB2312" w:cs="楷体_GB2312"/>
          <w:b w:val="0"/>
          <w:bCs/>
          <w:color w:val="auto"/>
          <w:szCs w:val="32"/>
          <w:highlight w:val="none"/>
        </w:rPr>
        <w:t>构建智慧</w:t>
      </w:r>
      <w:r>
        <w:rPr>
          <w:rStyle w:val="26"/>
          <w:rFonts w:hint="eastAsia" w:ascii="楷体_GB2312" w:hAnsi="楷体_GB2312" w:eastAsia="楷体_GB2312" w:cs="楷体_GB2312"/>
          <w:b w:val="0"/>
          <w:bCs/>
          <w:color w:val="auto"/>
          <w:szCs w:val="32"/>
          <w:highlight w:val="none"/>
          <w:lang w:eastAsia="zh-CN"/>
        </w:rPr>
        <w:t>医疗卫生服务体系</w:t>
      </w:r>
      <w:bookmarkEnd w:id="882"/>
      <w:bookmarkEnd w:id="883"/>
      <w:bookmarkEnd w:id="884"/>
      <w:bookmarkEnd w:id="885"/>
      <w:bookmarkEnd w:id="886"/>
      <w:bookmarkEnd w:id="887"/>
    </w:p>
    <w:bookmarkEnd w:id="888"/>
    <w:bookmarkEnd w:id="889"/>
    <w:bookmarkEnd w:id="890"/>
    <w:bookmarkEnd w:id="891"/>
    <w:bookmarkEnd w:id="892"/>
    <w:bookmarkEnd w:id="893"/>
    <w:p w14:paraId="2ACA2EE0">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完善全民健康信息平台建设</w:t>
      </w:r>
      <w:r>
        <w:rPr>
          <w:rFonts w:hint="eastAsia" w:ascii="仿宋_GB2312" w:hAnsi="仿宋_GB2312" w:cs="仿宋_GB2312"/>
          <w:b/>
          <w:bCs/>
          <w:color w:val="auto"/>
          <w:sz w:val="32"/>
          <w:szCs w:val="32"/>
          <w:highlight w:val="none"/>
          <w:lang w:val="en-US" w:eastAsia="zh-CN"/>
        </w:rPr>
        <w:t>，</w:t>
      </w:r>
      <w:r>
        <w:rPr>
          <w:rFonts w:hint="eastAsia" w:ascii="仿宋_GB2312" w:hAnsi="仿宋_GB2312" w:cs="仿宋_GB2312"/>
          <w:b w:val="0"/>
          <w:bCs w:val="0"/>
          <w:color w:val="auto"/>
          <w:sz w:val="32"/>
          <w:szCs w:val="32"/>
          <w:highlight w:val="none"/>
          <w:lang w:val="en-US" w:eastAsia="zh-CN"/>
        </w:rPr>
        <w:t>探索“三医”协同体系建设，探索推进建立医疗、医保、医药统一高效的政策协同、信息联通和监管联动机制。建设县域数字化医共体示范项目，积极推动人工智能技术在辅助诊疗、健康管理等多样化场景中的创新应用。</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522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62FCA0BB">
            <w:pPr>
              <w:keepNext w:val="0"/>
              <w:keepLines w:val="0"/>
              <w:suppressLineNumbers w:val="0"/>
              <w:spacing w:before="0" w:beforeLines="0" w:beforeAutospacing="0" w:after="0" w:afterLines="0" w:afterAutospacing="0" w:line="560" w:lineRule="exact"/>
              <w:ind w:left="0" w:right="0" w:firstLine="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13  医疗健康行业智能化平台建设工程</w:t>
            </w:r>
          </w:p>
        </w:tc>
      </w:tr>
      <w:tr w14:paraId="52BC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1FE0EA6F">
            <w:pPr>
              <w:keepNext w:val="0"/>
              <w:keepLines w:val="0"/>
              <w:pageBreakBefore w:val="0"/>
              <w:widowControl w:val="0"/>
              <w:suppressLineNumbers w:val="0"/>
              <w:kinsoku/>
              <w:overflowPunct/>
              <w:topLinePunct w:val="0"/>
              <w:autoSpaceDE/>
              <w:autoSpaceDN/>
              <w:bidi w:val="0"/>
              <w:adjustRightInd/>
              <w:spacing w:before="0" w:beforeLines="0" w:beforeAutospacing="0" w:after="0" w:afterLines="0" w:afterAutospacing="0" w:line="560" w:lineRule="exact"/>
              <w:ind w:left="0" w:right="0" w:firstLine="0"/>
              <w:jc w:val="both"/>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Times New Roman" w:hAnsi="Times New Roman" w:cs="Times New Roman"/>
                <w:b/>
                <w:bCs/>
                <w:color w:val="auto"/>
                <w:sz w:val="28"/>
                <w:szCs w:val="28"/>
                <w:highlight w:val="none"/>
                <w:vertAlign w:val="baseline"/>
                <w:lang w:val="en-US" w:eastAsia="zh-CN"/>
              </w:rPr>
              <w:t>建设县域医共体信息平台。</w:t>
            </w:r>
            <w:r>
              <w:rPr>
                <w:rFonts w:hint="eastAsia" w:ascii="仿宋_GB2312" w:hAnsi="仿宋_GB2312" w:eastAsia="仿宋_GB2312" w:cs="仿宋_GB2312"/>
                <w:b w:val="0"/>
                <w:bCs w:val="0"/>
                <w:color w:val="auto"/>
                <w:sz w:val="28"/>
                <w:szCs w:val="28"/>
                <w:highlight w:val="none"/>
                <w:lang w:val="en-US" w:eastAsia="zh-CN"/>
              </w:rPr>
              <w:t>推动医共体建设数字化、智能化转型，</w:t>
            </w:r>
            <w:r>
              <w:rPr>
                <w:rFonts w:hint="eastAsia" w:ascii="仿宋_GB2312" w:hAnsi="仿宋_GB2312" w:cs="仿宋_GB2312"/>
                <w:b w:val="0"/>
                <w:bCs w:val="0"/>
                <w:color w:val="auto"/>
                <w:sz w:val="28"/>
                <w:szCs w:val="28"/>
                <w:highlight w:val="none"/>
                <w:lang w:val="en-US" w:eastAsia="zh-CN"/>
              </w:rPr>
              <w:t>实现“基层检查+上级诊断”</w:t>
            </w:r>
            <w:r>
              <w:rPr>
                <w:rFonts w:hint="eastAsia" w:ascii="仿宋_GB2312" w:hAnsi="仿宋_GB2312" w:eastAsia="仿宋_GB2312" w:cs="仿宋_GB2312"/>
                <w:b w:val="0"/>
                <w:bCs w:val="0"/>
                <w:color w:val="auto"/>
                <w:sz w:val="28"/>
                <w:szCs w:val="28"/>
                <w:highlight w:val="none"/>
                <w:lang w:val="en-US" w:eastAsia="zh-CN"/>
              </w:rPr>
              <w:t>。</w:t>
            </w:r>
            <w:r>
              <w:rPr>
                <w:rFonts w:hint="eastAsia" w:ascii="仿宋_GB2312" w:hAnsi="仿宋_GB2312" w:cs="仿宋_GB2312"/>
                <w:b w:val="0"/>
                <w:bCs w:val="0"/>
                <w:color w:val="auto"/>
                <w:sz w:val="28"/>
                <w:szCs w:val="28"/>
                <w:highlight w:val="none"/>
                <w:lang w:val="en-US" w:eastAsia="zh-CN"/>
              </w:rPr>
              <w:t>推动</w:t>
            </w:r>
            <w:r>
              <w:rPr>
                <w:rFonts w:hint="eastAsia" w:ascii="仿宋_GB2312" w:hAnsi="仿宋_GB2312" w:eastAsia="仿宋_GB2312" w:cs="仿宋_GB2312"/>
                <w:b w:val="0"/>
                <w:bCs w:val="0"/>
                <w:color w:val="auto"/>
                <w:sz w:val="28"/>
                <w:szCs w:val="28"/>
                <w:highlight w:val="none"/>
                <w:lang w:val="en-US" w:eastAsia="zh-CN"/>
              </w:rPr>
              <w:t>人工智能</w:t>
            </w:r>
            <w:r>
              <w:rPr>
                <w:rFonts w:hint="eastAsia" w:ascii="仿宋_GB2312" w:hAnsi="仿宋_GB2312" w:cs="仿宋_GB2312"/>
                <w:b w:val="0"/>
                <w:bCs w:val="0"/>
                <w:color w:val="auto"/>
                <w:sz w:val="28"/>
                <w:szCs w:val="28"/>
                <w:highlight w:val="none"/>
                <w:lang w:val="en-US" w:eastAsia="zh-CN"/>
              </w:rPr>
              <w:t>赋能，依托健康云算力和垂直领域大模型，</w:t>
            </w:r>
            <w:r>
              <w:rPr>
                <w:rFonts w:hint="eastAsia" w:ascii="仿宋_GB2312" w:hAnsi="仿宋_GB2312" w:eastAsia="仿宋_GB2312" w:cs="仿宋_GB2312"/>
                <w:b w:val="0"/>
                <w:bCs w:val="0"/>
                <w:color w:val="auto"/>
                <w:sz w:val="28"/>
                <w:szCs w:val="28"/>
                <w:highlight w:val="none"/>
                <w:lang w:val="en-US" w:eastAsia="zh-CN"/>
              </w:rPr>
              <w:t>提供影像阅片、辅助诊断、病历质控等应用。</w:t>
            </w:r>
          </w:p>
          <w:p w14:paraId="2B36BD27">
            <w:pPr>
              <w:keepNext w:val="0"/>
              <w:keepLines w:val="0"/>
              <w:suppressLineNumbers w:val="0"/>
              <w:spacing w:before="0" w:beforeLines="0" w:beforeAutospacing="0" w:after="0" w:afterLines="0" w:afterAutospacing="0"/>
              <w:ind w:left="0" w:right="0" w:firstLine="0"/>
              <w:rPr>
                <w:rFonts w:hint="default"/>
                <w:lang w:val="en-US" w:eastAsia="zh-CN"/>
              </w:rPr>
            </w:pPr>
            <w:r>
              <w:rPr>
                <w:rFonts w:hint="eastAsia" w:ascii="仿宋_GB2312" w:hAnsi="仿宋_GB2312" w:cs="仿宋_GB2312"/>
                <w:b/>
                <w:bCs/>
                <w:color w:val="auto"/>
                <w:sz w:val="28"/>
                <w:szCs w:val="28"/>
                <w:highlight w:val="none"/>
                <w:lang w:val="en-US" w:eastAsia="zh-CN"/>
              </w:rPr>
              <w:t>建设区域全民健康信息平台。</w:t>
            </w:r>
            <w:r>
              <w:rPr>
                <w:rFonts w:hint="eastAsia" w:ascii="仿宋_GB2312" w:hAnsi="仿宋_GB2312" w:cs="仿宋_GB2312"/>
                <w:b w:val="0"/>
                <w:bCs w:val="0"/>
                <w:color w:val="auto"/>
                <w:sz w:val="28"/>
                <w:szCs w:val="28"/>
                <w:highlight w:val="none"/>
                <w:lang w:val="en-US" w:eastAsia="zh-CN"/>
              </w:rPr>
              <w:t>打通市县镇村四级医疗机构数据壁垒，整合数据资源，实现检查结果互认和电子健康档案共享。</w:t>
            </w:r>
          </w:p>
        </w:tc>
      </w:tr>
    </w:tbl>
    <w:p w14:paraId="605EF806">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917" w:name="_Toc10100"/>
      <w:bookmarkStart w:id="918" w:name="_Toc423830329"/>
      <w:bookmarkStart w:id="919" w:name="_Toc1660952806"/>
      <w:bookmarkStart w:id="920" w:name="_Toc28815308"/>
      <w:bookmarkStart w:id="921" w:name="_Toc994975170"/>
      <w:bookmarkStart w:id="922" w:name="_Toc1173974371"/>
      <w:bookmarkStart w:id="923" w:name="_Toc738556608"/>
      <w:bookmarkStart w:id="924" w:name="_Toc2049279088"/>
      <w:bookmarkStart w:id="925" w:name="_Toc1660869385"/>
      <w:bookmarkStart w:id="926" w:name="_Toc763638395"/>
      <w:bookmarkStart w:id="927" w:name="_Toc1699853013"/>
      <w:bookmarkStart w:id="928" w:name="_Toc267495430"/>
      <w:bookmarkStart w:id="929" w:name="_Toc1946330216"/>
      <w:bookmarkStart w:id="930" w:name="_Toc1120454265"/>
      <w:bookmarkStart w:id="931" w:name="_Toc539440096"/>
      <w:bookmarkStart w:id="932" w:name="_Toc25595"/>
      <w:bookmarkStart w:id="933" w:name="_Toc119"/>
      <w:bookmarkStart w:id="934" w:name="_Toc13129"/>
      <w:bookmarkStart w:id="935" w:name="_Toc5249"/>
      <w:bookmarkStart w:id="936" w:name="_Toc193169813"/>
      <w:bookmarkStart w:id="937" w:name="_Toc966056047"/>
      <w:bookmarkStart w:id="938" w:name="_Toc1901851504"/>
      <w:bookmarkStart w:id="939" w:name="_Toc1791879707"/>
      <w:bookmarkStart w:id="940" w:name="_Toc27362"/>
      <w:bookmarkStart w:id="941" w:name="_Toc1616379254"/>
      <w:bookmarkStart w:id="942" w:name="_Toc1991583879"/>
      <w:bookmarkStart w:id="943" w:name="_Toc538830335"/>
      <w:bookmarkStart w:id="944" w:name="_Toc1565797553"/>
      <w:bookmarkStart w:id="945" w:name="_Toc566558957"/>
      <w:bookmarkStart w:id="946" w:name="_Toc1460859734"/>
      <w:bookmarkStart w:id="947" w:name="_Toc1883974805"/>
      <w:bookmarkStart w:id="948" w:name="_Toc708980880"/>
      <w:bookmarkStart w:id="949" w:name="_Toc71539120"/>
      <w:bookmarkStart w:id="950" w:name="_Toc19908"/>
      <w:bookmarkStart w:id="951" w:name="_Toc59348037"/>
      <w:r>
        <w:rPr>
          <w:rStyle w:val="26"/>
          <w:rFonts w:hint="eastAsia" w:ascii="楷体_GB2312" w:hAnsi="楷体_GB2312" w:eastAsia="楷体_GB2312" w:cs="楷体_GB2312"/>
          <w:b w:val="0"/>
          <w:bCs/>
          <w:color w:val="auto"/>
          <w:szCs w:val="32"/>
          <w:highlight w:val="none"/>
          <w:lang w:eastAsia="zh-CN"/>
        </w:rPr>
        <w:t>（三）</w:t>
      </w:r>
      <w:r>
        <w:rPr>
          <w:rStyle w:val="26"/>
          <w:rFonts w:hint="eastAsia" w:ascii="楷体_GB2312" w:hAnsi="楷体_GB2312" w:eastAsia="楷体_GB2312" w:cs="楷体_GB2312"/>
          <w:b w:val="0"/>
          <w:bCs/>
          <w:color w:val="auto"/>
          <w:szCs w:val="32"/>
          <w:highlight w:val="none"/>
        </w:rPr>
        <w:t>推进文旅</w:t>
      </w:r>
      <w:r>
        <w:rPr>
          <w:rStyle w:val="26"/>
          <w:rFonts w:hint="eastAsia" w:ascii="楷体_GB2312" w:hAnsi="楷体_GB2312" w:eastAsia="楷体_GB2312" w:cs="楷体_GB2312"/>
          <w:b w:val="0"/>
          <w:bCs/>
          <w:color w:val="auto"/>
          <w:szCs w:val="32"/>
          <w:highlight w:val="none"/>
          <w:lang w:val="en-US" w:eastAsia="zh-CN"/>
        </w:rPr>
        <w:t>产业数字化智能化</w:t>
      </w:r>
      <w:bookmarkEnd w:id="917"/>
      <w:bookmarkEnd w:id="918"/>
      <w:bookmarkEnd w:id="919"/>
      <w:bookmarkEnd w:id="920"/>
      <w:bookmarkEnd w:id="921"/>
      <w:bookmarkEnd w:id="922"/>
    </w:p>
    <w:bookmarkEnd w:id="923"/>
    <w:bookmarkEnd w:id="924"/>
    <w:bookmarkEnd w:id="925"/>
    <w:bookmarkEnd w:id="926"/>
    <w:bookmarkEnd w:id="927"/>
    <w:bookmarkEnd w:id="928"/>
    <w:p w14:paraId="39DC25C8">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提升全市</w:t>
      </w:r>
      <w:r>
        <w:rPr>
          <w:rFonts w:hint="eastAsia" w:ascii="仿宋_GB2312" w:hAnsi="仿宋_GB2312" w:cs="仿宋_GB2312"/>
          <w:color w:val="auto"/>
          <w:sz w:val="32"/>
          <w:szCs w:val="32"/>
          <w:highlight w:val="none"/>
          <w:lang w:val="en-US" w:eastAsia="zh-CN"/>
        </w:rPr>
        <w:t>景区</w:t>
      </w:r>
      <w:r>
        <w:rPr>
          <w:rFonts w:hint="eastAsia" w:ascii="仿宋_GB2312" w:hAnsi="仿宋_GB2312" w:eastAsia="仿宋_GB2312" w:cs="仿宋_GB2312"/>
          <w:color w:val="auto"/>
          <w:sz w:val="32"/>
          <w:szCs w:val="32"/>
          <w:highlight w:val="none"/>
          <w:lang w:val="en-US" w:eastAsia="zh-CN"/>
        </w:rPr>
        <w:t>公共服务设施智慧化水平，打造一体式智能服务体系。加强人工智能在文旅中的应用，打造无人智能游览和虚拟数字人，</w:t>
      </w:r>
      <w:r>
        <w:rPr>
          <w:rFonts w:hint="eastAsia" w:ascii="仿宋_GB2312" w:hAnsi="仿宋_GB2312" w:cs="仿宋_GB2312"/>
          <w:color w:val="auto"/>
          <w:sz w:val="32"/>
          <w:szCs w:val="32"/>
          <w:highlight w:val="none"/>
          <w:lang w:val="en-US" w:eastAsia="zh-CN"/>
        </w:rPr>
        <w:t>支持数字文化场馆建设，</w:t>
      </w:r>
      <w:r>
        <w:rPr>
          <w:rFonts w:hint="eastAsia" w:ascii="仿宋_GB2312" w:hAnsi="仿宋_GB2312" w:eastAsia="仿宋_GB2312" w:cs="仿宋_GB2312"/>
          <w:color w:val="auto"/>
          <w:sz w:val="32"/>
          <w:szCs w:val="32"/>
          <w:highlight w:val="none"/>
          <w:lang w:val="en-US" w:eastAsia="zh-CN"/>
        </w:rPr>
        <w:t>提升文</w:t>
      </w:r>
      <w:r>
        <w:rPr>
          <w:rFonts w:hint="eastAsia" w:ascii="仿宋_GB2312" w:hAnsi="仿宋_GB2312" w:cs="仿宋_GB2312"/>
          <w:color w:val="auto"/>
          <w:sz w:val="32"/>
          <w:szCs w:val="32"/>
          <w:highlight w:val="none"/>
          <w:lang w:val="en-US" w:eastAsia="zh-CN"/>
        </w:rPr>
        <w:t>化馆、博物馆等文化场</w:t>
      </w:r>
      <w:r>
        <w:rPr>
          <w:rFonts w:hint="eastAsia" w:ascii="仿宋_GB2312" w:hAnsi="仿宋_GB2312" w:eastAsia="仿宋_GB2312" w:cs="仿宋_GB2312"/>
          <w:color w:val="auto"/>
          <w:sz w:val="32"/>
          <w:szCs w:val="32"/>
          <w:highlight w:val="none"/>
          <w:lang w:val="en-US" w:eastAsia="zh-CN"/>
        </w:rPr>
        <w:t>馆的服务质量。</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Pr>
          <w:rFonts w:hint="eastAsia" w:ascii="仿宋_GB2312" w:hAnsi="仿宋_GB2312" w:eastAsia="仿宋_GB2312" w:cs="仿宋_GB2312"/>
          <w:color w:val="auto"/>
          <w:sz w:val="32"/>
          <w:szCs w:val="32"/>
          <w:highlight w:val="none"/>
          <w:lang w:val="en-US" w:eastAsia="zh-CN"/>
        </w:rPr>
        <w:t>推进广东文化智算中心建设</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推进文化与智算深度融合，孵化培育文化智算产业新业态。</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61C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2CA7261E">
            <w:pPr>
              <w:keepNext w:val="0"/>
              <w:keepLines w:val="0"/>
              <w:suppressLineNumbers w:val="0"/>
              <w:spacing w:before="0" w:beforeLines="0" w:beforeAutospacing="0" w:after="0" w:afterLines="0" w:afterAutospacing="0" w:line="560" w:lineRule="exact"/>
              <w:ind w:left="0" w:right="0"/>
              <w:jc w:val="center"/>
              <w:rPr>
                <w:rFonts w:hint="default" w:ascii="Times New Roman" w:hAnsi="Times New Roman" w:eastAsia="仿宋_GB2312"/>
                <w:b/>
                <w:bCs/>
                <w:color w:val="auto"/>
                <w:sz w:val="32"/>
                <w:szCs w:val="32"/>
                <w:highlight w:val="none"/>
                <w:vertAlign w:val="baseline"/>
                <w:lang w:val="en-US" w:eastAsia="zh-CN"/>
              </w:rPr>
            </w:pPr>
            <w:bookmarkStart w:id="952" w:name="_Toc1379247167"/>
            <w:bookmarkStart w:id="953" w:name="_Toc6869"/>
            <w:bookmarkStart w:id="954" w:name="_Toc22907"/>
            <w:bookmarkStart w:id="955" w:name="_Toc1118406984"/>
            <w:bookmarkStart w:id="956" w:name="_Toc2071482664"/>
            <w:bookmarkStart w:id="957" w:name="_Toc14015143"/>
            <w:bookmarkStart w:id="958" w:name="_Toc472"/>
            <w:bookmarkStart w:id="959" w:name="_Toc220068928"/>
            <w:bookmarkStart w:id="960" w:name="_Toc1972146391"/>
            <w:bookmarkStart w:id="961" w:name="_Toc141222314"/>
            <w:bookmarkStart w:id="962" w:name="_Toc723962704"/>
            <w:bookmarkStart w:id="963" w:name="_Toc1257014350"/>
            <w:bookmarkStart w:id="964" w:name="_Toc1463513641"/>
            <w:bookmarkStart w:id="965" w:name="_Toc25786"/>
            <w:bookmarkStart w:id="966" w:name="_Toc3276"/>
            <w:bookmarkStart w:id="967" w:name="_Toc673582207"/>
            <w:bookmarkStart w:id="968" w:name="_Toc98748570"/>
            <w:bookmarkStart w:id="969" w:name="_Toc1549373778"/>
            <w:bookmarkStart w:id="970" w:name="_Toc12983"/>
            <w:bookmarkStart w:id="971" w:name="_Toc132870306"/>
            <w:bookmarkStart w:id="972" w:name="_Toc1741710898"/>
            <w:bookmarkStart w:id="973" w:name="_Toc351728897"/>
            <w:bookmarkStart w:id="974" w:name="_Toc16155653"/>
            <w:bookmarkStart w:id="975" w:name="_Toc802616783"/>
            <w:bookmarkStart w:id="976" w:name="_Toc1072195309"/>
            <w:bookmarkStart w:id="977" w:name="_Toc1662304972"/>
            <w:bookmarkStart w:id="978" w:name="_Toc1615852578"/>
            <w:bookmarkStart w:id="979" w:name="_Toc38605493"/>
            <w:bookmarkStart w:id="980" w:name="_Toc834353705"/>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14</w:t>
            </w:r>
            <w:r>
              <w:rPr>
                <w:rFonts w:hint="eastAsia" w:ascii="Times New Roman" w:hAnsi="Times New Roman" w:eastAsia="仿宋_GB2312" w:cs="Times New Roman"/>
                <w:b/>
                <w:bCs/>
                <w:color w:val="auto"/>
                <w:sz w:val="28"/>
                <w:szCs w:val="28"/>
                <w:highlight w:val="none"/>
                <w:vertAlign w:val="baseline"/>
                <w:lang w:val="en-US" w:eastAsia="zh-CN"/>
              </w:rPr>
              <w:t xml:space="preserve">  </w:t>
            </w:r>
            <w:r>
              <w:rPr>
                <w:rFonts w:hint="eastAsia" w:ascii="Times New Roman" w:hAnsi="Times New Roman" w:cs="Times New Roman"/>
                <w:b/>
                <w:bCs/>
                <w:color w:val="auto"/>
                <w:sz w:val="28"/>
                <w:szCs w:val="28"/>
                <w:highlight w:val="none"/>
                <w:vertAlign w:val="baseline"/>
                <w:lang w:val="en-US" w:eastAsia="zh-CN"/>
              </w:rPr>
              <w:t>文旅服务赋能</w:t>
            </w:r>
            <w:r>
              <w:rPr>
                <w:rFonts w:hint="eastAsia" w:ascii="Times New Roman" w:hAnsi="Times New Roman" w:eastAsia="仿宋_GB2312" w:cs="Times New Roman"/>
                <w:b/>
                <w:bCs/>
                <w:color w:val="auto"/>
                <w:sz w:val="28"/>
                <w:szCs w:val="28"/>
                <w:highlight w:val="none"/>
                <w:lang w:val="en-US" w:eastAsia="zh-CN"/>
              </w:rPr>
              <w:t>工程</w:t>
            </w:r>
          </w:p>
        </w:tc>
      </w:tr>
      <w:tr w14:paraId="3042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061" w:type="dxa"/>
            <w:noWrap w:val="0"/>
            <w:vAlign w:val="top"/>
          </w:tcPr>
          <w:p w14:paraId="2F2C3C2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left="0" w:right="0" w:firstLine="562" w:firstLineChars="200"/>
              <w:textAlignment w:val="auto"/>
              <w:rPr>
                <w:rFonts w:hint="default"/>
                <w:color w:val="auto"/>
                <w:lang w:val="en-US" w:eastAsia="zh-CN"/>
              </w:rPr>
            </w:pPr>
            <w:r>
              <w:rPr>
                <w:rFonts w:hint="eastAsia" w:ascii="仿宋_GB2312" w:hAnsi="仿宋_GB2312" w:cs="仿宋_GB2312"/>
                <w:b/>
                <w:bCs/>
                <w:color w:val="auto"/>
                <w:sz w:val="28"/>
                <w:szCs w:val="28"/>
                <w:highlight w:val="none"/>
                <w:lang w:val="en-US" w:eastAsia="zh-CN"/>
              </w:rPr>
              <w:t>支持</w:t>
            </w:r>
            <w:r>
              <w:rPr>
                <w:rFonts w:hint="eastAsia" w:ascii="仿宋_GB2312" w:hAnsi="仿宋_GB2312" w:eastAsia="仿宋_GB2312" w:cs="仿宋_GB2312"/>
                <w:b/>
                <w:bCs/>
                <w:color w:val="auto"/>
                <w:sz w:val="28"/>
                <w:szCs w:val="28"/>
                <w:highlight w:val="none"/>
                <w:lang w:val="en-US" w:eastAsia="zh-CN"/>
              </w:rPr>
              <w:t>打造</w:t>
            </w:r>
            <w:r>
              <w:rPr>
                <w:rFonts w:hint="eastAsia" w:ascii="仿宋_GB2312" w:hAnsi="仿宋_GB2312" w:cs="仿宋_GB2312"/>
                <w:b/>
                <w:bCs/>
                <w:color w:val="auto"/>
                <w:sz w:val="28"/>
                <w:szCs w:val="28"/>
                <w:highlight w:val="none"/>
                <w:lang w:val="en-US" w:eastAsia="zh-CN"/>
              </w:rPr>
              <w:t>省影视文化渲染基地（</w:t>
            </w:r>
            <w:r>
              <w:rPr>
                <w:rFonts w:hint="eastAsia" w:ascii="仿宋_GB2312" w:hAnsi="仿宋_GB2312" w:eastAsia="仿宋_GB2312" w:cs="仿宋_GB2312"/>
                <w:b/>
                <w:bCs/>
                <w:color w:val="auto"/>
                <w:sz w:val="28"/>
                <w:szCs w:val="28"/>
                <w:highlight w:val="none"/>
                <w:lang w:val="en-US" w:eastAsia="zh-CN"/>
              </w:rPr>
              <w:t>韶关</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lang w:val="en-US" w:eastAsia="zh-CN"/>
              </w:rPr>
              <w:t>。</w:t>
            </w:r>
            <w:r>
              <w:rPr>
                <w:rFonts w:hint="eastAsia" w:ascii="仿宋_GB2312" w:hAnsi="仿宋_GB2312" w:cs="仿宋_GB2312"/>
                <w:b w:val="0"/>
                <w:bCs w:val="0"/>
                <w:color w:val="auto"/>
                <w:sz w:val="28"/>
                <w:szCs w:val="28"/>
                <w:highlight w:val="none"/>
                <w:lang w:val="en-US" w:eastAsia="zh-CN"/>
              </w:rPr>
              <w:t>承接省内影视特效、云游戏、动漫制作等需求，推动成为“智算+文化”深度融合的国家级基地，带动IDC、算力服务、文化创新等产业落地。</w:t>
            </w:r>
          </w:p>
        </w:tc>
      </w:t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tbl>
    <w:p w14:paraId="384D27DB">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rPr>
      </w:pPr>
      <w:bookmarkStart w:id="981" w:name="_Toc1835686733"/>
      <w:bookmarkStart w:id="982" w:name="_Toc474842104"/>
      <w:bookmarkStart w:id="983" w:name="_Toc1244502887"/>
      <w:bookmarkStart w:id="984" w:name="_Toc371306655"/>
      <w:bookmarkStart w:id="985" w:name="_Toc1226925816"/>
      <w:bookmarkStart w:id="986" w:name="_Toc3328"/>
      <w:bookmarkStart w:id="987" w:name="_Toc1333411253"/>
      <w:bookmarkStart w:id="988" w:name="_Toc665317184"/>
      <w:bookmarkStart w:id="989" w:name="_Toc923918415"/>
      <w:bookmarkStart w:id="990" w:name="_Toc579963534"/>
      <w:r>
        <w:rPr>
          <w:rStyle w:val="26"/>
          <w:rFonts w:hint="eastAsia" w:ascii="楷体_GB2312" w:hAnsi="楷体_GB2312" w:eastAsia="楷体_GB2312" w:cs="楷体_GB2312"/>
          <w:b w:val="0"/>
          <w:bCs/>
          <w:color w:val="auto"/>
          <w:szCs w:val="32"/>
          <w:highlight w:val="none"/>
          <w:lang w:val="en-US" w:eastAsia="zh-CN"/>
        </w:rPr>
        <w:t>（四）着力提升公共服务智慧水平</w:t>
      </w:r>
      <w:bookmarkEnd w:id="981"/>
      <w:bookmarkEnd w:id="982"/>
      <w:bookmarkEnd w:id="983"/>
      <w:bookmarkEnd w:id="984"/>
      <w:bookmarkEnd w:id="985"/>
      <w:bookmarkEnd w:id="986"/>
    </w:p>
    <w:bookmarkEnd w:id="987"/>
    <w:bookmarkEnd w:id="988"/>
    <w:bookmarkEnd w:id="989"/>
    <w:bookmarkEnd w:id="990"/>
    <w:p w14:paraId="1ADBAF90">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构建</w:t>
      </w:r>
      <w:r>
        <w:rPr>
          <w:rFonts w:hint="default" w:ascii="仿宋_GB2312" w:hAnsi="仿宋_GB2312" w:eastAsia="仿宋_GB2312" w:cs="仿宋_GB2312"/>
          <w:color w:val="auto"/>
          <w:sz w:val="32"/>
          <w:szCs w:val="32"/>
          <w:highlight w:val="none"/>
          <w:lang w:val="en-US" w:eastAsia="zh-CN"/>
        </w:rPr>
        <w:t>全市统一的社会救助数字化平台，实现救助对象精准识别、救助流程线上办理、救助资源高效调配。</w:t>
      </w:r>
      <w:r>
        <w:rPr>
          <w:rFonts w:hint="eastAsia" w:ascii="仿宋_GB2312" w:hAnsi="仿宋_GB2312" w:eastAsia="仿宋_GB2312" w:cs="仿宋_GB2312"/>
          <w:color w:val="auto"/>
          <w:sz w:val="32"/>
          <w:szCs w:val="32"/>
          <w:highlight w:val="none"/>
          <w:lang w:val="en-US" w:eastAsia="zh-CN"/>
        </w:rPr>
        <w:t>推广智慧养老站，支持养老机构智能化改造。建设“韶码就业”服务平台，</w:t>
      </w:r>
      <w:r>
        <w:rPr>
          <w:rFonts w:hint="eastAsia" w:ascii="仿宋_GB2312" w:hAnsi="仿宋_GB2312" w:cs="仿宋_GB2312"/>
          <w:color w:val="auto"/>
          <w:sz w:val="32"/>
          <w:szCs w:val="32"/>
          <w:highlight w:val="none"/>
          <w:lang w:val="en-US" w:eastAsia="zh-CN"/>
        </w:rPr>
        <w:t>推进打造供需匹配的就业市场</w:t>
      </w:r>
      <w:r>
        <w:rPr>
          <w:rFonts w:hint="eastAsia" w:ascii="仿宋_GB2312" w:hAnsi="仿宋_GB2312" w:eastAsia="仿宋_GB2312" w:cs="仿宋_GB2312"/>
          <w:color w:val="auto"/>
          <w:sz w:val="32"/>
          <w:szCs w:val="32"/>
          <w:highlight w:val="none"/>
          <w:lang w:val="en-US" w:eastAsia="zh-CN"/>
        </w:rPr>
        <w:t>。加快农民工工资支付监控预警平台建设，切实维护各类劳动者合法权益。</w:t>
      </w:r>
    </w:p>
    <w:p w14:paraId="7C379DB4">
      <w:pPr>
        <w:pStyle w:val="5"/>
        <w:keepNext/>
        <w:keepLines/>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0" w:leftChars="0" w:firstLine="640" w:firstLineChars="200"/>
        <w:textAlignment w:val="auto"/>
        <w:outlineLvl w:val="0"/>
        <w:rPr>
          <w:rFonts w:hint="eastAsia" w:ascii="Times New Roman" w:hAnsi="Times New Roman" w:eastAsia="黑体" w:cs="Times New Roman"/>
          <w:b w:val="0"/>
          <w:bCs/>
          <w:color w:val="auto"/>
          <w:sz w:val="32"/>
          <w:szCs w:val="32"/>
          <w:highlight w:val="none"/>
          <w:lang w:val="en-US" w:eastAsia="zh-CN" w:bidi="ar"/>
        </w:rPr>
      </w:pPr>
      <w:bookmarkStart w:id="991" w:name="_Toc15088"/>
      <w:bookmarkStart w:id="992" w:name="_Toc1622148523"/>
      <w:bookmarkStart w:id="993" w:name="_Toc2031041895"/>
      <w:bookmarkStart w:id="994" w:name="_Toc369007735"/>
      <w:bookmarkStart w:id="995" w:name="_Toc421500533"/>
      <w:bookmarkStart w:id="996" w:name="_Toc1782998899"/>
      <w:bookmarkStart w:id="997" w:name="_Toc1668702023"/>
      <w:bookmarkStart w:id="998" w:name="_Toc1119368262"/>
      <w:bookmarkStart w:id="999" w:name="_Toc2286"/>
      <w:bookmarkStart w:id="1000" w:name="_Toc1650353108"/>
      <w:bookmarkStart w:id="1001" w:name="_Toc18467"/>
      <w:bookmarkStart w:id="1002" w:name="_Toc1107115411"/>
      <w:bookmarkStart w:id="1003" w:name="_Toc1115820547"/>
      <w:bookmarkStart w:id="1004" w:name="_Toc188683529"/>
      <w:bookmarkStart w:id="1005" w:name="_Toc431575462"/>
      <w:bookmarkStart w:id="1006" w:name="_Toc1996116814"/>
      <w:bookmarkStart w:id="1007" w:name="_Toc489256293"/>
      <w:bookmarkStart w:id="1008" w:name="_Toc576479878"/>
      <w:bookmarkStart w:id="1009" w:name="_Toc783834651"/>
      <w:bookmarkStart w:id="1010" w:name="_Toc1291392147"/>
      <w:bookmarkStart w:id="1011" w:name="_Toc17623"/>
      <w:bookmarkStart w:id="1012" w:name="_Toc1106963314"/>
      <w:bookmarkStart w:id="1013" w:name="_Toc176558313"/>
      <w:bookmarkStart w:id="1014" w:name="_Toc1746138578"/>
      <w:bookmarkStart w:id="1015" w:name="_Toc1706753520"/>
      <w:bookmarkStart w:id="1016" w:name="_Toc3796"/>
      <w:bookmarkStart w:id="1017" w:name="_Toc1116467545"/>
      <w:bookmarkStart w:id="1018" w:name="_Toc32"/>
      <w:bookmarkStart w:id="1019" w:name="_Toc48988580"/>
      <w:bookmarkStart w:id="1020" w:name="_Toc83613219"/>
      <w:bookmarkStart w:id="1021" w:name="_Toc1384660216"/>
      <w:bookmarkStart w:id="1022" w:name="_Toc619678271"/>
      <w:bookmarkStart w:id="1023" w:name="_Toc640331187"/>
      <w:bookmarkStart w:id="1024" w:name="_Toc2045630511"/>
      <w:bookmarkStart w:id="1025" w:name="_Toc723938386"/>
      <w:bookmarkStart w:id="1026" w:name="_Toc17924"/>
      <w:r>
        <w:rPr>
          <w:rFonts w:hint="eastAsia" w:ascii="Times New Roman" w:hAnsi="Times New Roman" w:eastAsia="黑体" w:cs="Times New Roman"/>
          <w:b w:val="0"/>
          <w:bCs/>
          <w:color w:val="auto"/>
          <w:sz w:val="32"/>
          <w:szCs w:val="32"/>
          <w:highlight w:val="none"/>
          <w:lang w:val="en-US" w:eastAsia="zh-CN" w:bidi="ar"/>
        </w:rPr>
        <w:t>七、</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Fonts w:hint="eastAsia" w:ascii="Times New Roman" w:hAnsi="Times New Roman" w:eastAsia="黑体" w:cs="Times New Roman"/>
          <w:b w:val="0"/>
          <w:bCs/>
          <w:color w:val="auto"/>
          <w:sz w:val="32"/>
          <w:szCs w:val="32"/>
          <w:highlight w:val="none"/>
          <w:lang w:val="en-US" w:eastAsia="zh-CN" w:bidi="ar"/>
        </w:rPr>
        <w:t>探</w:t>
      </w:r>
      <w:bookmarkEnd w:id="1019"/>
      <w:bookmarkEnd w:id="1020"/>
      <w:bookmarkEnd w:id="1021"/>
      <w:bookmarkEnd w:id="1022"/>
      <w:bookmarkEnd w:id="1023"/>
      <w:bookmarkEnd w:id="1024"/>
      <w:bookmarkEnd w:id="1025"/>
      <w:r>
        <w:rPr>
          <w:rFonts w:hint="eastAsia" w:ascii="Times New Roman" w:hAnsi="Times New Roman" w:eastAsia="黑体" w:cs="Times New Roman"/>
          <w:b w:val="0"/>
          <w:bCs/>
          <w:color w:val="auto"/>
          <w:sz w:val="32"/>
          <w:szCs w:val="32"/>
          <w:highlight w:val="none"/>
          <w:lang w:val="en-US" w:eastAsia="zh-CN"/>
        </w:rPr>
        <w:t>索社会治理创新应用实践，数智赋能社会治理</w:t>
      </w:r>
      <w:bookmarkEnd w:id="1026"/>
    </w:p>
    <w:p w14:paraId="16A82E9F">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1027" w:name="_Toc496318625"/>
      <w:bookmarkStart w:id="1028" w:name="_Toc1339168132"/>
      <w:bookmarkStart w:id="1029" w:name="_Toc1266963214"/>
      <w:bookmarkStart w:id="1030" w:name="_Toc800747948"/>
      <w:bookmarkStart w:id="1031" w:name="_Toc321882085"/>
      <w:bookmarkStart w:id="1032" w:name="_Toc10219"/>
      <w:bookmarkStart w:id="1033" w:name="_Toc721731719"/>
      <w:bookmarkStart w:id="1034" w:name="_Toc521015101"/>
      <w:bookmarkStart w:id="1035" w:name="_Toc869793431"/>
      <w:bookmarkStart w:id="1036" w:name="_Toc935960217"/>
      <w:bookmarkStart w:id="1037" w:name="_Toc1185101333"/>
      <w:bookmarkStart w:id="1038" w:name="_Toc711150996"/>
      <w:bookmarkStart w:id="1039" w:name="_Toc276383205"/>
      <w:bookmarkStart w:id="1040" w:name="_Toc14673993"/>
      <w:bookmarkStart w:id="1041" w:name="_Toc1674706558"/>
      <w:bookmarkStart w:id="1042" w:name="_Toc93257001"/>
      <w:bookmarkStart w:id="1043" w:name="_Toc1748349820"/>
      <w:bookmarkStart w:id="1044" w:name="_Toc1098779099"/>
      <w:bookmarkStart w:id="1045" w:name="_Toc828231086"/>
      <w:bookmarkStart w:id="1046" w:name="_Toc29055"/>
      <w:bookmarkStart w:id="1047" w:name="_Toc127530015"/>
      <w:bookmarkStart w:id="1048" w:name="_Toc12282"/>
      <w:bookmarkStart w:id="1049" w:name="_Toc1256029186"/>
      <w:bookmarkStart w:id="1050" w:name="_Toc105798621"/>
      <w:bookmarkStart w:id="1051" w:name="_Toc1242236246"/>
      <w:bookmarkStart w:id="1052" w:name="_Toc14864"/>
      <w:bookmarkStart w:id="1053" w:name="_Toc1990778961"/>
      <w:bookmarkStart w:id="1054" w:name="_Toc4201829"/>
      <w:bookmarkStart w:id="1055" w:name="_Toc1532193645"/>
      <w:bookmarkStart w:id="1056" w:name="_Toc8582"/>
      <w:bookmarkStart w:id="1057" w:name="_Toc1465885576"/>
      <w:bookmarkStart w:id="1058" w:name="_Toc1351947432"/>
      <w:bookmarkStart w:id="1059" w:name="_Toc10906"/>
      <w:bookmarkStart w:id="1060" w:name="_Toc1192588425"/>
      <w:bookmarkStart w:id="1061" w:name="_Toc19903"/>
      <w:r>
        <w:rPr>
          <w:rStyle w:val="26"/>
          <w:rFonts w:hint="eastAsia" w:ascii="楷体_GB2312" w:hAnsi="楷体_GB2312" w:eastAsia="楷体_GB2312" w:cs="楷体_GB2312"/>
          <w:b w:val="0"/>
          <w:bCs/>
          <w:color w:val="auto"/>
          <w:szCs w:val="32"/>
          <w:highlight w:val="none"/>
          <w:lang w:eastAsia="zh-CN"/>
        </w:rPr>
        <w:t>（一）</w:t>
      </w:r>
      <w:r>
        <w:rPr>
          <w:rStyle w:val="26"/>
          <w:rFonts w:hint="eastAsia" w:ascii="楷体_GB2312" w:hAnsi="楷体_GB2312" w:eastAsia="楷体_GB2312" w:cs="楷体_GB2312"/>
          <w:b w:val="0"/>
          <w:bCs/>
          <w:color w:val="auto"/>
          <w:szCs w:val="32"/>
          <w:highlight w:val="none"/>
          <w:lang w:val="en-US" w:eastAsia="zh-CN"/>
        </w:rPr>
        <w:t>提升城乡智慧治理能力</w:t>
      </w:r>
      <w:bookmarkEnd w:id="1027"/>
      <w:bookmarkEnd w:id="1028"/>
      <w:bookmarkEnd w:id="1029"/>
      <w:bookmarkEnd w:id="1030"/>
      <w:bookmarkEnd w:id="1031"/>
      <w:bookmarkEnd w:id="1032"/>
    </w:p>
    <w:p w14:paraId="232C801A">
      <w:pPr>
        <w:pageBreakBefore w:val="0"/>
        <w:widowControl w:val="0"/>
        <w:kinsoku/>
        <w:overflowPunct/>
        <w:topLinePunct w:val="0"/>
        <w:autoSpaceDE/>
        <w:autoSpaceDN/>
        <w:bidi w:val="0"/>
        <w:adjustRightInd/>
        <w:spacing w:beforeLines="0" w:afterLines="0" w:line="560" w:lineRule="exact"/>
        <w:ind w:firstLine="643"/>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bookmarkStart w:id="1062" w:name="_Toc154880574"/>
      <w:bookmarkStart w:id="1063" w:name="_Toc53167873"/>
      <w:bookmarkStart w:id="1064" w:name="_Toc204937814"/>
      <w:bookmarkStart w:id="1065" w:name="_Toc830739024"/>
      <w:bookmarkStart w:id="1066" w:name="_Toc1696665295"/>
      <w:bookmarkStart w:id="1067" w:name="_Toc819471255"/>
      <w:bookmarkStart w:id="1068" w:name="_Toc12416985"/>
      <w:bookmarkStart w:id="1069" w:name="_Toc2025841436"/>
      <w:r>
        <w:rPr>
          <w:rFonts w:hint="eastAsia" w:ascii="仿宋_GB2312" w:hAnsi="仿宋_GB2312" w:eastAsia="仿宋_GB2312" w:cs="仿宋_GB2312"/>
          <w:b w:val="0"/>
          <w:bCs w:val="0"/>
          <w:color w:val="auto"/>
          <w:sz w:val="32"/>
          <w:szCs w:val="32"/>
          <w:highlight w:val="none"/>
          <w:lang w:val="en-US" w:eastAsia="zh-CN"/>
        </w:rPr>
        <w:t>探索构建市级城市大脑</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整合政务数据、社会数据、感知数据，赋能城市规划、应急管理、生态保护等领域智能决策</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提升“百千万工程”信息综合平台能力，推动数字化应用</w:t>
      </w:r>
      <w:r>
        <w:rPr>
          <w:rFonts w:hint="eastAsia" w:ascii="仿宋_GB2312" w:hAnsi="仿宋_GB2312" w:cs="仿宋_GB2312"/>
          <w:b w:val="0"/>
          <w:bCs w:val="0"/>
          <w:color w:val="auto"/>
          <w:sz w:val="32"/>
          <w:szCs w:val="32"/>
          <w:highlight w:val="none"/>
          <w:lang w:val="en-US" w:eastAsia="zh-CN"/>
        </w:rPr>
        <w:t>赋能乡村产业发展、人居环境整治、乡村治理等场景。</w:t>
      </w:r>
    </w:p>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366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24A34630">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15 城乡数字化一体协同推进工程</w:t>
            </w:r>
          </w:p>
        </w:tc>
      </w:tr>
      <w:tr w14:paraId="0372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1E679099">
            <w:pPr>
              <w:keepNext w:val="0"/>
              <w:keepLines w:val="0"/>
              <w:widowControl/>
              <w:suppressLineNumbers w:val="0"/>
              <w:spacing w:before="0" w:beforeLines="0" w:beforeAutospacing="0" w:after="0" w:afterLines="0" w:afterAutospacing="0" w:line="560" w:lineRule="exact"/>
              <w:ind w:left="0" w:right="0" w:firstLine="562" w:firstLineChars="200"/>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推进智慧城市建设。</w:t>
            </w:r>
            <w:r>
              <w:rPr>
                <w:rFonts w:hint="eastAsia" w:ascii="仿宋_GB2312" w:hAnsi="仿宋_GB2312" w:eastAsia="仿宋_GB2312" w:cs="仿宋_GB2312"/>
                <w:b w:val="0"/>
                <w:bCs w:val="0"/>
                <w:color w:val="auto"/>
                <w:sz w:val="28"/>
                <w:szCs w:val="28"/>
                <w:highlight w:val="none"/>
                <w:lang w:eastAsia="zh-CN"/>
              </w:rPr>
              <w:t>建设韶关新型智慧城市，促进大数据、人工智能等技术在社会救助、劳动就业、社会保障等领域的应用示范</w:t>
            </w:r>
            <w:r>
              <w:rPr>
                <w:rFonts w:hint="eastAsia" w:ascii="仿宋_GB2312" w:hAnsi="仿宋_GB2312" w:cs="仿宋_GB2312"/>
                <w:b w:val="0"/>
                <w:bCs w:val="0"/>
                <w:color w:val="auto"/>
                <w:sz w:val="28"/>
                <w:szCs w:val="28"/>
                <w:highlight w:val="none"/>
                <w:lang w:eastAsia="zh-CN"/>
              </w:rPr>
              <w:t>。</w:t>
            </w:r>
            <w:r>
              <w:rPr>
                <w:rFonts w:hint="default" w:ascii="仿宋_GB2312" w:hAnsi="仿宋_GB2312" w:cs="仿宋_GB2312"/>
                <w:b w:val="0"/>
                <w:bCs w:val="0"/>
                <w:color w:val="auto"/>
                <w:sz w:val="28"/>
                <w:szCs w:val="28"/>
                <w:highlight w:val="none"/>
                <w:lang w:val="en-US" w:eastAsia="zh-CN"/>
              </w:rPr>
              <w:t>打造绿色照明示范工程，构建数字化智能照明系统，依托数字政府基础平台实现城市路灯智慧化、可视化管理。</w:t>
            </w:r>
          </w:p>
          <w:p w14:paraId="77B3A1C2">
            <w:pPr>
              <w:keepNext w:val="0"/>
              <w:keepLines w:val="0"/>
              <w:widowControl/>
              <w:suppressLineNumbers w:val="0"/>
              <w:spacing w:before="0" w:beforeLines="0" w:beforeAutospacing="0" w:after="0" w:afterLines="0" w:afterAutospacing="0" w:line="560" w:lineRule="exact"/>
              <w:ind w:left="0" w:right="0" w:firstLine="562" w:firstLineChars="200"/>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探索打造智慧社区。</w:t>
            </w:r>
            <w:r>
              <w:rPr>
                <w:rFonts w:hint="eastAsia" w:ascii="仿宋_GB2312" w:hAnsi="仿宋_GB2312" w:cs="仿宋_GB2312"/>
                <w:b w:val="0"/>
                <w:bCs w:val="0"/>
                <w:color w:val="auto"/>
                <w:sz w:val="28"/>
                <w:szCs w:val="28"/>
                <w:highlight w:val="none"/>
                <w:lang w:val="en-US" w:eastAsia="zh-CN"/>
              </w:rPr>
              <w:t>探索建立“社区大脑”数据中枢，实现人、房、车、事等要素数字化管理，创新数字治理模式，推动社区事务线上协商解决。</w:t>
            </w:r>
          </w:p>
          <w:p w14:paraId="5343E8C8">
            <w:pPr>
              <w:keepNext w:val="0"/>
              <w:keepLines w:val="0"/>
              <w:widowControl/>
              <w:suppressLineNumbers w:val="0"/>
              <w:spacing w:before="0" w:beforeLines="0" w:beforeAutospacing="0" w:after="0" w:afterLines="0" w:afterAutospacing="0" w:line="560" w:lineRule="exact"/>
              <w:ind w:left="0" w:right="0" w:firstLine="562" w:firstLineChars="200"/>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加快数字乡村建设。</w:t>
            </w:r>
            <w:r>
              <w:rPr>
                <w:rFonts w:hint="eastAsia" w:ascii="仿宋_GB2312" w:hAnsi="仿宋_GB2312" w:eastAsia="仿宋_GB2312" w:cs="仿宋_GB2312"/>
                <w:b w:val="0"/>
                <w:bCs w:val="0"/>
                <w:color w:val="auto"/>
                <w:sz w:val="28"/>
                <w:szCs w:val="28"/>
                <w:highlight w:val="none"/>
                <w:lang w:eastAsia="zh-CN"/>
              </w:rPr>
              <w:t>完善乡村通信基础设施，实现行政村5G</w:t>
            </w:r>
            <w:r>
              <w:rPr>
                <w:rFonts w:hint="eastAsia" w:ascii="仿宋_GB2312" w:hAnsi="仿宋_GB2312" w:cs="仿宋_GB2312"/>
                <w:b w:val="0"/>
                <w:bCs w:val="0"/>
                <w:color w:val="auto"/>
                <w:sz w:val="28"/>
                <w:szCs w:val="28"/>
                <w:highlight w:val="none"/>
                <w:lang w:eastAsia="zh-CN"/>
              </w:rPr>
              <w:t>、千兆</w:t>
            </w:r>
            <w:r>
              <w:rPr>
                <w:rFonts w:hint="eastAsia" w:ascii="仿宋_GB2312" w:hAnsi="仿宋_GB2312" w:eastAsia="仿宋_GB2312" w:cs="仿宋_GB2312"/>
                <w:b w:val="0"/>
                <w:bCs w:val="0"/>
                <w:color w:val="auto"/>
                <w:sz w:val="28"/>
                <w:szCs w:val="28"/>
                <w:highlight w:val="none"/>
                <w:lang w:eastAsia="zh-CN"/>
              </w:rPr>
              <w:t>光纤全覆盖，推动智慧交通、安防系统向乡镇延伸；加强</w:t>
            </w:r>
            <w:r>
              <w:rPr>
                <w:rFonts w:hint="eastAsia" w:ascii="仿宋_GB2312" w:hAnsi="仿宋_GB2312" w:cs="仿宋_GB2312"/>
                <w:b w:val="0"/>
                <w:bCs w:val="0"/>
                <w:color w:val="auto"/>
                <w:sz w:val="28"/>
                <w:szCs w:val="28"/>
                <w:highlight w:val="none"/>
                <w:lang w:eastAsia="zh-CN"/>
              </w:rPr>
              <w:t>农</w:t>
            </w:r>
            <w:r>
              <w:rPr>
                <w:rFonts w:hint="eastAsia" w:ascii="仿宋_GB2312" w:hAnsi="仿宋_GB2312" w:eastAsia="仿宋_GB2312" w:cs="仿宋_GB2312"/>
                <w:b w:val="0"/>
                <w:bCs w:val="0"/>
                <w:color w:val="auto"/>
                <w:sz w:val="28"/>
                <w:szCs w:val="28"/>
                <w:highlight w:val="none"/>
                <w:lang w:eastAsia="zh-CN"/>
              </w:rPr>
              <w:t>产品电商基础设施建设，</w:t>
            </w:r>
            <w:r>
              <w:rPr>
                <w:rFonts w:hint="eastAsia" w:ascii="仿宋_GB2312" w:hAnsi="仿宋_GB2312" w:cs="仿宋_GB2312"/>
                <w:b w:val="0"/>
                <w:bCs w:val="0"/>
                <w:color w:val="auto"/>
                <w:sz w:val="28"/>
                <w:szCs w:val="28"/>
                <w:highlight w:val="none"/>
                <w:lang w:eastAsia="zh-CN"/>
              </w:rPr>
              <w:t>完善农村物流体系，</w:t>
            </w:r>
            <w:r>
              <w:rPr>
                <w:rFonts w:hint="eastAsia" w:ascii="仿宋_GB2312" w:hAnsi="仿宋_GB2312" w:eastAsia="仿宋_GB2312" w:cs="仿宋_GB2312"/>
                <w:b w:val="0"/>
                <w:bCs w:val="0"/>
                <w:color w:val="auto"/>
                <w:sz w:val="28"/>
                <w:szCs w:val="28"/>
                <w:highlight w:val="none"/>
                <w:lang w:eastAsia="zh-CN"/>
              </w:rPr>
              <w:t>强化农产品质量全程追溯监管。</w:t>
            </w:r>
          </w:p>
          <w:p w14:paraId="4F9F6297">
            <w:pPr>
              <w:keepNext w:val="0"/>
              <w:keepLines w:val="0"/>
              <w:widowControl/>
              <w:suppressLineNumbers w:val="0"/>
              <w:spacing w:before="0" w:beforeLines="0" w:beforeAutospacing="0" w:after="0" w:afterLines="0" w:afterAutospacing="0" w:line="560" w:lineRule="exact"/>
              <w:ind w:left="0" w:right="0" w:firstLine="0"/>
              <w:rPr>
                <w:rFonts w:hint="default" w:ascii="仿宋_GB2312" w:hAnsi="仿宋_GB2312" w:cs="仿宋_GB2312"/>
                <w:b w:val="0"/>
                <w:bCs w:val="0"/>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构建基层智慧治理格局。</w:t>
            </w:r>
            <w:r>
              <w:rPr>
                <w:rFonts w:hint="eastAsia" w:ascii="仿宋_GB2312" w:hAnsi="仿宋_GB2312" w:cs="仿宋_GB2312"/>
                <w:b w:val="0"/>
                <w:bCs w:val="0"/>
                <w:color w:val="auto"/>
                <w:sz w:val="28"/>
                <w:szCs w:val="28"/>
                <w:highlight w:val="none"/>
                <w:lang w:val="en-US" w:eastAsia="zh-CN"/>
              </w:rPr>
              <w:t>建立智能网络技术的数据共享机制，集基层党建、网格管理、基层治理、一键响应、便民服务等为一体，推动各类基础数据互联共享。打造“数据一个库、要素一张图、指挥一平台、共治一张网、评价一标准”的新型城乡智慧治理模式。</w:t>
            </w:r>
          </w:p>
        </w:tc>
      </w:tr>
    </w:tbl>
    <w:p w14:paraId="27B2B33A">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1070" w:name="_Toc1430654395"/>
      <w:bookmarkStart w:id="1071" w:name="_Toc1486046202"/>
      <w:bookmarkStart w:id="1072" w:name="_Toc745877834"/>
      <w:bookmarkStart w:id="1073" w:name="_Toc551778308"/>
      <w:bookmarkStart w:id="1074" w:name="_Toc1506814215"/>
      <w:bookmarkStart w:id="1075" w:name="_Toc15759"/>
      <w:bookmarkStart w:id="1076" w:name="_Toc1938095654"/>
      <w:bookmarkStart w:id="1077" w:name="_Toc2063068169"/>
      <w:bookmarkStart w:id="1078" w:name="_Toc2011139800"/>
      <w:bookmarkStart w:id="1079" w:name="_Toc686879440"/>
      <w:bookmarkStart w:id="1080" w:name="_Toc1242135041"/>
      <w:bookmarkStart w:id="1081" w:name="_Toc1640889512"/>
      <w:bookmarkStart w:id="1082" w:name="_Toc3735"/>
      <w:bookmarkStart w:id="1083" w:name="_Toc2005439223"/>
      <w:bookmarkStart w:id="1084" w:name="_Toc652563657"/>
      <w:bookmarkStart w:id="1085" w:name="_Toc117973315"/>
      <w:bookmarkStart w:id="1086" w:name="_Toc1280468678"/>
      <w:bookmarkStart w:id="1087" w:name="_Toc382129110"/>
      <w:bookmarkStart w:id="1088" w:name="_Toc1561122467"/>
      <w:bookmarkStart w:id="1089" w:name="_Toc1950847085"/>
      <w:bookmarkStart w:id="1090" w:name="_Toc611000760"/>
      <w:bookmarkStart w:id="1091" w:name="_Toc2380"/>
      <w:bookmarkStart w:id="1092" w:name="_Toc652502251"/>
      <w:bookmarkStart w:id="1093" w:name="_Toc45797893"/>
      <w:bookmarkStart w:id="1094" w:name="_Toc4968"/>
      <w:bookmarkStart w:id="1095" w:name="_Toc507081892"/>
      <w:bookmarkStart w:id="1096" w:name="_Toc30461"/>
      <w:bookmarkStart w:id="1097" w:name="_Toc2027365733"/>
      <w:bookmarkStart w:id="1098" w:name="_Toc1348403341"/>
      <w:bookmarkStart w:id="1099" w:name="_Toc1892505881"/>
      <w:bookmarkStart w:id="1100" w:name="_Toc11343"/>
      <w:bookmarkStart w:id="1101" w:name="_Toc449611191"/>
      <w:bookmarkStart w:id="1102" w:name="_Toc18634"/>
      <w:bookmarkStart w:id="1103" w:name="_Toc974390736"/>
      <w:bookmarkStart w:id="1104" w:name="_Toc989270653"/>
      <w:r>
        <w:rPr>
          <w:rStyle w:val="26"/>
          <w:rFonts w:hint="eastAsia" w:ascii="楷体_GB2312" w:hAnsi="楷体_GB2312" w:eastAsia="楷体_GB2312" w:cs="楷体_GB2312"/>
          <w:b w:val="0"/>
          <w:bCs/>
          <w:color w:val="auto"/>
          <w:szCs w:val="32"/>
          <w:highlight w:val="none"/>
          <w:lang w:val="en-US" w:eastAsia="zh-CN"/>
        </w:rPr>
        <w:t>（二）完善生态监测治理能力</w:t>
      </w:r>
      <w:bookmarkEnd w:id="1070"/>
      <w:bookmarkEnd w:id="1071"/>
      <w:bookmarkEnd w:id="1072"/>
      <w:bookmarkEnd w:id="1073"/>
      <w:bookmarkEnd w:id="1074"/>
      <w:bookmarkEnd w:id="1075"/>
    </w:p>
    <w:p w14:paraId="0EF39B5C">
      <w:pPr>
        <w:pageBreakBefore w:val="0"/>
        <w:widowControl w:val="0"/>
        <w:numPr>
          <w:ilvl w:val="0"/>
          <w:numId w:val="0"/>
        </w:numPr>
        <w:kinsoku/>
        <w:overflowPunct/>
        <w:topLinePunct w:val="0"/>
        <w:autoSpaceDE/>
        <w:autoSpaceDN/>
        <w:bidi w:val="0"/>
        <w:adjustRightInd/>
        <w:spacing w:beforeLines="0" w:afterLines="0" w:line="560" w:lineRule="exact"/>
        <w:ind w:firstLine="640" w:firstLineChars="200"/>
        <w:jc w:val="both"/>
        <w:textAlignment w:val="auto"/>
        <w:outlineLvl w:val="9"/>
        <w:rPr>
          <w:rFonts w:hint="default" w:ascii="仿宋_GB2312" w:hAnsi="仿宋_GB2312" w:eastAsia="仿宋_GB2312" w:cs="仿宋_GB2312"/>
          <w:b w:val="0"/>
          <w:bCs w:val="0"/>
          <w:color w:val="auto"/>
          <w:sz w:val="32"/>
          <w:szCs w:val="32"/>
          <w:highlight w:val="none"/>
          <w:lang w:val="en-US" w:eastAsia="zh-CN"/>
        </w:rPr>
      </w:pPr>
      <w:bookmarkStart w:id="1105" w:name="_Toc444073800"/>
      <w:bookmarkStart w:id="1106" w:name="_Toc1072267346"/>
      <w:bookmarkStart w:id="1107" w:name="_Toc1368418976"/>
      <w:bookmarkStart w:id="1108" w:name="_Toc1584712873"/>
      <w:bookmarkStart w:id="1109" w:name="_Toc612695767"/>
      <w:bookmarkStart w:id="1110" w:name="_Toc1812966624"/>
      <w:bookmarkStart w:id="1111" w:name="_Toc37516519"/>
      <w:bookmarkStart w:id="1112" w:name="_Toc111167970"/>
      <w:r>
        <w:rPr>
          <w:rFonts w:hint="eastAsia" w:ascii="仿宋_GB2312" w:hAnsi="仿宋_GB2312" w:eastAsia="仿宋_GB2312" w:cs="仿宋_GB2312"/>
          <w:b w:val="0"/>
          <w:bCs w:val="0"/>
          <w:color w:val="auto"/>
          <w:sz w:val="32"/>
          <w:szCs w:val="32"/>
          <w:highlight w:val="none"/>
          <w:lang w:val="en-US" w:eastAsia="zh-CN"/>
        </w:rPr>
        <w:t>推进数智技术赋能生态监测</w:t>
      </w:r>
      <w:r>
        <w:rPr>
          <w:rFonts w:hint="eastAsia" w:ascii="仿宋_GB2312" w:hAnsi="仿宋_GB2312" w:cs="仿宋_GB2312"/>
          <w:b w:val="0"/>
          <w:bCs w:val="0"/>
          <w:color w:val="auto"/>
          <w:sz w:val="32"/>
          <w:szCs w:val="32"/>
          <w:highlight w:val="none"/>
          <w:lang w:val="en-US" w:eastAsia="zh-CN"/>
        </w:rPr>
        <w:t>，</w:t>
      </w:r>
      <w:bookmarkEnd w:id="1105"/>
      <w:bookmarkEnd w:id="1106"/>
      <w:bookmarkEnd w:id="1107"/>
      <w:bookmarkEnd w:id="1108"/>
      <w:bookmarkEnd w:id="1109"/>
      <w:bookmarkEnd w:id="1110"/>
      <w:bookmarkEnd w:id="1111"/>
      <w:bookmarkEnd w:id="1112"/>
      <w:r>
        <w:rPr>
          <w:rFonts w:hint="eastAsia" w:ascii="仿宋_GB2312" w:hAnsi="仿宋_GB2312" w:eastAsia="仿宋_GB2312" w:cs="仿宋_GB2312"/>
          <w:b w:val="0"/>
          <w:bCs w:val="0"/>
          <w:color w:val="auto"/>
          <w:sz w:val="32"/>
          <w:szCs w:val="32"/>
          <w:highlight w:val="none"/>
          <w:lang w:val="en-US" w:eastAsia="zh-CN"/>
        </w:rPr>
        <w:t>深化人工智能、大数据技术在生态环境</w:t>
      </w:r>
      <w:r>
        <w:rPr>
          <w:rFonts w:hint="eastAsia" w:ascii="仿宋_GB2312" w:hAnsi="仿宋_GB2312" w:cs="仿宋_GB2312"/>
          <w:b w:val="0"/>
          <w:bCs w:val="0"/>
          <w:color w:val="auto"/>
          <w:sz w:val="32"/>
          <w:szCs w:val="32"/>
          <w:highlight w:val="none"/>
          <w:lang w:val="en-US" w:eastAsia="zh-CN"/>
        </w:rPr>
        <w:t>治理</w:t>
      </w:r>
      <w:r>
        <w:rPr>
          <w:rFonts w:hint="eastAsia" w:ascii="仿宋_GB2312" w:hAnsi="仿宋_GB2312" w:eastAsia="仿宋_GB2312" w:cs="仿宋_GB2312"/>
          <w:b w:val="0"/>
          <w:bCs w:val="0"/>
          <w:color w:val="auto"/>
          <w:sz w:val="32"/>
          <w:szCs w:val="32"/>
          <w:highlight w:val="none"/>
          <w:lang w:val="en-US" w:eastAsia="zh-CN"/>
        </w:rPr>
        <w:t>体系中的应用</w:t>
      </w:r>
      <w:r>
        <w:rPr>
          <w:rFonts w:hint="eastAsia" w:ascii="仿宋_GB2312" w:hAnsi="仿宋_GB2312" w:cs="仿宋_GB2312"/>
          <w:b w:val="0"/>
          <w:bCs w:val="0"/>
          <w:color w:val="auto"/>
          <w:sz w:val="32"/>
          <w:szCs w:val="32"/>
          <w:highlight w:val="none"/>
          <w:lang w:val="en-US" w:eastAsia="zh-CN"/>
        </w:rPr>
        <w:t>。推进数字林业建设，构建全域立体感知网络，接入省级林业监测数据管理平台，全面助力绿美韶关生态建设和林业高质量发展。构建数字孪生流域平台。实施水利标准化管理，加速形成一张贯通监测、研判、预警、处置全链条的监测感知网。</w:t>
      </w:r>
    </w:p>
    <w:p w14:paraId="644A1B7D">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rPr>
      </w:pPr>
      <w:bookmarkStart w:id="1113" w:name="_Toc530557310"/>
      <w:bookmarkStart w:id="1114" w:name="_Toc1059771733"/>
      <w:bookmarkStart w:id="1115" w:name="_Toc848448857"/>
      <w:bookmarkStart w:id="1116" w:name="_Toc1070932686"/>
      <w:bookmarkStart w:id="1117" w:name="_Toc859820098"/>
      <w:bookmarkStart w:id="1118" w:name="_Toc25611"/>
      <w:r>
        <w:rPr>
          <w:rStyle w:val="26"/>
          <w:rFonts w:hint="eastAsia" w:ascii="楷体_GB2312" w:hAnsi="楷体_GB2312" w:eastAsia="楷体_GB2312" w:cs="楷体_GB2312"/>
          <w:b w:val="0"/>
          <w:bCs/>
          <w:color w:val="auto"/>
          <w:szCs w:val="32"/>
          <w:highlight w:val="none"/>
          <w:lang w:eastAsia="zh-CN"/>
        </w:rPr>
        <w:t>（三）</w:t>
      </w:r>
      <w:r>
        <w:rPr>
          <w:rStyle w:val="26"/>
          <w:rFonts w:hint="eastAsia" w:ascii="楷体_GB2312" w:hAnsi="楷体_GB2312" w:eastAsia="楷体_GB2312" w:cs="楷体_GB2312"/>
          <w:b w:val="0"/>
          <w:bCs/>
          <w:color w:val="auto"/>
          <w:szCs w:val="32"/>
          <w:highlight w:val="none"/>
        </w:rPr>
        <w:t>增强智慧应急能力建设</w:t>
      </w:r>
      <w:bookmarkEnd w:id="1113"/>
      <w:bookmarkEnd w:id="1114"/>
      <w:bookmarkEnd w:id="1115"/>
      <w:bookmarkEnd w:id="1116"/>
      <w:bookmarkEnd w:id="1117"/>
      <w:bookmarkEnd w:id="1118"/>
    </w:p>
    <w:bookmarkEnd w:id="1076"/>
    <w:bookmarkEnd w:id="1077"/>
    <w:bookmarkEnd w:id="1078"/>
    <w:bookmarkEnd w:id="1079"/>
    <w:bookmarkEnd w:id="1080"/>
    <w:bookmarkEnd w:id="1081"/>
    <w:p w14:paraId="4172F87F">
      <w:pPr>
        <w:pageBreakBefore w:val="0"/>
        <w:widowControl w:val="0"/>
        <w:numPr>
          <w:ilvl w:val="0"/>
          <w:numId w:val="0"/>
        </w:numPr>
        <w:kinsoku/>
        <w:overflowPunct/>
        <w:topLinePunct w:val="0"/>
        <w:autoSpaceDE/>
        <w:autoSpaceDN/>
        <w:bidi w:val="0"/>
        <w:adjustRightInd/>
        <w:spacing w:beforeLines="0" w:afterLines="0" w:line="560" w:lineRule="exact"/>
        <w:ind w:firstLine="640" w:firstLineChars="200"/>
        <w:jc w:val="both"/>
        <w:textAlignment w:val="auto"/>
        <w:outlineLvl w:val="9"/>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持续优化应急智慧中心建设，完善应急指挥视频调度体系，推进自然灾害应急能力提升。健全消防救援感知网络，建设消防“一张图”，深化无人机消防应用，提升极端场景通信韧性。健全江河洪水、暴雨山洪等预报预警机制，提升数字孪生流域和“四预”功能应用。</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Fonts w:hint="eastAsia" w:ascii="仿宋_GB2312" w:hAnsi="仿宋_GB2312" w:cs="仿宋_GB2312"/>
          <w:color w:val="auto"/>
          <w:sz w:val="32"/>
          <w:szCs w:val="32"/>
          <w:highlight w:val="none"/>
          <w:lang w:val="en-US" w:eastAsia="zh-CN"/>
        </w:rPr>
        <w:t xml:space="preserve">推动全市气象灾害防御体系建设，加强高速公路、河运、港航等气象灾害监测预警。 </w:t>
      </w:r>
    </w:p>
    <w:p w14:paraId="1B4755C7">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rPr>
      </w:pPr>
      <w:bookmarkStart w:id="1119" w:name="_Toc1394797425"/>
      <w:bookmarkStart w:id="1120" w:name="_Toc319236378"/>
      <w:bookmarkStart w:id="1121" w:name="_Toc523692289"/>
      <w:bookmarkStart w:id="1122" w:name="_Toc1066228895"/>
      <w:bookmarkStart w:id="1123" w:name="_Toc11789"/>
      <w:bookmarkStart w:id="1124" w:name="_Toc1502448098"/>
      <w:bookmarkStart w:id="1125" w:name="_Toc5393"/>
      <w:bookmarkStart w:id="1126" w:name="_Toc712733656"/>
      <w:bookmarkStart w:id="1127" w:name="_Toc920227143"/>
      <w:bookmarkStart w:id="1128" w:name="_Toc1029139068"/>
      <w:bookmarkStart w:id="1129" w:name="_Toc1847587002"/>
      <w:bookmarkStart w:id="1130" w:name="_Toc292265873"/>
      <w:bookmarkStart w:id="1131" w:name="_Toc1055834988"/>
      <w:bookmarkStart w:id="1132" w:name="_Toc1575035701"/>
      <w:bookmarkStart w:id="1133" w:name="_Toc1929035185"/>
      <w:bookmarkStart w:id="1134" w:name="_Toc1501810533"/>
      <w:bookmarkStart w:id="1135" w:name="_Toc25855"/>
      <w:bookmarkStart w:id="1136" w:name="_Toc1042220413"/>
      <w:bookmarkStart w:id="1137" w:name="_Toc7952"/>
      <w:bookmarkStart w:id="1138" w:name="_Toc810793535"/>
      <w:bookmarkStart w:id="1139" w:name="_Toc24196"/>
      <w:bookmarkStart w:id="1140" w:name="_Toc8769"/>
      <w:bookmarkStart w:id="1141" w:name="_Toc883260122"/>
      <w:bookmarkStart w:id="1142" w:name="_Toc30146"/>
      <w:bookmarkStart w:id="1143" w:name="_Toc434877708"/>
      <w:bookmarkStart w:id="1144" w:name="_Toc941755455"/>
      <w:bookmarkStart w:id="1145" w:name="_Toc2074846811"/>
      <w:bookmarkStart w:id="1146" w:name="_Toc924744220"/>
      <w:bookmarkStart w:id="1147" w:name="_Toc1821919991"/>
      <w:bookmarkStart w:id="1148" w:name="_Toc1536920273"/>
      <w:bookmarkStart w:id="1149" w:name="_Toc525805864"/>
      <w:bookmarkStart w:id="1150" w:name="_Toc1143939340"/>
      <w:bookmarkStart w:id="1151" w:name="_Toc581094795"/>
      <w:bookmarkStart w:id="1152" w:name="_Toc388975766"/>
      <w:bookmarkStart w:id="1153" w:name="_Toc233374354"/>
      <w:r>
        <w:rPr>
          <w:rStyle w:val="26"/>
          <w:rFonts w:hint="eastAsia" w:ascii="楷体_GB2312" w:hAnsi="楷体_GB2312" w:eastAsia="楷体_GB2312" w:cs="楷体_GB2312"/>
          <w:b w:val="0"/>
          <w:bCs/>
          <w:color w:val="auto"/>
          <w:szCs w:val="32"/>
          <w:highlight w:val="none"/>
          <w:lang w:eastAsia="zh-CN"/>
        </w:rPr>
        <w:t>（四）</w:t>
      </w:r>
      <w:r>
        <w:rPr>
          <w:rStyle w:val="26"/>
          <w:rFonts w:hint="eastAsia" w:ascii="楷体_GB2312" w:hAnsi="楷体_GB2312" w:eastAsia="楷体_GB2312" w:cs="楷体_GB2312"/>
          <w:b w:val="0"/>
          <w:bCs/>
          <w:color w:val="auto"/>
          <w:szCs w:val="32"/>
          <w:highlight w:val="none"/>
        </w:rPr>
        <w:t>完善交通智慧管理能力</w:t>
      </w:r>
      <w:bookmarkEnd w:id="1119"/>
      <w:bookmarkEnd w:id="1120"/>
      <w:bookmarkEnd w:id="1121"/>
      <w:bookmarkEnd w:id="1122"/>
      <w:bookmarkEnd w:id="1123"/>
      <w:bookmarkEnd w:id="1124"/>
    </w:p>
    <w:p w14:paraId="0569CF39">
      <w:pPr>
        <w:pageBreakBefore w:val="0"/>
        <w:widowControl w:val="0"/>
        <w:numPr>
          <w:ilvl w:val="0"/>
          <w:numId w:val="0"/>
        </w:numPr>
        <w:kinsoku/>
        <w:overflowPunct/>
        <w:topLinePunct w:val="0"/>
        <w:autoSpaceDE/>
        <w:autoSpaceDN/>
        <w:bidi w:val="0"/>
        <w:adjustRightInd/>
        <w:spacing w:beforeLines="0" w:afterLines="0" w:line="560" w:lineRule="exact"/>
        <w:ind w:firstLine="640" w:firstLineChars="200"/>
        <w:jc w:val="both"/>
        <w:textAlignment w:val="auto"/>
        <w:outlineLvl w:val="9"/>
        <w:rPr>
          <w:rFonts w:hint="eastAsia" w:ascii="仿宋_GB2312" w:hAnsi="仿宋_GB2312" w:cs="仿宋_GB2312"/>
          <w:color w:val="auto"/>
          <w:sz w:val="32"/>
          <w:szCs w:val="32"/>
          <w:highlight w:val="none"/>
          <w:lang w:val="en-US" w:eastAsia="zh-CN"/>
        </w:rPr>
      </w:pPr>
      <w:bookmarkStart w:id="1154" w:name="_Toc121060198"/>
      <w:bookmarkStart w:id="1155" w:name="_Toc1972905323"/>
      <w:bookmarkStart w:id="1156" w:name="_Toc1294556448"/>
      <w:bookmarkStart w:id="1157" w:name="_Toc1819159285"/>
      <w:bookmarkStart w:id="1158" w:name="_Toc156610760"/>
      <w:bookmarkStart w:id="1159" w:name="_Toc25457485"/>
      <w:bookmarkStart w:id="1160" w:name="_Toc1842107732"/>
      <w:bookmarkStart w:id="1161" w:name="_Toc292059218"/>
      <w:r>
        <w:rPr>
          <w:rFonts w:hint="eastAsia" w:ascii="仿宋_GB2312" w:hAnsi="仿宋_GB2312" w:cs="仿宋_GB2312"/>
          <w:b w:val="0"/>
          <w:bCs w:val="0"/>
          <w:color w:val="auto"/>
          <w:kern w:val="2"/>
          <w:sz w:val="32"/>
          <w:szCs w:val="32"/>
          <w:lang w:val="en-US" w:eastAsia="zh-CN" w:bidi="ar-SA"/>
        </w:rPr>
        <w:t>加快交通运输综合信息指挥平台建设，</w:t>
      </w:r>
      <w:r>
        <w:rPr>
          <w:rFonts w:hint="eastAsia" w:ascii="仿宋_GB2312" w:hAnsi="仿宋_GB2312" w:cs="仿宋_GB2312"/>
          <w:color w:val="auto"/>
          <w:sz w:val="32"/>
          <w:szCs w:val="32"/>
          <w:highlight w:val="none"/>
          <w:lang w:val="en-US" w:eastAsia="zh-CN"/>
        </w:rPr>
        <w:t>推进高速公路、普通公路、综合交通枢纽站场等基础设施智能化改造升级。强化“两客一危一重”营运车辆全过程监管能力，实现运输过程全链条动态追踪与风险预警。</w:t>
      </w:r>
      <w:r>
        <w:rPr>
          <w:rFonts w:hint="eastAsia" w:ascii="仿宋_GB2312" w:hAnsi="仿宋_GB2312" w:cs="仿宋_GB2312"/>
          <w:b w:val="0"/>
          <w:bCs w:val="0"/>
          <w:color w:val="auto"/>
          <w:sz w:val="32"/>
          <w:szCs w:val="32"/>
          <w:highlight w:val="none"/>
          <w:lang w:val="en-US" w:eastAsia="zh-CN"/>
        </w:rPr>
        <w:t>推进智慧港口建设，</w:t>
      </w:r>
      <w:r>
        <w:rPr>
          <w:rFonts w:hint="eastAsia" w:ascii="仿宋_GB2312" w:hAnsi="仿宋_GB2312" w:cs="仿宋_GB2312"/>
          <w:color w:val="auto"/>
          <w:sz w:val="32"/>
          <w:szCs w:val="32"/>
          <w:highlight w:val="none"/>
          <w:lang w:val="en-US" w:eastAsia="zh-CN"/>
        </w:rPr>
        <w:t>推动航运系统“船-港-航”要素融合和信息共享，推动我市绿色智能航运发展。</w:t>
      </w:r>
    </w:p>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14:paraId="7E9934B2">
      <w:pPr>
        <w:pStyle w:val="5"/>
        <w:keepNext/>
        <w:keepLines/>
        <w:pageBreakBefore w:val="0"/>
        <w:widowControl w:val="0"/>
        <w:kinsoku/>
        <w:overflowPunct/>
        <w:topLinePunct w:val="0"/>
        <w:autoSpaceDE/>
        <w:autoSpaceDN/>
        <w:bidi w:val="0"/>
        <w:adjustRightInd/>
        <w:spacing w:before="0" w:beforeLines="0" w:beforeAutospacing="0" w:after="0" w:afterLines="0" w:afterAutospacing="0" w:line="560" w:lineRule="exact"/>
        <w:ind w:firstLine="640" w:firstLineChars="200"/>
        <w:jc w:val="both"/>
        <w:textAlignment w:val="auto"/>
        <w:outlineLvl w:val="0"/>
        <w:rPr>
          <w:rFonts w:hint="eastAsia" w:ascii="Times New Roman" w:hAnsi="Times New Roman" w:eastAsia="黑体" w:cs="Times New Roman"/>
          <w:b w:val="0"/>
          <w:bCs/>
          <w:color w:val="auto"/>
          <w:kern w:val="44"/>
          <w:sz w:val="32"/>
          <w:szCs w:val="32"/>
          <w:highlight w:val="none"/>
          <w:lang w:val="en-US" w:eastAsia="zh-CN" w:bidi="ar"/>
        </w:rPr>
      </w:pPr>
      <w:bookmarkStart w:id="1162" w:name="_Toc31897"/>
      <w:r>
        <w:rPr>
          <w:rFonts w:hint="eastAsia" w:ascii="Times New Roman" w:hAnsi="Times New Roman" w:eastAsia="黑体" w:cs="Times New Roman"/>
          <w:b w:val="0"/>
          <w:bCs/>
          <w:color w:val="auto"/>
          <w:sz w:val="32"/>
          <w:szCs w:val="32"/>
          <w:highlight w:val="none"/>
          <w:lang w:val="en-US" w:eastAsia="zh-CN" w:bidi="ar"/>
        </w:rPr>
        <w:t>八、</w:t>
      </w:r>
      <w:r>
        <w:rPr>
          <w:rFonts w:hint="eastAsia" w:ascii="Times New Roman" w:hAnsi="Times New Roman" w:eastAsia="黑体" w:cs="Times New Roman"/>
          <w:b w:val="0"/>
          <w:bCs/>
          <w:color w:val="auto"/>
          <w:sz w:val="32"/>
          <w:szCs w:val="32"/>
          <w:highlight w:val="none"/>
          <w:lang w:val="en-US" w:eastAsia="zh-CN"/>
        </w:rPr>
        <w:t>织密网络安全防护布局体系，夯实数字安全基础</w:t>
      </w:r>
      <w:bookmarkEnd w:id="1162"/>
    </w:p>
    <w:p w14:paraId="52AEAAEE">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default" w:ascii="楷体_GB2312" w:hAnsi="楷体_GB2312" w:eastAsia="楷体_GB2312" w:cs="楷体_GB2312"/>
          <w:b w:val="0"/>
          <w:bCs/>
          <w:color w:val="auto"/>
          <w:szCs w:val="32"/>
          <w:highlight w:val="none"/>
          <w:lang w:val="en-US" w:eastAsia="zh-CN"/>
        </w:rPr>
      </w:pPr>
      <w:bookmarkStart w:id="1163" w:name="_Toc1620685157"/>
      <w:bookmarkStart w:id="1164" w:name="_Toc1839558487"/>
      <w:bookmarkStart w:id="1165" w:name="_Toc1924457790"/>
      <w:bookmarkStart w:id="1166" w:name="_Toc364441402"/>
      <w:bookmarkStart w:id="1167" w:name="_Toc595405156"/>
      <w:bookmarkStart w:id="1168" w:name="_Toc7276"/>
      <w:bookmarkStart w:id="1169" w:name="_Toc387489721"/>
      <w:bookmarkStart w:id="1170" w:name="_Toc1782732637"/>
      <w:bookmarkStart w:id="1171" w:name="_Toc14613"/>
      <w:bookmarkStart w:id="1172" w:name="_Toc18454"/>
      <w:bookmarkStart w:id="1173" w:name="_Toc10325"/>
      <w:bookmarkStart w:id="1174" w:name="_Toc423919415"/>
      <w:bookmarkStart w:id="1175" w:name="_Toc1215706014"/>
      <w:bookmarkStart w:id="1176" w:name="_Toc16080"/>
      <w:bookmarkStart w:id="1177" w:name="_Toc572523407"/>
      <w:bookmarkStart w:id="1178" w:name="_Toc994182741"/>
      <w:bookmarkStart w:id="1179" w:name="_Toc104472375"/>
      <w:bookmarkStart w:id="1180" w:name="_Toc1787330732"/>
      <w:bookmarkStart w:id="1181" w:name="_Toc1486515922"/>
      <w:bookmarkStart w:id="1182" w:name="_Toc1602214572"/>
      <w:bookmarkStart w:id="1183" w:name="_Toc1817979293"/>
      <w:bookmarkStart w:id="1184" w:name="_Toc1088973011"/>
      <w:bookmarkStart w:id="1185" w:name="_Toc824"/>
      <w:bookmarkStart w:id="1186" w:name="_Toc1227886739"/>
      <w:bookmarkStart w:id="1187" w:name="_Toc898177916"/>
      <w:bookmarkStart w:id="1188" w:name="_Toc1922901320"/>
      <w:bookmarkStart w:id="1189" w:name="_Toc30549"/>
      <w:bookmarkStart w:id="1190" w:name="_Toc914831747"/>
      <w:bookmarkStart w:id="1191" w:name="_Toc132846687"/>
      <w:bookmarkStart w:id="1192" w:name="_Toc925761795"/>
      <w:bookmarkStart w:id="1193" w:name="_Toc467643720"/>
      <w:bookmarkStart w:id="1194" w:name="_Toc410002149"/>
      <w:bookmarkStart w:id="1195" w:name="_Toc465438787"/>
      <w:bookmarkStart w:id="1196" w:name="_Toc1389126328"/>
      <w:bookmarkStart w:id="1197" w:name="_Toc48587185"/>
      <w:r>
        <w:rPr>
          <w:rStyle w:val="26"/>
          <w:rFonts w:hint="eastAsia" w:ascii="楷体_GB2312" w:hAnsi="楷体_GB2312" w:eastAsia="楷体_GB2312" w:cs="楷体_GB2312"/>
          <w:b w:val="0"/>
          <w:bCs/>
          <w:color w:val="auto"/>
          <w:szCs w:val="32"/>
          <w:highlight w:val="none"/>
          <w:lang w:val="en-US" w:eastAsia="zh-CN"/>
        </w:rPr>
        <w:t>（一）建立健全安全管理</w:t>
      </w:r>
      <w:bookmarkEnd w:id="1163"/>
      <w:bookmarkEnd w:id="1164"/>
      <w:bookmarkEnd w:id="1165"/>
      <w:bookmarkEnd w:id="1166"/>
      <w:bookmarkEnd w:id="1167"/>
      <w:r>
        <w:rPr>
          <w:rStyle w:val="26"/>
          <w:rFonts w:hint="eastAsia" w:ascii="楷体_GB2312" w:hAnsi="楷体_GB2312" w:eastAsia="楷体_GB2312" w:cs="楷体_GB2312"/>
          <w:b w:val="0"/>
          <w:bCs/>
          <w:color w:val="auto"/>
          <w:szCs w:val="32"/>
          <w:highlight w:val="none"/>
          <w:lang w:val="en-US" w:eastAsia="zh-CN"/>
        </w:rPr>
        <w:t>机制</w:t>
      </w:r>
      <w:bookmarkEnd w:id="1168"/>
    </w:p>
    <w:p w14:paraId="5F00E322">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健全网络安全管理制度</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强化供应链安全管理，持续改进供应链各环节安全水平。落实网络安全主体责任，强化网信、公安、政数等部门协同联动，构建多方协同的网络安全治理体系。 </w:t>
      </w:r>
    </w:p>
    <w:p w14:paraId="6D4B5127">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1198" w:name="_Toc1826195936"/>
      <w:bookmarkStart w:id="1199" w:name="_Toc460740403"/>
      <w:bookmarkStart w:id="1200" w:name="_Toc1780102625"/>
      <w:bookmarkStart w:id="1201" w:name="_Toc1036142836"/>
      <w:bookmarkStart w:id="1202" w:name="_Toc1596525573"/>
      <w:bookmarkStart w:id="1203" w:name="_Toc9978"/>
      <w:r>
        <w:rPr>
          <w:rStyle w:val="26"/>
          <w:rFonts w:hint="eastAsia" w:ascii="楷体_GB2312" w:hAnsi="楷体_GB2312" w:eastAsia="楷体_GB2312" w:cs="楷体_GB2312"/>
          <w:b w:val="0"/>
          <w:bCs/>
          <w:color w:val="auto"/>
          <w:szCs w:val="32"/>
          <w:highlight w:val="none"/>
          <w:lang w:val="en-US" w:eastAsia="zh-CN"/>
        </w:rPr>
        <w:t>（二）夯实网络安全基础底座</w:t>
      </w:r>
      <w:bookmarkEnd w:id="1198"/>
      <w:bookmarkEnd w:id="1199"/>
      <w:bookmarkEnd w:id="1200"/>
      <w:bookmarkEnd w:id="1201"/>
      <w:bookmarkEnd w:id="1202"/>
      <w:bookmarkEnd w:id="1203"/>
    </w:p>
    <w:p w14:paraId="5B3FEE8A">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sz w:val="32"/>
          <w:szCs w:val="32"/>
          <w:lang w:val="en-US" w:eastAsia="zh-CN"/>
        </w:rPr>
      </w:pPr>
      <w:bookmarkStart w:id="1204" w:name="_Toc442227619"/>
      <w:bookmarkStart w:id="1205" w:name="_Toc1391992995"/>
      <w:bookmarkStart w:id="1206" w:name="_Toc1267665300"/>
      <w:bookmarkStart w:id="1207" w:name="_Toc163746976"/>
      <w:bookmarkStart w:id="1208" w:name="_Toc346275413"/>
      <w:bookmarkStart w:id="1209" w:name="_Toc1731974996"/>
      <w:bookmarkStart w:id="1210" w:name="_Toc2071574257"/>
      <w:bookmarkStart w:id="1211" w:name="_Toc2092452155"/>
      <w:r>
        <w:rPr>
          <w:rFonts w:hint="eastAsia" w:ascii="仿宋_GB2312" w:hAnsi="仿宋_GB2312" w:eastAsia="仿宋_GB2312" w:cs="仿宋_GB2312"/>
          <w:sz w:val="32"/>
          <w:szCs w:val="32"/>
          <w:lang w:val="en-US" w:eastAsia="zh-CN"/>
        </w:rPr>
        <w:t>构建</w:t>
      </w:r>
      <w:r>
        <w:rPr>
          <w:rFonts w:hint="eastAsia" w:ascii="仿宋_GB2312" w:hAnsi="仿宋_GB2312" w:cs="仿宋_GB2312"/>
          <w:sz w:val="32"/>
          <w:szCs w:val="32"/>
          <w:lang w:val="en-US" w:eastAsia="zh-CN"/>
        </w:rPr>
        <w:t>网络安全</w:t>
      </w:r>
      <w:r>
        <w:rPr>
          <w:rFonts w:hint="eastAsia" w:ascii="仿宋_GB2312" w:hAnsi="仿宋_GB2312" w:eastAsia="仿宋_GB2312" w:cs="仿宋_GB2312"/>
          <w:sz w:val="32"/>
          <w:szCs w:val="32"/>
          <w:lang w:val="en-US" w:eastAsia="zh-CN"/>
        </w:rPr>
        <w:t>纵深防御能力，强化政务终端安全管理，持续完善一体化数字政府网络安全运营平台。完善政务云安全和密码基础设施，推进国产密码技术</w:t>
      </w:r>
      <w:r>
        <w:rPr>
          <w:rFonts w:hint="eastAsia" w:ascii="仿宋_GB2312" w:hAnsi="仿宋_GB2312" w:cs="仿宋_GB2312"/>
          <w:sz w:val="32"/>
          <w:szCs w:val="32"/>
          <w:lang w:val="en-US" w:eastAsia="zh-CN"/>
        </w:rPr>
        <w:t>在</w:t>
      </w:r>
      <w:r>
        <w:rPr>
          <w:rFonts w:hint="eastAsia" w:ascii="仿宋_GB2312" w:hAnsi="仿宋_GB2312" w:eastAsia="仿宋_GB2312" w:cs="仿宋_GB2312"/>
          <w:sz w:val="32"/>
          <w:szCs w:val="32"/>
          <w:lang w:val="en-US" w:eastAsia="zh-CN"/>
        </w:rPr>
        <w:t>重要网络和系统中的应用。强化国产化终端应用，充分发挥数字政府信创适配中心作用，推动</w:t>
      </w:r>
      <w:r>
        <w:rPr>
          <w:rFonts w:hint="eastAsia" w:ascii="仿宋_GB2312" w:hAnsi="仿宋_GB2312" w:cs="仿宋_GB2312"/>
          <w:sz w:val="32"/>
          <w:szCs w:val="32"/>
          <w:lang w:val="en-US" w:eastAsia="zh-CN"/>
        </w:rPr>
        <w:t>政</w:t>
      </w:r>
      <w:r>
        <w:rPr>
          <w:rFonts w:hint="eastAsia" w:ascii="仿宋_GB2312" w:hAnsi="仿宋_GB2312" w:eastAsia="仿宋_GB2312" w:cs="仿宋_GB2312"/>
          <w:sz w:val="32"/>
          <w:szCs w:val="32"/>
          <w:lang w:val="en-US" w:eastAsia="zh-CN"/>
        </w:rPr>
        <w:t>务信息系统基于国产技术架构改造。</w:t>
      </w:r>
    </w:p>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204"/>
    <w:bookmarkEnd w:id="1205"/>
    <w:bookmarkEnd w:id="1206"/>
    <w:bookmarkEnd w:id="1207"/>
    <w:bookmarkEnd w:id="1208"/>
    <w:bookmarkEnd w:id="1209"/>
    <w:bookmarkEnd w:id="1210"/>
    <w:bookmarkEnd w:id="1211"/>
    <w:p w14:paraId="308C6DBC">
      <w:pPr>
        <w:pageBreakBefore w:val="0"/>
        <w:widowControl/>
        <w:numPr>
          <w:ilvl w:val="0"/>
          <w:numId w:val="0"/>
        </w:numPr>
        <w:kinsoku/>
        <w:overflowPunct/>
        <w:topLinePunct w:val="0"/>
        <w:autoSpaceDE/>
        <w:autoSpaceDN/>
        <w:bidi w:val="0"/>
        <w:adjustRightInd/>
        <w:spacing w:beforeLines="0" w:afterLines="0" w:line="560" w:lineRule="exact"/>
        <w:ind w:firstLine="640" w:firstLineChars="200"/>
        <w:jc w:val="left"/>
        <w:textAlignment w:val="auto"/>
        <w:outlineLvl w:val="1"/>
        <w:rPr>
          <w:rStyle w:val="26"/>
          <w:rFonts w:hint="eastAsia" w:ascii="楷体_GB2312" w:hAnsi="楷体_GB2312" w:eastAsia="楷体_GB2312" w:cs="楷体_GB2312"/>
          <w:b w:val="0"/>
          <w:bCs/>
          <w:color w:val="auto"/>
          <w:szCs w:val="32"/>
          <w:highlight w:val="none"/>
          <w:lang w:val="en-US" w:eastAsia="zh-CN"/>
        </w:rPr>
      </w:pPr>
      <w:bookmarkStart w:id="1212" w:name="_Toc25580"/>
      <w:bookmarkStart w:id="1213" w:name="_Toc726635261"/>
      <w:bookmarkStart w:id="1214" w:name="_Toc1145119274"/>
      <w:bookmarkStart w:id="1215" w:name="_Toc479376050"/>
      <w:bookmarkStart w:id="1216" w:name="_Toc577505960"/>
      <w:bookmarkStart w:id="1217" w:name="_Toc1531225989"/>
      <w:bookmarkStart w:id="1218" w:name="_Toc26120"/>
      <w:bookmarkStart w:id="1219" w:name="_Toc30407"/>
      <w:bookmarkStart w:id="1220" w:name="_Toc1944597893"/>
      <w:bookmarkStart w:id="1221" w:name="_Toc854980565"/>
      <w:bookmarkStart w:id="1222" w:name="_Toc172969666"/>
      <w:bookmarkStart w:id="1223" w:name="_Toc1616485499"/>
      <w:bookmarkStart w:id="1224" w:name="_Toc1789436752"/>
      <w:bookmarkStart w:id="1225" w:name="_Toc1861215570"/>
      <w:bookmarkStart w:id="1226" w:name="_Toc720604747"/>
      <w:bookmarkStart w:id="1227" w:name="_Toc358877195"/>
      <w:bookmarkStart w:id="1228" w:name="_Toc8160"/>
      <w:bookmarkStart w:id="1229" w:name="_Toc6795"/>
      <w:bookmarkStart w:id="1230" w:name="_Toc1207359692"/>
      <w:bookmarkStart w:id="1231" w:name="_Toc719332128"/>
      <w:bookmarkStart w:id="1232" w:name="_Toc1922530274"/>
      <w:bookmarkStart w:id="1233" w:name="_Toc507582287"/>
      <w:bookmarkStart w:id="1234" w:name="_Toc1660377113"/>
      <w:bookmarkStart w:id="1235" w:name="_Toc21004"/>
      <w:bookmarkStart w:id="1236" w:name="_Toc1782575396"/>
      <w:bookmarkStart w:id="1237" w:name="_Toc1847335990"/>
      <w:bookmarkStart w:id="1238" w:name="_Toc586782077"/>
      <w:bookmarkStart w:id="1239" w:name="_Toc1436864186"/>
      <w:bookmarkStart w:id="1240" w:name="_Toc1628885489"/>
      <w:bookmarkStart w:id="1241" w:name="_Toc947072403"/>
      <w:bookmarkStart w:id="1242" w:name="_Toc1679042952"/>
      <w:bookmarkStart w:id="1243" w:name="_Toc1052188511"/>
      <w:bookmarkStart w:id="1244" w:name="_Toc735314248"/>
      <w:bookmarkStart w:id="1245" w:name="_Toc23484"/>
      <w:bookmarkStart w:id="1246" w:name="_Toc284180718"/>
      <w:r>
        <w:rPr>
          <w:rStyle w:val="26"/>
          <w:rFonts w:hint="eastAsia" w:ascii="楷体_GB2312" w:hAnsi="楷体_GB2312" w:eastAsia="楷体_GB2312" w:cs="楷体_GB2312"/>
          <w:b w:val="0"/>
          <w:bCs/>
          <w:color w:val="auto"/>
          <w:szCs w:val="32"/>
          <w:highlight w:val="none"/>
          <w:lang w:val="en-US" w:eastAsia="zh-CN"/>
        </w:rPr>
        <w:t>（三）筑牢韶关集群安全屏障</w:t>
      </w:r>
      <w:bookmarkEnd w:id="1212"/>
      <w:bookmarkEnd w:id="1213"/>
      <w:bookmarkEnd w:id="1214"/>
      <w:bookmarkEnd w:id="1215"/>
      <w:bookmarkEnd w:id="1216"/>
      <w:bookmarkEnd w:id="1217"/>
    </w:p>
    <w:p w14:paraId="0701A799">
      <w:pPr>
        <w:pageBreakBefore w:val="0"/>
        <w:widowControl w:val="0"/>
        <w:kinsoku/>
        <w:overflowPunct/>
        <w:topLinePunct w:val="0"/>
        <w:autoSpaceDE/>
        <w:autoSpaceDN/>
        <w:bidi w:val="0"/>
        <w:adjustRightInd/>
        <w:spacing w:beforeLines="0" w:afterLines="0" w:line="560" w:lineRule="exact"/>
        <w:ind w:firstLine="0"/>
        <w:jc w:val="both"/>
        <w:textAlignment w:val="auto"/>
        <w:outlineLvl w:val="9"/>
        <w:rPr>
          <w:rFonts w:hint="eastAsia" w:ascii="仿宋_GB2312" w:hAnsi="仿宋_GB2312" w:eastAsia="仿宋_GB2312" w:cs="仿宋_GB2312"/>
          <w:sz w:val="32"/>
          <w:szCs w:val="32"/>
          <w:lang w:val="en-US" w:eastAsia="zh-CN"/>
        </w:rPr>
      </w:pPr>
      <w:bookmarkStart w:id="1247" w:name="_Toc965884265"/>
      <w:bookmarkStart w:id="1248" w:name="_Toc1810235416"/>
      <w:bookmarkStart w:id="1249" w:name="_Toc184470035"/>
      <w:bookmarkStart w:id="1250" w:name="_Toc622858267"/>
      <w:bookmarkStart w:id="1251" w:name="_Toc1996418464"/>
      <w:bookmarkStart w:id="1252" w:name="_Toc1425826848"/>
      <w:bookmarkStart w:id="1253" w:name="_Toc1442525181"/>
      <w:bookmarkStart w:id="1254" w:name="_Toc9981211"/>
      <w:r>
        <w:rPr>
          <w:rFonts w:hint="eastAsia" w:ascii="仿宋_GB2312" w:hAnsi="仿宋_GB2312" w:eastAsia="仿宋_GB2312" w:cs="仿宋_GB2312"/>
          <w:sz w:val="32"/>
          <w:szCs w:val="32"/>
          <w:lang w:val="en-US" w:eastAsia="zh-CN"/>
        </w:rPr>
        <w:t>建设韶关</w:t>
      </w:r>
      <w:r>
        <w:rPr>
          <w:rFonts w:hint="default" w:ascii="仿宋_GB2312" w:hAnsi="仿宋_GB2312" w:eastAsia="仿宋_GB2312" w:cs="仿宋_GB2312"/>
          <w:sz w:val="32"/>
          <w:szCs w:val="32"/>
          <w:lang w:val="en-US" w:eastAsia="zh-CN"/>
        </w:rPr>
        <w:t>数据中心集群</w:t>
      </w:r>
      <w:r>
        <w:rPr>
          <w:rFonts w:hint="eastAsia" w:ascii="仿宋_GB2312" w:hAnsi="仿宋_GB2312" w:eastAsia="仿宋_GB2312" w:cs="仿宋_GB2312"/>
          <w:sz w:val="32"/>
          <w:szCs w:val="32"/>
          <w:lang w:val="en-US" w:eastAsia="zh-CN"/>
        </w:rPr>
        <w:t>一体化算力网综合安全防护体系，</w:t>
      </w:r>
      <w:r>
        <w:rPr>
          <w:rFonts w:hint="default" w:ascii="仿宋_GB2312" w:hAnsi="仿宋_GB2312" w:eastAsia="仿宋_GB2312" w:cs="仿宋_GB2312"/>
          <w:sz w:val="32"/>
          <w:szCs w:val="32"/>
          <w:lang w:val="en-US" w:eastAsia="zh-CN"/>
        </w:rPr>
        <w:t>全面提升数据中心集群的安全管理水平。</w:t>
      </w:r>
      <w:r>
        <w:rPr>
          <w:rFonts w:hint="eastAsia" w:ascii="仿宋_GB2312" w:hAnsi="仿宋_GB2312" w:eastAsia="仿宋_GB2312" w:cs="仿宋_GB2312"/>
          <w:sz w:val="32"/>
          <w:szCs w:val="32"/>
          <w:lang w:val="en-US" w:eastAsia="zh-CN"/>
        </w:rPr>
        <w:t>建立韶关数据中心集群安全工作机制，推动集群内数据中心安全防护情报共享、协同处置。</w:t>
      </w:r>
    </w:p>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E32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0D357CDA">
            <w:pPr>
              <w:keepNext w:val="0"/>
              <w:keepLines w:val="0"/>
              <w:suppressLineNumbers w:val="0"/>
              <w:spacing w:before="0" w:beforeLines="0" w:beforeAutospacing="0" w:after="0" w:afterLines="0" w:afterAutospacing="0" w:line="560" w:lineRule="exact"/>
              <w:ind w:left="0" w:right="0" w:firstLine="0" w:firstLineChars="0"/>
              <w:jc w:val="center"/>
              <w:rPr>
                <w:rFonts w:hint="default" w:ascii="Times New Roman" w:hAnsi="Times New Roman" w:eastAsia="仿宋_GB2312"/>
                <w:b/>
                <w:bCs/>
                <w:color w:val="auto"/>
                <w:sz w:val="32"/>
                <w:szCs w:val="32"/>
                <w:highlight w:val="none"/>
                <w:vertAlign w:val="baseline"/>
                <w:lang w:val="en-US" w:eastAsia="zh-CN"/>
              </w:rPr>
            </w:pPr>
            <w:r>
              <w:rPr>
                <w:rFonts w:hint="eastAsia" w:ascii="Times New Roman" w:hAnsi="Times New Roman" w:eastAsia="仿宋_GB2312" w:cs="Times New Roman"/>
                <w:b/>
                <w:bCs/>
                <w:color w:val="auto"/>
                <w:sz w:val="28"/>
                <w:szCs w:val="28"/>
                <w:highlight w:val="none"/>
                <w:vertAlign w:val="baseline"/>
              </w:rPr>
              <w:t>专栏</w:t>
            </w:r>
            <w:r>
              <w:rPr>
                <w:rFonts w:hint="eastAsia" w:ascii="Times New Roman" w:hAnsi="Times New Roman" w:cs="Times New Roman"/>
                <w:b/>
                <w:bCs/>
                <w:color w:val="auto"/>
                <w:sz w:val="28"/>
                <w:szCs w:val="28"/>
                <w:highlight w:val="none"/>
                <w:vertAlign w:val="baseline"/>
                <w:lang w:val="en-US" w:eastAsia="zh-CN"/>
              </w:rPr>
              <w:t>16 数字韶关安全强化工程</w:t>
            </w:r>
          </w:p>
        </w:tc>
      </w:tr>
      <w:tr w14:paraId="09DD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noWrap w:val="0"/>
            <w:vAlign w:val="top"/>
          </w:tcPr>
          <w:p w14:paraId="2C6DB266">
            <w:pPr>
              <w:keepNext w:val="0"/>
              <w:keepLines w:val="0"/>
              <w:suppressLineNumbers w:val="0"/>
              <w:spacing w:before="0" w:beforeLines="0" w:beforeAutospacing="0" w:after="0" w:afterLines="0" w:afterAutospacing="0"/>
              <w:ind w:left="0" w:right="0" w:firstLine="0"/>
              <w:rPr>
                <w:rFonts w:hint="eastAsia" w:eastAsiaTheme="minorEastAsia"/>
                <w:lang w:eastAsia="zh-CN"/>
              </w:rPr>
            </w:pPr>
            <w:r>
              <w:rPr>
                <w:rFonts w:hint="eastAsia" w:ascii="仿宋_GB2312" w:hAnsi="仿宋_GB2312" w:eastAsia="仿宋_GB2312" w:cs="仿宋_GB2312"/>
                <w:b/>
                <w:bCs/>
                <w:color w:val="auto"/>
                <w:sz w:val="28"/>
                <w:szCs w:val="28"/>
                <w:highlight w:val="none"/>
                <w:lang w:eastAsia="zh-CN"/>
              </w:rPr>
              <w:t>数字政府安全</w:t>
            </w:r>
            <w:r>
              <w:rPr>
                <w:rFonts w:hint="eastAsia" w:ascii="仿宋_GB2312" w:hAnsi="仿宋_GB2312" w:cs="仿宋_GB2312"/>
                <w:b/>
                <w:bCs/>
                <w:color w:val="auto"/>
                <w:sz w:val="28"/>
                <w:szCs w:val="28"/>
                <w:highlight w:val="none"/>
                <w:lang w:val="en-US" w:eastAsia="zh-CN"/>
              </w:rPr>
              <w:t>体系建设工程</w:t>
            </w:r>
            <w:r>
              <w:rPr>
                <w:rFonts w:hint="eastAsia" w:ascii="仿宋_GB2312" w:hAnsi="仿宋_GB2312" w:cs="仿宋_GB2312"/>
                <w:b/>
                <w:bCs/>
                <w:color w:val="auto"/>
                <w:sz w:val="28"/>
                <w:szCs w:val="28"/>
                <w:highlight w:val="none"/>
                <w:lang w:eastAsia="zh-CN"/>
              </w:rPr>
              <w:t>。</w:t>
            </w:r>
            <w:r>
              <w:rPr>
                <w:rFonts w:hint="eastAsia" w:ascii="仿宋_GB2312" w:hAnsi="仿宋_GB2312" w:cs="仿宋_GB2312"/>
                <w:b w:val="0"/>
                <w:bCs w:val="0"/>
                <w:color w:val="auto"/>
                <w:sz w:val="28"/>
                <w:szCs w:val="28"/>
                <w:highlight w:val="none"/>
                <w:lang w:val="en-US" w:eastAsia="zh-CN"/>
              </w:rPr>
              <w:t>依托数字政府网络安全运营平台，接入各地各单位网络安全态势感知数据，提升数字政府网络安全防护的协同性和主动性。</w:t>
            </w:r>
            <w:r>
              <w:rPr>
                <w:rFonts w:hint="eastAsia" w:ascii="仿宋_GB2312" w:hAnsi="仿宋_GB2312" w:eastAsia="仿宋_GB2312" w:cs="仿宋_GB2312"/>
                <w:b w:val="0"/>
                <w:bCs w:val="0"/>
                <w:color w:val="auto"/>
                <w:sz w:val="28"/>
                <w:szCs w:val="28"/>
                <w:highlight w:val="none"/>
                <w:lang w:val="en-US" w:eastAsia="zh-CN"/>
              </w:rPr>
              <w:t>构建智能化网络安全监测与防护体系，提升</w:t>
            </w:r>
            <w:r>
              <w:rPr>
                <w:rFonts w:hint="eastAsia" w:ascii="仿宋_GB2312" w:hAnsi="仿宋_GB2312" w:cs="仿宋_GB2312"/>
                <w:b w:val="0"/>
                <w:bCs w:val="0"/>
                <w:color w:val="auto"/>
                <w:sz w:val="28"/>
                <w:szCs w:val="28"/>
                <w:highlight w:val="none"/>
                <w:lang w:val="en-US" w:eastAsia="zh-CN"/>
              </w:rPr>
              <w:t>数字政府</w:t>
            </w:r>
            <w:r>
              <w:rPr>
                <w:rFonts w:hint="eastAsia" w:ascii="仿宋_GB2312" w:hAnsi="仿宋_GB2312" w:eastAsia="仿宋_GB2312" w:cs="仿宋_GB2312"/>
                <w:b w:val="0"/>
                <w:bCs w:val="0"/>
                <w:color w:val="auto"/>
                <w:sz w:val="28"/>
                <w:szCs w:val="28"/>
                <w:highlight w:val="none"/>
                <w:lang w:val="en-US" w:eastAsia="zh-CN"/>
              </w:rPr>
              <w:t>安全保障能力。</w:t>
            </w:r>
          </w:p>
          <w:p w14:paraId="1C2F50C0">
            <w:pPr>
              <w:keepNext w:val="0"/>
              <w:keepLines w:val="0"/>
              <w:widowControl/>
              <w:suppressLineNumbers w:val="0"/>
              <w:spacing w:before="0" w:beforeLines="0" w:beforeAutospacing="0" w:after="0" w:afterLines="0" w:afterAutospacing="0" w:line="560" w:lineRule="exact"/>
              <w:ind w:left="0" w:right="0" w:firstLine="0"/>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韶关集群一体化保障工程。</w:t>
            </w:r>
            <w:r>
              <w:rPr>
                <w:rFonts w:hint="eastAsia" w:ascii="仿宋_GB2312" w:hAnsi="仿宋_GB2312" w:eastAsia="仿宋_GB2312" w:cs="仿宋_GB2312"/>
                <w:color w:val="auto"/>
                <w:sz w:val="28"/>
                <w:szCs w:val="28"/>
                <w:highlight w:val="none"/>
                <w:lang w:val="en-US" w:eastAsia="zh-CN"/>
              </w:rPr>
              <w:t>构建涵盖算力基础设施、云平台、应用等</w:t>
            </w:r>
            <w:r>
              <w:rPr>
                <w:rFonts w:hint="eastAsia" w:ascii="仿宋_GB2312" w:hAnsi="仿宋_GB2312" w:cs="仿宋_GB2312"/>
                <w:color w:val="auto"/>
                <w:sz w:val="28"/>
                <w:szCs w:val="28"/>
                <w:highlight w:val="none"/>
                <w:lang w:val="en-US" w:eastAsia="zh-CN"/>
              </w:rPr>
              <w:t>一体化算力网综合安全防护体系</w:t>
            </w:r>
            <w:r>
              <w:rPr>
                <w:rFonts w:hint="eastAsia" w:ascii="仿宋_GB2312" w:hAnsi="仿宋_GB2312" w:eastAsia="仿宋_GB2312" w:cs="仿宋_GB2312"/>
                <w:color w:val="auto"/>
                <w:sz w:val="28"/>
                <w:szCs w:val="28"/>
                <w:highlight w:val="none"/>
                <w:lang w:val="en-US" w:eastAsia="zh-CN"/>
              </w:rPr>
              <w:t>，为</w:t>
            </w:r>
            <w:r>
              <w:rPr>
                <w:rFonts w:hint="eastAsia" w:ascii="仿宋_GB2312" w:hAnsi="仿宋_GB2312" w:cs="仿宋_GB2312"/>
                <w:color w:val="auto"/>
                <w:sz w:val="28"/>
                <w:szCs w:val="28"/>
                <w:highlight w:val="none"/>
                <w:lang w:val="en-US" w:eastAsia="zh-CN"/>
              </w:rPr>
              <w:t>韶关集群内各</w:t>
            </w:r>
            <w:r>
              <w:rPr>
                <w:rFonts w:hint="eastAsia" w:ascii="仿宋_GB2312" w:hAnsi="仿宋_GB2312" w:eastAsia="仿宋_GB2312" w:cs="仿宋_GB2312"/>
                <w:color w:val="auto"/>
                <w:sz w:val="28"/>
                <w:szCs w:val="28"/>
                <w:highlight w:val="none"/>
                <w:lang w:val="en-US" w:eastAsia="zh-CN"/>
              </w:rPr>
              <w:t>数据中心提供全方位安全保障。建成安全通报预警、调度指挥、安全合规等核心安全能力</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形成集群区域“一盘棋”管理。</w:t>
            </w:r>
          </w:p>
          <w:p w14:paraId="2DE3A71E">
            <w:pPr>
              <w:keepNext w:val="0"/>
              <w:keepLines w:val="0"/>
              <w:widowControl/>
              <w:suppressLineNumbers w:val="0"/>
              <w:spacing w:before="0" w:beforeLines="0" w:beforeAutospacing="0" w:after="0" w:afterLines="0" w:afterAutospacing="0" w:line="560" w:lineRule="exact"/>
              <w:ind w:left="0" w:right="0" w:firstLine="0"/>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数字政府政务云容灾工程。</w:t>
            </w:r>
            <w:r>
              <w:rPr>
                <w:rFonts w:hint="eastAsia" w:ascii="仿宋_GB2312" w:hAnsi="仿宋_GB2312" w:cs="仿宋_GB2312"/>
                <w:color w:val="auto"/>
                <w:sz w:val="28"/>
                <w:szCs w:val="28"/>
                <w:highlight w:val="none"/>
                <w:lang w:val="en-US" w:eastAsia="zh-CN"/>
              </w:rPr>
              <w:t>推动建设广东数字政府政务云平台容灾中心，为省直有关单位，以及各地市的政务信息系统提供数据级和应用级的容灾备份服务，实现对省直各单位以及全省21个地市政务信息系统的关键业务数据和核心应用功能的可靠保护与快速恢复。</w:t>
            </w:r>
          </w:p>
        </w:tc>
      </w:tr>
    </w:tbl>
    <w:p w14:paraId="4923820D">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0"/>
        <w:rPr>
          <w:rFonts w:hint="eastAsia" w:ascii="Times New Roman" w:hAnsi="Times New Roman" w:eastAsia="黑体" w:cs="Times New Roman"/>
          <w:b w:val="0"/>
          <w:bCs/>
          <w:color w:val="auto"/>
          <w:kern w:val="44"/>
          <w:sz w:val="32"/>
          <w:szCs w:val="32"/>
          <w:highlight w:val="none"/>
          <w:lang w:val="en-US" w:eastAsia="zh-CN" w:bidi="ar"/>
        </w:rPr>
      </w:pPr>
      <w:bookmarkStart w:id="1255" w:name="_Toc569024818"/>
      <w:bookmarkStart w:id="1256" w:name="_Toc1116192138"/>
      <w:bookmarkStart w:id="1257" w:name="_Toc190340388"/>
      <w:bookmarkStart w:id="1258" w:name="_Toc8673"/>
      <w:bookmarkStart w:id="1259" w:name="_Toc722578686"/>
      <w:bookmarkStart w:id="1260" w:name="_Toc8633613"/>
      <w:bookmarkStart w:id="1261" w:name="_Toc156358878"/>
      <w:bookmarkStart w:id="1262" w:name="_Toc15071"/>
      <w:bookmarkStart w:id="1263" w:name="_Toc1684579512"/>
      <w:bookmarkStart w:id="1264" w:name="_Toc715167605"/>
      <w:bookmarkStart w:id="1265" w:name="_Toc112173195"/>
      <w:bookmarkStart w:id="1266" w:name="_Toc776773889"/>
      <w:bookmarkStart w:id="1267" w:name="_Toc109058821"/>
      <w:bookmarkStart w:id="1268" w:name="_Toc30321"/>
      <w:bookmarkStart w:id="1269" w:name="_Toc20366"/>
      <w:bookmarkStart w:id="1270" w:name="_Toc1956405751"/>
      <w:bookmarkStart w:id="1271" w:name="_Toc461750050"/>
      <w:bookmarkStart w:id="1272" w:name="_Toc1843"/>
      <w:bookmarkStart w:id="1273" w:name="_Toc1114545591"/>
      <w:bookmarkStart w:id="1274" w:name="_Toc24309"/>
      <w:bookmarkStart w:id="1275" w:name="_Toc20112"/>
      <w:bookmarkStart w:id="1276" w:name="_Toc340432266"/>
      <w:bookmarkStart w:id="1277" w:name="_Toc49559547"/>
      <w:bookmarkStart w:id="1278" w:name="_Toc373635014"/>
      <w:bookmarkStart w:id="1279" w:name="_Toc1355471031"/>
      <w:bookmarkStart w:id="1280" w:name="_Toc1395802062"/>
      <w:bookmarkStart w:id="1281" w:name="_Toc435806214"/>
      <w:bookmarkStart w:id="1282" w:name="_Toc1942571330"/>
      <w:bookmarkStart w:id="1283" w:name="_Toc1390862230"/>
      <w:bookmarkStart w:id="1284" w:name="_Toc1125180884"/>
      <w:bookmarkStart w:id="1285" w:name="_Toc1723107099"/>
      <w:bookmarkStart w:id="1286" w:name="_Toc1830632639"/>
      <w:bookmarkStart w:id="1287" w:name="_Toc308421274"/>
      <w:bookmarkStart w:id="1288" w:name="_Toc1758889217"/>
      <w:bookmarkStart w:id="1289" w:name="_Toc1141508510"/>
      <w:bookmarkStart w:id="1290" w:name="_Toc497953161"/>
      <w:r>
        <w:rPr>
          <w:rFonts w:hint="eastAsia" w:ascii="Times New Roman" w:hAnsi="Times New Roman" w:cs="Times New Roman"/>
          <w:b w:val="0"/>
          <w:bCs/>
          <w:color w:val="auto"/>
          <w:kern w:val="44"/>
          <w:sz w:val="32"/>
          <w:szCs w:val="32"/>
          <w:highlight w:val="none"/>
          <w:lang w:val="en-US" w:eastAsia="zh-CN" w:bidi="ar"/>
        </w:rPr>
        <w:t>九、</w:t>
      </w:r>
      <w:r>
        <w:rPr>
          <w:rFonts w:hint="eastAsia" w:ascii="Times New Roman" w:hAnsi="Times New Roman" w:eastAsia="黑体" w:cs="Times New Roman"/>
          <w:b w:val="0"/>
          <w:bCs/>
          <w:color w:val="auto"/>
          <w:kern w:val="44"/>
          <w:sz w:val="32"/>
          <w:szCs w:val="32"/>
          <w:highlight w:val="none"/>
          <w:lang w:val="en-US" w:eastAsia="zh-CN" w:bidi="ar"/>
        </w:rPr>
        <w:t>保障措施</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14:paraId="67BCEA19">
      <w:pPr>
        <w:spacing w:beforeLines="0" w:afterLines="0"/>
        <w:ind w:firstLine="0"/>
        <w:rPr>
          <w:rFonts w:hint="default" w:ascii="Times New Roman" w:hAnsi="Times New Roman" w:cs="Times New Roman"/>
          <w:color w:val="auto"/>
          <w:sz w:val="32"/>
          <w:szCs w:val="32"/>
          <w:lang w:val="en-US" w:eastAsia="zh-CN"/>
        </w:rPr>
      </w:pPr>
      <w:bookmarkStart w:id="1291" w:name="_Toc1500270082"/>
      <w:bookmarkStart w:id="1292" w:name="_Toc1100180411"/>
      <w:bookmarkStart w:id="1293" w:name="_Toc17240"/>
      <w:bookmarkStart w:id="1294" w:name="_Toc32564"/>
      <w:bookmarkStart w:id="1295" w:name="_Toc880406469"/>
      <w:bookmarkStart w:id="1296" w:name="_Toc1039686871"/>
      <w:bookmarkStart w:id="1297" w:name="_Toc2090639604"/>
      <w:bookmarkStart w:id="1298" w:name="_Toc13606"/>
      <w:bookmarkStart w:id="1299" w:name="_Toc2037983997"/>
      <w:bookmarkStart w:id="1300" w:name="_Toc2144243807"/>
      <w:bookmarkStart w:id="1301" w:name="_Toc449763698"/>
      <w:bookmarkStart w:id="1302" w:name="_Toc1085060916"/>
      <w:bookmarkStart w:id="1303" w:name="_Toc679963880"/>
      <w:bookmarkStart w:id="1304" w:name="_Toc1096530495"/>
      <w:bookmarkStart w:id="1305" w:name="_Toc1668484397"/>
      <w:bookmarkStart w:id="1306" w:name="_Toc5908"/>
      <w:bookmarkStart w:id="1307" w:name="_Toc431236469"/>
      <w:bookmarkStart w:id="1308" w:name="_Toc912283400"/>
      <w:bookmarkStart w:id="1309" w:name="_Toc742450237"/>
      <w:bookmarkStart w:id="1310" w:name="_Toc580477697"/>
      <w:bookmarkStart w:id="1311" w:name="_Toc370203604"/>
      <w:bookmarkStart w:id="1312" w:name="_Toc15554"/>
      <w:bookmarkStart w:id="1313" w:name="_Toc1784558116"/>
      <w:bookmarkStart w:id="1314" w:name="_Toc1377598364"/>
      <w:bookmarkStart w:id="1315" w:name="_Toc991397929"/>
      <w:bookmarkStart w:id="1316" w:name="_Toc686361660"/>
      <w:bookmarkStart w:id="1317" w:name="_Toc654599204"/>
      <w:bookmarkStart w:id="1318" w:name="_Toc16996"/>
      <w:bookmarkStart w:id="1319" w:name="_Toc2788"/>
      <w:bookmarkStart w:id="1320" w:name="_Toc1641157028"/>
      <w:bookmarkStart w:id="1321" w:name="_Toc1363060609"/>
      <w:bookmarkStart w:id="1322" w:name="_Toc564699742"/>
      <w:bookmarkStart w:id="1323" w:name="_Toc1418048971"/>
      <w:r>
        <w:rPr>
          <w:rStyle w:val="26"/>
          <w:rFonts w:hint="eastAsia" w:ascii="仿宋_GB2312" w:hAnsi="仿宋_GB2312" w:eastAsia="仿宋_GB2312" w:cs="仿宋_GB2312"/>
          <w:b w:val="0"/>
          <w:bCs w:val="0"/>
          <w:kern w:val="2"/>
          <w:szCs w:val="32"/>
          <w:lang w:val="en-US" w:eastAsia="zh-CN" w:bidi="ar-SA"/>
        </w:rPr>
        <w:t>强化</w:t>
      </w:r>
      <w:r>
        <w:rPr>
          <w:rFonts w:hint="eastAsia" w:ascii="仿宋_GB2312" w:hAnsi="仿宋_GB2312" w:cs="仿宋_GB2312"/>
          <w:b w:val="0"/>
          <w:bCs w:val="0"/>
          <w:kern w:val="2"/>
          <w:szCs w:val="32"/>
          <w:lang w:val="en-US" w:eastAsia="zh-CN" w:bidi="ar-SA"/>
        </w:rPr>
        <w:t>党的领导</w:t>
      </w:r>
      <w:r>
        <w:rPr>
          <w:rStyle w:val="26"/>
          <w:rFonts w:hint="eastAsia" w:ascii="仿宋_GB2312" w:hAnsi="仿宋_GB2312" w:eastAsia="仿宋_GB2312" w:cs="仿宋_GB2312"/>
          <w:b w:val="0"/>
          <w:bCs w:val="0"/>
          <w:kern w:val="2"/>
          <w:szCs w:val="32"/>
          <w:lang w:val="en-US" w:eastAsia="zh-CN" w:bidi="ar-SA"/>
        </w:rPr>
        <w:t>，</w:t>
      </w:r>
      <w:r>
        <w:rPr>
          <w:rStyle w:val="26"/>
          <w:rFonts w:hint="eastAsia" w:ascii="仿宋_GB2312" w:hAnsi="仿宋_GB2312" w:cs="仿宋_GB2312"/>
          <w:b w:val="0"/>
          <w:bCs w:val="0"/>
          <w:kern w:val="2"/>
          <w:szCs w:val="32"/>
          <w:lang w:val="en-US" w:eastAsia="zh-CN" w:bidi="ar-SA"/>
        </w:rPr>
        <w:t>建立</w:t>
      </w:r>
      <w:r>
        <w:rPr>
          <w:rStyle w:val="26"/>
          <w:rFonts w:hint="eastAsia" w:ascii="仿宋_GB2312" w:hAnsi="仿宋_GB2312" w:eastAsia="仿宋_GB2312" w:cs="仿宋_GB2312"/>
          <w:b w:val="0"/>
          <w:bCs w:val="0"/>
          <w:kern w:val="2"/>
          <w:szCs w:val="32"/>
          <w:lang w:val="en-US" w:eastAsia="zh-CN" w:bidi="ar-SA"/>
        </w:rPr>
        <w:t>健全跨层级跨部门协同机制。完善资金保障，深化政企银合作，引导国有与民营资本联合投入，</w:t>
      </w:r>
      <w:r>
        <w:rPr>
          <w:rStyle w:val="26"/>
          <w:rFonts w:hint="eastAsia" w:ascii="仿宋_GB2312" w:hAnsi="仿宋_GB2312" w:cs="仿宋_GB2312"/>
          <w:b w:val="0"/>
          <w:bCs w:val="0"/>
          <w:kern w:val="2"/>
          <w:szCs w:val="32"/>
          <w:lang w:val="en-US" w:eastAsia="zh-CN" w:bidi="ar-SA"/>
        </w:rPr>
        <w:t>引进社会资金，积极</w:t>
      </w:r>
      <w:r>
        <w:rPr>
          <w:rStyle w:val="26"/>
          <w:rFonts w:hint="eastAsia" w:ascii="仿宋_GB2312" w:hAnsi="仿宋_GB2312" w:eastAsia="仿宋_GB2312" w:cs="仿宋_GB2312"/>
          <w:b w:val="0"/>
          <w:bCs w:val="0"/>
          <w:kern w:val="2"/>
          <w:szCs w:val="32"/>
          <w:lang w:val="en-US" w:eastAsia="zh-CN" w:bidi="ar-SA"/>
        </w:rPr>
        <w:t>争取专项资金及债券支持。强化人才建设，实施大数据人才计划，</w:t>
      </w:r>
      <w:r>
        <w:rPr>
          <w:rStyle w:val="26"/>
          <w:rFonts w:hint="eastAsia" w:ascii="仿宋_GB2312" w:hAnsi="仿宋_GB2312" w:cs="仿宋_GB2312"/>
          <w:b w:val="0"/>
          <w:bCs w:val="0"/>
          <w:kern w:val="2"/>
          <w:szCs w:val="32"/>
          <w:lang w:val="en-US" w:eastAsia="zh-CN" w:bidi="ar-SA"/>
        </w:rPr>
        <w:t>建立</w:t>
      </w:r>
      <w:r>
        <w:rPr>
          <w:rStyle w:val="26"/>
          <w:rFonts w:hint="eastAsia" w:ascii="仿宋_GB2312" w:hAnsi="仿宋_GB2312" w:eastAsia="仿宋_GB2312" w:cs="仿宋_GB2312"/>
          <w:b w:val="0"/>
          <w:bCs w:val="0"/>
          <w:kern w:val="2"/>
          <w:szCs w:val="32"/>
          <w:lang w:val="en-US" w:eastAsia="zh-CN" w:bidi="ar-SA"/>
        </w:rPr>
        <w:t>健全</w:t>
      </w:r>
      <w:r>
        <w:rPr>
          <w:rStyle w:val="26"/>
          <w:rFonts w:hint="eastAsia" w:ascii="仿宋_GB2312" w:hAnsi="仿宋_GB2312" w:cs="仿宋_GB2312"/>
          <w:b w:val="0"/>
          <w:bCs w:val="0"/>
          <w:kern w:val="2"/>
          <w:szCs w:val="32"/>
          <w:lang w:val="en-US" w:eastAsia="zh-CN" w:bidi="ar-SA"/>
        </w:rPr>
        <w:t>大数据人才</w:t>
      </w:r>
      <w:r>
        <w:rPr>
          <w:rStyle w:val="26"/>
          <w:rFonts w:hint="eastAsia" w:ascii="仿宋_GB2312" w:hAnsi="仿宋_GB2312" w:eastAsia="仿宋_GB2312" w:cs="仿宋_GB2312"/>
          <w:b w:val="0"/>
          <w:bCs w:val="0"/>
          <w:kern w:val="2"/>
          <w:szCs w:val="32"/>
          <w:lang w:val="en-US" w:eastAsia="zh-CN" w:bidi="ar-SA"/>
        </w:rPr>
        <w:t>培育体系，</w:t>
      </w:r>
      <w:r>
        <w:rPr>
          <w:rStyle w:val="26"/>
          <w:rFonts w:hint="eastAsia" w:ascii="仿宋_GB2312" w:hAnsi="仿宋_GB2312" w:cs="仿宋_GB2312"/>
          <w:b w:val="0"/>
          <w:bCs w:val="0"/>
          <w:kern w:val="2"/>
          <w:szCs w:val="32"/>
          <w:lang w:val="en-US" w:eastAsia="zh-CN" w:bidi="ar-SA"/>
        </w:rPr>
        <w:t>强化校企合作，</w:t>
      </w:r>
      <w:r>
        <w:rPr>
          <w:rStyle w:val="26"/>
          <w:rFonts w:hint="eastAsia" w:ascii="仿宋_GB2312" w:hAnsi="仿宋_GB2312" w:eastAsia="仿宋_GB2312" w:cs="仿宋_GB2312"/>
          <w:b w:val="0"/>
          <w:bCs w:val="0"/>
          <w:kern w:val="2"/>
          <w:szCs w:val="32"/>
          <w:lang w:val="en-US" w:eastAsia="zh-CN" w:bidi="ar-SA"/>
        </w:rPr>
        <w:t>建设</w:t>
      </w:r>
      <w:r>
        <w:rPr>
          <w:rStyle w:val="26"/>
          <w:rFonts w:hint="eastAsia" w:ascii="仿宋_GB2312" w:hAnsi="仿宋_GB2312" w:cs="仿宋_GB2312"/>
          <w:b w:val="0"/>
          <w:bCs w:val="0"/>
          <w:kern w:val="2"/>
          <w:szCs w:val="32"/>
          <w:lang w:val="en-US" w:eastAsia="zh-CN" w:bidi="ar-SA"/>
        </w:rPr>
        <w:t>数据产业人才</w:t>
      </w:r>
      <w:r>
        <w:rPr>
          <w:rStyle w:val="26"/>
          <w:rFonts w:hint="eastAsia" w:ascii="仿宋_GB2312" w:hAnsi="仿宋_GB2312" w:eastAsia="仿宋_GB2312" w:cs="仿宋_GB2312"/>
          <w:b w:val="0"/>
          <w:bCs w:val="0"/>
          <w:kern w:val="2"/>
          <w:szCs w:val="32"/>
          <w:lang w:val="en-US" w:eastAsia="zh-CN" w:bidi="ar-SA"/>
        </w:rPr>
        <w:t>实训基地</w:t>
      </w:r>
      <w:r>
        <w:rPr>
          <w:rStyle w:val="26"/>
          <w:rFonts w:hint="eastAsia" w:ascii="仿宋_GB2312" w:hAnsi="仿宋_GB2312" w:cs="仿宋_GB2312"/>
          <w:b w:val="0"/>
          <w:bCs w:val="0"/>
          <w:kern w:val="2"/>
          <w:szCs w:val="32"/>
          <w:lang w:val="en-US" w:eastAsia="zh-CN" w:bidi="ar-SA"/>
        </w:rPr>
        <w:t>，构建产学研人才培养模式</w:t>
      </w:r>
      <w:r>
        <w:rPr>
          <w:rStyle w:val="26"/>
          <w:rFonts w:hint="eastAsia" w:ascii="仿宋_GB2312" w:hAnsi="仿宋_GB2312" w:eastAsia="仿宋_GB2312" w:cs="仿宋_GB2312"/>
          <w:b w:val="0"/>
          <w:bCs w:val="0"/>
          <w:kern w:val="2"/>
          <w:szCs w:val="32"/>
          <w:lang w:val="en-US" w:eastAsia="zh-CN" w:bidi="ar-SA"/>
        </w:rPr>
        <w:t>。</w:t>
      </w:r>
      <w:r>
        <w:rPr>
          <w:rStyle w:val="26"/>
          <w:rFonts w:hint="eastAsia" w:ascii="仿宋_GB2312" w:hAnsi="仿宋_GB2312" w:cs="仿宋_GB2312"/>
          <w:b w:val="0"/>
          <w:bCs w:val="0"/>
          <w:kern w:val="2"/>
          <w:szCs w:val="32"/>
          <w:lang w:val="en-US" w:eastAsia="zh-CN" w:bidi="ar-SA"/>
        </w:rPr>
        <w:t>强化政策支持，</w:t>
      </w:r>
      <w:r>
        <w:rPr>
          <w:rFonts w:hint="default" w:ascii="仿宋_GB2312" w:hAnsi="仿宋_GB2312" w:eastAsia="仿宋_GB2312" w:cs="仿宋_GB2312"/>
          <w:sz w:val="32"/>
          <w:szCs w:val="32"/>
          <w:lang w:val="en-US" w:eastAsia="zh-CN"/>
        </w:rPr>
        <w:t>整合政策资金，出台</w:t>
      </w:r>
      <w:r>
        <w:rPr>
          <w:rFonts w:hint="eastAsia" w:ascii="仿宋_GB2312" w:hAnsi="仿宋_GB2312" w:eastAsia="仿宋_GB2312" w:cs="仿宋_GB2312"/>
          <w:sz w:val="32"/>
          <w:szCs w:val="32"/>
          <w:lang w:val="en-US" w:eastAsia="zh-CN"/>
        </w:rPr>
        <w:t>数字</w:t>
      </w:r>
      <w:r>
        <w:rPr>
          <w:rFonts w:hint="default" w:ascii="仿宋_GB2312" w:hAnsi="仿宋_GB2312" w:eastAsia="仿宋_GB2312" w:cs="仿宋_GB2312"/>
          <w:sz w:val="32"/>
          <w:szCs w:val="32"/>
          <w:lang w:val="en-US" w:eastAsia="zh-CN"/>
        </w:rPr>
        <w:t>产业专项扶持措施，加大对</w:t>
      </w:r>
      <w:r>
        <w:rPr>
          <w:rFonts w:hint="eastAsia" w:ascii="仿宋_GB2312" w:hAnsi="仿宋_GB2312" w:eastAsia="仿宋_GB2312" w:cs="仿宋_GB2312"/>
          <w:sz w:val="32"/>
          <w:szCs w:val="32"/>
          <w:lang w:val="en-US" w:eastAsia="zh-CN"/>
        </w:rPr>
        <w:t>数字领域企业</w:t>
      </w:r>
      <w:r>
        <w:rPr>
          <w:rFonts w:hint="default" w:ascii="仿宋_GB2312" w:hAnsi="仿宋_GB2312" w:eastAsia="仿宋_GB2312" w:cs="仿宋_GB2312"/>
          <w:sz w:val="32"/>
          <w:szCs w:val="32"/>
          <w:lang w:val="en-US" w:eastAsia="zh-CN"/>
        </w:rPr>
        <w:t>的支持力度。</w:t>
      </w:r>
      <w:r>
        <w:rPr>
          <w:rStyle w:val="26"/>
          <w:rFonts w:hint="eastAsia" w:ascii="仿宋_GB2312" w:hAnsi="仿宋_GB2312" w:eastAsia="仿宋_GB2312" w:cs="仿宋_GB2312"/>
          <w:b w:val="0"/>
          <w:bCs w:val="0"/>
          <w:kern w:val="2"/>
          <w:szCs w:val="32"/>
          <w:lang w:val="en-US" w:eastAsia="zh-CN" w:bidi="ar-SA"/>
        </w:rPr>
        <w:t>深化区域协作，融入“数字湾区”，</w:t>
      </w:r>
      <w:r>
        <w:rPr>
          <w:rStyle w:val="26"/>
          <w:rFonts w:hint="eastAsia" w:ascii="仿宋_GB2312" w:hAnsi="仿宋_GB2312" w:cs="仿宋_GB2312"/>
          <w:b w:val="0"/>
          <w:bCs w:val="0"/>
          <w:kern w:val="2"/>
          <w:szCs w:val="32"/>
          <w:lang w:val="en-US" w:eastAsia="zh-CN" w:bidi="ar-SA"/>
        </w:rPr>
        <w:t>积极</w:t>
      </w:r>
      <w:r>
        <w:rPr>
          <w:rStyle w:val="26"/>
          <w:rFonts w:hint="eastAsia" w:ascii="仿宋_GB2312" w:hAnsi="仿宋_GB2312" w:eastAsia="仿宋_GB2312" w:cs="仿宋_GB2312"/>
          <w:b w:val="0"/>
          <w:bCs w:val="0"/>
          <w:kern w:val="2"/>
          <w:szCs w:val="32"/>
          <w:lang w:val="en-US" w:eastAsia="zh-CN" w:bidi="ar-SA"/>
        </w:rPr>
        <w:t>承接</w:t>
      </w:r>
      <w:r>
        <w:rPr>
          <w:rStyle w:val="26"/>
          <w:rFonts w:hint="eastAsia" w:ascii="仿宋_GB2312" w:hAnsi="仿宋_GB2312" w:cs="仿宋_GB2312"/>
          <w:b w:val="0"/>
          <w:bCs w:val="0"/>
          <w:kern w:val="2"/>
          <w:szCs w:val="32"/>
          <w:lang w:val="en-US" w:eastAsia="zh-CN" w:bidi="ar-SA"/>
        </w:rPr>
        <w:t>大湾区电子信息</w:t>
      </w:r>
      <w:r>
        <w:rPr>
          <w:rStyle w:val="26"/>
          <w:rFonts w:hint="eastAsia" w:ascii="仿宋_GB2312" w:hAnsi="仿宋_GB2312" w:eastAsia="仿宋_GB2312" w:cs="仿宋_GB2312"/>
          <w:b w:val="0"/>
          <w:bCs w:val="0"/>
          <w:kern w:val="2"/>
          <w:szCs w:val="32"/>
          <w:lang w:val="en-US" w:eastAsia="zh-CN" w:bidi="ar-SA"/>
        </w:rPr>
        <w:t>产业转移，</w:t>
      </w:r>
      <w:r>
        <w:rPr>
          <w:rFonts w:hint="default" w:ascii="仿宋_GB2312" w:hAnsi="仿宋_GB2312" w:eastAsia="仿宋_GB2312" w:cs="仿宋_GB2312"/>
          <w:sz w:val="32"/>
          <w:szCs w:val="32"/>
          <w:lang w:val="en-US" w:eastAsia="zh-CN"/>
        </w:rPr>
        <w:t>打造大湾区数字产业协作基地和算力支撑基地</w:t>
      </w:r>
      <w:r>
        <w:rPr>
          <w:rFonts w:hint="eastAsia" w:ascii="仿宋_GB2312" w:hAnsi="仿宋_GB2312" w:cs="仿宋_GB2312"/>
          <w:sz w:val="32"/>
          <w:szCs w:val="32"/>
          <w:lang w:val="en-US" w:eastAsia="zh-CN"/>
        </w:rPr>
        <w:t>，</w:t>
      </w:r>
      <w:r>
        <w:rPr>
          <w:rStyle w:val="26"/>
          <w:rFonts w:hint="eastAsia" w:ascii="仿宋_GB2312" w:hAnsi="仿宋_GB2312" w:eastAsia="仿宋_GB2312" w:cs="仿宋_GB2312"/>
          <w:b w:val="0"/>
          <w:bCs w:val="0"/>
          <w:kern w:val="2"/>
          <w:szCs w:val="32"/>
          <w:lang w:val="en-US" w:eastAsia="zh-CN" w:bidi="ar-SA"/>
        </w:rPr>
        <w:t>加强与</w:t>
      </w:r>
      <w:r>
        <w:rPr>
          <w:rFonts w:hint="eastAsia" w:ascii="仿宋_GB2312" w:hAnsi="仿宋_GB2312" w:cs="仿宋_GB2312"/>
          <w:b w:val="0"/>
          <w:bCs w:val="0"/>
          <w:kern w:val="2"/>
          <w:szCs w:val="32"/>
          <w:lang w:val="en-US" w:eastAsia="zh-CN" w:bidi="ar-SA"/>
        </w:rPr>
        <w:t>湾区</w:t>
      </w:r>
      <w:r>
        <w:rPr>
          <w:rStyle w:val="26"/>
          <w:rFonts w:hint="eastAsia" w:ascii="仿宋_GB2312" w:hAnsi="仿宋_GB2312" w:eastAsia="仿宋_GB2312" w:cs="仿宋_GB2312"/>
          <w:b w:val="0"/>
          <w:bCs w:val="0"/>
          <w:kern w:val="2"/>
          <w:szCs w:val="32"/>
          <w:lang w:val="en-US" w:eastAsia="zh-CN" w:bidi="ar-SA"/>
        </w:rPr>
        <w:t>龙头</w:t>
      </w:r>
      <w:r>
        <w:rPr>
          <w:rStyle w:val="26"/>
          <w:rFonts w:hint="eastAsia" w:ascii="仿宋_GB2312" w:hAnsi="仿宋_GB2312" w:cs="仿宋_GB2312"/>
          <w:b w:val="0"/>
          <w:bCs w:val="0"/>
          <w:kern w:val="2"/>
          <w:szCs w:val="32"/>
          <w:lang w:val="en-US" w:eastAsia="zh-CN" w:bidi="ar-SA"/>
        </w:rPr>
        <w:t>数字经济</w:t>
      </w:r>
      <w:r>
        <w:rPr>
          <w:rStyle w:val="26"/>
          <w:rFonts w:hint="eastAsia" w:ascii="仿宋_GB2312" w:hAnsi="仿宋_GB2312" w:eastAsia="仿宋_GB2312" w:cs="仿宋_GB2312"/>
          <w:b w:val="0"/>
          <w:bCs w:val="0"/>
          <w:kern w:val="2"/>
          <w:szCs w:val="32"/>
          <w:lang w:val="en-US" w:eastAsia="zh-CN" w:bidi="ar-SA"/>
        </w:rPr>
        <w:t>企业及平台合作。</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3F7EBA71">
      <w:pPr>
        <w:pStyle w:val="13"/>
        <w:spacing w:after="0"/>
        <w:ind w:left="0" w:leftChars="0" w:firstLine="640"/>
        <w:rPr>
          <w:rFonts w:hint="default"/>
          <w:lang w:val="en-US" w:eastAsia="zh-CN"/>
        </w:rPr>
      </w:pPr>
    </w:p>
    <w:sectPr>
      <w:footerReference r:id="rId6" w:type="default"/>
      <w:pgSz w:w="11906" w:h="16838"/>
      <w:pgMar w:top="2098" w:right="1474" w:bottom="1984" w:left="1587" w:header="851" w:footer="992" w:gutter="0"/>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08BDD">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45D954">
                          <w:pPr>
                            <w:pStyle w:val="1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A45D954">
                    <w:pPr>
                      <w:pStyle w:val="1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D05C4">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450983">
                          <w:pPr>
                            <w:pStyle w:val="1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12450983">
                    <w:pPr>
                      <w:pStyle w:val="1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8"/>
  <w:embedTrueTypeFonts/>
  <w:saveSubsetFonts/>
  <w:bordersDoNotSurroundHeader w:val="0"/>
  <w:bordersDoNotSurroundFooter w:val="0"/>
  <w:documentProtection w:enforcement="0"/>
  <w:defaultTabStop w:val="420"/>
  <w:hyphenationZone w:val="360"/>
  <w:drawingGridVerticalSpacing w:val="221"/>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kZjI2MDYzOTk2MWZhZDNhYjE0OWY3Zjg0Y2Y0OTYifQ=="/>
  </w:docVars>
  <w:rsids>
    <w:rsidRoot w:val="79BC7246"/>
    <w:rsid w:val="008000BC"/>
    <w:rsid w:val="00E40880"/>
    <w:rsid w:val="01697170"/>
    <w:rsid w:val="016D517A"/>
    <w:rsid w:val="02025BD3"/>
    <w:rsid w:val="02AB4D9E"/>
    <w:rsid w:val="02F32A65"/>
    <w:rsid w:val="03200954"/>
    <w:rsid w:val="03483348"/>
    <w:rsid w:val="036961B3"/>
    <w:rsid w:val="04903689"/>
    <w:rsid w:val="04C705C0"/>
    <w:rsid w:val="04D741E0"/>
    <w:rsid w:val="05094D59"/>
    <w:rsid w:val="05465FAD"/>
    <w:rsid w:val="056744CD"/>
    <w:rsid w:val="057C555C"/>
    <w:rsid w:val="05C064D7"/>
    <w:rsid w:val="066F5EC5"/>
    <w:rsid w:val="08BE3D2E"/>
    <w:rsid w:val="0B2620A4"/>
    <w:rsid w:val="0C3517A2"/>
    <w:rsid w:val="0ECB3412"/>
    <w:rsid w:val="0F0740B7"/>
    <w:rsid w:val="0F4C5227"/>
    <w:rsid w:val="0F954E1A"/>
    <w:rsid w:val="0FFFA3B3"/>
    <w:rsid w:val="104B514A"/>
    <w:rsid w:val="10BE4C49"/>
    <w:rsid w:val="112F3D99"/>
    <w:rsid w:val="12394ECF"/>
    <w:rsid w:val="12CC4629"/>
    <w:rsid w:val="13ED7BEF"/>
    <w:rsid w:val="141D437D"/>
    <w:rsid w:val="168D517C"/>
    <w:rsid w:val="16FF675B"/>
    <w:rsid w:val="1A5E3C5E"/>
    <w:rsid w:val="1A64009F"/>
    <w:rsid w:val="1A872EF4"/>
    <w:rsid w:val="1BFBEFBA"/>
    <w:rsid w:val="1C1B3898"/>
    <w:rsid w:val="1C813C4F"/>
    <w:rsid w:val="1D1825DD"/>
    <w:rsid w:val="1DBFCF13"/>
    <w:rsid w:val="1DCF493A"/>
    <w:rsid w:val="1DF766DF"/>
    <w:rsid w:val="1E1F2025"/>
    <w:rsid w:val="1E262080"/>
    <w:rsid w:val="1EEE54D7"/>
    <w:rsid w:val="1EF77C52"/>
    <w:rsid w:val="1F45300D"/>
    <w:rsid w:val="1F6CAD79"/>
    <w:rsid w:val="1F74D6B5"/>
    <w:rsid w:val="1FB64C27"/>
    <w:rsid w:val="1FB7004E"/>
    <w:rsid w:val="1FCC48CE"/>
    <w:rsid w:val="1FFE000F"/>
    <w:rsid w:val="20E22BD6"/>
    <w:rsid w:val="212938AB"/>
    <w:rsid w:val="21806CD1"/>
    <w:rsid w:val="22023380"/>
    <w:rsid w:val="22D7057F"/>
    <w:rsid w:val="22D9092A"/>
    <w:rsid w:val="248140E0"/>
    <w:rsid w:val="24F471ED"/>
    <w:rsid w:val="25797980"/>
    <w:rsid w:val="260D7793"/>
    <w:rsid w:val="2619304E"/>
    <w:rsid w:val="26CD2695"/>
    <w:rsid w:val="27EDEB6A"/>
    <w:rsid w:val="28EB58DA"/>
    <w:rsid w:val="2A2955B0"/>
    <w:rsid w:val="2BFF7569"/>
    <w:rsid w:val="2CB7BFD1"/>
    <w:rsid w:val="2CD11762"/>
    <w:rsid w:val="2DB461A2"/>
    <w:rsid w:val="2E725E8E"/>
    <w:rsid w:val="2EB28B38"/>
    <w:rsid w:val="2EDFF5F1"/>
    <w:rsid w:val="2F041C8C"/>
    <w:rsid w:val="2F5C4325"/>
    <w:rsid w:val="2F7FD344"/>
    <w:rsid w:val="2FFF8A56"/>
    <w:rsid w:val="301F03D1"/>
    <w:rsid w:val="30281C88"/>
    <w:rsid w:val="306BB3C5"/>
    <w:rsid w:val="3161278F"/>
    <w:rsid w:val="31762E2B"/>
    <w:rsid w:val="31AA4CB5"/>
    <w:rsid w:val="320A522D"/>
    <w:rsid w:val="32827D75"/>
    <w:rsid w:val="32AAA31B"/>
    <w:rsid w:val="32DE8085"/>
    <w:rsid w:val="33236826"/>
    <w:rsid w:val="3380750C"/>
    <w:rsid w:val="33E918CC"/>
    <w:rsid w:val="34C22822"/>
    <w:rsid w:val="34D76D75"/>
    <w:rsid w:val="350902DA"/>
    <w:rsid w:val="357904DD"/>
    <w:rsid w:val="368167EE"/>
    <w:rsid w:val="36C05AE2"/>
    <w:rsid w:val="36ED77BC"/>
    <w:rsid w:val="36F154C9"/>
    <w:rsid w:val="371DE602"/>
    <w:rsid w:val="376FDA86"/>
    <w:rsid w:val="37B50B0A"/>
    <w:rsid w:val="37E5B760"/>
    <w:rsid w:val="37E79C0B"/>
    <w:rsid w:val="38B76CED"/>
    <w:rsid w:val="38C37259"/>
    <w:rsid w:val="39367BC6"/>
    <w:rsid w:val="39710521"/>
    <w:rsid w:val="39BF7A99"/>
    <w:rsid w:val="3A406836"/>
    <w:rsid w:val="3A6E18AD"/>
    <w:rsid w:val="3A7D4B33"/>
    <w:rsid w:val="3B475B54"/>
    <w:rsid w:val="3B9D6B0F"/>
    <w:rsid w:val="3BCDB493"/>
    <w:rsid w:val="3C72B4CF"/>
    <w:rsid w:val="3CD73905"/>
    <w:rsid w:val="3D5642D8"/>
    <w:rsid w:val="3DEFBAD6"/>
    <w:rsid w:val="3DF75EA1"/>
    <w:rsid w:val="3E2A25F9"/>
    <w:rsid w:val="3E7E77D3"/>
    <w:rsid w:val="3E9C488F"/>
    <w:rsid w:val="3EF30D8A"/>
    <w:rsid w:val="3EF5A04A"/>
    <w:rsid w:val="3EFD5406"/>
    <w:rsid w:val="3EFF6B4F"/>
    <w:rsid w:val="3F57CC54"/>
    <w:rsid w:val="3F5D0543"/>
    <w:rsid w:val="3F5EA487"/>
    <w:rsid w:val="3F7E46C6"/>
    <w:rsid w:val="3F7E8B0C"/>
    <w:rsid w:val="3FBD31CF"/>
    <w:rsid w:val="3FBF1DC4"/>
    <w:rsid w:val="3FD955E3"/>
    <w:rsid w:val="3FDB0B54"/>
    <w:rsid w:val="3FDF17EB"/>
    <w:rsid w:val="3FE36647"/>
    <w:rsid w:val="3FEF1BC4"/>
    <w:rsid w:val="3FEF3EA7"/>
    <w:rsid w:val="3FF75F29"/>
    <w:rsid w:val="3FF95361"/>
    <w:rsid w:val="3FFB3F16"/>
    <w:rsid w:val="3FFEA77C"/>
    <w:rsid w:val="41612A34"/>
    <w:rsid w:val="41BFBD5C"/>
    <w:rsid w:val="41DC56B1"/>
    <w:rsid w:val="41F3233A"/>
    <w:rsid w:val="420070FB"/>
    <w:rsid w:val="423050F8"/>
    <w:rsid w:val="42B160C7"/>
    <w:rsid w:val="43758815"/>
    <w:rsid w:val="440C56F0"/>
    <w:rsid w:val="45A831F7"/>
    <w:rsid w:val="45EC4080"/>
    <w:rsid w:val="45FD5B07"/>
    <w:rsid w:val="46C24EF0"/>
    <w:rsid w:val="46F82642"/>
    <w:rsid w:val="46FF84C3"/>
    <w:rsid w:val="4753364D"/>
    <w:rsid w:val="477B0A5E"/>
    <w:rsid w:val="483E046B"/>
    <w:rsid w:val="49DE498D"/>
    <w:rsid w:val="4ABD6E30"/>
    <w:rsid w:val="4B5A763A"/>
    <w:rsid w:val="4B7BF10A"/>
    <w:rsid w:val="4BBB54F4"/>
    <w:rsid w:val="4BBBBDBD"/>
    <w:rsid w:val="4C0D2006"/>
    <w:rsid w:val="4C6F4332"/>
    <w:rsid w:val="4CFE5C99"/>
    <w:rsid w:val="4D267823"/>
    <w:rsid w:val="4D332B4C"/>
    <w:rsid w:val="4D842436"/>
    <w:rsid w:val="4DAB3BDE"/>
    <w:rsid w:val="4DF943AA"/>
    <w:rsid w:val="4DFFA5BB"/>
    <w:rsid w:val="4E0B1953"/>
    <w:rsid w:val="4E73355F"/>
    <w:rsid w:val="4E760336"/>
    <w:rsid w:val="4ED7B073"/>
    <w:rsid w:val="4F1204ED"/>
    <w:rsid w:val="4FB9A3E9"/>
    <w:rsid w:val="4FBFC96F"/>
    <w:rsid w:val="4FCF0E91"/>
    <w:rsid w:val="4FE95D88"/>
    <w:rsid w:val="4FF35413"/>
    <w:rsid w:val="4FF42518"/>
    <w:rsid w:val="4FF4982E"/>
    <w:rsid w:val="503070F3"/>
    <w:rsid w:val="50562464"/>
    <w:rsid w:val="50BD91E1"/>
    <w:rsid w:val="50EA500B"/>
    <w:rsid w:val="514C074E"/>
    <w:rsid w:val="51A258E6"/>
    <w:rsid w:val="51C2365E"/>
    <w:rsid w:val="52C802DE"/>
    <w:rsid w:val="52CB163A"/>
    <w:rsid w:val="52EA12F3"/>
    <w:rsid w:val="533520D9"/>
    <w:rsid w:val="53CFB511"/>
    <w:rsid w:val="542E0539"/>
    <w:rsid w:val="54664F72"/>
    <w:rsid w:val="547D55D1"/>
    <w:rsid w:val="553C2317"/>
    <w:rsid w:val="553DD651"/>
    <w:rsid w:val="56272031"/>
    <w:rsid w:val="5765CAA9"/>
    <w:rsid w:val="578A61E2"/>
    <w:rsid w:val="57972834"/>
    <w:rsid w:val="57A928EA"/>
    <w:rsid w:val="57C3818A"/>
    <w:rsid w:val="57FE812A"/>
    <w:rsid w:val="57FF24DC"/>
    <w:rsid w:val="580506D7"/>
    <w:rsid w:val="5847F3E6"/>
    <w:rsid w:val="58B5795F"/>
    <w:rsid w:val="590C5921"/>
    <w:rsid w:val="59AE454F"/>
    <w:rsid w:val="59DD0D24"/>
    <w:rsid w:val="59FDF055"/>
    <w:rsid w:val="5A296BA4"/>
    <w:rsid w:val="5AF36A7A"/>
    <w:rsid w:val="5B601AC9"/>
    <w:rsid w:val="5B75038D"/>
    <w:rsid w:val="5BC75F82"/>
    <w:rsid w:val="5BEE40C2"/>
    <w:rsid w:val="5BFD20BB"/>
    <w:rsid w:val="5DC766EF"/>
    <w:rsid w:val="5DFF395F"/>
    <w:rsid w:val="5DFFCCB6"/>
    <w:rsid w:val="5E51460A"/>
    <w:rsid w:val="5E673E04"/>
    <w:rsid w:val="5E67E673"/>
    <w:rsid w:val="5E897C12"/>
    <w:rsid w:val="5EEF4634"/>
    <w:rsid w:val="5EFFADCE"/>
    <w:rsid w:val="5F155949"/>
    <w:rsid w:val="5F2E07B9"/>
    <w:rsid w:val="5F317D06"/>
    <w:rsid w:val="5F6E620F"/>
    <w:rsid w:val="5F7BCF4F"/>
    <w:rsid w:val="5F7D7F0E"/>
    <w:rsid w:val="5F9D5919"/>
    <w:rsid w:val="5FA02A2F"/>
    <w:rsid w:val="5FABA619"/>
    <w:rsid w:val="5FDFD4F2"/>
    <w:rsid w:val="5FF7CA17"/>
    <w:rsid w:val="5FFB468B"/>
    <w:rsid w:val="5FFE4B85"/>
    <w:rsid w:val="5FFF24D5"/>
    <w:rsid w:val="5FFFC6EB"/>
    <w:rsid w:val="60AC1F89"/>
    <w:rsid w:val="62376EA8"/>
    <w:rsid w:val="623E0D13"/>
    <w:rsid w:val="627FF3A5"/>
    <w:rsid w:val="636522D0"/>
    <w:rsid w:val="639F6D82"/>
    <w:rsid w:val="63AF5F27"/>
    <w:rsid w:val="63C5435B"/>
    <w:rsid w:val="63EF933E"/>
    <w:rsid w:val="63FF4258"/>
    <w:rsid w:val="67A96C2F"/>
    <w:rsid w:val="67D738B9"/>
    <w:rsid w:val="67EF0358"/>
    <w:rsid w:val="69D7207E"/>
    <w:rsid w:val="6A60176B"/>
    <w:rsid w:val="6AFF3743"/>
    <w:rsid w:val="6B736DF5"/>
    <w:rsid w:val="6B73E8AF"/>
    <w:rsid w:val="6BA70B25"/>
    <w:rsid w:val="6BDD46FA"/>
    <w:rsid w:val="6BDF4BA2"/>
    <w:rsid w:val="6BE59242"/>
    <w:rsid w:val="6BF5A458"/>
    <w:rsid w:val="6C366DB3"/>
    <w:rsid w:val="6C3AF0E0"/>
    <w:rsid w:val="6C511909"/>
    <w:rsid w:val="6C7F5C39"/>
    <w:rsid w:val="6D7E4153"/>
    <w:rsid w:val="6DBF0648"/>
    <w:rsid w:val="6DD31EAE"/>
    <w:rsid w:val="6DDF67AF"/>
    <w:rsid w:val="6DEFAC5B"/>
    <w:rsid w:val="6DF7F6FF"/>
    <w:rsid w:val="6DFDFDDD"/>
    <w:rsid w:val="6DFFD6CD"/>
    <w:rsid w:val="6EBD53B9"/>
    <w:rsid w:val="6EC074C5"/>
    <w:rsid w:val="6EE4DE63"/>
    <w:rsid w:val="6EE7C140"/>
    <w:rsid w:val="6EF164C4"/>
    <w:rsid w:val="6EFF8290"/>
    <w:rsid w:val="6F710488"/>
    <w:rsid w:val="6F77F7B4"/>
    <w:rsid w:val="6FA926EC"/>
    <w:rsid w:val="6FCFD42E"/>
    <w:rsid w:val="6FD64960"/>
    <w:rsid w:val="6FDB2297"/>
    <w:rsid w:val="6FDE55CB"/>
    <w:rsid w:val="6FEC82A5"/>
    <w:rsid w:val="6FEFE77D"/>
    <w:rsid w:val="70E52F40"/>
    <w:rsid w:val="727B7420"/>
    <w:rsid w:val="728B532B"/>
    <w:rsid w:val="729F410C"/>
    <w:rsid w:val="73B7ECA2"/>
    <w:rsid w:val="73C36E2F"/>
    <w:rsid w:val="73CFE01A"/>
    <w:rsid w:val="73D330B3"/>
    <w:rsid w:val="73FD9DCD"/>
    <w:rsid w:val="73FE4A3B"/>
    <w:rsid w:val="73FF4865"/>
    <w:rsid w:val="747B5DF7"/>
    <w:rsid w:val="749701A8"/>
    <w:rsid w:val="74F5C7E6"/>
    <w:rsid w:val="753FDCDF"/>
    <w:rsid w:val="755C60C4"/>
    <w:rsid w:val="75EF546E"/>
    <w:rsid w:val="7676673D"/>
    <w:rsid w:val="768DFC48"/>
    <w:rsid w:val="76A93901"/>
    <w:rsid w:val="76ADAFED"/>
    <w:rsid w:val="76CB6BC7"/>
    <w:rsid w:val="76D7206F"/>
    <w:rsid w:val="775C1FA2"/>
    <w:rsid w:val="776FE623"/>
    <w:rsid w:val="7771298C"/>
    <w:rsid w:val="77716F48"/>
    <w:rsid w:val="777FC3E7"/>
    <w:rsid w:val="77BF9282"/>
    <w:rsid w:val="77EC7B18"/>
    <w:rsid w:val="77F78197"/>
    <w:rsid w:val="77FFA265"/>
    <w:rsid w:val="77FFDCA5"/>
    <w:rsid w:val="786C195E"/>
    <w:rsid w:val="792F3462"/>
    <w:rsid w:val="795E45E8"/>
    <w:rsid w:val="797A190D"/>
    <w:rsid w:val="797BBD1C"/>
    <w:rsid w:val="79A0373C"/>
    <w:rsid w:val="79AF4FD3"/>
    <w:rsid w:val="79BC7246"/>
    <w:rsid w:val="79DD7B3F"/>
    <w:rsid w:val="79F79C15"/>
    <w:rsid w:val="7A17DC0C"/>
    <w:rsid w:val="7A510139"/>
    <w:rsid w:val="7A911ED0"/>
    <w:rsid w:val="7ADFA157"/>
    <w:rsid w:val="7AEFFF10"/>
    <w:rsid w:val="7AF04D59"/>
    <w:rsid w:val="7B030A7E"/>
    <w:rsid w:val="7B3F91D8"/>
    <w:rsid w:val="7B59E359"/>
    <w:rsid w:val="7B63D160"/>
    <w:rsid w:val="7B7E93D9"/>
    <w:rsid w:val="7B993D38"/>
    <w:rsid w:val="7B9B7B33"/>
    <w:rsid w:val="7B9FB549"/>
    <w:rsid w:val="7BB7A76D"/>
    <w:rsid w:val="7BBDB2E7"/>
    <w:rsid w:val="7BD07507"/>
    <w:rsid w:val="7BDA12BB"/>
    <w:rsid w:val="7BE3BA78"/>
    <w:rsid w:val="7BE67792"/>
    <w:rsid w:val="7BE791D5"/>
    <w:rsid w:val="7BEFAB8C"/>
    <w:rsid w:val="7BF34A77"/>
    <w:rsid w:val="7BF5F5CF"/>
    <w:rsid w:val="7BF73190"/>
    <w:rsid w:val="7BF7576B"/>
    <w:rsid w:val="7BFB65A4"/>
    <w:rsid w:val="7BFFEC44"/>
    <w:rsid w:val="7C882321"/>
    <w:rsid w:val="7CAF1999"/>
    <w:rsid w:val="7CB7625D"/>
    <w:rsid w:val="7CBFA891"/>
    <w:rsid w:val="7CDF0AEC"/>
    <w:rsid w:val="7D738067"/>
    <w:rsid w:val="7D97BE3F"/>
    <w:rsid w:val="7D9FFD60"/>
    <w:rsid w:val="7DBB9138"/>
    <w:rsid w:val="7DC24495"/>
    <w:rsid w:val="7DF74C9F"/>
    <w:rsid w:val="7DFA7F88"/>
    <w:rsid w:val="7DFFA14F"/>
    <w:rsid w:val="7E274B7C"/>
    <w:rsid w:val="7E74C978"/>
    <w:rsid w:val="7E7FB736"/>
    <w:rsid w:val="7E9D41D8"/>
    <w:rsid w:val="7E9F890F"/>
    <w:rsid w:val="7EB85494"/>
    <w:rsid w:val="7EC7AFD5"/>
    <w:rsid w:val="7EF395FC"/>
    <w:rsid w:val="7EFA63CF"/>
    <w:rsid w:val="7EFB22C3"/>
    <w:rsid w:val="7EFE2A39"/>
    <w:rsid w:val="7EFF7B9D"/>
    <w:rsid w:val="7F0B5303"/>
    <w:rsid w:val="7F1B6262"/>
    <w:rsid w:val="7F4E0A68"/>
    <w:rsid w:val="7F5F73C5"/>
    <w:rsid w:val="7F6A0F42"/>
    <w:rsid w:val="7F7B2BDD"/>
    <w:rsid w:val="7F7C1FDB"/>
    <w:rsid w:val="7F8B3E8E"/>
    <w:rsid w:val="7FA47FE0"/>
    <w:rsid w:val="7FAEB22E"/>
    <w:rsid w:val="7FB3806F"/>
    <w:rsid w:val="7FB5C8FF"/>
    <w:rsid w:val="7FBE293F"/>
    <w:rsid w:val="7FBE584B"/>
    <w:rsid w:val="7FBEA13B"/>
    <w:rsid w:val="7FBF77E5"/>
    <w:rsid w:val="7FC7AB45"/>
    <w:rsid w:val="7FCEE335"/>
    <w:rsid w:val="7FD8C084"/>
    <w:rsid w:val="7FDBE8DE"/>
    <w:rsid w:val="7FDC5F25"/>
    <w:rsid w:val="7FDF633F"/>
    <w:rsid w:val="7FDFAF95"/>
    <w:rsid w:val="7FDFBDE2"/>
    <w:rsid w:val="7FEED38E"/>
    <w:rsid w:val="7FF4A9B8"/>
    <w:rsid w:val="7FFA5F8A"/>
    <w:rsid w:val="7FFD1214"/>
    <w:rsid w:val="7FFD1BB0"/>
    <w:rsid w:val="7FFF5FD9"/>
    <w:rsid w:val="7FFFC8AD"/>
    <w:rsid w:val="7FFFD26F"/>
    <w:rsid w:val="87A77CCA"/>
    <w:rsid w:val="8BDAE8BC"/>
    <w:rsid w:val="8FFF2DA4"/>
    <w:rsid w:val="9A7E2D41"/>
    <w:rsid w:val="9BB221D6"/>
    <w:rsid w:val="9CAF5094"/>
    <w:rsid w:val="9DE690B4"/>
    <w:rsid w:val="9F772467"/>
    <w:rsid w:val="9F7FB110"/>
    <w:rsid w:val="9FFF77A4"/>
    <w:rsid w:val="A2AF4548"/>
    <w:rsid w:val="A3FDB9B3"/>
    <w:rsid w:val="A4FEE385"/>
    <w:rsid w:val="A6EA3C13"/>
    <w:rsid w:val="A7BF80AF"/>
    <w:rsid w:val="A7FBC0FC"/>
    <w:rsid w:val="A7FD9FC3"/>
    <w:rsid w:val="ABB6685C"/>
    <w:rsid w:val="ABB78656"/>
    <w:rsid w:val="ABDFBC44"/>
    <w:rsid w:val="AEEDEF2D"/>
    <w:rsid w:val="AEFEE708"/>
    <w:rsid w:val="AF7EC539"/>
    <w:rsid w:val="AF7F982B"/>
    <w:rsid w:val="AF9E0F3B"/>
    <w:rsid w:val="AFEECCD5"/>
    <w:rsid w:val="AFF9700D"/>
    <w:rsid w:val="AFFD9CAE"/>
    <w:rsid w:val="B11EAE40"/>
    <w:rsid w:val="B18F84B6"/>
    <w:rsid w:val="B625656F"/>
    <w:rsid w:val="B75B0F6D"/>
    <w:rsid w:val="B773C69B"/>
    <w:rsid w:val="B7EFFBF0"/>
    <w:rsid w:val="B7FEEAD7"/>
    <w:rsid w:val="B7FFAD1C"/>
    <w:rsid w:val="B87F766E"/>
    <w:rsid w:val="B8BB5DAC"/>
    <w:rsid w:val="B9FAB5D5"/>
    <w:rsid w:val="BBCF18B7"/>
    <w:rsid w:val="BBD729D1"/>
    <w:rsid w:val="BBE5F098"/>
    <w:rsid w:val="BBEDA548"/>
    <w:rsid w:val="BD7FD82B"/>
    <w:rsid w:val="BDBBDDD7"/>
    <w:rsid w:val="BDDEFB1D"/>
    <w:rsid w:val="BDDF7A34"/>
    <w:rsid w:val="BDEE3AEF"/>
    <w:rsid w:val="BE5A1280"/>
    <w:rsid w:val="BEB7143C"/>
    <w:rsid w:val="BEBEE41D"/>
    <w:rsid w:val="BEFB3269"/>
    <w:rsid w:val="BEFB4BED"/>
    <w:rsid w:val="BF3F0EE6"/>
    <w:rsid w:val="BF4B8168"/>
    <w:rsid w:val="BF574494"/>
    <w:rsid w:val="BF6647AD"/>
    <w:rsid w:val="BF7CBF65"/>
    <w:rsid w:val="BF9F9313"/>
    <w:rsid w:val="BFACA87C"/>
    <w:rsid w:val="BFB5E64E"/>
    <w:rsid w:val="BFC676F8"/>
    <w:rsid w:val="BFCC1EE2"/>
    <w:rsid w:val="BFD73193"/>
    <w:rsid w:val="BFDF7143"/>
    <w:rsid w:val="BFE75E68"/>
    <w:rsid w:val="BFFE78E7"/>
    <w:rsid w:val="BFFF2797"/>
    <w:rsid w:val="C3FCDF58"/>
    <w:rsid w:val="C57FF158"/>
    <w:rsid w:val="C5FD49D2"/>
    <w:rsid w:val="C5FD7F58"/>
    <w:rsid w:val="CBFF83E7"/>
    <w:rsid w:val="CEDF4F48"/>
    <w:rsid w:val="CF73F8A1"/>
    <w:rsid w:val="CF77D581"/>
    <w:rsid w:val="CFE31810"/>
    <w:rsid w:val="D0F7F2DA"/>
    <w:rsid w:val="D2DE664C"/>
    <w:rsid w:val="D3FF3772"/>
    <w:rsid w:val="D6CD1FB1"/>
    <w:rsid w:val="D6EBE92C"/>
    <w:rsid w:val="D6F69D0A"/>
    <w:rsid w:val="D73B618D"/>
    <w:rsid w:val="D7ABC727"/>
    <w:rsid w:val="D7DB2FC0"/>
    <w:rsid w:val="D9B9D007"/>
    <w:rsid w:val="DAFBD219"/>
    <w:rsid w:val="DAFF2BE3"/>
    <w:rsid w:val="DB5F7F3B"/>
    <w:rsid w:val="DB785D22"/>
    <w:rsid w:val="DBBB6D14"/>
    <w:rsid w:val="DBBE025D"/>
    <w:rsid w:val="DBFF5499"/>
    <w:rsid w:val="DC5B83F2"/>
    <w:rsid w:val="DC5EE8F3"/>
    <w:rsid w:val="DD7F8CCF"/>
    <w:rsid w:val="DD7F99C9"/>
    <w:rsid w:val="DDF70FB9"/>
    <w:rsid w:val="DDFF8577"/>
    <w:rsid w:val="DDFFAE49"/>
    <w:rsid w:val="DEDA55AB"/>
    <w:rsid w:val="DEFF3783"/>
    <w:rsid w:val="DEFF7EB1"/>
    <w:rsid w:val="DF4EDAE3"/>
    <w:rsid w:val="DF6FEB92"/>
    <w:rsid w:val="DF7D5568"/>
    <w:rsid w:val="DF7F0981"/>
    <w:rsid w:val="DFBD9AA1"/>
    <w:rsid w:val="DFCB6820"/>
    <w:rsid w:val="DFD5D807"/>
    <w:rsid w:val="DFDF46B8"/>
    <w:rsid w:val="DFEE2B2A"/>
    <w:rsid w:val="DFFB6783"/>
    <w:rsid w:val="DFFC7DF8"/>
    <w:rsid w:val="DFFDDE03"/>
    <w:rsid w:val="DFFF108F"/>
    <w:rsid w:val="DFFF10DD"/>
    <w:rsid w:val="E2B5AD98"/>
    <w:rsid w:val="E4B34E04"/>
    <w:rsid w:val="E4DF2B04"/>
    <w:rsid w:val="E69B270C"/>
    <w:rsid w:val="E75BF387"/>
    <w:rsid w:val="E7937013"/>
    <w:rsid w:val="E7F1C64B"/>
    <w:rsid w:val="E7F9B071"/>
    <w:rsid w:val="E7FEF924"/>
    <w:rsid w:val="E9962F75"/>
    <w:rsid w:val="EAFD21F3"/>
    <w:rsid w:val="EB2871F1"/>
    <w:rsid w:val="EB3BDD52"/>
    <w:rsid w:val="EBDB1C56"/>
    <w:rsid w:val="EBED1415"/>
    <w:rsid w:val="ED2FA966"/>
    <w:rsid w:val="ED7FFC61"/>
    <w:rsid w:val="EDBFD5D6"/>
    <w:rsid w:val="EE7FC4E4"/>
    <w:rsid w:val="EF3786D6"/>
    <w:rsid w:val="EF3B26C2"/>
    <w:rsid w:val="EF6DF4EC"/>
    <w:rsid w:val="EF72040B"/>
    <w:rsid w:val="EFA7ABA0"/>
    <w:rsid w:val="EFBDE31B"/>
    <w:rsid w:val="EFDD993A"/>
    <w:rsid w:val="EFDFD27D"/>
    <w:rsid w:val="EFEB5D2E"/>
    <w:rsid w:val="EFFE189B"/>
    <w:rsid w:val="F1BF97E1"/>
    <w:rsid w:val="F2AFBC4A"/>
    <w:rsid w:val="F379190B"/>
    <w:rsid w:val="F3FFD92B"/>
    <w:rsid w:val="F45F7A73"/>
    <w:rsid w:val="F4BF74F4"/>
    <w:rsid w:val="F53FC975"/>
    <w:rsid w:val="F57713C2"/>
    <w:rsid w:val="F5B7932F"/>
    <w:rsid w:val="F5EBB032"/>
    <w:rsid w:val="F5F76A64"/>
    <w:rsid w:val="F657A34D"/>
    <w:rsid w:val="F6BE1AB0"/>
    <w:rsid w:val="F6D6AD33"/>
    <w:rsid w:val="F6EBC5D3"/>
    <w:rsid w:val="F6EC9F3B"/>
    <w:rsid w:val="F6F7B31B"/>
    <w:rsid w:val="F6F91FB0"/>
    <w:rsid w:val="F7172536"/>
    <w:rsid w:val="F751180E"/>
    <w:rsid w:val="F77B1B38"/>
    <w:rsid w:val="F78FEAA1"/>
    <w:rsid w:val="F7CE4553"/>
    <w:rsid w:val="F7F38E81"/>
    <w:rsid w:val="F7FCFAAE"/>
    <w:rsid w:val="F7FF0459"/>
    <w:rsid w:val="F7FF33E3"/>
    <w:rsid w:val="F859B4AA"/>
    <w:rsid w:val="F889D929"/>
    <w:rsid w:val="F8B5EE13"/>
    <w:rsid w:val="F8BF8BED"/>
    <w:rsid w:val="F8C20EA6"/>
    <w:rsid w:val="F8F508B9"/>
    <w:rsid w:val="F8F69A54"/>
    <w:rsid w:val="F92C07A5"/>
    <w:rsid w:val="F9CF5448"/>
    <w:rsid w:val="F9CF8D6A"/>
    <w:rsid w:val="F9EDB420"/>
    <w:rsid w:val="F9FDA930"/>
    <w:rsid w:val="FADF72E8"/>
    <w:rsid w:val="FAFD94F8"/>
    <w:rsid w:val="FB3BA12A"/>
    <w:rsid w:val="FB6D07E9"/>
    <w:rsid w:val="FB7D60D4"/>
    <w:rsid w:val="FB9FB41B"/>
    <w:rsid w:val="FBB13920"/>
    <w:rsid w:val="FBBD8CD5"/>
    <w:rsid w:val="FBBEBC61"/>
    <w:rsid w:val="FBBF1EC4"/>
    <w:rsid w:val="FBDE37EF"/>
    <w:rsid w:val="FBDFB0DC"/>
    <w:rsid w:val="FBE71976"/>
    <w:rsid w:val="FBF5EE9B"/>
    <w:rsid w:val="FBFFAC2C"/>
    <w:rsid w:val="FCDBC898"/>
    <w:rsid w:val="FCDBE84E"/>
    <w:rsid w:val="FCF80C67"/>
    <w:rsid w:val="FD5A52D6"/>
    <w:rsid w:val="FD7E57C2"/>
    <w:rsid w:val="FD7FF5DD"/>
    <w:rsid w:val="FD8F9C9E"/>
    <w:rsid w:val="FD9C45DE"/>
    <w:rsid w:val="FDFFECFD"/>
    <w:rsid w:val="FE3B1AB5"/>
    <w:rsid w:val="FE494238"/>
    <w:rsid w:val="FEBEFE9B"/>
    <w:rsid w:val="FEDFD2EE"/>
    <w:rsid w:val="FEFA78C5"/>
    <w:rsid w:val="FEFB1431"/>
    <w:rsid w:val="FF1F5760"/>
    <w:rsid w:val="FF1FCE79"/>
    <w:rsid w:val="FF3CA903"/>
    <w:rsid w:val="FF3F29B7"/>
    <w:rsid w:val="FF5F5D07"/>
    <w:rsid w:val="FF73AE07"/>
    <w:rsid w:val="FF75EEEA"/>
    <w:rsid w:val="FF7615C6"/>
    <w:rsid w:val="FF7D61EB"/>
    <w:rsid w:val="FF7F6642"/>
    <w:rsid w:val="FF7FCA61"/>
    <w:rsid w:val="FF7FE028"/>
    <w:rsid w:val="FFB2C0DD"/>
    <w:rsid w:val="FFB65785"/>
    <w:rsid w:val="FFB6D0FE"/>
    <w:rsid w:val="FFBAFC74"/>
    <w:rsid w:val="FFBE9C12"/>
    <w:rsid w:val="FFD3C1A1"/>
    <w:rsid w:val="FFDFC6F0"/>
    <w:rsid w:val="FFE75017"/>
    <w:rsid w:val="FFEE14BD"/>
    <w:rsid w:val="FFEF84B9"/>
    <w:rsid w:val="FFF34EBF"/>
    <w:rsid w:val="FFF4247E"/>
    <w:rsid w:val="FFF5ADC1"/>
    <w:rsid w:val="FFF79214"/>
    <w:rsid w:val="FFFAFA66"/>
    <w:rsid w:val="FFFF60A7"/>
    <w:rsid w:val="FFFF6445"/>
    <w:rsid w:val="FFFF8ADF"/>
    <w:rsid w:val="FFFFBC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Calibri" w:hAnsi="Calibri" w:eastAsia="仿宋_GB2312" w:cs="Times New Roman"/>
      <w:kern w:val="2"/>
      <w:sz w:val="32"/>
      <w:szCs w:val="24"/>
      <w:lang w:val="en-US" w:eastAsia="zh-CN" w:bidi="ar-SA"/>
    </w:rPr>
  </w:style>
  <w:style w:type="paragraph" w:styleId="5">
    <w:name w:val="heading 1"/>
    <w:basedOn w:val="1"/>
    <w:next w:val="1"/>
    <w:link w:val="29"/>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6">
    <w:name w:val="heading 2"/>
    <w:basedOn w:val="1"/>
    <w:next w:val="1"/>
    <w:link w:val="30"/>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7">
    <w:name w:val="heading 3"/>
    <w:basedOn w:val="1"/>
    <w:next w:val="1"/>
    <w:link w:val="31"/>
    <w:unhideWhenUsed/>
    <w:qFormat/>
    <w:uiPriority w:val="9"/>
    <w:pPr>
      <w:keepNext/>
      <w:keepLines/>
      <w:spacing w:before="260" w:beforeLines="0" w:beforeAutospacing="0" w:after="260" w:afterLines="0" w:afterAutospacing="0" w:line="413" w:lineRule="auto"/>
      <w:outlineLvl w:val="2"/>
    </w:pPr>
    <w:rPr>
      <w:rFonts w:ascii="Times New Roman" w:hAnsi="Times New Roman"/>
      <w:b/>
    </w:rPr>
  </w:style>
  <w:style w:type="paragraph" w:styleId="8">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6">
    <w:name w:val="Default Paragraph Font"/>
    <w:unhideWhenUsed/>
    <w:qFormat/>
    <w:uiPriority w:val="1"/>
  </w:style>
  <w:style w:type="table" w:default="1" w:styleId="2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首行缩进 21"/>
    <w:basedOn w:val="3"/>
    <w:qFormat/>
    <w:uiPriority w:val="0"/>
    <w:pPr>
      <w:spacing w:line="360" w:lineRule="auto"/>
    </w:pPr>
    <w:rPr>
      <w:rFonts w:eastAsia="宋体"/>
      <w:sz w:val="24"/>
    </w:rPr>
  </w:style>
  <w:style w:type="paragraph" w:customStyle="1" w:styleId="3">
    <w:name w:val="正文文本缩进1"/>
    <w:basedOn w:val="4"/>
    <w:qFormat/>
    <w:uiPriority w:val="0"/>
    <w:pPr>
      <w:spacing w:line="150" w:lineRule="atLeast"/>
      <w:ind w:firstLine="420" w:firstLineChars="200"/>
      <w:textAlignment w:val="baseline"/>
    </w:pPr>
    <w:rPr>
      <w:rFonts w:eastAsia="宋体" w:cs="Times New Roman"/>
    </w:rPr>
  </w:style>
  <w:style w:type="paragraph" w:customStyle="1" w:styleId="4">
    <w:name w:val="正文 New"/>
    <w:next w:val="2"/>
    <w:qFormat/>
    <w:uiPriority w:val="0"/>
    <w:pPr>
      <w:widowControl w:val="0"/>
      <w:jc w:val="both"/>
    </w:pPr>
    <w:rPr>
      <w:rFonts w:ascii="Times New Roman" w:hAnsi="Times New Roman" w:eastAsia="仿宋_GB2312" w:cs="宋体"/>
      <w:sz w:val="32"/>
      <w:szCs w:val="32"/>
      <w:lang w:val="en-US" w:eastAsia="zh-CN" w:bidi="ar-SA"/>
    </w:rPr>
  </w:style>
  <w:style w:type="paragraph" w:styleId="9">
    <w:name w:val="Normal Indent"/>
    <w:basedOn w:val="1"/>
    <w:unhideWhenUsed/>
    <w:qFormat/>
    <w:uiPriority w:val="99"/>
    <w:pPr>
      <w:spacing w:before="0" w:beforeLines="0" w:after="0" w:afterLines="0"/>
      <w:ind w:firstLine="420" w:firstLineChars="0"/>
    </w:pPr>
    <w:rPr>
      <w:rFonts w:cs="Times New Roman"/>
      <w:sz w:val="21"/>
      <w:szCs w:val="20"/>
    </w:rPr>
  </w:style>
  <w:style w:type="paragraph" w:styleId="10">
    <w:name w:val="index 5"/>
    <w:basedOn w:val="1"/>
    <w:next w:val="1"/>
    <w:unhideWhenUsed/>
    <w:qFormat/>
    <w:uiPriority w:val="99"/>
    <w:pPr>
      <w:ind w:left="1680"/>
    </w:pPr>
  </w:style>
  <w:style w:type="paragraph" w:styleId="11">
    <w:name w:val="annotation text"/>
    <w:basedOn w:val="1"/>
    <w:unhideWhenUsed/>
    <w:qFormat/>
    <w:uiPriority w:val="99"/>
    <w:pPr>
      <w:jc w:val="left"/>
    </w:pPr>
    <w:rPr>
      <w:rFonts w:ascii="Times New Roman" w:hAnsi="Times New Roman" w:cs="Times New Roman"/>
    </w:rPr>
  </w:style>
  <w:style w:type="paragraph" w:styleId="12">
    <w:name w:val="Body Text"/>
    <w:basedOn w:val="1"/>
    <w:next w:val="13"/>
    <w:unhideWhenUsed/>
    <w:qFormat/>
    <w:uiPriority w:val="99"/>
    <w:pPr>
      <w:spacing w:before="0" w:after="140" w:line="276" w:lineRule="auto"/>
    </w:pPr>
  </w:style>
  <w:style w:type="paragraph" w:styleId="13">
    <w:name w:val="Body Text First Indent 2"/>
    <w:basedOn w:val="14"/>
    <w:next w:val="1"/>
    <w:unhideWhenUsed/>
    <w:qFormat/>
    <w:uiPriority w:val="99"/>
    <w:pPr>
      <w:ind w:firstLine="420"/>
    </w:pPr>
    <w:rPr>
      <w:rFonts w:ascii="Times New Roman" w:hAnsi="Times New Roman"/>
    </w:rPr>
  </w:style>
  <w:style w:type="paragraph" w:styleId="14">
    <w:name w:val="Body Text Indent"/>
    <w:basedOn w:val="1"/>
    <w:unhideWhenUsed/>
    <w:qFormat/>
    <w:uiPriority w:val="99"/>
    <w:pPr>
      <w:spacing w:before="0" w:beforeLines="0" w:after="120" w:afterLines="0"/>
      <w:ind w:left="420" w:leftChars="200" w:firstLine="883"/>
    </w:pPr>
    <w:rPr>
      <w:rFonts w:cs="Times New Roman"/>
      <w:szCs w:val="24"/>
    </w:rPr>
  </w:style>
  <w:style w:type="paragraph" w:styleId="15">
    <w:name w:val="toc 3"/>
    <w:basedOn w:val="1"/>
    <w:next w:val="1"/>
    <w:unhideWhenUsed/>
    <w:qFormat/>
    <w:uiPriority w:val="39"/>
    <w:pPr>
      <w:ind w:left="840" w:leftChars="400"/>
    </w:pPr>
  </w:style>
  <w:style w:type="paragraph" w:styleId="16">
    <w:name w:val="Body Text Indent 2"/>
    <w:basedOn w:val="1"/>
    <w:next w:val="17"/>
    <w:unhideWhenUsed/>
    <w:qFormat/>
    <w:uiPriority w:val="99"/>
    <w:pPr>
      <w:spacing w:line="360" w:lineRule="auto"/>
      <w:ind w:firstLine="360"/>
    </w:pPr>
    <w:rPr>
      <w:rFonts w:ascii="宋体"/>
      <w:szCs w:val="22"/>
    </w:rPr>
  </w:style>
  <w:style w:type="paragraph" w:styleId="17">
    <w:name w:val="header"/>
    <w:basedOn w:val="1"/>
    <w:next w:val="1"/>
    <w:unhideWhenUsed/>
    <w:qFormat/>
    <w:uiPriority w:val="99"/>
    <w:pPr>
      <w:tabs>
        <w:tab w:val="center" w:pos="4153"/>
        <w:tab w:val="right" w:pos="8306"/>
      </w:tabs>
      <w:snapToGrid w:val="0"/>
      <w:spacing w:line="240" w:lineRule="auto"/>
      <w:jc w:val="center"/>
    </w:pPr>
    <w:rPr>
      <w:sz w:val="18"/>
      <w:szCs w:val="18"/>
    </w:rPr>
  </w:style>
  <w:style w:type="paragraph" w:styleId="18">
    <w:name w:val="footer"/>
    <w:basedOn w:val="1"/>
    <w:unhideWhenUsed/>
    <w:qFormat/>
    <w:uiPriority w:val="99"/>
    <w:pPr>
      <w:tabs>
        <w:tab w:val="center" w:pos="4153"/>
        <w:tab w:val="right" w:pos="8306"/>
      </w:tabs>
      <w:snapToGrid w:val="0"/>
      <w:jc w:val="left"/>
    </w:pPr>
    <w:rPr>
      <w:sz w:val="18"/>
    </w:rPr>
  </w:style>
  <w:style w:type="paragraph" w:styleId="19">
    <w:name w:val="toc 1"/>
    <w:basedOn w:val="1"/>
    <w:next w:val="1"/>
    <w:unhideWhenUsed/>
    <w:qFormat/>
    <w:uiPriority w:val="39"/>
  </w:style>
  <w:style w:type="paragraph" w:styleId="20">
    <w:name w:val="toc 2"/>
    <w:basedOn w:val="1"/>
    <w:next w:val="1"/>
    <w:unhideWhenUsed/>
    <w:qFormat/>
    <w:uiPriority w:val="39"/>
    <w:pPr>
      <w:ind w:left="420" w:leftChars="200"/>
    </w:pPr>
  </w:style>
  <w:style w:type="paragraph" w:styleId="21">
    <w:name w:val="Body Text 2"/>
    <w:basedOn w:val="1"/>
    <w:next w:val="1"/>
    <w:unhideWhenUsed/>
    <w:qFormat/>
    <w:uiPriority w:val="99"/>
    <w:pPr>
      <w:spacing w:after="120" w:afterLines="0" w:afterAutospacing="0" w:line="480" w:lineRule="auto"/>
    </w:pPr>
  </w:style>
  <w:style w:type="paragraph" w:styleId="22">
    <w:name w:val="Normal (Web)"/>
    <w:basedOn w:val="1"/>
    <w:unhideWhenUsed/>
    <w:qFormat/>
    <w:uiPriority w:val="99"/>
    <w:pPr>
      <w:jc w:val="left"/>
    </w:pPr>
    <w:rPr>
      <w:rFonts w:cs="Times New Roman"/>
      <w:kern w:val="0"/>
    </w:rPr>
  </w:style>
  <w:style w:type="paragraph" w:styleId="23">
    <w:name w:val="annotation subject"/>
    <w:basedOn w:val="11"/>
    <w:next w:val="1"/>
    <w:unhideWhenUsed/>
    <w:qFormat/>
    <w:uiPriority w:val="99"/>
    <w:rPr>
      <w:b/>
      <w:bCs/>
    </w:rPr>
  </w:style>
  <w:style w:type="table" w:styleId="25">
    <w:name w:val="Table Grid"/>
    <w:basedOn w:val="24"/>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rPr>
  </w:style>
  <w:style w:type="character" w:styleId="28">
    <w:name w:val="Emphasis"/>
    <w:basedOn w:val="26"/>
    <w:qFormat/>
    <w:uiPriority w:val="20"/>
    <w:rPr>
      <w:i/>
    </w:rPr>
  </w:style>
  <w:style w:type="character" w:customStyle="1" w:styleId="29">
    <w:name w:val="标题 1 Char"/>
    <w:link w:val="5"/>
    <w:qFormat/>
    <w:uiPriority w:val="0"/>
    <w:rPr>
      <w:rFonts w:eastAsia="方正小标宋简体"/>
      <w:kern w:val="44"/>
      <w:sz w:val="44"/>
    </w:rPr>
  </w:style>
  <w:style w:type="character" w:customStyle="1" w:styleId="30">
    <w:name w:val="标题 2 Char"/>
    <w:link w:val="6"/>
    <w:qFormat/>
    <w:uiPriority w:val="0"/>
    <w:rPr>
      <w:rFonts w:ascii="Arial" w:hAnsi="Arial" w:eastAsia="黑体"/>
      <w:b/>
      <w:sz w:val="32"/>
    </w:rPr>
  </w:style>
  <w:style w:type="character" w:customStyle="1" w:styleId="31">
    <w:name w:val="标题 3 Char"/>
    <w:link w:val="7"/>
    <w:qFormat/>
    <w:uiPriority w:val="0"/>
    <w:rPr>
      <w:rFonts w:ascii="Times New Roman" w:hAnsi="Times New Roman" w:eastAsia="仿宋_GB2312"/>
      <w:b/>
      <w:sz w:val="32"/>
    </w:rPr>
  </w:style>
  <w:style w:type="paragraph" w:customStyle="1" w:styleId="32">
    <w:name w:val="Body Text First Indent 2"/>
    <w:basedOn w:val="33"/>
    <w:qFormat/>
    <w:uiPriority w:val="0"/>
    <w:rPr>
      <w:sz w:val="24"/>
    </w:rPr>
  </w:style>
  <w:style w:type="paragraph" w:customStyle="1" w:styleId="33">
    <w:name w:val="Normal Indent"/>
    <w:basedOn w:val="1"/>
    <w:qFormat/>
    <w:uiPriority w:val="0"/>
    <w:pPr>
      <w:ind w:firstLine="420" w:firstLineChars="200"/>
    </w:pPr>
  </w:style>
  <w:style w:type="character" w:customStyle="1" w:styleId="34">
    <w:name w:val="fontstyle01"/>
    <w:basedOn w:val="26"/>
    <w:qFormat/>
    <w:uiPriority w:val="0"/>
    <w:rPr>
      <w:rFonts w:ascii="仿宋_GB2312" w:hAnsi="仿宋_GB2312" w:eastAsia="仿宋_GB2312" w:cs="仿宋_GB2312"/>
      <w:color w:val="000000"/>
      <w:sz w:val="32"/>
      <w:szCs w:val="32"/>
    </w:rPr>
  </w:style>
  <w:style w:type="paragraph" w:customStyle="1" w:styleId="35">
    <w:name w:val="null3"/>
    <w:qFormat/>
    <w:uiPriority w:val="0"/>
    <w:rPr>
      <w:rFonts w:hint="eastAsia" w:ascii="Calibri" w:hAnsi="Calibri" w:eastAsia="宋体" w:cs="Times New Roman"/>
      <w:lang w:val="en-US" w:eastAsia="zh-Hans"/>
    </w:rPr>
  </w:style>
  <w:style w:type="paragraph" w:customStyle="1" w:styleId="36">
    <w:name w:val="0 正文内容"/>
    <w:qFormat/>
    <w:uiPriority w:val="0"/>
    <w:pPr>
      <w:widowControl w:val="0"/>
      <w:spacing w:line="360" w:lineRule="auto"/>
      <w:ind w:firstLine="480" w:firstLineChars="200"/>
      <w:jc w:val="both"/>
    </w:pPr>
    <w:rPr>
      <w:rFonts w:ascii="Calibri" w:hAnsi="Calibri" w:eastAsia="宋体" w:cs="Times New Roman"/>
      <w:kern w:val="2"/>
      <w:sz w:val="24"/>
      <w:szCs w:val="24"/>
      <w:lang w:val="en-US" w:eastAsia="zh-CN" w:bidi="ar-SA"/>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 w:type="paragraph" w:customStyle="1" w:styleId="39">
    <w:name w:val="分类号"/>
    <w:basedOn w:val="1"/>
    <w:qFormat/>
    <w:uiPriority w:val="0"/>
    <w:pPr>
      <w:spacing w:line="240" w:lineRule="auto"/>
      <w:ind w:firstLine="0" w:firstLineChars="0"/>
    </w:pPr>
    <w:rPr>
      <w:rFonts w:ascii="仿宋_GB2312" w:hAnsi="Times New Roman" w:eastAsia="仿宋_GB2312"/>
      <w:sz w:val="28"/>
      <w:szCs w:val="28"/>
    </w:rPr>
  </w:style>
  <w:style w:type="paragraph" w:customStyle="1" w:styleId="40">
    <w:name w:val="封面日期"/>
    <w:basedOn w:val="1"/>
    <w:qFormat/>
    <w:uiPriority w:val="0"/>
    <w:pPr>
      <w:spacing w:line="240" w:lineRule="auto"/>
      <w:ind w:firstLine="0" w:firstLineChars="0"/>
      <w:jc w:val="center"/>
    </w:pPr>
    <w:rPr>
      <w:rFonts w:ascii="黑体" w:hAnsi="Times New Roman" w:eastAsia="黑体"/>
      <w:sz w:val="32"/>
      <w:szCs w:val="32"/>
    </w:rPr>
  </w:style>
  <w:style w:type="paragraph" w:customStyle="1" w:styleId="41">
    <w:name w:val="论文标题"/>
    <w:basedOn w:val="1"/>
    <w:qFormat/>
    <w:uiPriority w:val="0"/>
    <w:pPr>
      <w:spacing w:line="240" w:lineRule="auto"/>
      <w:ind w:firstLine="0" w:firstLineChars="0"/>
      <w:jc w:val="center"/>
    </w:pPr>
    <w:rPr>
      <w:rFonts w:ascii="Times New Roman" w:hAnsi="Times New Roman" w:eastAsia="楷体_GB2312"/>
      <w:b/>
      <w:kern w:val="36"/>
      <w:sz w:val="52"/>
      <w:szCs w:val="52"/>
    </w:rPr>
  </w:style>
  <w:style w:type="paragraph" w:customStyle="1" w:styleId="42">
    <w:name w:val="硕士学位论文"/>
    <w:basedOn w:val="1"/>
    <w:qFormat/>
    <w:uiPriority w:val="0"/>
    <w:pPr>
      <w:spacing w:before="240" w:line="240" w:lineRule="auto"/>
      <w:ind w:firstLine="0" w:firstLineChars="0"/>
      <w:jc w:val="center"/>
    </w:pPr>
    <w:rPr>
      <w:rFonts w:ascii="Times New Roman" w:hAnsi="Times New Roman" w:eastAsia="宋体"/>
      <w:sz w:val="44"/>
      <w:szCs w:val="44"/>
    </w:rPr>
  </w:style>
  <w:style w:type="paragraph" w:customStyle="1" w:styleId="43">
    <w:name w:val="研究生姓名"/>
    <w:basedOn w:val="1"/>
    <w:qFormat/>
    <w:uiPriority w:val="0"/>
    <w:pPr>
      <w:spacing w:line="240" w:lineRule="auto"/>
      <w:ind w:firstLine="700" w:firstLineChars="700"/>
    </w:pPr>
    <w:rPr>
      <w:rFonts w:ascii="Times New Roman" w:hAnsi="Times New Roman" w:eastAsia="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lengthwise1"/>
      <sectRole val="1"/>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c82c6d88-5cd6-4198-bb40-d16c8f5db208</errorID>
      <errorWord xmlns="http://schemas.wps.cn/vas-ai-hub/contract-review">全会精神</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全会</item>
      </candidateList>
      <explain xmlns="http://schemas.wps.cn/vas-ai-hub/contract-review"/>
      <paraID xmlns="http://schemas.wps.cn/vas-ai-hub/contract-review">334AAFDB</paraID>
      <start xmlns="http://schemas.wps.cn/vas-ai-hub/contract-review">74</start>
      <end xmlns="http://schemas.wps.cn/vas-ai-hub/contract-review">78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0d801a25-a962-4943-a6f0-8bba9cf7a8d7</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78492A99</paraID>
      <start xmlns="http://schemas.wps.cn/vas-ai-hub/contract-review">2</start>
      <end xmlns="http://schemas.wps.cn/vas-ai-hub/contract-review">2</end>
      <status xmlns="http://schemas.wps.cn/vas-ai-hub/contract-review">modified</status>
      <modifiedWord xmlns="http://schemas.wps.cn/vas-ai-hub/contract-review"/>
      <trackRevisions xmlns="http://schemas.wps.cn/vas-ai-hub/contract-review">true</trackRevisions>
    </reviewItem>
    <reviewItem xmlns="http://schemas.wps.cn/vas-ai-hub/contract-review">
      <errorID xmlns="http://schemas.wps.cn/vas-ai-hub/contract-review">db3f0c27-07cf-4f66-9891-2fa908d50d86</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工程，</item>
      </candidateList>
      <explain xmlns="http://schemas.wps.cn/vas-ai-hub/contract-review"/>
      <paraID xmlns="http://schemas.wps.cn/vas-ai-hub/contract-review">1AECC992</paraID>
      <start xmlns="http://schemas.wps.cn/vas-ai-hub/contract-review">14</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1761dcfd-f49d-4be6-9551-6fded79d31bf</errorID>
      <errorWord xmlns="http://schemas.wps.cn/vas-ai-hub/contract-review">建立医疗、医保、医药统一高效的政策协同、信息联通和监管联动机制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医疗、医保、医药统一高效的政策协同、信息联通和监管联动机制建设</item>
      </candidateList>
      <explain xmlns="http://schemas.wps.cn/vas-ai-hub/contract-review"/>
      <paraID xmlns="http://schemas.wps.cn/vas-ai-hub/contract-review">2ACA2EE0</paraID>
      <start xmlns="http://schemas.wps.cn/vas-ai-hub/contract-review">30</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edc9985b-6b87-4385-8eef-d1b35ec1eae3</errorID>
      <errorWord xmlns="http://schemas.wps.cn/vas-ai-hub/contract-review">农村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农</item>
      </candidateList>
      <explain xmlns="http://schemas.wps.cn/vas-ai-hub/contract-review"/>
      <paraID xmlns="http://schemas.wps.cn/vas-ai-hub/contract-review">5343E8C8</paraID>
      <start xmlns="http://schemas.wps.cn/vas-ai-hub/contract-review">55</start>
      <end xmlns="http://schemas.wps.cn/vas-ai-hub/contract-review">56</end>
      <status xmlns="http://schemas.wps.cn/vas-ai-hub/contract-review">modified</status>
      <modifiedWord xmlns="http://schemas.wps.cn/vas-ai-hub/contract-review">农</modifiedWord>
      <trackRevisions xmlns="http://schemas.wps.cn/vas-ai-hub/contract-review">true</trackRevisions>
    </reviewItem>
    <reviewItem xmlns="http://schemas.wps.cn/vas-ai-hub/contract-review">
      <errorID xmlns="http://schemas.wps.cn/vas-ai-hub/contract-review">fbaf3677-da5f-4609-b326-d4c20e53b4ee</errorID>
      <errorWord xmlns="http://schemas.wps.cn/vas-ai-hub/contract-review">全露营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全域</item>
      </candidateList>
      <explain xmlns="http://schemas.wps.cn/vas-ai-hub/contract-review"/>
      <paraID xmlns="http://schemas.wps.cn/vas-ai-hub/contract-review"> EF39B5C</paraID>
      <start xmlns="http://schemas.wps.cn/vas-ai-hub/contract-review">50</start>
      <end xmlns="http://schemas.wps.cn/vas-ai-hub/contract-review">52</end>
      <status xmlns="http://schemas.wps.cn/vas-ai-hub/contract-review">modified</status>
      <modifiedWord xmlns="http://schemas.wps.cn/vas-ai-hub/contract-review">全域</modifiedWord>
      <trackRevisions xmlns="http://schemas.wps.cn/vas-ai-hub/contract-review">true</trackRevisions>
    </reviewItem>
    <reviewItem xmlns="http://schemas.wps.cn/vas-ai-hub/contract-review">
      <errorID xmlns="http://schemas.wps.cn/vas-ai-hub/contract-review">f58d345e-9967-4071-9598-6cc929a2d003</errorID>
      <errorWord xmlns="http://schemas.wps.cn/vas-ai-hub/contract-review">底座</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底座。</item>
      </candidateList>
      <explain xmlns="http://schemas.wps.cn/vas-ai-hub/contract-review"/>
      <paraID xmlns="http://schemas.wps.cn/vas-ai-hub/contract-review">6D4B5127</paraID>
      <start xmlns="http://schemas.wps.cn/vas-ai-hub/contract-review">11</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32087949-eb1a-484b-a5cf-67d91cb047af</errorID>
      <errorWord xmlns="http://schemas.wps.cn/vas-ai-hub/contract-review">屏障</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屏障。</item>
      </candidateList>
      <explain xmlns="http://schemas.wps.cn/vas-ai-hub/contract-review"/>
      <paraID xmlns="http://schemas.wps.cn/vas-ai-hub/contract-review">308C6DBC</paraID>
      <start xmlns="http://schemas.wps.cn/vas-ai-hub/contract-review">11</start>
      <end xmlns="http://schemas.wps.cn/vas-ai-hub/contract-review">13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f9db35-b1a0-48bf-aa36-803977afa99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2335</Words>
  <Characters>2401</Characters>
  <Lines>1</Lines>
  <Paragraphs>1</Paragraphs>
  <TotalTime>18</TotalTime>
  <ScaleCrop>false</ScaleCrop>
  <LinksUpToDate>false</LinksUpToDate>
  <CharactersWithSpaces>2409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2025-08-31T19:42:00Z</dcterms:created>
  <dc:creator>陈雨果</dc:creator>
  <cp:lastModifiedBy>陈雨果</cp:lastModifiedBy>
  <cp:lastPrinted>2026-07-24T22:50:00Z</cp:lastPrinted>
  <dcterms:modified xsi:type="dcterms:W3CDTF">2026-07-24T17:57:36Z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049A7548F45946C2920D4230FC7B678D_13</vt:lpwstr>
  </property>
  <property fmtid="{D5CDD505-2E9C-101B-9397-08002B2CF9AE}" pid="4" name="KSOTemplateDocerSaveRecord">
    <vt:lpwstr>eyJoZGlkIjoiNTE1NmI1ZGUzYjVhYmYzMzVjMWQyNDBkODUxNzE2NmQiLCJ1c2VySWQiOiI0NzUxNDQ1NDIifQ==</vt:lpwstr>
  </property>
  <property fmtid="{D5CDD505-2E9C-101B-9397-08002B2CF9AE}" pid="5" name="close">
    <vt:lpwstr>true</vt:lpwstr>
  </property>
  <property fmtid="{D5CDD505-2E9C-101B-9397-08002B2CF9AE}" pid="6" name="showFlag">
    <vt:bool>false</vt:bool>
  </property>
  <property fmtid="{D5CDD505-2E9C-101B-9397-08002B2CF9AE}" pid="7" name="userName">
    <vt:lpwstr>尹德雄</vt:lpwstr>
  </property>
</Properties>
</file>