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600" w:lineRule="exact"/>
        <w:jc w:val="left"/>
        <w:textAlignment w:val="auto"/>
        <w:rPr>
          <w:rFonts w:hint="eastAsia" w:ascii="黑体" w:hAnsi="黑体" w:eastAsia="黑体" w:cs="黑体"/>
          <w:sz w:val="32"/>
          <w:szCs w:val="32"/>
          <w:lang w:val="en"/>
        </w:rPr>
      </w:pPr>
      <w:r>
        <w:rPr>
          <w:rFonts w:hint="eastAsia" w:ascii="黑体" w:hAnsi="黑体" w:eastAsia="黑体" w:cs="黑体"/>
          <w:sz w:val="32"/>
          <w:szCs w:val="32"/>
        </w:rPr>
        <w:t>附件</w:t>
      </w:r>
      <w:r>
        <w:rPr>
          <w:rFonts w:hint="eastAsia" w:ascii="黑体" w:hAnsi="黑体" w:eastAsia="黑体" w:cs="黑体"/>
          <w:sz w:val="32"/>
          <w:szCs w:val="32"/>
          <w:lang w:val="en"/>
        </w:rPr>
        <w:t>2</w:t>
      </w:r>
    </w:p>
    <w:p>
      <w:pPr>
        <w:pStyle w:val="32"/>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kern w:val="2"/>
          <w:sz w:val="44"/>
          <w:szCs w:val="44"/>
          <w:lang w:val="en-US" w:eastAsia="zh-CN"/>
        </w:rPr>
      </w:pPr>
      <w:r>
        <w:rPr>
          <w:rFonts w:hint="eastAsia" w:ascii="方正小标宋_GBK" w:hAnsi="方正小标宋_GBK" w:eastAsia="方正小标宋_GBK" w:cs="方正小标宋_GBK"/>
          <w:kern w:val="2"/>
          <w:sz w:val="44"/>
          <w:szCs w:val="44"/>
          <w:lang w:val="en-US" w:eastAsia="zh-CN"/>
        </w:rPr>
        <w:t>关于《韶关市危险化学品禁止、限制和控制</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kern w:val="2"/>
          <w:sz w:val="44"/>
          <w:szCs w:val="44"/>
          <w:lang w:val="en-US" w:eastAsia="zh-CN"/>
        </w:rPr>
      </w:pPr>
      <w:r>
        <w:rPr>
          <w:rFonts w:hint="eastAsia" w:ascii="方正小标宋_GBK" w:hAnsi="方正小标宋_GBK" w:eastAsia="方正小标宋_GBK" w:cs="方正小标宋_GBK"/>
          <w:kern w:val="2"/>
          <w:sz w:val="44"/>
          <w:szCs w:val="44"/>
          <w:lang w:val="en-US" w:eastAsia="zh-CN"/>
        </w:rPr>
        <w:t>目录（草案）》的政策解读</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_GBK" w:hAnsi="方正小标宋_GBK" w:eastAsia="方正小标宋_GBK" w:cs="方正小标宋_GBK"/>
          <w:kern w:val="2"/>
          <w:sz w:val="44"/>
          <w:szCs w:val="44"/>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rPr>
          <w:rFonts w:hint="default" w:ascii="Nimbus Roman No9 L" w:hAnsi="Nimbus Roman No9 L" w:eastAsia="仿宋_GB2312" w:cs="Nimbus Roman No9 L"/>
          <w:sz w:val="32"/>
          <w:szCs w:val="32"/>
          <w:lang w:val="en-US" w:eastAsia="zh-CN"/>
        </w:rPr>
      </w:pPr>
      <w:r>
        <w:rPr>
          <w:rFonts w:hint="default" w:ascii="Nimbus Roman No9 L" w:hAnsi="Nimbus Roman No9 L" w:eastAsia="仿宋_GB2312" w:cs="Nimbus Roman No9 L"/>
          <w:sz w:val="32"/>
          <w:szCs w:val="32"/>
          <w:lang w:val="en-US" w:eastAsia="zh-CN"/>
        </w:rPr>
        <w:t>为贯彻落实国家关于危险化学品安全监管工作的部署要求，结合我市化工行业发展实际，韶关市应急管理局发布了《韶关市危险化学品禁止、限制和控制目录》（以下简称</w:t>
      </w:r>
      <w:r>
        <w:rPr>
          <w:rFonts w:hint="eastAsia" w:ascii="仿宋_GB2312" w:hAnsi="仿宋_GB2312" w:eastAsia="仿宋_GB2312" w:cs="仿宋_GB2312"/>
          <w:sz w:val="32"/>
          <w:szCs w:val="32"/>
          <w:lang w:val="en-US" w:eastAsia="zh-CN"/>
        </w:rPr>
        <w:t>“</w:t>
      </w:r>
      <w:r>
        <w:rPr>
          <w:rFonts w:hint="default" w:ascii="Nimbus Roman No9 L" w:hAnsi="Nimbus Roman No9 L" w:eastAsia="仿宋_GB2312" w:cs="Nimbus Roman No9 L"/>
          <w:sz w:val="32"/>
          <w:szCs w:val="32"/>
          <w:lang w:val="en-US" w:eastAsia="zh-CN"/>
        </w:rPr>
        <w:t>《目录》</w:t>
      </w:r>
      <w:r>
        <w:rPr>
          <w:rFonts w:hint="eastAsia" w:ascii="仿宋_GB2312" w:hAnsi="仿宋_GB2312" w:eastAsia="仿宋_GB2312" w:cs="仿宋_GB2312"/>
          <w:sz w:val="32"/>
          <w:szCs w:val="32"/>
          <w:lang w:val="en-US" w:eastAsia="zh-CN"/>
        </w:rPr>
        <w:t>”</w:t>
      </w:r>
      <w:r>
        <w:rPr>
          <w:rFonts w:hint="default" w:ascii="Nimbus Roman No9 L" w:hAnsi="Nimbus Roman No9 L" w:eastAsia="仿宋_GB2312" w:cs="Nimbus Roman No9 L"/>
          <w:sz w:val="32"/>
          <w:szCs w:val="32"/>
          <w:lang w:val="en-US" w:eastAsia="zh-CN"/>
        </w:rPr>
        <w:t>），现就有关内容解读如下：</w:t>
      </w:r>
    </w:p>
    <w:p>
      <w:pPr>
        <w:keepNext w:val="0"/>
        <w:keepLines w:val="0"/>
        <w:pageBreakBefore w:val="0"/>
        <w:widowControl w:val="0"/>
        <w:suppressLineNumbers w:val="0"/>
        <w:kinsoku/>
        <w:overflowPunct/>
        <w:topLinePunct w:val="0"/>
        <w:autoSpaceDE/>
        <w:autoSpaceDN/>
        <w:bidi w:val="0"/>
        <w:adjustRightInd/>
        <w:snapToGrid/>
        <w:spacing w:line="600" w:lineRule="exact"/>
        <w:ind w:firstLine="640" w:firstLineChars="200"/>
        <w:jc w:val="both"/>
        <w:textAlignment w:val="auto"/>
        <w:rPr>
          <w:rFonts w:hint="default" w:ascii="Nimbus Roman No9 L" w:hAnsi="Nimbus Roman No9 L" w:eastAsia="黑体" w:cs="Nimbus Roman No9 L"/>
          <w:sz w:val="32"/>
          <w:szCs w:val="32"/>
          <w:lang w:val="en-US" w:eastAsia="zh-CN"/>
        </w:rPr>
      </w:pPr>
      <w:r>
        <w:rPr>
          <w:rFonts w:hint="default" w:ascii="Nimbus Roman No9 L" w:hAnsi="Nimbus Roman No9 L" w:eastAsia="黑体" w:cs="Nimbus Roman No9 L"/>
          <w:sz w:val="32"/>
          <w:szCs w:val="32"/>
          <w:lang w:val="en-US" w:eastAsia="zh-CN"/>
        </w:rPr>
        <w:t>一、制定背景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次《目录》是在2019年市安委办印发的《韶关市危险化学品生产禁止、限制和控制目录（试行）》（韶安委办〔2019〕132号）的基础上修订形成的。2019年市安委办印发的《韶关市危险化学品生产禁止、限制和控制目录（试行）》（韶安委办〔2019〕132号）是依据《国务院办公厅关于印发危险化学品安全综合治理方案的通知》（国办发〔2016〕88号）和《关于推进城市安全发展的意见》（中办发〔2018〕1号）等文件编制的，在前几年的实施过程中发挥了较好的作用，但也有企业反映部分内容制约了地方经济发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随着我市化工行业发展以及国家关于危险化学品安全监管新要求新政策的陆续出台，《韶关市危险化学品生产禁止、限制和控制目录（试行）》亟待修订。近年来，中共中央办公厅、国务院办公厅印发的《关于全面加强危险化学品安全生产工作的意见》（2020年2月26日）、《全国安全生产专项整治三年行动计划》（安委〔2020〕3号）以及《安全生产治本攻坚三年行动方案（2024-2026年）》（安委〔2024〕2号）等文件，都提出了关于修订并落实危险化学品“禁限控”目录的相关要求，结合韶关市化工行业发展情况，现对《目录》进行修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Nimbus Roman No9 L" w:hAnsi="Nimbus Roman No9 L" w:eastAsia="黑体" w:cs="Nimbus Roman No9 L"/>
          <w:sz w:val="32"/>
          <w:szCs w:val="32"/>
          <w:lang w:val="en-US" w:eastAsia="zh-CN"/>
        </w:rPr>
      </w:pPr>
      <w:r>
        <w:rPr>
          <w:rFonts w:hint="default" w:ascii="Nimbus Roman No9 L" w:hAnsi="Nimbus Roman No9 L" w:eastAsia="黑体" w:cs="Nimbus Roman No9 L"/>
          <w:sz w:val="32"/>
          <w:szCs w:val="32"/>
          <w:lang w:val="en-US" w:eastAsia="zh-CN"/>
        </w:rPr>
        <w:t>二、主要依据</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（一）法律法规及标准依据</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1.《中华人民共和国安全生产法》</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2.《中华人民共和国危险化学品安全法》</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3.《关于全面加强危险化学品安全生产工作的意见》（中共中央办公厅、国务院办公厅于2020年2月26日印发）</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4.《产业结构调整指导目录（2024年本）》（国家发展和改革委员会令7号）</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5.《淘汰落后危险化学品安全生产工艺技术设备目录（第二批）》（应急厅〔2024〕86号）</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6.《危险化学品生产建设项目安全风险防控指南（试行）》（应急〔2022〕52号）</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7.《广东省化工园区建设标准和认定管理实施办法（试行）》（粤工信规字〔2022〕8号）</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8.《危险化学品目录（2015版，2026年调整）》（国家10部门联合公告，2026年第3号）</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9.《易制毒化学品目录（2025版）》</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10.《易制爆危险化学品名录（2017版）》</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11.《危险化学品重大危险源辨识》（GB18218-2018）</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default" w:ascii="楷体_GB2312" w:hAnsi="楷体_GB2312" w:eastAsia="楷体_GB2312" w:cs="楷体_GB2312"/>
          <w:color w:val="auto"/>
          <w:sz w:val="32"/>
          <w:szCs w:val="32"/>
          <w:lang w:val="en-US" w:eastAsia="zh-CN"/>
        </w:rPr>
      </w:pPr>
      <w:r>
        <w:rPr>
          <w:rFonts w:hint="default" w:ascii="楷体_GB2312" w:hAnsi="楷体_GB2312" w:eastAsia="楷体_GB2312" w:cs="楷体_GB2312"/>
          <w:color w:val="auto"/>
          <w:sz w:val="32"/>
          <w:szCs w:val="32"/>
          <w:lang w:val="en-US" w:eastAsia="zh-CN"/>
        </w:rPr>
        <w:t>（二）政策依据</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中华人民共和国危险化学品安全法》第六条规定，“任何单位和个人不得生产、使用、经营国家禁止生产、使用、经营的危险化学品。国家对危险化学品的使用有限制性规定的，任何单位和个人不得违反限制性规定使用危险化学品”。</w:t>
      </w: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2.2020年</w:t>
      </w:r>
      <w:r>
        <w:rPr>
          <w:rFonts w:hint="eastAsia" w:ascii="仿宋_GB2312" w:hAnsi="仿宋_GB2312" w:eastAsia="仿宋_GB2312" w:cs="仿宋_GB2312"/>
          <w:sz w:val="32"/>
          <w:szCs w:val="32"/>
          <w:lang w:val="en-US" w:eastAsia="zh-CN"/>
        </w:rPr>
        <w:t>2月26日中共中央办公厅、国务院办公厅印发的《关于全面加强危险化学品安全生产工作的意见》在推进产业结构调整中要求“各地区结合实际制定修订并严格落实危险化学品“禁限控”目录，结合深化供给侧结构性改革，依法淘汰不符合安全生产国家标准、行业标准条件的产能，有效防控风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国务院安全生产委员会关于印发&lt;全国安全生产专项整治三年行动计划&gt;的通知》（安委〔2020〕3号）在危险化学品安全整治中要求“督促指导各地区制定完善新建化工项目准入条件及危险化学品“禁限控”目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国务院安全生产委员会关于印发&lt;安全生产治本攻坚三年行动方案（2024－2026年）&gt;的通知》（安委〔2024〕2号）在开展重大事故隐患动态清零中要求“结合地区实际制定开发区、高新区、工业园区、化工园区等重点区域安全生产禁止和限制类产业目录，严格准入，强化重大安全风险源头管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Nimbus Roman No9 L" w:hAnsi="Nimbus Roman No9 L" w:eastAsia="黑体" w:cs="Nimbus Roman No9 L"/>
          <w:sz w:val="32"/>
          <w:szCs w:val="32"/>
          <w:lang w:val="en-US" w:eastAsia="zh-CN"/>
        </w:rPr>
      </w:pPr>
      <w:r>
        <w:rPr>
          <w:rFonts w:hint="default" w:ascii="Nimbus Roman No9 L" w:hAnsi="Nimbus Roman No9 L" w:eastAsia="黑体" w:cs="Nimbus Roman No9 L"/>
          <w:sz w:val="32"/>
          <w:szCs w:val="32"/>
          <w:lang w:val="en-US" w:eastAsia="zh-CN"/>
        </w:rPr>
        <w:t>三、目标任务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Nimbus Roman No9 L" w:hAnsi="Nimbus Roman No9 L" w:eastAsia="仿宋_GB2312" w:cs="Nimbus Roman No9 L"/>
          <w:sz w:val="32"/>
          <w:szCs w:val="32"/>
          <w:lang w:val="en-US" w:eastAsia="zh-CN"/>
        </w:rPr>
      </w:pPr>
      <w:r>
        <w:rPr>
          <w:rFonts w:hint="default" w:ascii="Nimbus Roman No9 L" w:hAnsi="Nimbus Roman No9 L" w:eastAsia="仿宋_GB2312" w:cs="Nimbus Roman No9 L"/>
          <w:sz w:val="32"/>
          <w:szCs w:val="32"/>
          <w:lang w:val="en-US" w:eastAsia="zh-CN"/>
        </w:rPr>
        <w:t>《目录》旨在落实国家和广东省关于危险化学品安全监管的政策和要求，在准入上对我市的危险化学品建设项目进行禁止、限制和控制，从源头上加强安全风险管控。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Nimbus Roman No9 L" w:hAnsi="Nimbus Roman No9 L" w:eastAsia="黑体" w:cs="Nimbus Roman No9 L"/>
          <w:sz w:val="32"/>
          <w:szCs w:val="32"/>
          <w:lang w:val="en-US" w:eastAsia="zh-CN"/>
        </w:rPr>
      </w:pPr>
      <w:r>
        <w:rPr>
          <w:rFonts w:hint="default" w:ascii="Nimbus Roman No9 L" w:hAnsi="Nimbus Roman No9 L" w:eastAsia="黑体" w:cs="Nimbus Roman No9 L"/>
          <w:sz w:val="32"/>
          <w:szCs w:val="32"/>
          <w:lang w:val="en-US" w:eastAsia="zh-CN"/>
        </w:rPr>
        <w:t>四、主要内容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《目录》共五个部分，分别是修订背景、修订依据、目录说明、附则和附件。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第一部分为修订背景。简要介绍了《目录》修订的目的、原因和过程。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第二部分为修订依据。列出了《目录》修订的主要依据，主要是2019年以后出台或修订的法律法规。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第三部分为目录说明。明确了对列入《目录》禁止部分的危险化学品、</w:t>
      </w:r>
      <w:r>
        <w:rPr>
          <w:rFonts w:hint="eastAsia" w:ascii="仿宋_GB2312" w:hAnsi="仿宋_GB2312" w:eastAsia="仿宋_GB2312" w:cs="仿宋_GB2312"/>
          <w:b w:val="0"/>
          <w:bCs w:val="0"/>
          <w:color w:val="auto"/>
          <w:kern w:val="0"/>
          <w:sz w:val="32"/>
          <w:szCs w:val="32"/>
          <w:lang w:val="en-US" w:eastAsia="zh-CN"/>
        </w:rPr>
        <w:t>列入《目录》限制和控制部分的危险化学品的具体管控措施。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第四部分为附则。对《目录》涉及的专业术语作出了解释说明。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第五部分为附件。附件共2个，分别为《</w:t>
      </w:r>
      <w:r>
        <w:rPr>
          <w:rFonts w:hint="eastAsia" w:ascii="仿宋_GB2312" w:hAnsi="仿宋_GB2312" w:eastAsia="仿宋_GB2312" w:cs="仿宋_GB2312"/>
          <w:b w:val="0"/>
          <w:bCs w:val="0"/>
          <w:color w:val="auto"/>
          <w:kern w:val="0"/>
          <w:sz w:val="32"/>
          <w:szCs w:val="32"/>
        </w:rPr>
        <w:t>韶关市危险化学品禁止目录</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val="0"/>
          <w:bCs w:val="0"/>
          <w:color w:val="auto"/>
          <w:kern w:val="0"/>
          <w:sz w:val="32"/>
          <w:szCs w:val="32"/>
        </w:rPr>
        <w:t>韶关市危险化学品限制和控制</w:t>
      </w:r>
      <w:r>
        <w:rPr>
          <w:rFonts w:hint="eastAsia" w:ascii="仿宋_GB2312" w:hAnsi="仿宋_GB2312" w:eastAsia="仿宋_GB2312" w:cs="仿宋_GB2312"/>
          <w:b w:val="0"/>
          <w:bCs w:val="0"/>
          <w:color w:val="auto"/>
          <w:kern w:val="0"/>
          <w:sz w:val="32"/>
          <w:szCs w:val="32"/>
          <w:lang w:eastAsia="zh-CN"/>
        </w:rPr>
        <w:t>目录</w:t>
      </w:r>
      <w:r>
        <w:rPr>
          <w:rFonts w:hint="eastAsia" w:ascii="仿宋_GB2312" w:hAnsi="仿宋_GB2312" w:eastAsia="仿宋_GB2312" w:cs="仿宋_GB2312"/>
          <w:sz w:val="32"/>
          <w:szCs w:val="32"/>
          <w:lang w:val="en-US" w:eastAsia="zh-CN"/>
        </w:rPr>
        <w:t>》。该部分列明了被列入《目录》禁止部分以及被</w:t>
      </w:r>
      <w:r>
        <w:rPr>
          <w:rFonts w:hint="eastAsia" w:ascii="仿宋_GB2312" w:hAnsi="仿宋_GB2312" w:eastAsia="仿宋_GB2312" w:cs="仿宋_GB2312"/>
          <w:b w:val="0"/>
          <w:bCs w:val="0"/>
          <w:color w:val="auto"/>
          <w:kern w:val="0"/>
          <w:sz w:val="32"/>
          <w:szCs w:val="32"/>
          <w:lang w:val="en-US" w:eastAsia="zh-CN"/>
        </w:rPr>
        <w:t>列入《目录》限制和控制部分的危险化学品的名称、CAS号和在《危险化学品目录（2015版</w:t>
      </w:r>
      <w:r>
        <w:rPr>
          <w:rFonts w:hint="eastAsia" w:ascii="仿宋_GB2312" w:hAnsi="仿宋_GB2312" w:eastAsia="仿宋_GB2312" w:cs="仿宋_GB2312"/>
          <w:color w:val="auto"/>
          <w:sz w:val="32"/>
          <w:szCs w:val="32"/>
          <w:lang w:val="en-US" w:eastAsia="zh-CN"/>
        </w:rPr>
        <w:t>，2026年调整</w:t>
      </w:r>
      <w:r>
        <w:rPr>
          <w:rFonts w:hint="eastAsia" w:ascii="仿宋_GB2312" w:hAnsi="仿宋_GB2312" w:eastAsia="仿宋_GB2312" w:cs="仿宋_GB2312"/>
          <w:b w:val="0"/>
          <w:bCs w:val="0"/>
          <w:color w:val="auto"/>
          <w:kern w:val="0"/>
          <w:sz w:val="32"/>
          <w:szCs w:val="32"/>
          <w:lang w:val="en-US" w:eastAsia="zh-CN"/>
        </w:rPr>
        <w:t>）》的序号。</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rPr>
          <w:rFonts w:hint="default" w:ascii="Nimbus Roman No9 L" w:hAnsi="Nimbus Roman No9 L" w:eastAsia="黑体" w:cs="Nimbus Roman No9 L"/>
          <w:sz w:val="32"/>
          <w:szCs w:val="32"/>
          <w:lang w:eastAsia="zh-CN"/>
        </w:rPr>
      </w:pPr>
      <w:r>
        <w:rPr>
          <w:rFonts w:hint="default" w:ascii="Nimbus Roman No9 L" w:hAnsi="Nimbus Roman No9 L" w:eastAsia="黑体" w:cs="Nimbus Roman No9 L"/>
          <w:sz w:val="32"/>
          <w:szCs w:val="32"/>
          <w:lang w:eastAsia="zh-CN"/>
        </w:rPr>
        <w:t>五、《目录》修订的主要内容和政策衔接</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default" w:ascii="楷体_GB2312" w:hAnsi="楷体_GB2312" w:eastAsia="楷体_GB2312" w:cs="楷体_GB2312"/>
          <w:color w:val="auto"/>
          <w:sz w:val="32"/>
          <w:szCs w:val="32"/>
          <w:lang w:val="en-US" w:eastAsia="zh-CN"/>
        </w:rPr>
      </w:pPr>
      <w:r>
        <w:rPr>
          <w:rFonts w:hint="default" w:ascii="楷体_GB2312" w:hAnsi="楷体_GB2312" w:eastAsia="楷体_GB2312" w:cs="楷体_GB2312"/>
          <w:color w:val="auto"/>
          <w:sz w:val="32"/>
          <w:szCs w:val="32"/>
          <w:lang w:val="en-US" w:eastAsia="zh-CN"/>
        </w:rPr>
        <w:t>(一)目录说明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Nimbus Roman No9 L" w:hAnsi="Nimbus Roman No9 L" w:eastAsia="仿宋_GB2312" w:cs="Nimbus Roman No9 L"/>
          <w:sz w:val="32"/>
          <w:szCs w:val="32"/>
          <w:lang w:val="en-US" w:eastAsia="zh-CN"/>
        </w:rPr>
      </w:pPr>
      <w:r>
        <w:rPr>
          <w:rFonts w:hint="default" w:ascii="Nimbus Roman No9 L" w:hAnsi="Nimbus Roman No9 L" w:eastAsia="仿宋_GB2312" w:cs="Nimbus Roman No9 L"/>
          <w:sz w:val="32"/>
          <w:szCs w:val="32"/>
          <w:lang w:val="en-US" w:eastAsia="zh-CN"/>
        </w:rPr>
        <w:t>明确了禁止、限制和控制的具体措施，更有利于《目录》发挥管控安全风险的作用。同时，也对危险化学品建设项目的引进和落地起到了指导作用。</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default" w:ascii="楷体_GB2312" w:hAnsi="楷体_GB2312" w:eastAsia="楷体_GB2312" w:cs="楷体_GB2312"/>
          <w:color w:val="auto"/>
          <w:sz w:val="32"/>
          <w:szCs w:val="32"/>
          <w:lang w:val="en-US" w:eastAsia="zh-CN"/>
        </w:rPr>
      </w:pPr>
      <w:r>
        <w:rPr>
          <w:rFonts w:hint="default" w:ascii="楷体_GB2312" w:hAnsi="楷体_GB2312" w:eastAsia="楷体_GB2312" w:cs="楷体_GB2312"/>
          <w:color w:val="auto"/>
          <w:sz w:val="32"/>
          <w:szCs w:val="32"/>
          <w:lang w:val="en-US" w:eastAsia="zh-CN"/>
        </w:rPr>
        <w:t>(二)韶关市危险化学品禁止目录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1.危险化学品禁止目录</w:t>
      </w:r>
      <w:r>
        <w:rPr>
          <w:rFonts w:hint="eastAsia" w:ascii="仿宋_GB2312" w:hAnsi="仿宋_GB2312" w:eastAsia="仿宋_GB2312" w:cs="仿宋_GB2312"/>
          <w:sz w:val="32"/>
          <w:szCs w:val="32"/>
          <w:lang w:eastAsia="zh-CN"/>
        </w:rPr>
        <w:t>新增品种</w:t>
      </w:r>
    </w:p>
    <w:p>
      <w:pPr>
        <w:keepNext w:val="0"/>
        <w:keepLines w:val="0"/>
        <w:pageBreakBefore w:val="0"/>
        <w:widowControl w:val="0"/>
        <w:suppressLineNumbers w:val="0"/>
        <w:kinsoku/>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（1）将六氯-1,3-丁二烯（CAS号：87-68-3）纳入到危险化学品禁止目录。调整原因：国家发展改革委《产业结构调整指导目录（2024年本）》将其列入淘汰目录。</w:t>
      </w:r>
    </w:p>
    <w:p>
      <w:pPr>
        <w:keepNext w:val="0"/>
        <w:keepLines w:val="0"/>
        <w:pageBreakBefore w:val="0"/>
        <w:widowControl w:val="0"/>
        <w:suppressLineNumbers w:val="0"/>
        <w:kinsoku/>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将硝基苯（CAS号：98-95-3）、1,2-二硝基苯（CAS号：528-29-0）、1,3-二硝基苯（CAS号：99-65-0）、1,4-二硝基苯（CAS号：100-25-4）、2-硝基甲苯（CAS号：88-72-2）、3-硝基甲苯（CAS号：99-08-1）、4-硝基甲苯（CAS号：99-99-0）、氯硝基苯异构体混合物（CAS号：25167-93-5）、1-氯-2,4-二硝基苯（CAS号：97-00-7）、2,5-二氯硝基苯（CAS号：89-61-2）、2,4-二氯硝基苯（CAS号：611-06-3）、1-氟-2,4-二硝基苯（CAS号：70-34-8）纳入到危险化学品禁止目录。调整原因：《淘汰落后危险化学品安全生产工艺技术设备目录（第二批）》将其列入淘汰目录。</w:t>
      </w:r>
    </w:p>
    <w:p>
      <w:pPr>
        <w:keepNext w:val="0"/>
        <w:keepLines w:val="0"/>
        <w:pageBreakBefore w:val="0"/>
        <w:widowControl w:val="0"/>
        <w:suppressLineNumbers w:val="0"/>
        <w:kinsoku/>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（3）将2，2-双（羟甲基）1，3-丙二醇 （CAS号：115-77-5）、钾（CAS号：7440-09-7）纳入到危险化学品禁止目录。调整原因：《易制爆危险化学品名录（2017年版）》将其列入名录内。</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部分品种从原危险化学品限制和控制目录调整到</w:t>
      </w:r>
      <w:r>
        <w:rPr>
          <w:rFonts w:hint="eastAsia" w:ascii="仿宋_GB2312" w:hAnsi="仿宋_GB2312" w:eastAsia="仿宋_GB2312" w:cs="仿宋_GB2312"/>
          <w:sz w:val="32"/>
          <w:szCs w:val="32"/>
          <w:lang w:val="en-US" w:eastAsia="zh-CN"/>
        </w:rPr>
        <w:t>危险化学品禁止目录</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（1）将</w:t>
      </w:r>
      <w:r>
        <w:rPr>
          <w:rFonts w:hint="eastAsia" w:ascii="仿宋_GB2312" w:hAnsi="仿宋_GB2312" w:eastAsia="仿宋_GB2312" w:cs="仿宋_GB2312"/>
          <w:sz w:val="32"/>
          <w:szCs w:val="32"/>
          <w:lang w:eastAsia="zh-CN"/>
        </w:rPr>
        <w:t>短链氯化石蜡（</w:t>
      </w:r>
      <w:r>
        <w:rPr>
          <w:rFonts w:hint="eastAsia" w:ascii="仿宋_GB2312" w:hAnsi="仿宋_GB2312" w:eastAsia="仿宋_GB2312" w:cs="仿宋_GB2312"/>
          <w:sz w:val="32"/>
          <w:szCs w:val="32"/>
          <w:lang w:val="en-US" w:eastAsia="zh-CN"/>
        </w:rPr>
        <w:t>CAS号：</w:t>
      </w:r>
      <w:r>
        <w:rPr>
          <w:rFonts w:hint="eastAsia" w:ascii="仿宋_GB2312" w:hAnsi="仿宋_GB2312" w:eastAsia="仿宋_GB2312" w:cs="仿宋_GB2312"/>
          <w:sz w:val="32"/>
          <w:szCs w:val="32"/>
          <w:lang w:eastAsia="zh-CN"/>
        </w:rPr>
        <w:t>85535-8</w:t>
      </w:r>
      <w:r>
        <w:rPr>
          <w:rFonts w:hint="eastAsia" w:ascii="仿宋_GB2312" w:hAnsi="仿宋_GB2312" w:eastAsia="仿宋_GB2312" w:cs="仿宋_GB2312"/>
          <w:sz w:val="32"/>
          <w:szCs w:val="32"/>
          <w:lang w:val="en-US" w:eastAsia="zh-CN"/>
        </w:rPr>
        <w:t>4-8）、</w:t>
      </w:r>
      <w:r>
        <w:rPr>
          <w:rFonts w:hint="eastAsia" w:ascii="仿宋_GB2312" w:hAnsi="仿宋_GB2312" w:eastAsia="仿宋_GB2312" w:cs="仿宋_GB2312"/>
          <w:sz w:val="32"/>
          <w:szCs w:val="32"/>
          <w:lang w:eastAsia="zh-CN"/>
        </w:rPr>
        <w:t>全氟辛基磺酸（</w:t>
      </w:r>
      <w:r>
        <w:rPr>
          <w:rFonts w:hint="eastAsia" w:ascii="仿宋_GB2312" w:hAnsi="仿宋_GB2312" w:eastAsia="仿宋_GB2312" w:cs="仿宋_GB2312"/>
          <w:sz w:val="32"/>
          <w:szCs w:val="32"/>
          <w:lang w:val="en-US" w:eastAsia="zh-CN"/>
        </w:rPr>
        <w:t>CAS号：</w:t>
      </w:r>
      <w:r>
        <w:rPr>
          <w:rFonts w:hint="eastAsia" w:ascii="仿宋_GB2312" w:hAnsi="仿宋_GB2312" w:eastAsia="仿宋_GB2312" w:cs="仿宋_GB2312"/>
          <w:sz w:val="32"/>
          <w:szCs w:val="32"/>
          <w:lang w:eastAsia="zh-CN"/>
        </w:rPr>
        <w:t>1763-23-1）</w:t>
      </w:r>
      <w:r>
        <w:rPr>
          <w:rFonts w:hint="eastAsia" w:ascii="仿宋_GB2312" w:hAnsi="仿宋_GB2312" w:eastAsia="仿宋_GB2312" w:cs="仿宋_GB2312"/>
          <w:sz w:val="32"/>
          <w:szCs w:val="32"/>
          <w:lang w:val="en-US" w:eastAsia="zh-CN"/>
        </w:rPr>
        <w:t>调整到危险化学品禁止目录。调整原因：国家发展改革委《产业结构调整指导目录（2024年本）》</w:t>
      </w:r>
      <w:r>
        <w:rPr>
          <w:rFonts w:hint="eastAsia" w:ascii="仿宋_GB2312" w:hAnsi="仿宋_GB2312" w:eastAsia="仿宋_GB2312" w:cs="仿宋_GB2312"/>
          <w:sz w:val="32"/>
          <w:szCs w:val="32"/>
          <w:highlight w:val="none"/>
          <w:lang w:eastAsia="zh-CN"/>
        </w:rPr>
        <w:t>将其列入淘汰目录。</w:t>
      </w:r>
    </w:p>
    <w:p>
      <w:pPr>
        <w:keepNext w:val="0"/>
        <w:keepLines w:val="0"/>
        <w:pageBreakBefore w:val="0"/>
        <w:widowControl w:val="0"/>
        <w:suppressLineNumbers w:val="0"/>
        <w:kinsoku/>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（2）将</w:t>
      </w:r>
      <w:r>
        <w:rPr>
          <w:rFonts w:hint="eastAsia" w:ascii="仿宋_GB2312" w:hAnsi="仿宋_GB2312" w:eastAsia="仿宋_GB2312" w:cs="仿宋_GB2312"/>
          <w:sz w:val="32"/>
          <w:szCs w:val="32"/>
          <w:lang w:eastAsia="zh-CN"/>
        </w:rPr>
        <w:t>硝酸（</w:t>
      </w:r>
      <w:r>
        <w:rPr>
          <w:rFonts w:hint="eastAsia" w:ascii="仿宋_GB2312" w:hAnsi="仿宋_GB2312" w:eastAsia="仿宋_GB2312" w:cs="仿宋_GB2312"/>
          <w:sz w:val="32"/>
          <w:szCs w:val="32"/>
          <w:lang w:val="en-US" w:eastAsia="zh-CN"/>
        </w:rPr>
        <w:t>CAS号：</w:t>
      </w:r>
      <w:r>
        <w:rPr>
          <w:rFonts w:hint="eastAsia" w:ascii="仿宋_GB2312" w:hAnsi="仿宋_GB2312" w:eastAsia="仿宋_GB2312" w:cs="仿宋_GB2312"/>
          <w:sz w:val="32"/>
          <w:szCs w:val="32"/>
          <w:lang w:eastAsia="zh-CN"/>
        </w:rPr>
        <w:t>7697-37-2）</w:t>
      </w:r>
      <w:r>
        <w:rPr>
          <w:rFonts w:hint="eastAsia" w:ascii="仿宋_GB2312" w:hAnsi="仿宋_GB2312" w:eastAsia="仿宋_GB2312" w:cs="仿宋_GB2312"/>
          <w:sz w:val="32"/>
          <w:szCs w:val="32"/>
          <w:lang w:val="en-US" w:eastAsia="zh-CN"/>
        </w:rPr>
        <w:t>调整到危险化学品禁止目录。调整原因：《易制爆危险化学品名录（2017年版）》将其列入名录内。</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default" w:ascii="楷体_GB2312" w:hAnsi="楷体_GB2312" w:eastAsia="楷体_GB2312" w:cs="楷体_GB2312"/>
          <w:color w:val="auto"/>
          <w:sz w:val="32"/>
          <w:szCs w:val="32"/>
          <w:lang w:val="en-US" w:eastAsia="zh-CN"/>
        </w:rPr>
      </w:pPr>
      <w:r>
        <w:rPr>
          <w:rFonts w:hint="default" w:ascii="楷体_GB2312" w:hAnsi="楷体_GB2312" w:eastAsia="楷体_GB2312" w:cs="楷体_GB2312"/>
          <w:color w:val="auto"/>
          <w:sz w:val="32"/>
          <w:szCs w:val="32"/>
          <w:lang w:val="en-US" w:eastAsia="zh-CN"/>
        </w:rPr>
        <w:t>（三）韶关市危险化学品限制和控制目录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1.危险化学品限制和控制目录</w:t>
      </w:r>
      <w:r>
        <w:rPr>
          <w:rFonts w:hint="eastAsia" w:ascii="仿宋_GB2312" w:hAnsi="仿宋_GB2312" w:eastAsia="仿宋_GB2312" w:cs="仿宋_GB2312"/>
          <w:sz w:val="32"/>
          <w:szCs w:val="32"/>
          <w:lang w:eastAsia="zh-CN"/>
        </w:rPr>
        <w:t>新增品种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将</w:t>
      </w:r>
      <w:r>
        <w:rPr>
          <w:rFonts w:hint="eastAsia" w:ascii="仿宋_GB2312" w:hAnsi="仿宋_GB2312" w:eastAsia="仿宋_GB2312" w:cs="仿宋_GB2312"/>
          <w:sz w:val="32"/>
          <w:szCs w:val="32"/>
          <w:highlight w:val="none"/>
          <w:lang w:eastAsia="zh-CN"/>
        </w:rPr>
        <w:t>过氧化氢溶液[含量＞8%]（</w:t>
      </w:r>
      <w:r>
        <w:rPr>
          <w:rFonts w:hint="eastAsia" w:ascii="仿宋_GB2312" w:hAnsi="仿宋_GB2312" w:eastAsia="仿宋_GB2312" w:cs="仿宋_GB2312"/>
          <w:sz w:val="32"/>
          <w:szCs w:val="32"/>
          <w:highlight w:val="none"/>
          <w:lang w:val="en-US" w:eastAsia="zh-CN"/>
        </w:rPr>
        <w:t>CAS号：</w:t>
      </w:r>
      <w:r>
        <w:rPr>
          <w:rFonts w:hint="eastAsia" w:ascii="仿宋_GB2312" w:hAnsi="仿宋_GB2312" w:eastAsia="仿宋_GB2312" w:cs="仿宋_GB2312"/>
          <w:sz w:val="32"/>
          <w:szCs w:val="32"/>
          <w:highlight w:val="none"/>
          <w:lang w:eastAsia="zh-CN"/>
        </w:rPr>
        <w:t>7722-84-1）</w:t>
      </w:r>
      <w:r>
        <w:rPr>
          <w:rFonts w:hint="eastAsia" w:ascii="仿宋_GB2312" w:hAnsi="仿宋_GB2312" w:eastAsia="仿宋_GB2312" w:cs="仿宋_GB2312"/>
          <w:sz w:val="32"/>
          <w:szCs w:val="32"/>
          <w:lang w:val="en-US" w:eastAsia="zh-CN"/>
        </w:rPr>
        <w:t>纳入到危险化学品限制和控制目录。调整原因：该品种属于易制爆危险化学品，但我市现有企业在《目录》修订前已涉及生产和储存经营，列入限制和控制目录可有效管控安全风险。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部分品种从原</w:t>
      </w:r>
      <w:r>
        <w:rPr>
          <w:rFonts w:hint="eastAsia" w:ascii="仿宋_GB2312" w:hAnsi="仿宋_GB2312" w:eastAsia="仿宋_GB2312" w:cs="仿宋_GB2312"/>
          <w:sz w:val="32"/>
          <w:szCs w:val="32"/>
          <w:lang w:val="en-US" w:eastAsia="zh-CN"/>
        </w:rPr>
        <w:t>危险化学品禁止目录</w:t>
      </w:r>
      <w:r>
        <w:rPr>
          <w:rFonts w:hint="eastAsia" w:ascii="仿宋_GB2312" w:hAnsi="仿宋_GB2312" w:eastAsia="仿宋_GB2312" w:cs="仿宋_GB2312"/>
          <w:sz w:val="32"/>
          <w:szCs w:val="32"/>
          <w:lang w:eastAsia="zh-CN"/>
        </w:rPr>
        <w:t>调整到危险化学品限制和控制目录</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（1）将</w:t>
      </w:r>
      <w:r>
        <w:rPr>
          <w:rFonts w:hint="eastAsia" w:ascii="仿宋_GB2312" w:hAnsi="仿宋_GB2312" w:eastAsia="仿宋_GB2312" w:cs="仿宋_GB2312"/>
          <w:sz w:val="32"/>
          <w:szCs w:val="32"/>
          <w:highlight w:val="none"/>
          <w:lang w:eastAsia="zh-CN"/>
        </w:rPr>
        <w:t>硝化纤维素溶液[含氮量</w:t>
      </w:r>
      <w:r>
        <w:rPr>
          <w:rFonts w:hint="eastAsia" w:ascii="仿宋_GB2312" w:hAnsi="仿宋_GB2312" w:eastAsia="仿宋_GB2312" w:cs="仿宋_GB2312"/>
          <w:sz w:val="32"/>
          <w:szCs w:val="32"/>
          <w:lang w:val="en-US" w:eastAsia="zh-CN"/>
        </w:rPr>
        <w:t>≤12.6%,含硝化纤维素≤55%]（CAS号：9004-70-0）调整到危险化学品限制和控制目录。调整原因：韶关高新区、南雄、翁源、新丰等地的化工园区主要以树脂涂料产业为主，</w:t>
      </w:r>
      <w:r>
        <w:rPr>
          <w:rFonts w:hint="eastAsia" w:ascii="仿宋_GB2312" w:hAnsi="仿宋_GB2312" w:eastAsia="仿宋_GB2312" w:cs="仿宋_GB2312"/>
          <w:sz w:val="32"/>
          <w:szCs w:val="32"/>
          <w:highlight w:val="none"/>
          <w:lang w:eastAsia="zh-CN"/>
        </w:rPr>
        <w:t>硝化纤维素溶液作为</w:t>
      </w:r>
      <w:r>
        <w:rPr>
          <w:rFonts w:hint="eastAsia" w:ascii="仿宋_GB2312" w:hAnsi="仿宋_GB2312" w:eastAsia="仿宋_GB2312" w:cs="仿宋_GB2312"/>
          <w:sz w:val="32"/>
          <w:szCs w:val="32"/>
          <w:lang w:val="en-US" w:eastAsia="zh-CN"/>
        </w:rPr>
        <w:t>涂</w:t>
      </w:r>
      <w:r>
        <w:rPr>
          <w:rFonts w:hint="eastAsia" w:ascii="仿宋_GB2312" w:hAnsi="仿宋_GB2312" w:eastAsia="仿宋_GB2312" w:cs="仿宋_GB2312"/>
          <w:sz w:val="32"/>
          <w:szCs w:val="32"/>
          <w:highlight w:val="none"/>
          <w:lang w:eastAsia="zh-CN"/>
        </w:rPr>
        <w:t>料的基础原料，以形成产业配套之需要；</w:t>
      </w:r>
      <w:r>
        <w:rPr>
          <w:rFonts w:hint="eastAsia" w:ascii="仿宋_GB2312" w:hAnsi="仿宋_GB2312" w:eastAsia="仿宋_GB2312" w:cs="仿宋_GB2312"/>
          <w:sz w:val="32"/>
          <w:szCs w:val="32"/>
          <w:lang w:val="en-US" w:eastAsia="zh-CN"/>
        </w:rPr>
        <w:t>南雄市人民政府在此次修订过程中也提出了将其调整至危险化学品限制和控制目录的请求。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将氟化氢[无水]（CAS号：7664-39-3）、四氯化碳（CAS号：56-23-5）、氯酸钠及氯酸钠溶液（CAS号：7775-09-9）调整到危险化学品限制和控制目录。调整原因：乳源瑶族自治县人民政府在此次修订过程中提出了将其调整至危险化学品限制和控制目录的请求。</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3.危险化学品限制和控制目录删除部分品</w:t>
      </w:r>
      <w:r>
        <w:rPr>
          <w:rFonts w:hint="eastAsia" w:ascii="仿宋_GB2312" w:hAnsi="仿宋_GB2312" w:eastAsia="仿宋_GB2312" w:cs="仿宋_GB2312"/>
          <w:sz w:val="32"/>
          <w:szCs w:val="32"/>
          <w:lang w:eastAsia="zh-CN"/>
        </w:rPr>
        <w:t>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将含易燃溶剂的合成树脂、油漆、辅助材料、涂料等制品[闭杯闪点≤60℃]（危险化学品目录2828类）从原危险化学品限制和控制目录中删除。调整原因：韶关高新区、南雄、翁源、新丰等地的化工园区均以树脂涂料产业为主，我市大部分危险化学品企业的产品均涉及该类型化学品，在《目录》明确了管控措施后，将其保留在危险化学品限制和控制目录内，不利于地方经济和企业发展。</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（四）政策衔接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Nimbus Roman No9 L" w:hAnsi="Nimbus Roman No9 L" w:eastAsia="仿宋_GB2312" w:cs="Nimbus Roman No9 L"/>
          <w:sz w:val="32"/>
          <w:szCs w:val="32"/>
          <w:lang w:val="en-US" w:eastAsia="zh-CN"/>
        </w:rPr>
      </w:pPr>
      <w:r>
        <w:rPr>
          <w:rFonts w:hint="eastAsia" w:ascii="仿宋_GB2312" w:hAnsi="仿宋_GB2312" w:eastAsia="仿宋_GB2312" w:cs="仿宋_GB2312"/>
          <w:sz w:val="32"/>
          <w:szCs w:val="32"/>
          <w:lang w:val="en-US" w:eastAsia="zh-CN"/>
        </w:rPr>
        <w:t>《目录》在第四部分的附则中作出了说明，《目录》</w:t>
      </w:r>
      <w:r>
        <w:rPr>
          <w:rFonts w:hint="default" w:ascii="仿宋_GB2312" w:hAnsi="仿宋_GB2312" w:eastAsia="仿宋_GB2312" w:cs="仿宋_GB2312"/>
          <w:b w:val="0"/>
          <w:bCs w:val="0"/>
          <w:color w:val="auto"/>
          <w:kern w:val="0"/>
          <w:sz w:val="32"/>
          <w:szCs w:val="32"/>
          <w:lang w:val="en-US" w:eastAsia="zh-CN"/>
        </w:rPr>
        <w:t>自</w:t>
      </w:r>
      <w:r>
        <w:rPr>
          <w:rFonts w:hint="eastAsia" w:ascii="仿宋_GB2312" w:hAnsi="仿宋_GB2312" w:eastAsia="仿宋_GB2312" w:cs="仿宋_GB2312"/>
          <w:b w:val="0"/>
          <w:bCs w:val="0"/>
          <w:color w:val="auto"/>
          <w:kern w:val="0"/>
          <w:sz w:val="32"/>
          <w:szCs w:val="32"/>
          <w:lang w:val="en-US" w:eastAsia="zh-CN"/>
        </w:rPr>
        <w:t>印发之日起施行，有效期5年</w:t>
      </w:r>
      <w:r>
        <w:rPr>
          <w:rFonts w:hint="eastAsia" w:ascii="仿宋_GB2312" w:hAnsi="仿宋_GB2312" w:eastAsia="仿宋_GB2312" w:cs="仿宋_GB2312"/>
          <w:sz w:val="32"/>
          <w:szCs w:val="32"/>
          <w:lang w:val="en-US" w:eastAsia="zh-CN"/>
        </w:rPr>
        <w:t>，原《韶关市危险化学品生产禁止、限制和控制目录（试行）》（韶安委办〔2019〕132号）同时废止。</w:t>
      </w:r>
    </w:p>
    <w:p>
      <w:pPr>
        <w:keepNext w:val="0"/>
        <w:keepLines w:val="0"/>
        <w:pageBreakBefore w:val="0"/>
        <w:widowControl w:val="0"/>
        <w:kinsoku/>
        <w:overflowPunct/>
        <w:topLinePunct w:val="0"/>
        <w:autoSpaceDE/>
        <w:autoSpaceDN/>
        <w:bidi w:val="0"/>
        <w:spacing w:line="600" w:lineRule="exact"/>
        <w:textAlignment w:val="auto"/>
        <w:rPr>
          <w:rFonts w:hint="eastAsia" w:ascii="黑体" w:hAnsi="黑体" w:eastAsia="黑体"/>
          <w:color w:val="auto"/>
          <w:sz w:val="32"/>
          <w:szCs w:val="32"/>
        </w:rPr>
      </w:pPr>
    </w:p>
    <w:sectPr>
      <w:headerReference r:id="rId3" w:type="default"/>
      <w:footerReference r:id="rId4" w:type="default"/>
      <w:pgSz w:w="11906" w:h="16838"/>
      <w:pgMar w:top="2098" w:right="1474" w:bottom="1984" w:left="1587" w:header="1247" w:footer="1587" w:gutter="0"/>
      <w:pgNumType w:fmt="decimal"/>
      <w:cols w:space="0" w:num="1"/>
      <w:rtlGutter w:val="0"/>
      <w:docGrid w:type="lines" w:linePitch="5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SimSun Western">
    <w:altName w:val="宋体"/>
    <w:panose1 w:val="000003090200D19E0000"/>
    <w:charset w:val="00"/>
    <w:family w:val="auto"/>
    <w:pitch w:val="default"/>
    <w:sig w:usb0="00000000" w:usb1="00000000" w:usb2="00000000" w:usb3="00000000" w:csb0="00000001" w:csb1="00000000"/>
  </w:font>
  <w:font w:name="方正仿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font>
  <w:font w:name="Nimbus Roman No9 L">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pBdr>
        <w:top w:val="none" w:color="auto" w:sz="0" w:space="0"/>
        <w:left w:val="none" w:color="auto" w:sz="0" w:space="0"/>
        <w:bottom w:val="none" w:color="auto" w:sz="0" w:space="0"/>
        <w:right w:val="none" w:color="auto" w:sz="0" w:space="0"/>
        <w:between w:val="none" w:color="auto" w:sz="0" w:space="0"/>
      </w:pBdr>
      <w:spacing w:after="0" w:afterLines="0"/>
      <w:jc w:val="right"/>
      <w:rPr>
        <w:rFonts w:hint="eastAsia" w:ascii="宋体" w:hAnsi="宋体" w:eastAsia="宋体"/>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48"/>
                            <w:pBdr>
                              <w:top w:val="none" w:color="auto" w:sz="0" w:space="0"/>
                              <w:left w:val="none" w:color="auto" w:sz="0" w:space="0"/>
                              <w:bottom w:val="none" w:color="auto" w:sz="0" w:space="0"/>
                              <w:right w:val="none" w:color="auto" w:sz="0" w:space="0"/>
                              <w:between w:val="none" w:color="auto" w:sz="0" w:space="0"/>
                            </w:pBdr>
                            <w:spacing w:after="0" w:afterLines="0"/>
                            <w:jc w:val="right"/>
                          </w:pPr>
                          <w:r>
                            <w:rPr>
                              <w:rStyle w:val="50"/>
                              <w:rFonts w:hint="eastAsia" w:ascii="宋体" w:hAnsi="宋体" w:cstheme="minorBidi"/>
                              <w:sz w:val="28"/>
                              <w:lang w:eastAsia="zh-CN"/>
                            </w:rPr>
                            <w:t>—</w:t>
                          </w:r>
                          <w:r>
                            <w:rPr>
                              <w:rStyle w:val="50"/>
                              <w:rFonts w:hint="eastAsia" w:ascii="宋体" w:hAnsi="宋体" w:cstheme="minorBidi"/>
                              <w:sz w:val="28"/>
                              <w:lang w:val="en-US" w:eastAsia="zh-CN"/>
                            </w:rPr>
                            <w:t xml:space="preserve"> </w:t>
                          </w:r>
                          <w:r>
                            <w:rPr>
                              <w:rFonts w:hint="eastAsia" w:ascii="宋体" w:hAnsi="宋体" w:eastAsia="宋体"/>
                              <w:sz w:val="28"/>
                            </w:rPr>
                            <w:fldChar w:fldCharType="begin"/>
                          </w:r>
                          <w:r>
                            <w:rPr>
                              <w:rStyle w:val="50"/>
                              <w:rFonts w:hint="eastAsia" w:ascii="宋体" w:hAnsi="宋体" w:eastAsia="宋体" w:cstheme="minorBidi"/>
                              <w:sz w:val="28"/>
                            </w:rPr>
                            <w:instrText xml:space="preserve"> PAGE  </w:instrText>
                          </w:r>
                          <w:r>
                            <w:rPr>
                              <w:rFonts w:hint="eastAsia" w:ascii="宋体" w:hAnsi="宋体" w:eastAsia="宋体"/>
                              <w:sz w:val="28"/>
                            </w:rPr>
                            <w:fldChar w:fldCharType="separate"/>
                          </w:r>
                          <w:r>
                            <w:rPr>
                              <w:rStyle w:val="50"/>
                              <w:rFonts w:hint="eastAsia" w:ascii="宋体" w:hAnsi="宋体" w:eastAsia="宋体" w:cstheme="minorBidi"/>
                              <w:sz w:val="28"/>
                            </w:rPr>
                            <w:t>1</w:t>
                          </w:r>
                          <w:r>
                            <w:rPr>
                              <w:rFonts w:hint="eastAsia" w:ascii="宋体" w:hAnsi="宋体" w:eastAsia="宋体"/>
                              <w:sz w:val="28"/>
                            </w:rPr>
                            <w:fldChar w:fldCharType="end"/>
                          </w:r>
                          <w:r>
                            <w:rPr>
                              <w:rFonts w:hint="eastAsia" w:ascii="宋体" w:hAnsi="宋体"/>
                              <w:sz w:val="28"/>
                              <w:lang w:val="en-US" w:eastAsia="zh-CN"/>
                            </w:rPr>
                            <w:t xml:space="preserve"> </w:t>
                          </w:r>
                          <w:r>
                            <w:rPr>
                              <w:rStyle w:val="50"/>
                              <w:rFonts w:hint="eastAsia" w:ascii="宋体" w:hAnsi="宋体" w:cstheme="minorBidi"/>
                              <w:sz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48"/>
                      <w:pBdr>
                        <w:top w:val="none" w:color="auto" w:sz="0" w:space="0"/>
                        <w:left w:val="none" w:color="auto" w:sz="0" w:space="0"/>
                        <w:bottom w:val="none" w:color="auto" w:sz="0" w:space="0"/>
                        <w:right w:val="none" w:color="auto" w:sz="0" w:space="0"/>
                        <w:between w:val="none" w:color="auto" w:sz="0" w:space="0"/>
                      </w:pBdr>
                      <w:spacing w:after="0" w:afterLines="0"/>
                      <w:jc w:val="right"/>
                    </w:pPr>
                    <w:r>
                      <w:rPr>
                        <w:rStyle w:val="50"/>
                        <w:rFonts w:hint="eastAsia" w:ascii="宋体" w:hAnsi="宋体" w:cstheme="minorBidi"/>
                        <w:sz w:val="28"/>
                        <w:lang w:eastAsia="zh-CN"/>
                      </w:rPr>
                      <w:t>—</w:t>
                    </w:r>
                    <w:r>
                      <w:rPr>
                        <w:rStyle w:val="50"/>
                        <w:rFonts w:hint="eastAsia" w:ascii="宋体" w:hAnsi="宋体" w:cstheme="minorBidi"/>
                        <w:sz w:val="28"/>
                        <w:lang w:val="en-US" w:eastAsia="zh-CN"/>
                      </w:rPr>
                      <w:t xml:space="preserve"> </w:t>
                    </w:r>
                    <w:r>
                      <w:rPr>
                        <w:rFonts w:hint="eastAsia" w:ascii="宋体" w:hAnsi="宋体" w:eastAsia="宋体"/>
                        <w:sz w:val="28"/>
                      </w:rPr>
                      <w:fldChar w:fldCharType="begin"/>
                    </w:r>
                    <w:r>
                      <w:rPr>
                        <w:rStyle w:val="50"/>
                        <w:rFonts w:hint="eastAsia" w:ascii="宋体" w:hAnsi="宋体" w:eastAsia="宋体" w:cstheme="minorBidi"/>
                        <w:sz w:val="28"/>
                      </w:rPr>
                      <w:instrText xml:space="preserve"> PAGE  </w:instrText>
                    </w:r>
                    <w:r>
                      <w:rPr>
                        <w:rFonts w:hint="eastAsia" w:ascii="宋体" w:hAnsi="宋体" w:eastAsia="宋体"/>
                        <w:sz w:val="28"/>
                      </w:rPr>
                      <w:fldChar w:fldCharType="separate"/>
                    </w:r>
                    <w:r>
                      <w:rPr>
                        <w:rStyle w:val="50"/>
                        <w:rFonts w:hint="eastAsia" w:ascii="宋体" w:hAnsi="宋体" w:eastAsia="宋体" w:cstheme="minorBidi"/>
                        <w:sz w:val="28"/>
                      </w:rPr>
                      <w:t>1</w:t>
                    </w:r>
                    <w:r>
                      <w:rPr>
                        <w:rFonts w:hint="eastAsia" w:ascii="宋体" w:hAnsi="宋体" w:eastAsia="宋体"/>
                        <w:sz w:val="28"/>
                      </w:rPr>
                      <w:fldChar w:fldCharType="end"/>
                    </w:r>
                    <w:r>
                      <w:rPr>
                        <w:rFonts w:hint="eastAsia" w:ascii="宋体" w:hAnsi="宋体"/>
                        <w:sz w:val="28"/>
                        <w:lang w:val="en-US" w:eastAsia="zh-CN"/>
                      </w:rPr>
                      <w:t xml:space="preserve"> </w:t>
                    </w:r>
                    <w:r>
                      <w:rPr>
                        <w:rStyle w:val="50"/>
                        <w:rFonts w:hint="eastAsia" w:ascii="宋体" w:hAnsi="宋体" w:cstheme="minorBidi"/>
                        <w:sz w:val="28"/>
                        <w:lang w:eastAsia="zh-CN"/>
                      </w:rPr>
                      <w:t>—</w:t>
                    </w:r>
                  </w:p>
                </w:txbxContent>
              </v:textbox>
            </v:shape>
          </w:pict>
        </mc:Fallback>
      </mc:AlternateContent>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83BFC"/>
    <w:rsid w:val="000C1E9F"/>
    <w:rsid w:val="005F427E"/>
    <w:rsid w:val="006156CC"/>
    <w:rsid w:val="00744D3B"/>
    <w:rsid w:val="00A45CAA"/>
    <w:rsid w:val="00CC0F2F"/>
    <w:rsid w:val="01253681"/>
    <w:rsid w:val="01E22B26"/>
    <w:rsid w:val="01F405D7"/>
    <w:rsid w:val="01F453C2"/>
    <w:rsid w:val="02306736"/>
    <w:rsid w:val="02A93B2F"/>
    <w:rsid w:val="02E243FA"/>
    <w:rsid w:val="037A301A"/>
    <w:rsid w:val="03FD3253"/>
    <w:rsid w:val="044B77E6"/>
    <w:rsid w:val="05A707CD"/>
    <w:rsid w:val="06774214"/>
    <w:rsid w:val="068D301E"/>
    <w:rsid w:val="06D34FD5"/>
    <w:rsid w:val="07102B16"/>
    <w:rsid w:val="073C6437"/>
    <w:rsid w:val="079D1B7F"/>
    <w:rsid w:val="07B324E6"/>
    <w:rsid w:val="080E10E4"/>
    <w:rsid w:val="08363351"/>
    <w:rsid w:val="08AC060D"/>
    <w:rsid w:val="08DF03EA"/>
    <w:rsid w:val="090A5DAA"/>
    <w:rsid w:val="09B421F5"/>
    <w:rsid w:val="0A971F8A"/>
    <w:rsid w:val="0B80017A"/>
    <w:rsid w:val="0BB655E7"/>
    <w:rsid w:val="0BDD7C8A"/>
    <w:rsid w:val="0C686B46"/>
    <w:rsid w:val="0CCD4D67"/>
    <w:rsid w:val="0D171627"/>
    <w:rsid w:val="0D6E0851"/>
    <w:rsid w:val="0D8039B2"/>
    <w:rsid w:val="0DF34C7D"/>
    <w:rsid w:val="0E2C2BD1"/>
    <w:rsid w:val="0EFF35C7"/>
    <w:rsid w:val="0FE5386F"/>
    <w:rsid w:val="10227A2C"/>
    <w:rsid w:val="10DE7407"/>
    <w:rsid w:val="117D0714"/>
    <w:rsid w:val="11BB68C3"/>
    <w:rsid w:val="11FA0E0F"/>
    <w:rsid w:val="127D4FCC"/>
    <w:rsid w:val="128074A8"/>
    <w:rsid w:val="12B638E8"/>
    <w:rsid w:val="12FC252C"/>
    <w:rsid w:val="13495848"/>
    <w:rsid w:val="13BB36C3"/>
    <w:rsid w:val="140C34CD"/>
    <w:rsid w:val="14621BC6"/>
    <w:rsid w:val="14AB535D"/>
    <w:rsid w:val="156A760E"/>
    <w:rsid w:val="157619C6"/>
    <w:rsid w:val="15CB28F1"/>
    <w:rsid w:val="16033DE7"/>
    <w:rsid w:val="163424BE"/>
    <w:rsid w:val="16506224"/>
    <w:rsid w:val="1680639F"/>
    <w:rsid w:val="16A81503"/>
    <w:rsid w:val="16D057FF"/>
    <w:rsid w:val="16DD87FE"/>
    <w:rsid w:val="16F403F0"/>
    <w:rsid w:val="175B1DD3"/>
    <w:rsid w:val="18A84B5D"/>
    <w:rsid w:val="18DD19B3"/>
    <w:rsid w:val="196B6B32"/>
    <w:rsid w:val="1A8B3B15"/>
    <w:rsid w:val="1AB350FE"/>
    <w:rsid w:val="1BA3245D"/>
    <w:rsid w:val="1BF70A13"/>
    <w:rsid w:val="1C0D38E3"/>
    <w:rsid w:val="1D333A93"/>
    <w:rsid w:val="1D8411E0"/>
    <w:rsid w:val="1DD80D03"/>
    <w:rsid w:val="1E790DBC"/>
    <w:rsid w:val="1EE81036"/>
    <w:rsid w:val="1F422B4D"/>
    <w:rsid w:val="1F8523FA"/>
    <w:rsid w:val="1FBDFDC5"/>
    <w:rsid w:val="1FF77977"/>
    <w:rsid w:val="20724CBB"/>
    <w:rsid w:val="20896BEB"/>
    <w:rsid w:val="21EC2459"/>
    <w:rsid w:val="22770BC4"/>
    <w:rsid w:val="22C5313A"/>
    <w:rsid w:val="235818A4"/>
    <w:rsid w:val="235E322D"/>
    <w:rsid w:val="237A7AC1"/>
    <w:rsid w:val="23D44B57"/>
    <w:rsid w:val="23FF01AF"/>
    <w:rsid w:val="24F5036A"/>
    <w:rsid w:val="251F6949"/>
    <w:rsid w:val="25B32729"/>
    <w:rsid w:val="265B68A0"/>
    <w:rsid w:val="269B72C2"/>
    <w:rsid w:val="26A27898"/>
    <w:rsid w:val="26C4379E"/>
    <w:rsid w:val="275437B9"/>
    <w:rsid w:val="277379F1"/>
    <w:rsid w:val="277D464F"/>
    <w:rsid w:val="27C36057"/>
    <w:rsid w:val="284976C5"/>
    <w:rsid w:val="289342B8"/>
    <w:rsid w:val="28DC7886"/>
    <w:rsid w:val="29766D7E"/>
    <w:rsid w:val="29E95148"/>
    <w:rsid w:val="29F8475F"/>
    <w:rsid w:val="2ABE251E"/>
    <w:rsid w:val="2B1C70E7"/>
    <w:rsid w:val="2B810512"/>
    <w:rsid w:val="2B866F3E"/>
    <w:rsid w:val="2B922B13"/>
    <w:rsid w:val="2C500777"/>
    <w:rsid w:val="2DEB0DD7"/>
    <w:rsid w:val="2E802928"/>
    <w:rsid w:val="2EBBC3EB"/>
    <w:rsid w:val="2F9B22E0"/>
    <w:rsid w:val="2FCA28F3"/>
    <w:rsid w:val="2FD41133"/>
    <w:rsid w:val="2FEA7556"/>
    <w:rsid w:val="2FF33131"/>
    <w:rsid w:val="3012466B"/>
    <w:rsid w:val="308A6B86"/>
    <w:rsid w:val="31462ED2"/>
    <w:rsid w:val="314A0B14"/>
    <w:rsid w:val="319A4D84"/>
    <w:rsid w:val="31E96171"/>
    <w:rsid w:val="31FD598C"/>
    <w:rsid w:val="32381E00"/>
    <w:rsid w:val="32FF48D9"/>
    <w:rsid w:val="331423DB"/>
    <w:rsid w:val="3322B69A"/>
    <w:rsid w:val="33BE7E7C"/>
    <w:rsid w:val="33DA55C2"/>
    <w:rsid w:val="34703709"/>
    <w:rsid w:val="34C95087"/>
    <w:rsid w:val="357FA723"/>
    <w:rsid w:val="35BB138A"/>
    <w:rsid w:val="365B2D0F"/>
    <w:rsid w:val="36DA5501"/>
    <w:rsid w:val="37560B2F"/>
    <w:rsid w:val="375D5E8C"/>
    <w:rsid w:val="376773EF"/>
    <w:rsid w:val="378D286A"/>
    <w:rsid w:val="37C93FBA"/>
    <w:rsid w:val="38141BAB"/>
    <w:rsid w:val="38591F4F"/>
    <w:rsid w:val="38CD79B9"/>
    <w:rsid w:val="39030B88"/>
    <w:rsid w:val="39155C33"/>
    <w:rsid w:val="39321304"/>
    <w:rsid w:val="393B3CCD"/>
    <w:rsid w:val="39EA77BD"/>
    <w:rsid w:val="39F552D0"/>
    <w:rsid w:val="3A0574FA"/>
    <w:rsid w:val="3A35598B"/>
    <w:rsid w:val="3A661625"/>
    <w:rsid w:val="3A8F6C09"/>
    <w:rsid w:val="3B156FEB"/>
    <w:rsid w:val="3BA33A6C"/>
    <w:rsid w:val="3BF68AB1"/>
    <w:rsid w:val="3C7FEFE8"/>
    <w:rsid w:val="3CD17C5A"/>
    <w:rsid w:val="3CDE03D4"/>
    <w:rsid w:val="3D61121A"/>
    <w:rsid w:val="3D8F2B4C"/>
    <w:rsid w:val="3DBBD25B"/>
    <w:rsid w:val="3DC2183E"/>
    <w:rsid w:val="3DEF71D7"/>
    <w:rsid w:val="3DFF576B"/>
    <w:rsid w:val="3E5D3EE0"/>
    <w:rsid w:val="3EAF757B"/>
    <w:rsid w:val="3F1BE9B6"/>
    <w:rsid w:val="3F3A24CB"/>
    <w:rsid w:val="3FC831EB"/>
    <w:rsid w:val="3FCDB951"/>
    <w:rsid w:val="3FCDC688"/>
    <w:rsid w:val="3FD96F14"/>
    <w:rsid w:val="3FE79962"/>
    <w:rsid w:val="3FEE076D"/>
    <w:rsid w:val="3FFBEAF7"/>
    <w:rsid w:val="3FFD4E26"/>
    <w:rsid w:val="401A15ED"/>
    <w:rsid w:val="40287252"/>
    <w:rsid w:val="4129586B"/>
    <w:rsid w:val="41BB74B3"/>
    <w:rsid w:val="43B75B12"/>
    <w:rsid w:val="43C111CB"/>
    <w:rsid w:val="448E4C5F"/>
    <w:rsid w:val="451A0408"/>
    <w:rsid w:val="45AC7C5B"/>
    <w:rsid w:val="46CC1773"/>
    <w:rsid w:val="470E1C0F"/>
    <w:rsid w:val="471006F6"/>
    <w:rsid w:val="472C440A"/>
    <w:rsid w:val="48D35312"/>
    <w:rsid w:val="48FA73AE"/>
    <w:rsid w:val="49114B7A"/>
    <w:rsid w:val="4A0437F8"/>
    <w:rsid w:val="4A862CA8"/>
    <w:rsid w:val="4A9936D5"/>
    <w:rsid w:val="4B043DDC"/>
    <w:rsid w:val="4B262485"/>
    <w:rsid w:val="4B7D9E56"/>
    <w:rsid w:val="4B7DCD4D"/>
    <w:rsid w:val="4C435948"/>
    <w:rsid w:val="4C445502"/>
    <w:rsid w:val="4C5D2469"/>
    <w:rsid w:val="4C623D2F"/>
    <w:rsid w:val="4C757ED9"/>
    <w:rsid w:val="4D0A4069"/>
    <w:rsid w:val="4D681F60"/>
    <w:rsid w:val="4DDC3EA9"/>
    <w:rsid w:val="4DF27344"/>
    <w:rsid w:val="4F3029DD"/>
    <w:rsid w:val="4FDA8E16"/>
    <w:rsid w:val="50546A16"/>
    <w:rsid w:val="5063594D"/>
    <w:rsid w:val="50CB5170"/>
    <w:rsid w:val="516E37CE"/>
    <w:rsid w:val="51B55603"/>
    <w:rsid w:val="526712BE"/>
    <w:rsid w:val="5280581E"/>
    <w:rsid w:val="52FB5ED4"/>
    <w:rsid w:val="53C0B62E"/>
    <w:rsid w:val="542A3D1A"/>
    <w:rsid w:val="546E5BEC"/>
    <w:rsid w:val="54880C1A"/>
    <w:rsid w:val="54BB7EBE"/>
    <w:rsid w:val="54DF370F"/>
    <w:rsid w:val="55412DD3"/>
    <w:rsid w:val="559E58D8"/>
    <w:rsid w:val="55ABD1E8"/>
    <w:rsid w:val="55C066EA"/>
    <w:rsid w:val="55FED39A"/>
    <w:rsid w:val="5636365D"/>
    <w:rsid w:val="56673565"/>
    <w:rsid w:val="56836282"/>
    <w:rsid w:val="56D15614"/>
    <w:rsid w:val="56EBA40F"/>
    <w:rsid w:val="57103A2E"/>
    <w:rsid w:val="5727F6CA"/>
    <w:rsid w:val="57366FD3"/>
    <w:rsid w:val="57C232AC"/>
    <w:rsid w:val="580E1106"/>
    <w:rsid w:val="58B26DDA"/>
    <w:rsid w:val="597DB550"/>
    <w:rsid w:val="59A61C20"/>
    <w:rsid w:val="59C90EDB"/>
    <w:rsid w:val="59FBCD2B"/>
    <w:rsid w:val="5A5D1732"/>
    <w:rsid w:val="5B7E8624"/>
    <w:rsid w:val="5B902F1F"/>
    <w:rsid w:val="5BCFF1B8"/>
    <w:rsid w:val="5BF7EB34"/>
    <w:rsid w:val="5BFF317D"/>
    <w:rsid w:val="5C520080"/>
    <w:rsid w:val="5C530585"/>
    <w:rsid w:val="5CC74E7B"/>
    <w:rsid w:val="5CF7898B"/>
    <w:rsid w:val="5DC7F27F"/>
    <w:rsid w:val="5DFDFF01"/>
    <w:rsid w:val="5DFF2193"/>
    <w:rsid w:val="5E4FCD2C"/>
    <w:rsid w:val="5E8A191F"/>
    <w:rsid w:val="5ED37995"/>
    <w:rsid w:val="5EFD2882"/>
    <w:rsid w:val="5F35C2F7"/>
    <w:rsid w:val="5F6F2444"/>
    <w:rsid w:val="5F6F840A"/>
    <w:rsid w:val="5F8F528E"/>
    <w:rsid w:val="5FB8F137"/>
    <w:rsid w:val="5FD1A0FD"/>
    <w:rsid w:val="5FF78777"/>
    <w:rsid w:val="5FFF6456"/>
    <w:rsid w:val="5FFFA1B3"/>
    <w:rsid w:val="602A3154"/>
    <w:rsid w:val="60406772"/>
    <w:rsid w:val="604727A6"/>
    <w:rsid w:val="609357D6"/>
    <w:rsid w:val="60AB2126"/>
    <w:rsid w:val="60B200AD"/>
    <w:rsid w:val="61110D67"/>
    <w:rsid w:val="616A1D12"/>
    <w:rsid w:val="6218520A"/>
    <w:rsid w:val="62405570"/>
    <w:rsid w:val="63A45AB4"/>
    <w:rsid w:val="63C876B7"/>
    <w:rsid w:val="64022953"/>
    <w:rsid w:val="645E414F"/>
    <w:rsid w:val="64DB23B4"/>
    <w:rsid w:val="65577A89"/>
    <w:rsid w:val="65827B7F"/>
    <w:rsid w:val="65D1503C"/>
    <w:rsid w:val="661B0F82"/>
    <w:rsid w:val="668B5C7D"/>
    <w:rsid w:val="66B32809"/>
    <w:rsid w:val="677E2BCF"/>
    <w:rsid w:val="67905A25"/>
    <w:rsid w:val="67BFA6C9"/>
    <w:rsid w:val="67CE6333"/>
    <w:rsid w:val="68356741"/>
    <w:rsid w:val="684F602A"/>
    <w:rsid w:val="6855E667"/>
    <w:rsid w:val="687E0C24"/>
    <w:rsid w:val="68822804"/>
    <w:rsid w:val="68BF6D32"/>
    <w:rsid w:val="699C2751"/>
    <w:rsid w:val="6A89544F"/>
    <w:rsid w:val="6B976EEC"/>
    <w:rsid w:val="6BBBFEE1"/>
    <w:rsid w:val="6BC95DDA"/>
    <w:rsid w:val="6BEF3CD4"/>
    <w:rsid w:val="6BFBD308"/>
    <w:rsid w:val="6BFBF660"/>
    <w:rsid w:val="6BFF8F1E"/>
    <w:rsid w:val="6C6C0D21"/>
    <w:rsid w:val="6CF912BF"/>
    <w:rsid w:val="6D3E5C41"/>
    <w:rsid w:val="6D455EB2"/>
    <w:rsid w:val="6D4E2610"/>
    <w:rsid w:val="6D56FFAE"/>
    <w:rsid w:val="6DAD9C87"/>
    <w:rsid w:val="6E336EE4"/>
    <w:rsid w:val="6E631D8F"/>
    <w:rsid w:val="6E7BBBFA"/>
    <w:rsid w:val="6F5170CB"/>
    <w:rsid w:val="6F753C1F"/>
    <w:rsid w:val="6FBBDF3E"/>
    <w:rsid w:val="6FBE20A6"/>
    <w:rsid w:val="6FE6D2EE"/>
    <w:rsid w:val="6FEBD0A8"/>
    <w:rsid w:val="6FF472D3"/>
    <w:rsid w:val="6FF7CC63"/>
    <w:rsid w:val="702466AC"/>
    <w:rsid w:val="7062466C"/>
    <w:rsid w:val="70BF140D"/>
    <w:rsid w:val="71EE637A"/>
    <w:rsid w:val="720859CD"/>
    <w:rsid w:val="720E21AB"/>
    <w:rsid w:val="72D0D2A1"/>
    <w:rsid w:val="72DB2938"/>
    <w:rsid w:val="72FFB8AF"/>
    <w:rsid w:val="730371E9"/>
    <w:rsid w:val="7307FBF8"/>
    <w:rsid w:val="73BE3B8A"/>
    <w:rsid w:val="73ED7123"/>
    <w:rsid w:val="73FFB623"/>
    <w:rsid w:val="74491EDD"/>
    <w:rsid w:val="750766B3"/>
    <w:rsid w:val="75487582"/>
    <w:rsid w:val="75EB9676"/>
    <w:rsid w:val="75F73B1E"/>
    <w:rsid w:val="764C5D89"/>
    <w:rsid w:val="7677D26E"/>
    <w:rsid w:val="767BA8E0"/>
    <w:rsid w:val="7699274F"/>
    <w:rsid w:val="76BC1CEE"/>
    <w:rsid w:val="773D64BD"/>
    <w:rsid w:val="774945DE"/>
    <w:rsid w:val="777A7D64"/>
    <w:rsid w:val="778F67D4"/>
    <w:rsid w:val="7796743C"/>
    <w:rsid w:val="77FB0B66"/>
    <w:rsid w:val="77FF3428"/>
    <w:rsid w:val="78282F3F"/>
    <w:rsid w:val="78573631"/>
    <w:rsid w:val="78CFCD92"/>
    <w:rsid w:val="78DB6C68"/>
    <w:rsid w:val="790C7309"/>
    <w:rsid w:val="79620F49"/>
    <w:rsid w:val="79C1605A"/>
    <w:rsid w:val="79D8ECC8"/>
    <w:rsid w:val="79EA2A6C"/>
    <w:rsid w:val="7AB20674"/>
    <w:rsid w:val="7ABB200E"/>
    <w:rsid w:val="7AC40AE4"/>
    <w:rsid w:val="7AEFF8E0"/>
    <w:rsid w:val="7AF05C16"/>
    <w:rsid w:val="7B5D25C9"/>
    <w:rsid w:val="7B5E4E76"/>
    <w:rsid w:val="7BDF1408"/>
    <w:rsid w:val="7BDFDD48"/>
    <w:rsid w:val="7BDFF868"/>
    <w:rsid w:val="7BEAAD20"/>
    <w:rsid w:val="7BEC6EFB"/>
    <w:rsid w:val="7BFF13A8"/>
    <w:rsid w:val="7BFF6397"/>
    <w:rsid w:val="7C4B482D"/>
    <w:rsid w:val="7C7FB852"/>
    <w:rsid w:val="7CFEFF06"/>
    <w:rsid w:val="7CFFD158"/>
    <w:rsid w:val="7D0144BD"/>
    <w:rsid w:val="7D35249B"/>
    <w:rsid w:val="7D3F332F"/>
    <w:rsid w:val="7D650C3E"/>
    <w:rsid w:val="7D8BB0DF"/>
    <w:rsid w:val="7DA50C86"/>
    <w:rsid w:val="7DAA68C2"/>
    <w:rsid w:val="7DBCE872"/>
    <w:rsid w:val="7E6A301C"/>
    <w:rsid w:val="7E9E1AFA"/>
    <w:rsid w:val="7EA35BB8"/>
    <w:rsid w:val="7EFDDCB0"/>
    <w:rsid w:val="7EFFBAFA"/>
    <w:rsid w:val="7F154CC7"/>
    <w:rsid w:val="7F2326CD"/>
    <w:rsid w:val="7F292CD9"/>
    <w:rsid w:val="7F536F3B"/>
    <w:rsid w:val="7F564B77"/>
    <w:rsid w:val="7F644DAE"/>
    <w:rsid w:val="7F72076C"/>
    <w:rsid w:val="7FBA4CC6"/>
    <w:rsid w:val="7FCB6947"/>
    <w:rsid w:val="7FDFA7D3"/>
    <w:rsid w:val="7FEF35DD"/>
    <w:rsid w:val="7FF27450"/>
    <w:rsid w:val="7FFB046A"/>
    <w:rsid w:val="7FFB9D88"/>
    <w:rsid w:val="7FFD2A69"/>
    <w:rsid w:val="7FFF1E5C"/>
    <w:rsid w:val="7FFF607E"/>
    <w:rsid w:val="7FFF6298"/>
    <w:rsid w:val="7FFF82C2"/>
    <w:rsid w:val="87FFF871"/>
    <w:rsid w:val="8EE51CE9"/>
    <w:rsid w:val="8FA6F1C0"/>
    <w:rsid w:val="94FB3AD2"/>
    <w:rsid w:val="9BEEFF25"/>
    <w:rsid w:val="9DB726A3"/>
    <w:rsid w:val="9E7DB081"/>
    <w:rsid w:val="9EDF6148"/>
    <w:rsid w:val="9FFBD128"/>
    <w:rsid w:val="A4BF74D4"/>
    <w:rsid w:val="A7DEE98D"/>
    <w:rsid w:val="AB8F3AEC"/>
    <w:rsid w:val="AE6FAB2B"/>
    <w:rsid w:val="AFEF3EE8"/>
    <w:rsid w:val="AFF6DE4F"/>
    <w:rsid w:val="AFFF14B4"/>
    <w:rsid w:val="B5DF5899"/>
    <w:rsid w:val="B6E78139"/>
    <w:rsid w:val="B77B6858"/>
    <w:rsid w:val="B7CFE40B"/>
    <w:rsid w:val="B7EFEE66"/>
    <w:rsid w:val="B9ED2343"/>
    <w:rsid w:val="BBBBE3FF"/>
    <w:rsid w:val="BBE51CC1"/>
    <w:rsid w:val="BD237107"/>
    <w:rsid w:val="BD6772E6"/>
    <w:rsid w:val="BFBFECAC"/>
    <w:rsid w:val="BFEB9167"/>
    <w:rsid w:val="BFF7FCDA"/>
    <w:rsid w:val="BFFE2F8E"/>
    <w:rsid w:val="BFFF010D"/>
    <w:rsid w:val="C9FDABBB"/>
    <w:rsid w:val="CEDD4DB9"/>
    <w:rsid w:val="CF7B429C"/>
    <w:rsid w:val="D5BF2884"/>
    <w:rsid w:val="D6E420E2"/>
    <w:rsid w:val="D6FF48D8"/>
    <w:rsid w:val="D899D6BB"/>
    <w:rsid w:val="DAEB6F4A"/>
    <w:rsid w:val="DB6E79C4"/>
    <w:rsid w:val="DBDB646A"/>
    <w:rsid w:val="DBDFE649"/>
    <w:rsid w:val="DBFE6191"/>
    <w:rsid w:val="DC65780E"/>
    <w:rsid w:val="DD7E2121"/>
    <w:rsid w:val="DDD7AB2D"/>
    <w:rsid w:val="DDEB99D0"/>
    <w:rsid w:val="DF7F8F63"/>
    <w:rsid w:val="DFCD0A78"/>
    <w:rsid w:val="DFDB785C"/>
    <w:rsid w:val="DFDB8313"/>
    <w:rsid w:val="E1BE8E60"/>
    <w:rsid w:val="E5BB4DD0"/>
    <w:rsid w:val="E5DF68A7"/>
    <w:rsid w:val="E5FEEDDE"/>
    <w:rsid w:val="E6DBC987"/>
    <w:rsid w:val="EC2F1475"/>
    <w:rsid w:val="ECFFD372"/>
    <w:rsid w:val="EDDABCDF"/>
    <w:rsid w:val="EDEFFE5F"/>
    <w:rsid w:val="EDFB3DFA"/>
    <w:rsid w:val="EE5BE47E"/>
    <w:rsid w:val="EED75065"/>
    <w:rsid w:val="EEF9B243"/>
    <w:rsid w:val="EEFFDCB0"/>
    <w:rsid w:val="EF2F7CC8"/>
    <w:rsid w:val="EF7BA844"/>
    <w:rsid w:val="EF7FF503"/>
    <w:rsid w:val="EFBF55A3"/>
    <w:rsid w:val="EFDC12E5"/>
    <w:rsid w:val="EFDF5C41"/>
    <w:rsid w:val="EFEE64BE"/>
    <w:rsid w:val="EFF63146"/>
    <w:rsid w:val="EFFB3857"/>
    <w:rsid w:val="EFFC4118"/>
    <w:rsid w:val="F09DD1DE"/>
    <w:rsid w:val="F0E91A18"/>
    <w:rsid w:val="F1B23700"/>
    <w:rsid w:val="F2DC1EA8"/>
    <w:rsid w:val="F3195E8D"/>
    <w:rsid w:val="F37D4371"/>
    <w:rsid w:val="F3EFDE4F"/>
    <w:rsid w:val="F3F14934"/>
    <w:rsid w:val="F3F294C5"/>
    <w:rsid w:val="F55F5FAC"/>
    <w:rsid w:val="F57FBF0E"/>
    <w:rsid w:val="F77B25B7"/>
    <w:rsid w:val="F7EAF921"/>
    <w:rsid w:val="F7EF77CB"/>
    <w:rsid w:val="F7EFC6F6"/>
    <w:rsid w:val="F7FAFA6A"/>
    <w:rsid w:val="F7FFBCC8"/>
    <w:rsid w:val="F9CA7D0B"/>
    <w:rsid w:val="FA9510F2"/>
    <w:rsid w:val="FAFDFC17"/>
    <w:rsid w:val="FB1765FB"/>
    <w:rsid w:val="FBAD5CED"/>
    <w:rsid w:val="FBEFEB54"/>
    <w:rsid w:val="FBF330C4"/>
    <w:rsid w:val="FBF7340C"/>
    <w:rsid w:val="FBF82030"/>
    <w:rsid w:val="FBFF4975"/>
    <w:rsid w:val="FC7B28CA"/>
    <w:rsid w:val="FDCFA7E2"/>
    <w:rsid w:val="FDD782BC"/>
    <w:rsid w:val="FDDB185A"/>
    <w:rsid w:val="FDDD71AA"/>
    <w:rsid w:val="FDDDB73A"/>
    <w:rsid w:val="FDDF96A8"/>
    <w:rsid w:val="FDF7B975"/>
    <w:rsid w:val="FDF7C70D"/>
    <w:rsid w:val="FDFC80B7"/>
    <w:rsid w:val="FDFEABD9"/>
    <w:rsid w:val="FE3A5387"/>
    <w:rsid w:val="FE5F6A46"/>
    <w:rsid w:val="FEED4702"/>
    <w:rsid w:val="FEEE8095"/>
    <w:rsid w:val="FEFF67A2"/>
    <w:rsid w:val="FF0F3BFC"/>
    <w:rsid w:val="FF1FFD7B"/>
    <w:rsid w:val="FF38D26B"/>
    <w:rsid w:val="FF3F300C"/>
    <w:rsid w:val="FF541A35"/>
    <w:rsid w:val="FF5B7721"/>
    <w:rsid w:val="FF6CD64C"/>
    <w:rsid w:val="FF73AE22"/>
    <w:rsid w:val="FF7D47F1"/>
    <w:rsid w:val="FF7F8AB2"/>
    <w:rsid w:val="FF898A3E"/>
    <w:rsid w:val="FF8FA8AA"/>
    <w:rsid w:val="FFABC567"/>
    <w:rsid w:val="FFBDBC8E"/>
    <w:rsid w:val="FFBEBDDC"/>
    <w:rsid w:val="FFCFFA9A"/>
    <w:rsid w:val="FFEA8651"/>
    <w:rsid w:val="FFF2C19E"/>
    <w:rsid w:val="FFF324DB"/>
    <w:rsid w:val="FFF79211"/>
    <w:rsid w:val="FFFB61B7"/>
    <w:rsid w:val="FFFE10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name="toc 1"/>
    <w:lsdException w:qFormat="1" w:unhideWhenUsed="0" w:uiPriority="0" w:semiHidden="0" w:name="toc 2"/>
    <w:lsdException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eastAsia" w:ascii="Times New Roman" w:hAnsi="Times New Roman" w:eastAsia="宋体" w:cs="Times New Roman"/>
      <w:kern w:val="2"/>
      <w:sz w:val="21"/>
      <w:lang w:val="en-US" w:eastAsia="zh-CN" w:bidi="ar-SA"/>
    </w:rPr>
  </w:style>
  <w:style w:type="paragraph" w:styleId="3">
    <w:name w:val="heading 1"/>
    <w:basedOn w:val="1"/>
    <w:next w:val="1"/>
    <w:link w:val="52"/>
    <w:qFormat/>
    <w:uiPriority w:val="0"/>
    <w:pPr>
      <w:keepNext/>
      <w:keepLines/>
      <w:spacing w:before="340" w:beforeLines="0" w:beforeAutospacing="0" w:after="330" w:afterLines="0" w:afterAutospacing="0" w:line="576" w:lineRule="auto"/>
      <w:outlineLvl w:val="0"/>
    </w:pPr>
    <w:rPr>
      <w:b/>
      <w:kern w:val="44"/>
      <w:sz w:val="44"/>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4">
    <w:name w:val="Default Paragraph Font"/>
    <w:link w:val="25"/>
    <w:semiHidden/>
    <w:qFormat/>
    <w:uiPriority w:val="0"/>
    <w:rPr>
      <w:rFonts w:ascii="Times New Roman" w:hAnsi="Times New Roman" w:eastAsia="仿宋_GB2312" w:cs="Times New Roman"/>
      <w:kern w:val="2"/>
      <w:sz w:val="32"/>
      <w:szCs w:val="32"/>
      <w:lang w:val="en-US" w:eastAsia="zh-CN"/>
    </w:rPr>
  </w:style>
  <w:style w:type="table" w:default="1" w:styleId="22">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spacing w:line="360" w:lineRule="auto"/>
      <w:ind w:firstLine="200" w:firstLineChars="200"/>
    </w:pPr>
    <w:rPr>
      <w:rFonts w:ascii="Times New Roman" w:hAnsi="Times New Roman" w:eastAsia="宋体" w:cs="Times New Roman"/>
      <w:sz w:val="24"/>
    </w:rPr>
  </w:style>
  <w:style w:type="paragraph" w:styleId="6">
    <w:name w:val="toc 4"/>
    <w:basedOn w:val="1"/>
    <w:next w:val="1"/>
    <w:qFormat/>
    <w:uiPriority w:val="0"/>
    <w:pPr>
      <w:wordWrap w:val="0"/>
      <w:ind w:left="850"/>
    </w:pPr>
    <w:rPr>
      <w:rFonts w:cs="黑体"/>
    </w:rPr>
  </w:style>
  <w:style w:type="paragraph" w:styleId="7">
    <w:name w:val="annotation text"/>
    <w:basedOn w:val="1"/>
    <w:next w:val="8"/>
    <w:qFormat/>
    <w:uiPriority w:val="0"/>
    <w:pPr>
      <w:jc w:val="left"/>
    </w:pPr>
  </w:style>
  <w:style w:type="paragraph" w:styleId="8">
    <w:name w:val="toc 5"/>
    <w:basedOn w:val="1"/>
    <w:next w:val="1"/>
    <w:qFormat/>
    <w:uiPriority w:val="0"/>
    <w:pPr>
      <w:widowControl w:val="0"/>
      <w:suppressAutoHyphens/>
      <w:ind w:left="1680" w:leftChars="800"/>
      <w:jc w:val="both"/>
    </w:pPr>
    <w:rPr>
      <w:rFonts w:ascii="Calibri" w:hAnsi="Calibri" w:eastAsia="宋体" w:cs="Times New Roman"/>
      <w:kern w:val="1"/>
      <w:sz w:val="21"/>
      <w:szCs w:val="24"/>
      <w:lang w:val="en-US" w:eastAsia="ar-SA" w:bidi="ar-SA"/>
    </w:rPr>
  </w:style>
  <w:style w:type="paragraph" w:styleId="9">
    <w:name w:val="Body Text"/>
    <w:basedOn w:val="1"/>
    <w:next w:val="8"/>
    <w:link w:val="69"/>
    <w:qFormat/>
    <w:uiPriority w:val="0"/>
    <w:pPr>
      <w:widowControl w:val="0"/>
      <w:spacing w:after="120"/>
      <w:jc w:val="both"/>
    </w:pPr>
    <w:rPr>
      <w:rFonts w:ascii="Times New Roman" w:hAnsi="Times New Roman" w:eastAsia="宋体" w:cs="Times New Roman"/>
      <w:kern w:val="2"/>
      <w:sz w:val="21"/>
      <w:lang w:val="en-US" w:eastAsia="zh-CN"/>
    </w:rPr>
  </w:style>
  <w:style w:type="paragraph" w:styleId="10">
    <w:name w:val="Body Text Indent"/>
    <w:basedOn w:val="1"/>
    <w:next w:val="5"/>
    <w:qFormat/>
    <w:uiPriority w:val="0"/>
    <w:pPr>
      <w:ind w:firstLine="640" w:firstLineChars="200"/>
    </w:pPr>
    <w:rPr>
      <w:rFonts w:eastAsia="仿宋_GB2312"/>
      <w:sz w:val="32"/>
      <w:szCs w:val="32"/>
    </w:rPr>
  </w:style>
  <w:style w:type="paragraph" w:styleId="11">
    <w:name w:val="Plain Text"/>
    <w:basedOn w:val="1"/>
    <w:next w:val="1"/>
    <w:qFormat/>
    <w:uiPriority w:val="0"/>
    <w:pPr>
      <w:ind w:firstLine="880" w:firstLineChars="200"/>
    </w:pPr>
    <w:rPr>
      <w:rFonts w:ascii="宋体" w:hAnsi="Courier New" w:eastAsia="宋体"/>
      <w:sz w:val="21"/>
      <w:szCs w:val="24"/>
    </w:rPr>
  </w:style>
  <w:style w:type="paragraph" w:styleId="12">
    <w:name w:val="Body Text Indent 2"/>
    <w:basedOn w:val="1"/>
    <w:next w:val="9"/>
    <w:qFormat/>
    <w:uiPriority w:val="0"/>
    <w:pPr>
      <w:spacing w:after="120" w:afterLines="0" w:afterAutospacing="0" w:line="480" w:lineRule="auto"/>
      <w:ind w:left="420" w:leftChars="200"/>
    </w:pPr>
  </w:style>
  <w:style w:type="paragraph" w:styleId="13">
    <w:name w:val="footer"/>
    <w:basedOn w:val="1"/>
    <w:qFormat/>
    <w:uiPriority w:val="0"/>
    <w:pPr>
      <w:widowControl w:val="0"/>
      <w:tabs>
        <w:tab w:val="center" w:pos="4153"/>
        <w:tab w:val="right" w:pos="8306"/>
      </w:tabs>
      <w:snapToGrid w:val="0"/>
      <w:jc w:val="left"/>
    </w:pPr>
    <w:rPr>
      <w:rFonts w:ascii="Times New Roman" w:hAnsi="Times New Roman" w:eastAsia="宋体" w:cs="Times New Roman"/>
      <w:kern w:val="2"/>
      <w:sz w:val="18"/>
      <w:lang w:val="en-US" w:eastAsia="zh-CN"/>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5">
    <w:name w:val="toc 1"/>
    <w:basedOn w:val="1"/>
    <w:next w:val="1"/>
    <w:semiHidden/>
    <w:unhideWhenUsed/>
    <w:qFormat/>
    <w:uiPriority w:val="39"/>
    <w:pPr>
      <w:widowControl w:val="0"/>
      <w:jc w:val="both"/>
    </w:pPr>
    <w:rPr>
      <w:rFonts w:asciiTheme="minorHAnsi" w:hAnsiTheme="minorHAnsi" w:eastAsiaTheme="minorEastAsia" w:cstheme="minorBidi"/>
      <w:kern w:val="2"/>
      <w:sz w:val="21"/>
      <w:szCs w:val="24"/>
      <w:lang w:val="en-US" w:eastAsia="zh-CN"/>
    </w:rPr>
  </w:style>
  <w:style w:type="paragraph" w:styleId="16">
    <w:name w:val="toc 2"/>
    <w:basedOn w:val="1"/>
    <w:next w:val="1"/>
    <w:qFormat/>
    <w:uiPriority w:val="0"/>
    <w:pPr>
      <w:ind w:left="420" w:leftChars="200"/>
    </w:pPr>
    <w:rPr>
      <w:rFonts w:ascii="Calibri" w:hAnsi="Calibri" w:eastAsia="宋体"/>
    </w:rPr>
  </w:style>
  <w:style w:type="paragraph" w:styleId="1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9">
    <w:name w:val="Title"/>
    <w:basedOn w:val="1"/>
    <w:next w:val="1"/>
    <w:qFormat/>
    <w:uiPriority w:val="0"/>
    <w:pPr>
      <w:spacing w:before="240" w:after="60"/>
      <w:jc w:val="center"/>
      <w:textAlignment w:val="baseline"/>
    </w:pPr>
    <w:rPr>
      <w:rFonts w:ascii="Cambria" w:hAnsi="Cambria"/>
      <w:b/>
      <w:bCs/>
      <w:sz w:val="32"/>
      <w:szCs w:val="32"/>
    </w:rPr>
  </w:style>
  <w:style w:type="paragraph" w:styleId="20">
    <w:name w:val="Body Text First Indent"/>
    <w:basedOn w:val="9"/>
    <w:next w:val="11"/>
    <w:qFormat/>
    <w:uiPriority w:val="0"/>
    <w:pPr>
      <w:spacing w:after="0" w:line="500" w:lineRule="exact"/>
      <w:ind w:firstLine="420"/>
    </w:pPr>
    <w:rPr>
      <w:rFonts w:ascii="宋体" w:hAnsi="宋体" w:cs="宋体"/>
      <w:sz w:val="28"/>
      <w:szCs w:val="32"/>
      <w:lang w:val="zh-CN" w:bidi="zh-CN"/>
    </w:rPr>
  </w:style>
  <w:style w:type="paragraph" w:styleId="21">
    <w:name w:val="Body Text First Indent 2"/>
    <w:basedOn w:val="10"/>
    <w:next w:val="1"/>
    <w:qFormat/>
    <w:uiPriority w:val="0"/>
    <w:pPr>
      <w:widowControl w:val="0"/>
      <w:spacing w:line="360" w:lineRule="auto"/>
      <w:ind w:firstLine="420" w:firstLineChars="200"/>
      <w:jc w:val="both"/>
    </w:pPr>
    <w:rPr>
      <w:rFonts w:ascii="Times New Roman" w:hAnsi="Times New Roman" w:eastAsia="宋体" w:cs="宋体"/>
      <w:kern w:val="2"/>
      <w:sz w:val="24"/>
      <w:szCs w:val="24"/>
      <w:lang w:val="en-US" w:eastAsia="zh-CN" w:bidi="ar-SA"/>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5">
    <w:name w:val="Char Char Char Char"/>
    <w:link w:val="24"/>
    <w:qFormat/>
    <w:uiPriority w:val="0"/>
    <w:pPr>
      <w:widowControl/>
      <w:spacing w:after="160" w:line="240" w:lineRule="exact"/>
      <w:jc w:val="left"/>
    </w:pPr>
    <w:rPr>
      <w:rFonts w:ascii="Times New Roman" w:hAnsi="Times New Roman" w:eastAsia="仿宋_GB2312" w:cs="Times New Roman"/>
      <w:kern w:val="2"/>
      <w:sz w:val="32"/>
      <w:szCs w:val="32"/>
      <w:lang w:val="en-US" w:eastAsia="zh-CN"/>
    </w:rPr>
  </w:style>
  <w:style w:type="character" w:styleId="26">
    <w:name w:val="Strong"/>
    <w:basedOn w:val="24"/>
    <w:qFormat/>
    <w:uiPriority w:val="0"/>
    <w:rPr>
      <w:b/>
    </w:rPr>
  </w:style>
  <w:style w:type="character" w:styleId="27">
    <w:name w:val="page number"/>
    <w:basedOn w:val="24"/>
    <w:qFormat/>
    <w:uiPriority w:val="0"/>
  </w:style>
  <w:style w:type="character" w:styleId="28">
    <w:name w:val="FollowedHyperlink"/>
    <w:basedOn w:val="24"/>
    <w:qFormat/>
    <w:uiPriority w:val="0"/>
    <w:rPr>
      <w:color w:val="800080"/>
      <w:u w:val="single"/>
    </w:rPr>
  </w:style>
  <w:style w:type="character" w:styleId="29">
    <w:name w:val="Hyperlink"/>
    <w:basedOn w:val="24"/>
    <w:qFormat/>
    <w:uiPriority w:val="0"/>
    <w:rPr>
      <w:color w:val="0000FF"/>
      <w:u w:val="none"/>
    </w:rPr>
  </w:style>
  <w:style w:type="paragraph" w:customStyle="1" w:styleId="30">
    <w:name w:val="Body Text First Indent 21"/>
    <w:basedOn w:val="31"/>
    <w:qFormat/>
    <w:uiPriority w:val="0"/>
    <w:pPr>
      <w:widowControl w:val="0"/>
      <w:spacing w:line="360" w:lineRule="auto"/>
      <w:ind w:firstLine="480" w:firstLineChars="200"/>
      <w:jc w:val="both"/>
    </w:pPr>
    <w:rPr>
      <w:rFonts w:ascii="Times New Roman" w:hAnsi="Times New Roman" w:eastAsia="宋体" w:cs="Times New Roman"/>
      <w:sz w:val="24"/>
    </w:rPr>
  </w:style>
  <w:style w:type="paragraph" w:customStyle="1" w:styleId="31">
    <w:name w:val="Normal Indent1"/>
    <w:basedOn w:val="1"/>
    <w:qFormat/>
    <w:uiPriority w:val="0"/>
    <w:pPr>
      <w:spacing w:line="360" w:lineRule="auto"/>
      <w:ind w:firstLine="200" w:firstLineChars="200"/>
    </w:pPr>
    <w:rPr>
      <w:rFonts w:ascii="Times New Roman" w:hAnsi="Times New Roman" w:eastAsia="宋体" w:cs="SimSun Western"/>
      <w:sz w:val="24"/>
    </w:rPr>
  </w:style>
  <w:style w:type="paragraph" w:customStyle="1" w:styleId="32">
    <w:name w:val="_Style 1"/>
    <w:next w:val="1"/>
    <w:qFormat/>
    <w:uiPriority w:val="0"/>
    <w:pPr>
      <w:widowControl w:val="0"/>
      <w:spacing w:line="580" w:lineRule="exact"/>
      <w:ind w:firstLine="420" w:firstLineChars="200"/>
      <w:jc w:val="both"/>
    </w:pPr>
    <w:rPr>
      <w:rFonts w:ascii="Times New Roman" w:hAnsi="Times New Roman" w:eastAsia="宋体" w:cs="Times New Roman"/>
      <w:kern w:val="2"/>
      <w:sz w:val="32"/>
      <w:szCs w:val="32"/>
      <w:lang w:val="en-US" w:eastAsia="zh-CN"/>
    </w:rPr>
  </w:style>
  <w:style w:type="paragraph" w:customStyle="1" w:styleId="33">
    <w:name w:val="Default"/>
    <w:qFormat/>
    <w:uiPriority w:val="99"/>
    <w:pPr>
      <w:widowControl w:val="0"/>
      <w:autoSpaceDE w:val="0"/>
      <w:autoSpaceDN w:val="0"/>
      <w:adjustRightInd w:val="0"/>
    </w:pPr>
    <w:rPr>
      <w:rFonts w:hint="eastAsia" w:ascii="方正仿宋简体" w:hAnsi="方正仿宋简体" w:eastAsia="方正仿宋简体" w:cs="Times New Roman"/>
      <w:color w:val="000000"/>
      <w:sz w:val="24"/>
      <w:lang w:val="en-US" w:eastAsia="zh-CN" w:bidi="ar-SA"/>
    </w:rPr>
  </w:style>
  <w:style w:type="paragraph" w:customStyle="1" w:styleId="34">
    <w:name w:val="Normal"/>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35">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
    <w:name w:val="正文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customStyle="1" w:styleId="37">
    <w:name w:val="正文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8">
    <w:name w:val="正文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
    <w:name w:val="正文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customStyle="1" w:styleId="40">
    <w:name w:val="font21"/>
    <w:qFormat/>
    <w:uiPriority w:val="0"/>
    <w:rPr>
      <w:rFonts w:hint="eastAsia" w:ascii="宋体" w:hAnsi="宋体" w:eastAsia="宋体" w:cs="宋体"/>
      <w:color w:val="000000"/>
      <w:sz w:val="24"/>
      <w:szCs w:val="24"/>
      <w:u w:val="none"/>
    </w:rPr>
  </w:style>
  <w:style w:type="paragraph" w:customStyle="1" w:styleId="41">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
    <w:name w:val="正文 New New New New New New"/>
    <w:qFormat/>
    <w:uiPriority w:val="0"/>
    <w:pPr>
      <w:widowControl w:val="0"/>
      <w:jc w:val="both"/>
    </w:pPr>
    <w:rPr>
      <w:rFonts w:ascii="Times New Roman" w:hAnsi="Times New Roman" w:eastAsia="宋体" w:cs="Times New Roman"/>
      <w:kern w:val="2"/>
      <w:sz w:val="21"/>
      <w:lang w:val="en-US" w:eastAsia="zh-CN"/>
    </w:rPr>
  </w:style>
  <w:style w:type="paragraph" w:customStyle="1" w:styleId="43">
    <w:name w:val="正文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 New New New New New New New New New New New"/>
    <w:qFormat/>
    <w:uiPriority w:val="0"/>
    <w:pPr>
      <w:widowControl w:val="0"/>
      <w:jc w:val="both"/>
    </w:pPr>
    <w:rPr>
      <w:rFonts w:ascii="Times New Roman" w:hAnsi="Times New Roman" w:eastAsia="宋体" w:cs="Times New Roman"/>
      <w:kern w:val="2"/>
      <w:sz w:val="21"/>
      <w:lang w:val="en-US" w:eastAsia="zh-CN"/>
    </w:rPr>
  </w:style>
  <w:style w:type="character" w:customStyle="1" w:styleId="45">
    <w:name w:val="超链接 New"/>
    <w:qFormat/>
    <w:uiPriority w:val="0"/>
    <w:rPr>
      <w:rFonts w:eastAsia="仿宋_GB2312"/>
      <w:color w:val="0000FF"/>
      <w:sz w:val="32"/>
      <w:szCs w:val="32"/>
      <w:u w:val="single"/>
    </w:rPr>
  </w:style>
  <w:style w:type="paragraph" w:customStyle="1" w:styleId="46">
    <w:name w:val="正文 New New New"/>
    <w:link w:val="56"/>
    <w:qFormat/>
    <w:uiPriority w:val="0"/>
    <w:pPr>
      <w:widowControl w:val="0"/>
      <w:jc w:val="both"/>
    </w:pPr>
    <w:rPr>
      <w:rFonts w:ascii="Times New Roman" w:hAnsi="Times New Roman" w:eastAsia="宋体" w:cs="Times New Roman"/>
      <w:kern w:val="2"/>
      <w:sz w:val="21"/>
      <w:lang w:val="en-US" w:eastAsia="zh-CN"/>
    </w:rPr>
  </w:style>
  <w:style w:type="paragraph" w:customStyle="1" w:styleId="47">
    <w:name w:val="p0"/>
    <w:qFormat/>
    <w:uiPriority w:val="0"/>
    <w:pPr>
      <w:widowControl/>
      <w:jc w:val="both"/>
    </w:pPr>
    <w:rPr>
      <w:rFonts w:ascii="Times New Roman" w:hAnsi="Times New Roman" w:eastAsia="宋体" w:cs="Times New Roman"/>
      <w:kern w:val="0"/>
      <w:sz w:val="21"/>
      <w:szCs w:val="21"/>
      <w:lang w:val="en-US" w:eastAsia="zh-CN"/>
    </w:rPr>
  </w:style>
  <w:style w:type="paragraph" w:customStyle="1" w:styleId="48">
    <w:name w:val="页脚 New"/>
    <w:qFormat/>
    <w:uiPriority w:val="0"/>
    <w:pPr>
      <w:widowControl w:val="0"/>
      <w:tabs>
        <w:tab w:val="center" w:pos="4153"/>
        <w:tab w:val="right" w:pos="8306"/>
      </w:tabs>
      <w:snapToGrid w:val="0"/>
      <w:jc w:val="left"/>
    </w:pPr>
    <w:rPr>
      <w:rFonts w:ascii="Times New Roman" w:hAnsi="Times New Roman" w:eastAsia="宋体" w:cs="Times New Roman"/>
      <w:kern w:val="2"/>
      <w:sz w:val="18"/>
      <w:lang w:val="en-US" w:eastAsia="zh-CN"/>
    </w:rPr>
  </w:style>
  <w:style w:type="paragraph" w:customStyle="1" w:styleId="49">
    <w:name w:val="正文 New New New New New New New New New New New New New New New"/>
    <w:qFormat/>
    <w:uiPriority w:val="0"/>
    <w:pPr>
      <w:widowControl w:val="0"/>
      <w:jc w:val="both"/>
    </w:pPr>
    <w:rPr>
      <w:rFonts w:ascii="Times New Roman" w:hAnsi="Times New Roman" w:eastAsia="宋体" w:cs="Times New Roman"/>
      <w:kern w:val="2"/>
      <w:sz w:val="21"/>
      <w:lang w:val="en-US" w:eastAsia="zh-CN"/>
    </w:rPr>
  </w:style>
  <w:style w:type="character" w:customStyle="1" w:styleId="50">
    <w:name w:val="页码 New"/>
    <w:qFormat/>
    <w:uiPriority w:val="0"/>
    <w:rPr>
      <w:rFonts w:eastAsia="仿宋_GB2312"/>
      <w:sz w:val="32"/>
      <w:szCs w:val="32"/>
    </w:rPr>
  </w:style>
  <w:style w:type="paragraph" w:customStyle="1" w:styleId="51">
    <w:name w:val="批注文字 New New"/>
    <w:basedOn w:val="1"/>
    <w:qFormat/>
    <w:uiPriority w:val="0"/>
    <w:pPr>
      <w:jc w:val="left"/>
    </w:pPr>
  </w:style>
  <w:style w:type="character" w:customStyle="1" w:styleId="52">
    <w:name w:val="标题 1 Char"/>
    <w:link w:val="3"/>
    <w:qFormat/>
    <w:uiPriority w:val="0"/>
    <w:rPr>
      <w:b/>
      <w:kern w:val="44"/>
      <w:sz w:val="44"/>
    </w:rPr>
  </w:style>
  <w:style w:type="paragraph" w:customStyle="1" w:styleId="53">
    <w:name w:val="Body Text First Indent 2"/>
    <w:basedOn w:val="54"/>
    <w:qFormat/>
    <w:uiPriority w:val="0"/>
    <w:pPr>
      <w:spacing w:line="360" w:lineRule="auto"/>
    </w:pPr>
    <w:rPr>
      <w:rFonts w:eastAsia="宋体"/>
      <w:sz w:val="24"/>
    </w:rPr>
  </w:style>
  <w:style w:type="paragraph" w:customStyle="1" w:styleId="54">
    <w:name w:val="Body Text Indent"/>
    <w:basedOn w:val="1"/>
    <w:qFormat/>
    <w:uiPriority w:val="0"/>
    <w:pPr>
      <w:spacing w:line="150" w:lineRule="atLeast"/>
      <w:ind w:firstLine="420" w:firstLineChars="200"/>
      <w:textAlignment w:val="baseline"/>
    </w:pPr>
    <w:rPr>
      <w:rFonts w:eastAsia="宋体" w:cs="Times New Roman"/>
      <w:sz w:val="21"/>
      <w:szCs w:val="24"/>
    </w:rPr>
  </w:style>
  <w:style w:type="paragraph" w:customStyle="1" w:styleId="55">
    <w:name w:val="Normal (Web)"/>
    <w:basedOn w:val="34"/>
    <w:qFormat/>
    <w:uiPriority w:val="0"/>
    <w:pPr>
      <w:widowControl/>
      <w:spacing w:before="100" w:beforeLines="0" w:beforeAutospacing="1" w:after="100" w:afterLines="0" w:afterAutospacing="1"/>
      <w:jc w:val="left"/>
    </w:pPr>
    <w:rPr>
      <w:rFonts w:ascii="宋体" w:hAnsi="宋体"/>
      <w:sz w:val="24"/>
    </w:rPr>
  </w:style>
  <w:style w:type="character" w:customStyle="1" w:styleId="56">
    <w:name w:val="正文 New New New Char"/>
    <w:link w:val="46"/>
    <w:qFormat/>
    <w:uiPriority w:val="0"/>
    <w:rPr>
      <w:rFonts w:ascii="Times New Roman" w:hAnsi="Times New Roman" w:eastAsia="宋体" w:cs="Times New Roman"/>
      <w:kern w:val="2"/>
      <w:sz w:val="21"/>
      <w:lang w:val="en-US" w:eastAsia="zh-CN"/>
    </w:rPr>
  </w:style>
  <w:style w:type="paragraph" w:customStyle="1" w:styleId="57">
    <w:name w:val="正文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styleId="58">
    <w:name w:val="List Paragraph"/>
    <w:basedOn w:val="1"/>
    <w:qFormat/>
    <w:uiPriority w:val="99"/>
    <w:pPr>
      <w:ind w:firstLine="420" w:firstLineChars="200"/>
    </w:pPr>
  </w:style>
  <w:style w:type="paragraph" w:customStyle="1" w:styleId="59">
    <w:name w:val="默认段落字体 Para Char Char Char Char Char Char Char"/>
    <w:basedOn w:val="1"/>
    <w:qFormat/>
    <w:uiPriority w:val="0"/>
  </w:style>
  <w:style w:type="paragraph" w:customStyle="1" w:styleId="60">
    <w:name w:val="正文正"/>
    <w:qFormat/>
    <w:uiPriority w:val="0"/>
    <w:pPr>
      <w:widowControl w:val="0"/>
      <w:spacing w:line="560" w:lineRule="exact"/>
      <w:ind w:firstLine="561"/>
      <w:jc w:val="both"/>
    </w:pPr>
    <w:rPr>
      <w:rFonts w:ascii="Times New Roman" w:hAnsi="Times New Roman" w:eastAsia="仿宋_GB2312" w:cs="Times New Roman"/>
      <w:kern w:val="2"/>
      <w:sz w:val="28"/>
      <w:szCs w:val="24"/>
      <w:lang w:val="en-US" w:eastAsia="zh-CN" w:bidi="ar-SA"/>
    </w:rPr>
  </w:style>
  <w:style w:type="paragraph" w:customStyle="1" w:styleId="61">
    <w:name w:val="正文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62">
    <w:name w:val="正文 New"/>
    <w:qFormat/>
    <w:uiPriority w:val="0"/>
    <w:pPr>
      <w:widowControl w:val="0"/>
      <w:jc w:val="both"/>
    </w:pPr>
    <w:rPr>
      <w:rFonts w:ascii="Calibri" w:hAnsi="Calibri" w:eastAsia="宋体" w:cs="Times New Roman"/>
      <w:kern w:val="2"/>
      <w:sz w:val="21"/>
      <w:lang w:val="en-US" w:eastAsia="zh-CN" w:bidi="ar-SA"/>
    </w:rPr>
  </w:style>
  <w:style w:type="paragraph" w:customStyle="1" w:styleId="63">
    <w:name w:val="p20"/>
    <w:basedOn w:val="1"/>
    <w:qFormat/>
    <w:uiPriority w:val="99"/>
    <w:pPr>
      <w:adjustRightInd/>
      <w:snapToGrid/>
      <w:spacing w:after="0"/>
      <w:jc w:val="both"/>
    </w:pPr>
    <w:rPr>
      <w:rFonts w:ascii="Calibri" w:hAnsi="Calibri" w:eastAsia="宋体" w:cs="宋体"/>
      <w:sz w:val="21"/>
      <w:szCs w:val="21"/>
    </w:rPr>
  </w:style>
  <w:style w:type="paragraph" w:customStyle="1" w:styleId="64">
    <w:name w:val="2312:正文(缩进)"/>
    <w:basedOn w:val="65"/>
    <w:qFormat/>
    <w:uiPriority w:val="0"/>
    <w:rPr>
      <w:rFonts w:eastAsia="仿宋_GB2312"/>
    </w:rPr>
  </w:style>
  <w:style w:type="paragraph" w:customStyle="1" w:styleId="65">
    <w:name w:val="公文:正文(缩进)"/>
    <w:basedOn w:val="1"/>
    <w:qFormat/>
    <w:uiPriority w:val="0"/>
    <w:pPr>
      <w:spacing w:line="600" w:lineRule="exact"/>
      <w:ind w:firstLine="640" w:firstLineChars="200"/>
    </w:pPr>
    <w:rPr>
      <w:rFonts w:ascii="Times New Roman" w:hAnsi="Times New Roman" w:eastAsia="仿宋"/>
      <w:sz w:val="32"/>
    </w:rPr>
  </w:style>
  <w:style w:type="paragraph" w:customStyle="1" w:styleId="66">
    <w:name w:val="Char Char Char Char Char Char Char Char Char Char Char Char Char Char Char Char Char Char Char"/>
    <w:basedOn w:val="1"/>
    <w:qFormat/>
    <w:uiPriority w:val="0"/>
    <w:pPr>
      <w:widowControl/>
      <w:spacing w:after="160" w:afterLines="0" w:line="240" w:lineRule="exact"/>
      <w:jc w:val="left"/>
    </w:pPr>
  </w:style>
  <w:style w:type="paragraph" w:customStyle="1" w:styleId="67">
    <w:name w:val="Normal New New New New New New New New New New New New New New New New New New New"/>
    <w:qFormat/>
    <w:uiPriority w:val="0"/>
    <w:pPr>
      <w:widowControl w:val="0"/>
      <w:jc w:val="both"/>
    </w:pPr>
    <w:rPr>
      <w:rFonts w:hint="eastAsia" w:ascii="Times New Roman" w:hAnsi="Times New Roman" w:eastAsia="仿宋_GB2312" w:cs="Times New Roman"/>
      <w:kern w:val="2"/>
      <w:sz w:val="32"/>
      <w:lang w:val="en-US" w:eastAsia="zh-CN" w:bidi="ar-SA"/>
    </w:rPr>
  </w:style>
  <w:style w:type="paragraph" w:customStyle="1" w:styleId="68">
    <w:name w:val="正文 New New New New New New New New New New New New"/>
    <w:qFormat/>
    <w:uiPriority w:val="0"/>
    <w:pPr>
      <w:widowControl w:val="0"/>
      <w:jc w:val="both"/>
    </w:pPr>
    <w:rPr>
      <w:rFonts w:ascii="Calibri" w:hAnsi="Calibri" w:eastAsia="宋体" w:cs="黑体"/>
      <w:kern w:val="2"/>
      <w:sz w:val="21"/>
      <w:szCs w:val="24"/>
      <w:lang w:val="en-US" w:eastAsia="zh-CN"/>
    </w:rPr>
  </w:style>
  <w:style w:type="character" w:customStyle="1" w:styleId="69">
    <w:name w:val="正文文本 Char"/>
    <w:link w:val="9"/>
    <w:qFormat/>
    <w:uiPriority w:val="0"/>
    <w:rPr>
      <w:rFonts w:ascii="Times New Roman" w:hAnsi="Times New Roman" w:eastAsia="宋体" w:cs="Times New Roman"/>
      <w:kern w:val="2"/>
      <w:sz w:val="21"/>
      <w:lang w:val="en-US" w:eastAsia="zh-CN"/>
    </w:rPr>
  </w:style>
  <w:style w:type="character" w:customStyle="1" w:styleId="70">
    <w:name w:val="15"/>
    <w:basedOn w:val="24"/>
    <w:qFormat/>
    <w:uiPriority w:val="0"/>
    <w:rPr>
      <w:rFonts w:hint="default" w:ascii="Times New Roman" w:hAnsi="Times New Roman" w:cs="Times New Roman"/>
    </w:rPr>
  </w:style>
  <w:style w:type="character" w:customStyle="1" w:styleId="71">
    <w:name w:val="10"/>
    <w:basedOn w:val="24"/>
    <w:qFormat/>
    <w:uiPriority w:val="0"/>
    <w:rPr>
      <w:rFonts w:hint="default" w:ascii="Times New Roman" w:hAnsi="Times New Roman" w:cs="Times New Roman"/>
    </w:rPr>
  </w:style>
  <w:style w:type="paragraph" w:customStyle="1" w:styleId="72">
    <w:name w:val="正文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
    <w:name w:val="正文 New New New New New New New New New New New New New New New New New New New New New New New New New New New New New New New New New New New New"/>
    <w:qFormat/>
    <w:uiPriority w:val="0"/>
    <w:pPr>
      <w:widowControl w:val="0"/>
      <w:jc w:val="both"/>
    </w:pPr>
    <w:rPr>
      <w:rFonts w:ascii="Calibri" w:hAnsi="Calibri" w:eastAsia="仿宋_GB2312" w:cs="Times New Roman"/>
      <w:color w:val="000000"/>
      <w:kern w:val="2"/>
      <w:sz w:val="32"/>
      <w:szCs w:val="32"/>
      <w:lang w:val="en-US" w:eastAsia="zh-CN" w:bidi="ar-SA"/>
    </w:rPr>
  </w:style>
  <w:style w:type="character" w:customStyle="1" w:styleId="74">
    <w:name w:val="NormalCharacter"/>
    <w:qFormat/>
    <w:uiPriority w:val="0"/>
    <w:rPr>
      <w:rFonts w:hint="default"/>
    </w:rPr>
  </w:style>
  <w:style w:type="paragraph" w:customStyle="1" w:styleId="75">
    <w:name w:val="正文 New New New New New"/>
    <w:qFormat/>
    <w:uiPriority w:val="0"/>
    <w:pPr>
      <w:widowControl w:val="0"/>
      <w:jc w:val="both"/>
    </w:pPr>
    <w:rPr>
      <w:rFonts w:ascii="Calibri" w:hAnsi="Calibri" w:eastAsia="宋体" w:cs="黑体"/>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2</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2014-11-25T20:08:00Z</dcterms:created>
  <dc:creator>Administrator</dc:creator>
  <cp:lastModifiedBy>lenovo</cp:lastModifiedBy>
  <cp:lastPrinted>2026-03-11T08:15:00Z</cp:lastPrinted>
  <dcterms:modified xsi:type="dcterms:W3CDTF">2026-07-24T08:26:52Z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ribbonExt">
    <vt:lpwstr>{"WPSExtOfficeTab":{"OnGetEnabled":false,"OnGetVisible":false}}</vt:lpwstr>
  </property>
  <property fmtid="{D5CDD505-2E9C-101B-9397-08002B2CF9AE}" pid="4" name="ICV">
    <vt:lpwstr>08ED233A870A47649F2463281C749A3A</vt:lpwstr>
  </property>
</Properties>
</file>