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0CF63">
      <w:pPr>
        <w:pStyle w:val="5"/>
        <w:spacing w:line="560" w:lineRule="exact"/>
        <w:ind w:firstLine="0" w:firstLineChars="0"/>
        <w:jc w:val="both"/>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 w:eastAsia="zh-CN"/>
        </w:rPr>
        <w:t>附件</w:t>
      </w:r>
      <w:r>
        <w:rPr>
          <w:rFonts w:hint="eastAsia" w:ascii="国标黑体" w:hAnsi="国标黑体" w:eastAsia="国标黑体" w:cs="国标黑体"/>
          <w:sz w:val="32"/>
          <w:szCs w:val="32"/>
          <w:lang w:val="en-US" w:eastAsia="zh-CN"/>
        </w:rPr>
        <w:t>2</w:t>
      </w:r>
      <w:bookmarkStart w:id="0" w:name="_GoBack"/>
      <w:bookmarkEnd w:id="0"/>
    </w:p>
    <w:p w14:paraId="07EA911F">
      <w:pPr>
        <w:pStyle w:val="5"/>
        <w:spacing w:line="56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
        </w:rPr>
        <w:t>项目</w:t>
      </w:r>
      <w:r>
        <w:rPr>
          <w:rFonts w:hint="eastAsia" w:ascii="方正小标宋简体" w:hAnsi="方正小标宋简体" w:eastAsia="方正小标宋简体" w:cs="方正小标宋简体"/>
          <w:sz w:val="44"/>
          <w:szCs w:val="44"/>
        </w:rPr>
        <w:t>评分细则</w:t>
      </w:r>
    </w:p>
    <w:tbl>
      <w:tblPr>
        <w:tblStyle w:val="3"/>
        <w:tblpPr w:leftFromText="180" w:rightFromText="180" w:vertAnchor="text" w:horzAnchor="page" w:tblpXSpec="center" w:tblpY="195"/>
        <w:tblOverlap w:val="never"/>
        <w:tblW w:w="108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238"/>
        <w:gridCol w:w="8325"/>
        <w:gridCol w:w="893"/>
      </w:tblGrid>
      <w:tr w14:paraId="3254F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21" w:type="dxa"/>
            <w:vAlign w:val="center"/>
          </w:tcPr>
          <w:p w14:paraId="748C9B78">
            <w:pPr>
              <w:pStyle w:val="6"/>
              <w:spacing w:line="32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序号</w:t>
            </w:r>
          </w:p>
        </w:tc>
        <w:tc>
          <w:tcPr>
            <w:tcW w:w="1238" w:type="dxa"/>
            <w:vAlign w:val="center"/>
          </w:tcPr>
          <w:p w14:paraId="64D26C68">
            <w:pPr>
              <w:pStyle w:val="6"/>
              <w:spacing w:line="32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评分因素</w:t>
            </w:r>
          </w:p>
          <w:p w14:paraId="50773364">
            <w:pPr>
              <w:pStyle w:val="6"/>
              <w:spacing w:line="32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及分值</w:t>
            </w:r>
          </w:p>
        </w:tc>
        <w:tc>
          <w:tcPr>
            <w:tcW w:w="8325" w:type="dxa"/>
            <w:vAlign w:val="center"/>
          </w:tcPr>
          <w:p w14:paraId="42C9455D">
            <w:pPr>
              <w:pStyle w:val="6"/>
              <w:spacing w:line="32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评分标准及说明</w:t>
            </w:r>
          </w:p>
        </w:tc>
        <w:tc>
          <w:tcPr>
            <w:tcW w:w="893" w:type="dxa"/>
            <w:vAlign w:val="center"/>
          </w:tcPr>
          <w:p w14:paraId="7A2228C9">
            <w:pPr>
              <w:pStyle w:val="6"/>
              <w:spacing w:line="32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备注</w:t>
            </w:r>
          </w:p>
        </w:tc>
      </w:tr>
      <w:tr w14:paraId="52679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421" w:type="dxa"/>
            <w:vAlign w:val="center"/>
          </w:tcPr>
          <w:p w14:paraId="77B1AA42">
            <w:pPr>
              <w:pStyle w:val="6"/>
              <w:spacing w:line="32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p>
        </w:tc>
        <w:tc>
          <w:tcPr>
            <w:tcW w:w="1238" w:type="dxa"/>
            <w:vAlign w:val="center"/>
          </w:tcPr>
          <w:p w14:paraId="0827B4B7">
            <w:pPr>
              <w:pStyle w:val="6"/>
              <w:spacing w:line="320" w:lineRule="exact"/>
              <w:jc w:val="center"/>
              <w:rPr>
                <w:rFonts w:hint="eastAsia" w:ascii="国标仿宋-GB/T 2312" w:hAnsi="国标仿宋-GB/T 2312" w:eastAsia="国标仿宋-GB/T 2312" w:cs="国标仿宋-GB/T 2312"/>
                <w:sz w:val="24"/>
                <w:szCs w:val="24"/>
              </w:rPr>
            </w:pPr>
            <w:r>
              <w:rPr>
                <w:rFonts w:hint="eastAsia" w:ascii="国标仿宋-GB/T 2312" w:hAnsi="国标仿宋-GB/T 2312" w:eastAsia="国标仿宋-GB/T 2312" w:cs="国标仿宋-GB/T 2312"/>
                <w:sz w:val="24"/>
                <w:szCs w:val="24"/>
              </w:rPr>
              <w:t>报价</w:t>
            </w:r>
          </w:p>
          <w:p w14:paraId="27B6906C">
            <w:pPr>
              <w:pStyle w:val="6"/>
              <w:spacing w:line="320" w:lineRule="exact"/>
              <w:jc w:val="center"/>
              <w:rPr>
                <w:rFonts w:ascii="Times New Roman" w:hAnsi="Times New Roman" w:eastAsia="方正仿宋_GBK" w:cs="Times New Roman"/>
                <w:sz w:val="24"/>
                <w:szCs w:val="24"/>
              </w:rPr>
            </w:pPr>
            <w:r>
              <w:rPr>
                <w:rFonts w:hint="eastAsia" w:ascii="国标仿宋-GB/T 2312" w:hAnsi="国标仿宋-GB/T 2312" w:eastAsia="国标仿宋-GB/T 2312" w:cs="国标仿宋-GB/T 2312"/>
                <w:sz w:val="24"/>
                <w:szCs w:val="24"/>
              </w:rPr>
              <w:t>（1</w:t>
            </w:r>
            <w:r>
              <w:rPr>
                <w:rFonts w:hint="eastAsia" w:ascii="国标仿宋-GB/T 2312" w:hAnsi="国标仿宋-GB/T 2312" w:eastAsia="国标仿宋-GB/T 2312" w:cs="国标仿宋-GB/T 2312"/>
                <w:sz w:val="24"/>
                <w:szCs w:val="24"/>
                <w:lang w:val="en-US"/>
              </w:rPr>
              <w:t>0</w:t>
            </w:r>
            <w:r>
              <w:rPr>
                <w:rFonts w:hint="eastAsia" w:ascii="国标仿宋-GB/T 2312" w:hAnsi="国标仿宋-GB/T 2312" w:eastAsia="国标仿宋-GB/T 2312" w:cs="国标仿宋-GB/T 2312"/>
                <w:sz w:val="24"/>
                <w:szCs w:val="24"/>
              </w:rPr>
              <w:t>分）</w:t>
            </w:r>
          </w:p>
        </w:tc>
        <w:tc>
          <w:tcPr>
            <w:tcW w:w="8325" w:type="dxa"/>
            <w:vAlign w:val="center"/>
          </w:tcPr>
          <w:p w14:paraId="0446E0A1">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1.经初审合格的响应文件，其投标报价作为有效报价</w:t>
            </w:r>
          </w:p>
          <w:p w14:paraId="4D9ED41D">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2.依据各有效供应商的投标报价进行计算。</w:t>
            </w:r>
          </w:p>
          <w:p w14:paraId="5A7FCD32">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价格分=（评标基准价/投标报价）×1</w:t>
            </w:r>
            <w:r>
              <w:rPr>
                <w:rFonts w:hint="eastAsia" w:ascii="国标仿宋-GB/T 2312" w:hAnsi="国标仿宋-GB/T 2312" w:eastAsia="国标仿宋-GB/T 2312" w:cs="国标仿宋-GB/T 2312"/>
                <w:sz w:val="24"/>
                <w:szCs w:val="24"/>
                <w:lang w:val="en-US" w:eastAsia="zh-CN"/>
              </w:rPr>
              <w:t>0</w:t>
            </w:r>
            <w:r>
              <w:rPr>
                <w:rFonts w:hint="eastAsia" w:ascii="国标仿宋-GB/T 2312" w:hAnsi="国标仿宋-GB/T 2312" w:eastAsia="国标仿宋-GB/T 2312" w:cs="国标仿宋-GB/T 2312"/>
                <w:sz w:val="24"/>
                <w:szCs w:val="24"/>
                <w:lang w:val="en-US"/>
              </w:rPr>
              <w:t>%×100</w:t>
            </w:r>
          </w:p>
          <w:p w14:paraId="2E12DF61">
            <w:pPr>
              <w:pStyle w:val="6"/>
              <w:spacing w:line="280" w:lineRule="exact"/>
              <w:ind w:firstLine="480" w:firstLineChars="200"/>
              <w:rPr>
                <w:rFonts w:ascii="Times New Roman" w:hAnsi="Times New Roman" w:eastAsia="方正仿宋_GBK" w:cs="Times New Roman"/>
                <w:sz w:val="24"/>
                <w:szCs w:val="24"/>
                <w:lang w:val="en-US"/>
              </w:rPr>
            </w:pPr>
            <w:r>
              <w:rPr>
                <w:rFonts w:hint="eastAsia" w:ascii="国标仿宋-GB/T 2312" w:hAnsi="国标仿宋-GB/T 2312" w:eastAsia="国标仿宋-GB/T 2312" w:cs="国标仿宋-GB/T 2312"/>
                <w:sz w:val="24"/>
                <w:szCs w:val="24"/>
                <w:lang w:val="en-US"/>
              </w:rPr>
              <w:t>注：①评标基准价指完全响应采购文件所有要求且最终响应价格最低的响应报价。</w:t>
            </w:r>
          </w:p>
        </w:tc>
        <w:tc>
          <w:tcPr>
            <w:tcW w:w="893" w:type="dxa"/>
            <w:vAlign w:val="center"/>
          </w:tcPr>
          <w:p w14:paraId="3F19345C">
            <w:pPr>
              <w:pStyle w:val="6"/>
              <w:spacing w:line="320" w:lineRule="exact"/>
              <w:jc w:val="center"/>
              <w:rPr>
                <w:rFonts w:ascii="Times New Roman" w:hAnsi="Times New Roman" w:eastAsia="方正仿宋_GBK" w:cs="Times New Roman"/>
                <w:sz w:val="24"/>
                <w:szCs w:val="24"/>
              </w:rPr>
            </w:pPr>
          </w:p>
        </w:tc>
      </w:tr>
      <w:tr w14:paraId="6B9FB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0" w:hRule="atLeast"/>
          <w:jc w:val="center"/>
        </w:trPr>
        <w:tc>
          <w:tcPr>
            <w:tcW w:w="421" w:type="dxa"/>
            <w:vAlign w:val="center"/>
          </w:tcPr>
          <w:p w14:paraId="48F2B93E">
            <w:pPr>
              <w:pStyle w:val="6"/>
              <w:spacing w:line="32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p>
        </w:tc>
        <w:tc>
          <w:tcPr>
            <w:tcW w:w="1238" w:type="dxa"/>
            <w:vAlign w:val="center"/>
          </w:tcPr>
          <w:p w14:paraId="34DF78EA">
            <w:pPr>
              <w:pStyle w:val="6"/>
              <w:spacing w:line="320" w:lineRule="exact"/>
              <w:jc w:val="center"/>
              <w:rPr>
                <w:rFonts w:hint="eastAsia" w:ascii="国标仿宋-GB/T 2312" w:hAnsi="国标仿宋-GB/T 2312" w:eastAsia="国标仿宋-GB/T 2312" w:cs="国标仿宋-GB/T 2312"/>
                <w:sz w:val="24"/>
                <w:szCs w:val="24"/>
              </w:rPr>
            </w:pPr>
            <w:r>
              <w:rPr>
                <w:rFonts w:hint="eastAsia" w:ascii="国标仿宋-GB/T 2312" w:hAnsi="国标仿宋-GB/T 2312" w:eastAsia="国标仿宋-GB/T 2312" w:cs="国标仿宋-GB/T 2312"/>
                <w:sz w:val="24"/>
                <w:szCs w:val="24"/>
              </w:rPr>
              <w:t>业绩</w:t>
            </w:r>
          </w:p>
          <w:p w14:paraId="06C4757A">
            <w:pPr>
              <w:pStyle w:val="6"/>
              <w:spacing w:line="320" w:lineRule="exact"/>
              <w:jc w:val="center"/>
              <w:rPr>
                <w:rFonts w:ascii="Times New Roman" w:hAnsi="Times New Roman" w:eastAsia="方正仿宋_GBK" w:cs="Times New Roman"/>
                <w:sz w:val="24"/>
                <w:szCs w:val="24"/>
              </w:rPr>
            </w:pPr>
            <w:r>
              <w:rPr>
                <w:rFonts w:hint="eastAsia" w:ascii="国标仿宋-GB/T 2312" w:hAnsi="国标仿宋-GB/T 2312" w:eastAsia="国标仿宋-GB/T 2312" w:cs="国标仿宋-GB/T 2312"/>
                <w:sz w:val="24"/>
                <w:szCs w:val="24"/>
              </w:rPr>
              <w:t>（</w:t>
            </w:r>
            <w:r>
              <w:rPr>
                <w:rFonts w:hint="eastAsia" w:ascii="国标仿宋-GB/T 2312" w:hAnsi="国标仿宋-GB/T 2312" w:eastAsia="国标仿宋-GB/T 2312" w:cs="国标仿宋-GB/T 2312"/>
                <w:sz w:val="24"/>
                <w:szCs w:val="24"/>
                <w:lang w:val="en-US"/>
              </w:rPr>
              <w:t>20</w:t>
            </w:r>
            <w:r>
              <w:rPr>
                <w:rFonts w:hint="eastAsia" w:ascii="国标仿宋-GB/T 2312" w:hAnsi="国标仿宋-GB/T 2312" w:eastAsia="国标仿宋-GB/T 2312" w:cs="国标仿宋-GB/T 2312"/>
                <w:sz w:val="24"/>
                <w:szCs w:val="24"/>
              </w:rPr>
              <w:t>分）</w:t>
            </w:r>
          </w:p>
        </w:tc>
        <w:tc>
          <w:tcPr>
            <w:tcW w:w="8325" w:type="dxa"/>
            <w:vAlign w:val="center"/>
          </w:tcPr>
          <w:p w14:paraId="38FEBF5B">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供应商提供</w:t>
            </w:r>
            <w:r>
              <w:rPr>
                <w:rFonts w:hint="eastAsia" w:ascii="国标仿宋-GB/T 2312" w:hAnsi="国标仿宋-GB/T 2312" w:eastAsia="国标仿宋-GB/T 2312" w:cs="国标仿宋-GB/T 2312"/>
                <w:sz w:val="24"/>
                <w:szCs w:val="24"/>
                <w:lang w:val="en-US" w:eastAsia="zh-CN"/>
              </w:rPr>
              <w:t>近四年同类项目</w:t>
            </w:r>
            <w:r>
              <w:rPr>
                <w:rFonts w:hint="eastAsia" w:ascii="国标仿宋-GB/T 2312" w:hAnsi="国标仿宋-GB/T 2312" w:eastAsia="国标仿宋-GB/T 2312" w:cs="国标仿宋-GB/T 2312"/>
                <w:sz w:val="24"/>
                <w:szCs w:val="24"/>
                <w:lang w:val="en-US"/>
              </w:rPr>
              <w:t>的业绩证明材料。每提供1项有效业绩得4分，满分20分。未提供或提供不全不得分。</w:t>
            </w:r>
          </w:p>
          <w:p w14:paraId="00DAFECC">
            <w:pPr>
              <w:pStyle w:val="6"/>
              <w:spacing w:line="280" w:lineRule="exact"/>
              <w:ind w:firstLine="480" w:firstLineChars="200"/>
              <w:rPr>
                <w:rFonts w:hint="eastAsia" w:ascii="Times New Roman" w:hAnsi="Times New Roman" w:eastAsia="方正仿宋_GBK" w:cs="Times New Roman"/>
                <w:sz w:val="24"/>
                <w:szCs w:val="24"/>
                <w:lang w:val="en-US"/>
              </w:rPr>
            </w:pPr>
            <w:r>
              <w:rPr>
                <w:rFonts w:hint="eastAsia" w:ascii="国标仿宋-GB/T 2312" w:hAnsi="国标仿宋-GB/T 2312" w:eastAsia="国标仿宋-GB/T 2312" w:cs="国标仿宋-GB/T 2312"/>
                <w:sz w:val="24"/>
                <w:szCs w:val="24"/>
                <w:lang w:val="en-US"/>
              </w:rPr>
              <w:t>注：提供</w:t>
            </w:r>
            <w:r>
              <w:rPr>
                <w:rFonts w:hint="eastAsia" w:ascii="国标仿宋-GB/T 2312" w:hAnsi="国标仿宋-GB/T 2312" w:eastAsia="国标仿宋-GB/T 2312" w:cs="国标仿宋-GB/T 2312"/>
                <w:sz w:val="24"/>
                <w:szCs w:val="24"/>
                <w:lang w:val="en-US" w:eastAsia="zh-CN"/>
              </w:rPr>
              <w:t>运输服务合同</w:t>
            </w:r>
            <w:r>
              <w:rPr>
                <w:rFonts w:hint="eastAsia" w:ascii="国标仿宋-GB/T 2312" w:hAnsi="国标仿宋-GB/T 2312" w:eastAsia="国标仿宋-GB/T 2312" w:cs="国标仿宋-GB/T 2312"/>
                <w:sz w:val="24"/>
                <w:szCs w:val="24"/>
                <w:lang w:val="en-US"/>
              </w:rPr>
              <w:t>材料复印件并盖公章。</w:t>
            </w:r>
          </w:p>
        </w:tc>
        <w:tc>
          <w:tcPr>
            <w:tcW w:w="893" w:type="dxa"/>
            <w:vAlign w:val="center"/>
          </w:tcPr>
          <w:p w14:paraId="5164FE62">
            <w:pPr>
              <w:pStyle w:val="6"/>
              <w:spacing w:line="320" w:lineRule="exact"/>
              <w:jc w:val="center"/>
              <w:rPr>
                <w:rFonts w:ascii="Times New Roman" w:hAnsi="Times New Roman" w:eastAsia="方正仿宋_GBK" w:cs="Times New Roman"/>
                <w:sz w:val="24"/>
                <w:szCs w:val="24"/>
              </w:rPr>
            </w:pPr>
          </w:p>
        </w:tc>
      </w:tr>
      <w:tr w14:paraId="0B410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6" w:hRule="atLeast"/>
          <w:jc w:val="center"/>
        </w:trPr>
        <w:tc>
          <w:tcPr>
            <w:tcW w:w="421" w:type="dxa"/>
            <w:vAlign w:val="center"/>
          </w:tcPr>
          <w:p w14:paraId="07695711">
            <w:pPr>
              <w:pStyle w:val="6"/>
              <w:spacing w:line="32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3</w:t>
            </w:r>
          </w:p>
        </w:tc>
        <w:tc>
          <w:tcPr>
            <w:tcW w:w="1238" w:type="dxa"/>
            <w:vAlign w:val="center"/>
          </w:tcPr>
          <w:p w14:paraId="2D29A043">
            <w:pPr>
              <w:pStyle w:val="6"/>
              <w:spacing w:line="320" w:lineRule="exact"/>
              <w:jc w:val="center"/>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为项目配备的服务团队</w:t>
            </w:r>
          </w:p>
          <w:p w14:paraId="40C42712">
            <w:pPr>
              <w:pStyle w:val="6"/>
              <w:spacing w:line="320" w:lineRule="exact"/>
              <w:jc w:val="center"/>
              <w:rPr>
                <w:rFonts w:ascii="Times New Roman" w:hAnsi="Times New Roman" w:eastAsia="方正仿宋_GBK" w:cs="Times New Roman"/>
                <w:sz w:val="24"/>
                <w:szCs w:val="24"/>
              </w:rPr>
            </w:pPr>
            <w:r>
              <w:rPr>
                <w:rFonts w:hint="eastAsia" w:ascii="国标仿宋-GB/T 2312" w:hAnsi="国标仿宋-GB/T 2312" w:eastAsia="国标仿宋-GB/T 2312" w:cs="国标仿宋-GB/T 2312"/>
                <w:sz w:val="24"/>
                <w:szCs w:val="24"/>
                <w:lang w:val="en-US"/>
              </w:rPr>
              <w:t>（10分）</w:t>
            </w:r>
          </w:p>
        </w:tc>
        <w:tc>
          <w:tcPr>
            <w:tcW w:w="8325" w:type="dxa"/>
            <w:vAlign w:val="center"/>
          </w:tcPr>
          <w:p w14:paraId="67D8B08A">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1.本项目经理具有至少五年的文物、艺术品运输管理从业经历，得2分。</w:t>
            </w:r>
          </w:p>
          <w:p w14:paraId="268112E6">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2.本项目团队中具有从事文物、艺术品包装、装卸经验三年以上的工作人员，每配备1人得2分，最高得6分；</w:t>
            </w:r>
          </w:p>
          <w:p w14:paraId="2F1E7786">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3.本项目文物运输司机具有</w:t>
            </w:r>
            <w:r>
              <w:rPr>
                <w:rFonts w:hint="eastAsia" w:ascii="国标仿宋-GB/T 2312" w:hAnsi="国标仿宋-GB/T 2312" w:eastAsia="国标仿宋-GB/T 2312" w:cs="国标仿宋-GB/T 2312"/>
                <w:sz w:val="24"/>
                <w:szCs w:val="24"/>
                <w:lang w:val="en-US" w:eastAsia="zh-CN"/>
              </w:rPr>
              <w:t>三</w:t>
            </w:r>
            <w:r>
              <w:rPr>
                <w:rFonts w:hint="eastAsia" w:ascii="国标仿宋-GB/T 2312" w:hAnsi="国标仿宋-GB/T 2312" w:eastAsia="国标仿宋-GB/T 2312" w:cs="国标仿宋-GB/T 2312"/>
                <w:sz w:val="24"/>
                <w:szCs w:val="24"/>
                <w:lang w:val="en-US"/>
              </w:rPr>
              <w:t>年以上文物、艺术品运输经验，得2分。</w:t>
            </w:r>
          </w:p>
          <w:p w14:paraId="6C74CA7E">
            <w:pPr>
              <w:pStyle w:val="6"/>
              <w:spacing w:line="280" w:lineRule="exact"/>
              <w:ind w:firstLine="480" w:firstLineChars="200"/>
              <w:rPr>
                <w:rFonts w:ascii="Times New Roman" w:hAnsi="Times New Roman" w:eastAsia="方正仿宋_GBK" w:cs="Times New Roman"/>
                <w:sz w:val="24"/>
                <w:szCs w:val="24"/>
                <w:lang w:val="en-US"/>
              </w:rPr>
            </w:pPr>
            <w:r>
              <w:rPr>
                <w:rFonts w:hint="eastAsia" w:ascii="国标仿宋-GB/T 2312" w:hAnsi="国标仿宋-GB/T 2312" w:eastAsia="国标仿宋-GB/T 2312" w:cs="国标仿宋-GB/T 2312"/>
                <w:sz w:val="24"/>
                <w:szCs w:val="24"/>
                <w:lang w:val="en-US"/>
              </w:rPr>
              <w:t>注：</w:t>
            </w:r>
            <w:r>
              <w:rPr>
                <w:rFonts w:hint="eastAsia" w:ascii="国标仿宋-GB/T 2312" w:hAnsi="国标仿宋-GB/T 2312" w:eastAsia="国标仿宋-GB/T 2312" w:cs="国标仿宋-GB/T 2312"/>
                <w:sz w:val="24"/>
                <w:szCs w:val="24"/>
                <w:lang w:val="en-US" w:eastAsia="zh-CN"/>
              </w:rPr>
              <w:t>以上人员需提供有效身份证明、驾驶证及其他证明材料。未提供或提供不全不得分。（提供证书复印件并加盖投标人公章，原则上在服务中不得擅自更换响应文件所投入的人员。）</w:t>
            </w:r>
          </w:p>
        </w:tc>
        <w:tc>
          <w:tcPr>
            <w:tcW w:w="893" w:type="dxa"/>
            <w:vAlign w:val="center"/>
          </w:tcPr>
          <w:p w14:paraId="3E30B298">
            <w:pPr>
              <w:pStyle w:val="6"/>
              <w:spacing w:line="320" w:lineRule="exact"/>
              <w:jc w:val="center"/>
              <w:rPr>
                <w:rFonts w:ascii="Times New Roman" w:hAnsi="Times New Roman" w:eastAsia="方正仿宋_GBK" w:cs="Times New Roman"/>
                <w:sz w:val="24"/>
                <w:szCs w:val="24"/>
              </w:rPr>
            </w:pPr>
          </w:p>
        </w:tc>
      </w:tr>
      <w:tr w14:paraId="617AB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jc w:val="center"/>
        </w:trPr>
        <w:tc>
          <w:tcPr>
            <w:tcW w:w="421" w:type="dxa"/>
            <w:vAlign w:val="center"/>
          </w:tcPr>
          <w:p w14:paraId="2D2F4459">
            <w:pPr>
              <w:pStyle w:val="6"/>
              <w:spacing w:line="32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4</w:t>
            </w:r>
          </w:p>
        </w:tc>
        <w:tc>
          <w:tcPr>
            <w:tcW w:w="1238" w:type="dxa"/>
            <w:vAlign w:val="center"/>
          </w:tcPr>
          <w:p w14:paraId="204B2A5A">
            <w:pPr>
              <w:pStyle w:val="6"/>
              <w:spacing w:line="320" w:lineRule="exact"/>
              <w:jc w:val="center"/>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设备工具</w:t>
            </w:r>
          </w:p>
          <w:p w14:paraId="33CDA09C">
            <w:pPr>
              <w:pStyle w:val="6"/>
              <w:spacing w:line="320" w:lineRule="exact"/>
              <w:jc w:val="center"/>
              <w:rPr>
                <w:rFonts w:ascii="Times New Roman" w:hAnsi="Times New Roman" w:eastAsia="方正仿宋_GBK" w:cs="Times New Roman"/>
                <w:sz w:val="24"/>
                <w:szCs w:val="24"/>
                <w:lang w:val="en-US"/>
              </w:rPr>
            </w:pPr>
            <w:r>
              <w:rPr>
                <w:rFonts w:hint="eastAsia" w:ascii="国标仿宋-GB/T 2312" w:hAnsi="国标仿宋-GB/T 2312" w:eastAsia="国标仿宋-GB/T 2312" w:cs="国标仿宋-GB/T 2312"/>
                <w:sz w:val="24"/>
                <w:szCs w:val="24"/>
                <w:lang w:val="en-US"/>
              </w:rPr>
              <w:t>（10分）</w:t>
            </w:r>
          </w:p>
        </w:tc>
        <w:tc>
          <w:tcPr>
            <w:tcW w:w="8325" w:type="dxa"/>
            <w:vAlign w:val="center"/>
          </w:tcPr>
          <w:p w14:paraId="5C3B74C5">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搬运工具及其他工具配备进行评审：</w:t>
            </w:r>
          </w:p>
          <w:p w14:paraId="7DD696C5">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1.拟投入的运输设备、搬运工具及其他工具配备齐全，完全满足本项目需求，得10分；</w:t>
            </w:r>
          </w:p>
          <w:p w14:paraId="414959A2">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2.拟投入的运输设备、搬运工具及其他工具配备较齐全，满足本项目需求，得7分；</w:t>
            </w:r>
          </w:p>
          <w:p w14:paraId="16061707">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3.拟投入的运输设备、搬运工具及其他工具配备不够齐全，基本满足本项目需求，得3分；</w:t>
            </w:r>
          </w:p>
          <w:p w14:paraId="7A1B4FEE">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4.</w:t>
            </w:r>
            <w:r>
              <w:rPr>
                <w:rFonts w:hint="eastAsia" w:ascii="国标仿宋-GB/T 2312" w:hAnsi="国标仿宋-GB/T 2312" w:eastAsia="国标仿宋-GB/T 2312" w:cs="国标仿宋-GB/T 2312"/>
                <w:sz w:val="24"/>
                <w:szCs w:val="24"/>
                <w:lang w:val="en-US" w:eastAsia="zh-CN"/>
              </w:rPr>
              <w:t>不满足</w:t>
            </w:r>
            <w:r>
              <w:rPr>
                <w:rFonts w:hint="eastAsia" w:ascii="国标仿宋-GB/T 2312" w:hAnsi="国标仿宋-GB/T 2312" w:eastAsia="国标仿宋-GB/T 2312" w:cs="国标仿宋-GB/T 2312"/>
                <w:sz w:val="24"/>
                <w:szCs w:val="24"/>
                <w:lang w:val="en-US"/>
              </w:rPr>
              <w:t>得0分。</w:t>
            </w:r>
          </w:p>
          <w:p w14:paraId="7A1561AB">
            <w:pPr>
              <w:pStyle w:val="6"/>
              <w:spacing w:line="280" w:lineRule="exact"/>
              <w:ind w:firstLine="480" w:firstLineChars="200"/>
              <w:rPr>
                <w:rFonts w:ascii="Times New Roman" w:hAnsi="Times New Roman" w:eastAsia="方正仿宋_GBK" w:cs="Times New Roman"/>
                <w:sz w:val="24"/>
                <w:szCs w:val="24"/>
                <w:lang w:val="en-US"/>
              </w:rPr>
            </w:pPr>
            <w:r>
              <w:rPr>
                <w:rFonts w:hint="eastAsia" w:ascii="国标仿宋-GB/T 2312" w:hAnsi="国标仿宋-GB/T 2312" w:eastAsia="国标仿宋-GB/T 2312" w:cs="国标仿宋-GB/T 2312"/>
                <w:sz w:val="24"/>
                <w:szCs w:val="24"/>
                <w:lang w:val="en-US"/>
              </w:rPr>
              <w:t>注：提供相关设备、工具、使用情况及图片等说明资料。</w:t>
            </w:r>
          </w:p>
        </w:tc>
        <w:tc>
          <w:tcPr>
            <w:tcW w:w="893" w:type="dxa"/>
            <w:vAlign w:val="center"/>
          </w:tcPr>
          <w:p w14:paraId="0523B7C3">
            <w:pPr>
              <w:pStyle w:val="6"/>
              <w:spacing w:line="320" w:lineRule="exact"/>
              <w:jc w:val="center"/>
              <w:rPr>
                <w:rFonts w:ascii="Times New Roman" w:hAnsi="Times New Roman" w:eastAsia="方正仿宋_GBK" w:cs="Times New Roman"/>
                <w:sz w:val="24"/>
                <w:szCs w:val="24"/>
              </w:rPr>
            </w:pPr>
          </w:p>
        </w:tc>
      </w:tr>
      <w:tr w14:paraId="568C6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6" w:hRule="atLeast"/>
          <w:jc w:val="center"/>
        </w:trPr>
        <w:tc>
          <w:tcPr>
            <w:tcW w:w="421" w:type="dxa"/>
            <w:vAlign w:val="center"/>
          </w:tcPr>
          <w:p w14:paraId="15622866">
            <w:pPr>
              <w:pStyle w:val="6"/>
              <w:spacing w:line="320" w:lineRule="exact"/>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lang w:val="en-US"/>
              </w:rPr>
              <w:t>5</w:t>
            </w:r>
          </w:p>
        </w:tc>
        <w:tc>
          <w:tcPr>
            <w:tcW w:w="1238" w:type="dxa"/>
            <w:vAlign w:val="center"/>
          </w:tcPr>
          <w:p w14:paraId="73746159">
            <w:pPr>
              <w:pStyle w:val="6"/>
              <w:spacing w:line="320" w:lineRule="exact"/>
              <w:jc w:val="center"/>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实施方案</w:t>
            </w:r>
          </w:p>
          <w:p w14:paraId="73E2F32E">
            <w:pPr>
              <w:pStyle w:val="6"/>
              <w:spacing w:line="320" w:lineRule="exact"/>
              <w:jc w:val="center"/>
              <w:rPr>
                <w:rFonts w:ascii="Times New Roman" w:hAnsi="Times New Roman" w:eastAsia="方正仿宋_GBK" w:cs="Times New Roman"/>
                <w:sz w:val="24"/>
                <w:szCs w:val="24"/>
                <w:lang w:val="en-US"/>
              </w:rPr>
            </w:pPr>
            <w:r>
              <w:rPr>
                <w:rFonts w:hint="eastAsia" w:ascii="国标仿宋-GB/T 2312" w:hAnsi="国标仿宋-GB/T 2312" w:eastAsia="国标仿宋-GB/T 2312" w:cs="国标仿宋-GB/T 2312"/>
                <w:sz w:val="24"/>
                <w:szCs w:val="24"/>
                <w:lang w:val="en-US"/>
              </w:rPr>
              <w:t>（50分）</w:t>
            </w:r>
          </w:p>
        </w:tc>
        <w:tc>
          <w:tcPr>
            <w:tcW w:w="8325" w:type="dxa"/>
            <w:vAlign w:val="center"/>
          </w:tcPr>
          <w:p w14:paraId="491A71A1">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1.技术流程：能按照项目管理要求，制定科学的文物包装、运输流程，工作任务明确，有针对本项目的详细和完善的技术支持体系，内容详实、可操作性强（1</w:t>
            </w:r>
            <w:r>
              <w:rPr>
                <w:rFonts w:hint="eastAsia" w:ascii="国标仿宋-GB/T 2312" w:hAnsi="国标仿宋-GB/T 2312" w:eastAsia="国标仿宋-GB/T 2312" w:cs="国标仿宋-GB/T 2312"/>
                <w:sz w:val="24"/>
                <w:szCs w:val="24"/>
                <w:lang w:val="en-US" w:eastAsia="zh-CN"/>
              </w:rPr>
              <w:t>5</w:t>
            </w:r>
            <w:r>
              <w:rPr>
                <w:rFonts w:hint="eastAsia" w:ascii="国标仿宋-GB/T 2312" w:hAnsi="国标仿宋-GB/T 2312" w:eastAsia="国标仿宋-GB/T 2312" w:cs="国标仿宋-GB/T 2312"/>
                <w:sz w:val="24"/>
                <w:szCs w:val="24"/>
                <w:lang w:val="en-US"/>
              </w:rPr>
              <w:t>分）。内容清晰、符合实际且完全满足要求的得1</w:t>
            </w:r>
            <w:r>
              <w:rPr>
                <w:rFonts w:hint="eastAsia" w:ascii="国标仿宋-GB/T 2312" w:hAnsi="国标仿宋-GB/T 2312" w:eastAsia="国标仿宋-GB/T 2312" w:cs="国标仿宋-GB/T 2312"/>
                <w:sz w:val="24"/>
                <w:szCs w:val="24"/>
                <w:lang w:val="en-US" w:eastAsia="zh-CN"/>
              </w:rPr>
              <w:t>5</w:t>
            </w:r>
            <w:r>
              <w:rPr>
                <w:rFonts w:hint="eastAsia" w:ascii="国标仿宋-GB/T 2312" w:hAnsi="国标仿宋-GB/T 2312" w:eastAsia="国标仿宋-GB/T 2312" w:cs="国标仿宋-GB/T 2312"/>
                <w:sz w:val="24"/>
                <w:szCs w:val="24"/>
                <w:lang w:val="en-US"/>
              </w:rPr>
              <w:t>分，基本满足的得</w:t>
            </w:r>
            <w:r>
              <w:rPr>
                <w:rFonts w:hint="eastAsia" w:ascii="国标仿宋-GB/T 2312" w:hAnsi="国标仿宋-GB/T 2312" w:eastAsia="国标仿宋-GB/T 2312" w:cs="国标仿宋-GB/T 2312"/>
                <w:sz w:val="24"/>
                <w:szCs w:val="24"/>
                <w:lang w:val="en-US" w:eastAsia="zh-CN"/>
              </w:rPr>
              <w:t>12</w:t>
            </w:r>
            <w:r>
              <w:rPr>
                <w:rFonts w:hint="eastAsia" w:ascii="国标仿宋-GB/T 2312" w:hAnsi="国标仿宋-GB/T 2312" w:eastAsia="国标仿宋-GB/T 2312" w:cs="国标仿宋-GB/T 2312"/>
                <w:sz w:val="24"/>
                <w:szCs w:val="24"/>
                <w:lang w:val="en-US"/>
              </w:rPr>
              <w:t>分，内容缺失或不能满足的得</w:t>
            </w:r>
            <w:r>
              <w:rPr>
                <w:rFonts w:hint="eastAsia" w:ascii="国标仿宋-GB/T 2312" w:hAnsi="国标仿宋-GB/T 2312" w:eastAsia="国标仿宋-GB/T 2312" w:cs="国标仿宋-GB/T 2312"/>
                <w:sz w:val="24"/>
                <w:szCs w:val="24"/>
                <w:lang w:val="en-US" w:eastAsia="zh-CN"/>
              </w:rPr>
              <w:t>8</w:t>
            </w:r>
            <w:r>
              <w:rPr>
                <w:rFonts w:hint="eastAsia" w:ascii="国标仿宋-GB/T 2312" w:hAnsi="国标仿宋-GB/T 2312" w:eastAsia="国标仿宋-GB/T 2312" w:cs="国标仿宋-GB/T 2312"/>
                <w:sz w:val="24"/>
                <w:szCs w:val="24"/>
                <w:lang w:val="en-US"/>
              </w:rPr>
              <w:t>分。</w:t>
            </w:r>
          </w:p>
          <w:p w14:paraId="17CCDA4A">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2.包装材料：文物包装材料能有效保护文物，分类明确，并配有图片说明（</w:t>
            </w:r>
            <w:r>
              <w:rPr>
                <w:rFonts w:hint="eastAsia" w:ascii="国标仿宋-GB/T 2312" w:hAnsi="国标仿宋-GB/T 2312" w:eastAsia="国标仿宋-GB/T 2312" w:cs="国标仿宋-GB/T 2312"/>
                <w:sz w:val="24"/>
                <w:szCs w:val="24"/>
                <w:lang w:val="en-US" w:eastAsia="zh-CN"/>
              </w:rPr>
              <w:t>15</w:t>
            </w:r>
            <w:r>
              <w:rPr>
                <w:rFonts w:hint="eastAsia" w:ascii="国标仿宋-GB/T 2312" w:hAnsi="国标仿宋-GB/T 2312" w:eastAsia="国标仿宋-GB/T 2312" w:cs="国标仿宋-GB/T 2312"/>
                <w:sz w:val="24"/>
                <w:szCs w:val="24"/>
                <w:lang w:val="en-US"/>
              </w:rPr>
              <w:t>分）。内容清晰、符合实际且完全满足要求的得1</w:t>
            </w:r>
            <w:r>
              <w:rPr>
                <w:rFonts w:hint="eastAsia" w:ascii="国标仿宋-GB/T 2312" w:hAnsi="国标仿宋-GB/T 2312" w:eastAsia="国标仿宋-GB/T 2312" w:cs="国标仿宋-GB/T 2312"/>
                <w:sz w:val="24"/>
                <w:szCs w:val="24"/>
                <w:lang w:val="en-US" w:eastAsia="zh-CN"/>
              </w:rPr>
              <w:t>5</w:t>
            </w:r>
            <w:r>
              <w:rPr>
                <w:rFonts w:hint="eastAsia" w:ascii="国标仿宋-GB/T 2312" w:hAnsi="国标仿宋-GB/T 2312" w:eastAsia="国标仿宋-GB/T 2312" w:cs="国标仿宋-GB/T 2312"/>
                <w:sz w:val="24"/>
                <w:szCs w:val="24"/>
                <w:lang w:val="en-US"/>
              </w:rPr>
              <w:t>分，基本满足的得</w:t>
            </w:r>
            <w:r>
              <w:rPr>
                <w:rFonts w:hint="eastAsia" w:ascii="国标仿宋-GB/T 2312" w:hAnsi="国标仿宋-GB/T 2312" w:eastAsia="国标仿宋-GB/T 2312" w:cs="国标仿宋-GB/T 2312"/>
                <w:sz w:val="24"/>
                <w:szCs w:val="24"/>
                <w:lang w:val="en-US" w:eastAsia="zh-CN"/>
              </w:rPr>
              <w:t>12</w:t>
            </w:r>
            <w:r>
              <w:rPr>
                <w:rFonts w:hint="eastAsia" w:ascii="国标仿宋-GB/T 2312" w:hAnsi="国标仿宋-GB/T 2312" w:eastAsia="国标仿宋-GB/T 2312" w:cs="国标仿宋-GB/T 2312"/>
                <w:sz w:val="24"/>
                <w:szCs w:val="24"/>
                <w:lang w:val="en-US"/>
              </w:rPr>
              <w:t>分，内容缺失或不能满足的得</w:t>
            </w:r>
            <w:r>
              <w:rPr>
                <w:rFonts w:hint="eastAsia" w:ascii="国标仿宋-GB/T 2312" w:hAnsi="国标仿宋-GB/T 2312" w:eastAsia="国标仿宋-GB/T 2312" w:cs="国标仿宋-GB/T 2312"/>
                <w:sz w:val="24"/>
                <w:szCs w:val="24"/>
                <w:lang w:val="en-US" w:eastAsia="zh-CN"/>
              </w:rPr>
              <w:t>8</w:t>
            </w:r>
            <w:r>
              <w:rPr>
                <w:rFonts w:hint="eastAsia" w:ascii="国标仿宋-GB/T 2312" w:hAnsi="国标仿宋-GB/T 2312" w:eastAsia="国标仿宋-GB/T 2312" w:cs="国标仿宋-GB/T 2312"/>
                <w:sz w:val="24"/>
                <w:szCs w:val="24"/>
                <w:lang w:val="en-US"/>
              </w:rPr>
              <w:t>分。</w:t>
            </w:r>
          </w:p>
          <w:p w14:paraId="429074E9">
            <w:pPr>
              <w:pStyle w:val="6"/>
              <w:spacing w:line="280" w:lineRule="exact"/>
              <w:ind w:firstLine="480" w:firstLineChars="200"/>
              <w:rPr>
                <w:rFonts w:hint="eastAsia" w:ascii="国标仿宋-GB/T 2312" w:hAnsi="国标仿宋-GB/T 2312" w:eastAsia="国标仿宋-GB/T 2312" w:cs="国标仿宋-GB/T 2312"/>
                <w:sz w:val="24"/>
                <w:szCs w:val="24"/>
                <w:lang w:val="en-US"/>
              </w:rPr>
            </w:pPr>
            <w:r>
              <w:rPr>
                <w:rFonts w:hint="eastAsia" w:ascii="国标仿宋-GB/T 2312" w:hAnsi="国标仿宋-GB/T 2312" w:eastAsia="国标仿宋-GB/T 2312" w:cs="国标仿宋-GB/T 2312"/>
                <w:sz w:val="24"/>
                <w:szCs w:val="24"/>
                <w:lang w:val="en-US"/>
              </w:rPr>
              <w:t>3.保障措施：具有全面可靠、切实可行的保障措施，能保证文物包装、运输、装卸安全，制定有文物安全应急处置预案，文物保险得到充分考虑（1</w:t>
            </w:r>
            <w:r>
              <w:rPr>
                <w:rFonts w:hint="eastAsia" w:ascii="国标仿宋-GB/T 2312" w:hAnsi="国标仿宋-GB/T 2312" w:eastAsia="国标仿宋-GB/T 2312" w:cs="国标仿宋-GB/T 2312"/>
                <w:sz w:val="24"/>
                <w:szCs w:val="24"/>
                <w:lang w:val="en-US" w:eastAsia="zh-CN"/>
              </w:rPr>
              <w:t>5</w:t>
            </w:r>
            <w:r>
              <w:rPr>
                <w:rFonts w:hint="eastAsia" w:ascii="国标仿宋-GB/T 2312" w:hAnsi="国标仿宋-GB/T 2312" w:eastAsia="国标仿宋-GB/T 2312" w:cs="国标仿宋-GB/T 2312"/>
                <w:sz w:val="24"/>
                <w:szCs w:val="24"/>
                <w:lang w:val="en-US"/>
              </w:rPr>
              <w:t>分）。内容清晰、符合实际且完全满足要求的得1</w:t>
            </w:r>
            <w:r>
              <w:rPr>
                <w:rFonts w:hint="eastAsia" w:ascii="国标仿宋-GB/T 2312" w:hAnsi="国标仿宋-GB/T 2312" w:eastAsia="国标仿宋-GB/T 2312" w:cs="国标仿宋-GB/T 2312"/>
                <w:sz w:val="24"/>
                <w:szCs w:val="24"/>
                <w:lang w:val="en-US" w:eastAsia="zh-CN"/>
              </w:rPr>
              <w:t>5</w:t>
            </w:r>
            <w:r>
              <w:rPr>
                <w:rFonts w:hint="eastAsia" w:ascii="国标仿宋-GB/T 2312" w:hAnsi="国标仿宋-GB/T 2312" w:eastAsia="国标仿宋-GB/T 2312" w:cs="国标仿宋-GB/T 2312"/>
                <w:sz w:val="24"/>
                <w:szCs w:val="24"/>
                <w:lang w:val="en-US"/>
              </w:rPr>
              <w:t>分，基本满足的得1</w:t>
            </w:r>
            <w:r>
              <w:rPr>
                <w:rFonts w:hint="eastAsia" w:ascii="国标仿宋-GB/T 2312" w:hAnsi="国标仿宋-GB/T 2312" w:eastAsia="国标仿宋-GB/T 2312" w:cs="国标仿宋-GB/T 2312"/>
                <w:sz w:val="24"/>
                <w:szCs w:val="24"/>
                <w:lang w:val="en-US" w:eastAsia="zh-CN"/>
              </w:rPr>
              <w:t>2</w:t>
            </w:r>
            <w:r>
              <w:rPr>
                <w:rFonts w:hint="eastAsia" w:ascii="国标仿宋-GB/T 2312" w:hAnsi="国标仿宋-GB/T 2312" w:eastAsia="国标仿宋-GB/T 2312" w:cs="国标仿宋-GB/T 2312"/>
                <w:sz w:val="24"/>
                <w:szCs w:val="24"/>
                <w:lang w:val="en-US"/>
              </w:rPr>
              <w:t>分，内容缺失或不能满足的得</w:t>
            </w:r>
            <w:r>
              <w:rPr>
                <w:rFonts w:hint="eastAsia" w:ascii="国标仿宋-GB/T 2312" w:hAnsi="国标仿宋-GB/T 2312" w:eastAsia="国标仿宋-GB/T 2312" w:cs="国标仿宋-GB/T 2312"/>
                <w:sz w:val="24"/>
                <w:szCs w:val="24"/>
                <w:lang w:val="en-US" w:eastAsia="zh-CN"/>
              </w:rPr>
              <w:t>8</w:t>
            </w:r>
            <w:r>
              <w:rPr>
                <w:rFonts w:hint="eastAsia" w:ascii="国标仿宋-GB/T 2312" w:hAnsi="国标仿宋-GB/T 2312" w:eastAsia="国标仿宋-GB/T 2312" w:cs="国标仿宋-GB/T 2312"/>
                <w:sz w:val="24"/>
                <w:szCs w:val="24"/>
                <w:lang w:val="en-US"/>
              </w:rPr>
              <w:t>分。</w:t>
            </w:r>
          </w:p>
          <w:p w14:paraId="3DAA53A5">
            <w:pPr>
              <w:pStyle w:val="6"/>
              <w:spacing w:line="280" w:lineRule="exact"/>
              <w:ind w:firstLine="480" w:firstLineChars="200"/>
              <w:rPr>
                <w:rFonts w:ascii="Times New Roman" w:hAnsi="Times New Roman" w:eastAsia="方正仿宋_GBK" w:cs="Times New Roman"/>
                <w:sz w:val="24"/>
                <w:szCs w:val="24"/>
                <w:lang w:val="en-US"/>
              </w:rPr>
            </w:pPr>
            <w:r>
              <w:rPr>
                <w:rFonts w:hint="eastAsia" w:ascii="国标仿宋-GB/T 2312" w:hAnsi="国标仿宋-GB/T 2312" w:eastAsia="国标仿宋-GB/T 2312" w:cs="国标仿宋-GB/T 2312"/>
                <w:sz w:val="24"/>
                <w:szCs w:val="24"/>
                <w:lang w:val="en-US"/>
              </w:rPr>
              <w:t>4.保密承诺：对本项目涉及的文物信息、运输路线、时间安排、入库位置等严格保密，并有书面承诺（</w:t>
            </w:r>
            <w:r>
              <w:rPr>
                <w:rFonts w:hint="eastAsia" w:ascii="国标仿宋-GB/T 2312" w:hAnsi="国标仿宋-GB/T 2312" w:eastAsia="国标仿宋-GB/T 2312" w:cs="国标仿宋-GB/T 2312"/>
                <w:sz w:val="24"/>
                <w:szCs w:val="24"/>
                <w:lang w:val="en-US" w:eastAsia="zh-CN"/>
              </w:rPr>
              <w:t>5</w:t>
            </w:r>
            <w:r>
              <w:rPr>
                <w:rFonts w:hint="eastAsia" w:ascii="国标仿宋-GB/T 2312" w:hAnsi="国标仿宋-GB/T 2312" w:eastAsia="国标仿宋-GB/T 2312" w:cs="国标仿宋-GB/T 2312"/>
                <w:sz w:val="24"/>
                <w:szCs w:val="24"/>
                <w:lang w:val="en-US"/>
              </w:rPr>
              <w:t>分）。有书面承诺得</w:t>
            </w:r>
            <w:r>
              <w:rPr>
                <w:rFonts w:hint="eastAsia" w:ascii="国标仿宋-GB/T 2312" w:hAnsi="国标仿宋-GB/T 2312" w:eastAsia="国标仿宋-GB/T 2312" w:cs="国标仿宋-GB/T 2312"/>
                <w:sz w:val="24"/>
                <w:szCs w:val="24"/>
                <w:lang w:val="en-US" w:eastAsia="zh-CN"/>
              </w:rPr>
              <w:t>5</w:t>
            </w:r>
            <w:r>
              <w:rPr>
                <w:rFonts w:hint="eastAsia" w:ascii="国标仿宋-GB/T 2312" w:hAnsi="国标仿宋-GB/T 2312" w:eastAsia="国标仿宋-GB/T 2312" w:cs="国标仿宋-GB/T 2312"/>
                <w:sz w:val="24"/>
                <w:szCs w:val="24"/>
                <w:lang w:val="en-US"/>
              </w:rPr>
              <w:t>分，没有不得分。</w:t>
            </w:r>
          </w:p>
        </w:tc>
        <w:tc>
          <w:tcPr>
            <w:tcW w:w="893" w:type="dxa"/>
            <w:vAlign w:val="center"/>
          </w:tcPr>
          <w:p w14:paraId="2F81DB85">
            <w:pPr>
              <w:pStyle w:val="6"/>
              <w:spacing w:line="320" w:lineRule="exact"/>
              <w:jc w:val="center"/>
              <w:rPr>
                <w:rFonts w:ascii="Times New Roman" w:hAnsi="Times New Roman" w:eastAsia="方正仿宋_GBK" w:cs="Times New Roman"/>
                <w:sz w:val="24"/>
                <w:szCs w:val="24"/>
              </w:rPr>
            </w:pPr>
          </w:p>
        </w:tc>
      </w:tr>
    </w:tbl>
    <w:p w14:paraId="608AFD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xMzIwY2Q1NjZjNDdlNjAyZjg5NDdiNzZhMzYxMWMifQ=="/>
  </w:docVars>
  <w:rsids>
    <w:rsidRoot w:val="14F1284E"/>
    <w:rsid w:val="14F1284E"/>
    <w:rsid w:val="67B68102"/>
    <w:rsid w:val="6F7AE3C5"/>
    <w:rsid w:val="6FF565CD"/>
    <w:rsid w:val="7B7E4C19"/>
    <w:rsid w:val="A7A4D47A"/>
    <w:rsid w:val="B9DFDFE4"/>
    <w:rsid w:val="BF5DF174"/>
    <w:rsid w:val="DA7336EC"/>
    <w:rsid w:val="EF9BA576"/>
    <w:rsid w:val="F3FF9B23"/>
    <w:rsid w:val="F4FE41EA"/>
    <w:rsid w:val="F52BED2C"/>
    <w:rsid w:val="FF55B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 w:type="paragraph" w:customStyle="1" w:styleId="5">
    <w:name w:val="正文首行缩进两字符"/>
    <w:basedOn w:val="1"/>
    <w:qFormat/>
    <w:uiPriority w:val="99"/>
    <w:pPr>
      <w:spacing w:line="360" w:lineRule="auto"/>
      <w:ind w:firstLine="200" w:firstLineChars="200"/>
    </w:p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2022-08-10T02:47:00Z</dcterms:created>
  <dc:creator>否极泰来</dc:creator>
  <cp:lastModifiedBy>bwgclb</cp:lastModifiedBy>
  <dcterms:modified xsi:type="dcterms:W3CDTF">2026-07-17T10:01:13Z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2ED60695BE8F4BE6BF2B51C3ECFF01BC</vt:lpwstr>
  </property>
</Properties>
</file>