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ind w:leftChars="-67" w:hanging="140" w:hangingChars="67"/>
        <w:rPr>
          <w:rFonts w:hint="eastAsia" w:ascii="Times New Roman" w:hAnsi="Times New Roman" w:eastAsia="宋体" w:cs="Times New Roman"/>
          <w:b/>
          <w:bCs/>
          <w:color w:val="333333"/>
          <w:spacing w:val="8"/>
          <w:kern w:val="0"/>
          <w:sz w:val="24"/>
          <w:szCs w:val="29"/>
        </w:rPr>
      </w:pPr>
      <w:r>
        <w:drawing>
          <wp:inline distT="0" distB="0" distL="0" distR="0">
            <wp:extent cx="5495925" cy="771398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93329" cy="7710445"/>
                    </a:xfrm>
                    <a:prstGeom prst="rect">
                      <a:avLst/>
                    </a:prstGeom>
                  </pic:spPr>
                </pic:pic>
              </a:graphicData>
            </a:graphic>
          </wp:inline>
        </w:drawing>
      </w:r>
    </w:p>
    <w:p>
      <w:pPr>
        <w:shd w:val="clear" w:color="auto" w:fill="FFFFFF"/>
        <w:ind w:firstLine="514" w:firstLineChars="200"/>
        <w:rPr>
          <w:rFonts w:hint="eastAsia" w:ascii="Times New Roman" w:hAnsi="Times New Roman" w:eastAsia="宋体" w:cs="Times New Roman"/>
          <w:b/>
          <w:bCs/>
          <w:color w:val="333333"/>
          <w:spacing w:val="8"/>
          <w:kern w:val="0"/>
          <w:sz w:val="24"/>
          <w:szCs w:val="29"/>
        </w:rPr>
      </w:pPr>
    </w:p>
    <w:p>
      <w:pPr>
        <w:shd w:val="clear" w:color="auto" w:fill="FFFFFF"/>
        <w:ind w:firstLine="514" w:firstLineChars="200"/>
        <w:rPr>
          <w:rFonts w:hint="eastAsia" w:ascii="Times New Roman" w:hAnsi="Times New Roman" w:eastAsia="宋体" w:cs="Times New Roman"/>
          <w:b/>
          <w:bCs/>
          <w:color w:val="333333"/>
          <w:spacing w:val="8"/>
          <w:kern w:val="0"/>
          <w:sz w:val="24"/>
          <w:szCs w:val="29"/>
        </w:rPr>
      </w:pPr>
    </w:p>
    <w:p>
      <w:pPr>
        <w:shd w:val="clear" w:color="auto" w:fill="FFFFFF"/>
        <w:ind w:firstLine="514" w:firstLineChars="200"/>
        <w:rPr>
          <w:rFonts w:hint="eastAsia" w:ascii="Times New Roman" w:hAnsi="Times New Roman" w:eastAsia="宋体" w:cs="Times New Roman"/>
          <w:b/>
          <w:bCs/>
          <w:color w:val="333333"/>
          <w:spacing w:val="8"/>
          <w:kern w:val="0"/>
          <w:sz w:val="24"/>
          <w:szCs w:val="29"/>
        </w:rPr>
      </w:pPr>
    </w:p>
    <w:p>
      <w:pPr>
        <w:shd w:val="clear" w:color="auto" w:fill="FFFFFF"/>
        <w:ind w:firstLine="514" w:firstLineChars="200"/>
        <w:rPr>
          <w:rFonts w:hint="eastAsia" w:ascii="Times New Roman" w:hAnsi="Times New Roman" w:eastAsia="宋体" w:cs="Times New Roman"/>
          <w:b/>
          <w:bCs/>
          <w:color w:val="333333"/>
          <w:spacing w:val="8"/>
          <w:kern w:val="0"/>
          <w:sz w:val="24"/>
          <w:szCs w:val="29"/>
        </w:rPr>
      </w:pPr>
    </w:p>
    <w:p>
      <w:pPr>
        <w:shd w:val="clear" w:color="auto" w:fill="FFFFFF"/>
        <w:ind w:firstLine="514" w:firstLineChars="200"/>
        <w:rPr>
          <w:rFonts w:hint="eastAsia" w:ascii="Times New Roman" w:hAnsi="Times New Roman" w:eastAsia="宋体" w:cs="Times New Roman"/>
          <w:b/>
          <w:bCs/>
          <w:color w:val="333333"/>
          <w:spacing w:val="8"/>
          <w:kern w:val="0"/>
          <w:sz w:val="24"/>
          <w:szCs w:val="29"/>
        </w:rPr>
      </w:pPr>
    </w:p>
    <w:p>
      <w:pPr>
        <w:shd w:val="clear" w:color="auto" w:fill="FFFFFF"/>
        <w:ind w:firstLine="514" w:firstLineChars="200"/>
        <w:rPr>
          <w:rFonts w:ascii="Times New Roman" w:hAnsi="Times New Roman" w:eastAsia="宋体" w:cs="Times New Roman"/>
          <w:color w:val="333333"/>
          <w:spacing w:val="8"/>
          <w:kern w:val="0"/>
          <w:sz w:val="24"/>
          <w:szCs w:val="26"/>
        </w:rPr>
      </w:pPr>
      <w:r>
        <w:rPr>
          <w:rFonts w:hint="eastAsia" w:ascii="Times New Roman" w:hAnsi="Times New Roman" w:eastAsia="宋体" w:cs="Times New Roman"/>
          <w:b/>
          <w:bCs/>
          <w:color w:val="333333"/>
          <w:spacing w:val="8"/>
          <w:kern w:val="0"/>
          <w:sz w:val="24"/>
          <w:szCs w:val="29"/>
        </w:rPr>
        <w:t>附件：1</w:t>
      </w:r>
    </w:p>
    <w:p>
      <w:pPr>
        <w:shd w:val="clear" w:color="auto" w:fill="FFFFFF"/>
        <w:ind w:firstLine="512" w:firstLineChars="200"/>
        <w:rPr>
          <w:rFonts w:ascii="Times New Roman" w:hAnsi="Times New Roman" w:eastAsia="宋体" w:cs="Times New Roman"/>
          <w:color w:val="333333"/>
          <w:spacing w:val="8"/>
          <w:kern w:val="0"/>
          <w:sz w:val="24"/>
          <w:szCs w:val="26"/>
        </w:rPr>
      </w:pPr>
    </w:p>
    <w:p>
      <w:pPr>
        <w:shd w:val="clear" w:color="auto" w:fill="FFFFFF"/>
        <w:ind w:firstLine="514" w:firstLineChars="200"/>
        <w:jc w:val="center"/>
        <w:rPr>
          <w:rFonts w:ascii="Times New Roman" w:hAnsi="Times New Roman" w:eastAsia="宋体" w:cs="Times New Roman"/>
          <w:b/>
          <w:spacing w:val="8"/>
          <w:kern w:val="0"/>
          <w:sz w:val="24"/>
          <w:szCs w:val="24"/>
        </w:rPr>
      </w:pPr>
      <w:r>
        <w:rPr>
          <w:rFonts w:hint="eastAsia" w:ascii="Times New Roman" w:hAnsi="Times New Roman" w:eastAsia="宋体" w:cs="Times New Roman"/>
          <w:b/>
          <w:bCs/>
          <w:spacing w:val="8"/>
          <w:kern w:val="0"/>
          <w:sz w:val="24"/>
          <w:szCs w:val="24"/>
        </w:rPr>
        <w:t>广东省环境监测行业指导价编制说明</w:t>
      </w:r>
    </w:p>
    <w:p>
      <w:pPr>
        <w:shd w:val="clear" w:color="auto" w:fill="FFFFFF"/>
        <w:ind w:firstLine="512" w:firstLineChars="200"/>
        <w:rPr>
          <w:rFonts w:ascii="Times New Roman" w:hAnsi="Times New Roman" w:eastAsia="宋体" w:cs="Times New Roman"/>
          <w:color w:val="222222"/>
          <w:spacing w:val="8"/>
          <w:kern w:val="0"/>
          <w:sz w:val="24"/>
          <w:szCs w:val="24"/>
        </w:rPr>
      </w:pPr>
    </w:p>
    <w:p>
      <w:pPr>
        <w:shd w:val="clear" w:color="auto" w:fill="FFFFFF"/>
        <w:ind w:firstLine="512" w:firstLineChars="200"/>
        <w:rPr>
          <w:rFonts w:hint="eastAsia" w:ascii="Times New Roman" w:hAnsi="Times New Roman" w:eastAsia="宋体" w:cs="Times New Roman"/>
          <w:color w:val="222222"/>
          <w:spacing w:val="8"/>
          <w:kern w:val="0"/>
          <w:sz w:val="24"/>
          <w:szCs w:val="24"/>
        </w:rPr>
      </w:pPr>
      <w:r>
        <w:rPr>
          <w:rFonts w:hint="eastAsia" w:ascii="Times New Roman" w:hAnsi="Times New Roman" w:eastAsia="宋体" w:cs="Times New Roman"/>
          <w:color w:val="222222"/>
          <w:spacing w:val="8"/>
          <w:kern w:val="0"/>
          <w:sz w:val="24"/>
          <w:szCs w:val="24"/>
        </w:rPr>
        <w:t>目前我省环境监测收费唯一的标准的是省物价局1996年批准的《广东省环境监测收费项目及标准》（粤价函[1996]64号），该标准颁布至今已有22年，而且主要针对的是财政拨款的事业单位。随着监测成本的上升，该收费标准严重偏低，制约了环境监测社会化工作的发展。同时，由于社会环境监测机构的大量涌现，环境监测市场恶性竞争现象严重，一些环境监测机构往往以低价竞争取得任务，但所收取的监测费用又不足以保证按质按量完成任务，只好数据造假，并且导致“劣币驱逐良币”的情况。</w:t>
      </w:r>
    </w:p>
    <w:p>
      <w:pPr>
        <w:shd w:val="clear" w:color="auto" w:fill="FFFFFF"/>
        <w:ind w:firstLine="512" w:firstLineChars="200"/>
        <w:rPr>
          <w:rFonts w:hint="eastAsia" w:ascii="Times New Roman" w:hAnsi="Times New Roman" w:eastAsia="宋体" w:cs="Times New Roman"/>
          <w:color w:val="222222"/>
          <w:spacing w:val="8"/>
          <w:kern w:val="0"/>
          <w:sz w:val="24"/>
          <w:szCs w:val="24"/>
        </w:rPr>
      </w:pPr>
    </w:p>
    <w:p>
      <w:pPr>
        <w:shd w:val="clear" w:color="auto" w:fill="FFFFFF"/>
        <w:ind w:firstLine="512" w:firstLineChars="200"/>
        <w:rPr>
          <w:rFonts w:hint="eastAsia" w:ascii="Times New Roman" w:hAnsi="Times New Roman" w:eastAsia="宋体" w:cs="Times New Roman"/>
          <w:color w:val="222222"/>
          <w:spacing w:val="8"/>
          <w:kern w:val="0"/>
          <w:sz w:val="24"/>
          <w:szCs w:val="24"/>
        </w:rPr>
      </w:pPr>
      <w:r>
        <w:rPr>
          <w:rFonts w:hint="eastAsia" w:ascii="Times New Roman" w:hAnsi="Times New Roman" w:eastAsia="宋体" w:cs="Times New Roman"/>
          <w:color w:val="222222"/>
          <w:spacing w:val="8"/>
          <w:kern w:val="0"/>
          <w:sz w:val="24"/>
          <w:szCs w:val="24"/>
        </w:rPr>
        <w:t>为提高我省环境监测技术水平，推进环境监测专业市场的有序发展和良性竞争，规范收费行为，广东省环境监测协会在广东省环境监测中心于2014年提出的调整我省环境监测收费标准的基础上，制定《广东省环境监测行业指导价》，供会员单位在确定环境监测收费时参考。</w:t>
      </w:r>
    </w:p>
    <w:p>
      <w:pPr>
        <w:shd w:val="clear" w:color="auto" w:fill="FFFFFF"/>
        <w:ind w:firstLine="512" w:firstLineChars="200"/>
        <w:rPr>
          <w:rFonts w:hint="eastAsia" w:ascii="Times New Roman" w:hAnsi="Times New Roman" w:eastAsia="宋体" w:cs="Times New Roman"/>
          <w:color w:val="222222"/>
          <w:spacing w:val="8"/>
          <w:kern w:val="0"/>
          <w:sz w:val="24"/>
          <w:szCs w:val="24"/>
        </w:rPr>
      </w:pPr>
    </w:p>
    <w:p>
      <w:pPr>
        <w:shd w:val="clear" w:color="auto" w:fill="FFFFFF"/>
        <w:ind w:firstLine="512" w:firstLineChars="200"/>
        <w:rPr>
          <w:rFonts w:hint="eastAsia" w:ascii="Times New Roman" w:hAnsi="Times New Roman" w:eastAsia="宋体" w:cs="Times New Roman"/>
          <w:color w:val="222222"/>
          <w:spacing w:val="8"/>
          <w:kern w:val="0"/>
          <w:sz w:val="24"/>
          <w:szCs w:val="24"/>
        </w:rPr>
      </w:pPr>
      <w:r>
        <w:rPr>
          <w:rFonts w:hint="eastAsia" w:ascii="Times New Roman" w:hAnsi="Times New Roman" w:eastAsia="宋体" w:cs="Times New Roman"/>
          <w:color w:val="222222"/>
          <w:spacing w:val="8"/>
          <w:kern w:val="0"/>
          <w:sz w:val="24"/>
          <w:szCs w:val="24"/>
        </w:rPr>
        <w:t>1、编制依据：参考广东省建设工程质量安全检测和鉴定协会2015年9月制定的《广东省房屋建筑和市政工程工程质量安全检测收费指导价》（粤建检协【2015】8号），结合江苏省、上海市等地实行的环境收费标准以及广东省内主要环境监测机构的收费标准作为主要依据。</w:t>
      </w:r>
    </w:p>
    <w:p>
      <w:pPr>
        <w:shd w:val="clear" w:color="auto" w:fill="FFFFFF"/>
        <w:ind w:firstLine="512" w:firstLineChars="200"/>
        <w:rPr>
          <w:rFonts w:hint="eastAsia" w:ascii="Times New Roman" w:hAnsi="Times New Roman" w:eastAsia="宋体" w:cs="Times New Roman"/>
          <w:color w:val="222222"/>
          <w:spacing w:val="8"/>
          <w:kern w:val="0"/>
          <w:sz w:val="24"/>
          <w:szCs w:val="24"/>
        </w:rPr>
      </w:pPr>
    </w:p>
    <w:p>
      <w:pPr>
        <w:shd w:val="clear" w:color="auto" w:fill="FFFFFF"/>
        <w:ind w:firstLine="512" w:firstLineChars="200"/>
        <w:rPr>
          <w:rFonts w:hint="eastAsia" w:ascii="Times New Roman" w:hAnsi="Times New Roman" w:eastAsia="宋体" w:cs="Times New Roman"/>
          <w:color w:val="222222"/>
          <w:spacing w:val="8"/>
          <w:kern w:val="0"/>
          <w:sz w:val="24"/>
          <w:szCs w:val="24"/>
        </w:rPr>
      </w:pPr>
      <w:r>
        <w:rPr>
          <w:rFonts w:hint="eastAsia" w:ascii="Times New Roman" w:hAnsi="Times New Roman" w:eastAsia="宋体" w:cs="Times New Roman"/>
          <w:color w:val="222222"/>
          <w:spacing w:val="8"/>
          <w:kern w:val="0"/>
          <w:sz w:val="24"/>
          <w:szCs w:val="24"/>
        </w:rPr>
        <w:t>2、编制原则：为方便理解和操作，确保应用的一致性，本指导价包括了采样、检测和人员成本。</w:t>
      </w:r>
    </w:p>
    <w:p>
      <w:pPr>
        <w:shd w:val="clear" w:color="auto" w:fill="FFFFFF"/>
        <w:ind w:firstLine="512" w:firstLineChars="200"/>
        <w:rPr>
          <w:rFonts w:hint="eastAsia" w:ascii="Times New Roman" w:hAnsi="Times New Roman" w:eastAsia="宋体" w:cs="Times New Roman"/>
          <w:color w:val="222222"/>
          <w:spacing w:val="8"/>
          <w:kern w:val="0"/>
          <w:sz w:val="24"/>
          <w:szCs w:val="24"/>
        </w:rPr>
      </w:pPr>
    </w:p>
    <w:p>
      <w:pPr>
        <w:shd w:val="clear" w:color="auto" w:fill="FFFFFF"/>
        <w:ind w:firstLine="512" w:firstLineChars="200"/>
        <w:rPr>
          <w:rFonts w:hint="eastAsia" w:ascii="Times New Roman" w:hAnsi="Times New Roman" w:eastAsia="宋体" w:cs="Times New Roman"/>
          <w:color w:val="222222"/>
          <w:spacing w:val="8"/>
          <w:kern w:val="0"/>
          <w:sz w:val="24"/>
          <w:szCs w:val="24"/>
        </w:rPr>
      </w:pPr>
      <w:r>
        <w:rPr>
          <w:rFonts w:hint="eastAsia" w:ascii="Times New Roman" w:hAnsi="Times New Roman" w:eastAsia="宋体" w:cs="Times New Roman"/>
          <w:color w:val="222222"/>
          <w:spacing w:val="8"/>
          <w:kern w:val="0"/>
          <w:sz w:val="24"/>
          <w:szCs w:val="24"/>
        </w:rPr>
        <w:t>3、成本核算主要包括：仪器设备折旧费、试剂药品费、水电费、标准物质费、易损耗品（如玻璃仪器、采样介质等）费、实验场所租用费、办公费、人员费用（如工资、五险一金、差旅、补助、培训、绩效等）等。</w:t>
      </w:r>
    </w:p>
    <w:p>
      <w:pPr>
        <w:shd w:val="clear" w:color="auto" w:fill="FFFFFF"/>
        <w:ind w:firstLine="512" w:firstLineChars="200"/>
        <w:rPr>
          <w:rFonts w:hint="eastAsia" w:ascii="Times New Roman" w:hAnsi="Times New Roman" w:eastAsia="宋体" w:cs="Times New Roman"/>
          <w:color w:val="222222"/>
          <w:spacing w:val="8"/>
          <w:kern w:val="0"/>
          <w:sz w:val="24"/>
          <w:szCs w:val="24"/>
        </w:rPr>
      </w:pPr>
    </w:p>
    <w:p>
      <w:pPr>
        <w:shd w:val="clear" w:color="auto" w:fill="FFFFFF"/>
        <w:ind w:firstLine="512" w:firstLineChars="200"/>
        <w:rPr>
          <w:rFonts w:hint="eastAsia" w:ascii="Times New Roman" w:hAnsi="Times New Roman" w:eastAsia="宋体" w:cs="Times New Roman"/>
          <w:color w:val="222222"/>
          <w:spacing w:val="8"/>
          <w:kern w:val="0"/>
          <w:sz w:val="24"/>
          <w:szCs w:val="24"/>
        </w:rPr>
      </w:pPr>
      <w:r>
        <w:rPr>
          <w:rFonts w:hint="eastAsia" w:ascii="Times New Roman" w:hAnsi="Times New Roman" w:eastAsia="宋体" w:cs="Times New Roman"/>
          <w:color w:val="222222"/>
          <w:spacing w:val="8"/>
          <w:kern w:val="0"/>
          <w:sz w:val="24"/>
          <w:szCs w:val="24"/>
        </w:rPr>
        <w:t>4、行业指导价主要是按目前常用监测方法来分项收费，未包括的非常规项目或今后开展新的监测项目，可由各监测机构根据其监测方法在行业指导价的基础上自行确定。</w:t>
      </w:r>
    </w:p>
    <w:p>
      <w:pPr>
        <w:shd w:val="clear" w:color="auto" w:fill="FFFFFF"/>
        <w:ind w:firstLine="512" w:firstLineChars="200"/>
        <w:rPr>
          <w:rFonts w:hint="eastAsia" w:ascii="Times New Roman" w:hAnsi="Times New Roman" w:eastAsia="宋体" w:cs="Times New Roman"/>
          <w:color w:val="222222"/>
          <w:spacing w:val="8"/>
          <w:kern w:val="0"/>
          <w:sz w:val="24"/>
          <w:szCs w:val="24"/>
        </w:rPr>
      </w:pPr>
    </w:p>
    <w:p>
      <w:pPr>
        <w:shd w:val="clear" w:color="auto" w:fill="FFFFFF"/>
        <w:ind w:firstLine="512" w:firstLineChars="200"/>
        <w:rPr>
          <w:rFonts w:hint="eastAsia" w:ascii="Times New Roman" w:hAnsi="Times New Roman" w:eastAsia="宋体" w:cs="Times New Roman"/>
          <w:color w:val="222222"/>
          <w:spacing w:val="8"/>
          <w:kern w:val="0"/>
          <w:sz w:val="24"/>
          <w:szCs w:val="24"/>
        </w:rPr>
      </w:pPr>
      <w:r>
        <w:rPr>
          <w:rFonts w:hint="eastAsia" w:ascii="Times New Roman" w:hAnsi="Times New Roman" w:eastAsia="宋体" w:cs="Times New Roman"/>
          <w:color w:val="222222"/>
          <w:spacing w:val="8"/>
          <w:kern w:val="0"/>
          <w:sz w:val="24"/>
          <w:szCs w:val="24"/>
        </w:rPr>
        <w:t>5、采样交通费主要根据目前市场上的汽车租货价格作为参考。</w:t>
      </w:r>
    </w:p>
    <w:p>
      <w:pPr>
        <w:widowControl/>
        <w:shd w:val="clear" w:color="auto" w:fill="FFFFFF"/>
        <w:spacing w:line="600" w:lineRule="atLeast"/>
        <w:jc w:val="center"/>
        <w:rPr>
          <w:rFonts w:hint="eastAsia" w:ascii="微软雅黑" w:hAnsi="微软雅黑" w:eastAsia="微软雅黑" w:cs="宋体"/>
          <w:spacing w:val="8"/>
          <w:kern w:val="0"/>
          <w:sz w:val="24"/>
          <w:szCs w:val="24"/>
        </w:rPr>
      </w:pPr>
      <w:r>
        <w:rPr>
          <w:rFonts w:hint="eastAsia" w:ascii="微软雅黑" w:hAnsi="微软雅黑" w:eastAsia="微软雅黑" w:cs="宋体"/>
          <w:b/>
          <w:bCs/>
          <w:spacing w:val="8"/>
          <w:kern w:val="0"/>
          <w:sz w:val="24"/>
          <w:szCs w:val="24"/>
        </w:rPr>
        <w:t>广东省环境监测行业指导价</w:t>
      </w:r>
    </w:p>
    <w:tbl>
      <w:tblPr>
        <w:tblStyle w:val="8"/>
        <w:tblW w:w="9319" w:type="dxa"/>
        <w:tblInd w:w="-321" w:type="dxa"/>
        <w:shd w:val="clear" w:color="auto" w:fill="FFFFFF"/>
        <w:tblLayout w:type="fixed"/>
        <w:tblCellMar>
          <w:top w:w="0" w:type="dxa"/>
          <w:left w:w="0" w:type="dxa"/>
          <w:bottom w:w="0" w:type="dxa"/>
          <w:right w:w="0" w:type="dxa"/>
        </w:tblCellMar>
      </w:tblPr>
      <w:tblGrid>
        <w:gridCol w:w="718"/>
        <w:gridCol w:w="1591"/>
        <w:gridCol w:w="2172"/>
        <w:gridCol w:w="1162"/>
        <w:gridCol w:w="1820"/>
        <w:gridCol w:w="1856"/>
      </w:tblGrid>
      <w:tr>
        <w:tblPrEx>
          <w:shd w:val="clear" w:color="auto" w:fill="FFFFFF"/>
          <w:tblLayout w:type="fixed"/>
          <w:tblCellMar>
            <w:top w:w="0" w:type="dxa"/>
            <w:left w:w="0" w:type="dxa"/>
            <w:bottom w:w="0" w:type="dxa"/>
            <w:right w:w="0" w:type="dxa"/>
          </w:tblCellMar>
        </w:tblPrEx>
        <w:trPr>
          <w:trHeight w:val="300" w:hRule="atLeast"/>
        </w:trPr>
        <w:tc>
          <w:tcPr>
            <w:tcW w:w="718" w:type="dxa"/>
            <w:tcBorders>
              <w:top w:val="single" w:color="auto" w:sz="6" w:space="0"/>
              <w:left w:val="single" w:color="auto" w:sz="6" w:space="0"/>
              <w:bottom w:val="single" w:color="auto" w:sz="6" w:space="0"/>
              <w:right w:val="single" w:color="auto" w:sz="6" w:space="0"/>
            </w:tcBorders>
            <w:shd w:val="clear" w:color="auto" w:fill="7F7F7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序号</w:t>
            </w:r>
          </w:p>
        </w:tc>
        <w:tc>
          <w:tcPr>
            <w:tcW w:w="1591" w:type="dxa"/>
            <w:tcBorders>
              <w:top w:val="single" w:color="auto" w:sz="6" w:space="0"/>
              <w:left w:val="nil"/>
              <w:bottom w:val="single" w:color="auto" w:sz="6" w:space="0"/>
              <w:right w:val="single" w:color="auto" w:sz="6" w:space="0"/>
            </w:tcBorders>
            <w:shd w:val="clear" w:color="auto" w:fill="7F7F7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产品类别</w:t>
            </w:r>
          </w:p>
        </w:tc>
        <w:tc>
          <w:tcPr>
            <w:tcW w:w="2172" w:type="dxa"/>
            <w:tcBorders>
              <w:top w:val="single" w:color="auto" w:sz="6" w:space="0"/>
              <w:left w:val="nil"/>
              <w:bottom w:val="single" w:color="auto" w:sz="6" w:space="0"/>
              <w:right w:val="single" w:color="auto" w:sz="6" w:space="0"/>
            </w:tcBorders>
            <w:shd w:val="clear" w:color="auto" w:fill="7F7F7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检测项目/参数</w:t>
            </w:r>
          </w:p>
        </w:tc>
        <w:tc>
          <w:tcPr>
            <w:tcW w:w="1162" w:type="dxa"/>
            <w:tcBorders>
              <w:top w:val="single" w:color="auto" w:sz="6" w:space="0"/>
              <w:left w:val="nil"/>
              <w:bottom w:val="single" w:color="auto" w:sz="6" w:space="0"/>
              <w:right w:val="single" w:color="auto" w:sz="6" w:space="0"/>
            </w:tcBorders>
            <w:shd w:val="clear" w:color="auto" w:fill="7F7F7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计费单位</w:t>
            </w:r>
          </w:p>
        </w:tc>
        <w:tc>
          <w:tcPr>
            <w:tcW w:w="1820" w:type="dxa"/>
            <w:tcBorders>
              <w:top w:val="single" w:color="auto" w:sz="6" w:space="0"/>
              <w:left w:val="nil"/>
              <w:bottom w:val="single" w:color="auto" w:sz="6" w:space="0"/>
              <w:right w:val="single" w:color="auto" w:sz="6" w:space="0"/>
            </w:tcBorders>
            <w:shd w:val="clear" w:color="auto" w:fill="7F7F7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单价（元）</w:t>
            </w:r>
          </w:p>
        </w:tc>
        <w:tc>
          <w:tcPr>
            <w:tcW w:w="1856" w:type="dxa"/>
            <w:tcBorders>
              <w:top w:val="single" w:color="auto" w:sz="6" w:space="0"/>
              <w:left w:val="nil"/>
              <w:bottom w:val="single" w:color="auto" w:sz="6" w:space="0"/>
              <w:right w:val="single" w:color="auto" w:sz="6" w:space="0"/>
            </w:tcBorders>
            <w:shd w:val="clear" w:color="auto" w:fill="7F7F7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备注</w:t>
            </w: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一</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水和废水</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pH值</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水温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40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流量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只对企业排口</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透明度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浊度（浑浊度）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bookmarkStart w:id="0" w:name="_GoBack"/>
            <w:bookmarkEnd w:id="0"/>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色度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电导率</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嗅和味</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肉眼可见物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可氧化物质含量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吸光度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可溶性硅</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矿化度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蒸发残渣</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总残渣、可滤残渣、可溶解性总固体</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悬浮物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固体物质（全固体、灼烧减量及灼烧残留物）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全盐量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易沉固体</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重碳酸盐（重碳酸根）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碳酸盐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氢氧根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总碱度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酸度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阴离子表面活性剂</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石油类（油类）</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动植物油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可吸附有机卤素</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800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五日生化需氧量(BOD</w:t>
            </w:r>
            <w:r>
              <w:rPr>
                <w:rFonts w:hint="eastAsia" w:cs="宋体" w:asciiTheme="majorEastAsia" w:hAnsiTheme="majorEastAsia" w:eastAsiaTheme="majorEastAsia"/>
                <w:color w:val="222222"/>
                <w:spacing w:val="8"/>
                <w:kern w:val="0"/>
                <w:sz w:val="18"/>
                <w:szCs w:val="18"/>
                <w:vertAlign w:val="subscript"/>
              </w:rPr>
              <w:t>5</w:t>
            </w:r>
            <w:r>
              <w:rPr>
                <w:rFonts w:hint="eastAsia" w:cs="宋体" w:asciiTheme="majorEastAsia" w:hAnsiTheme="majorEastAsia" w:eastAsiaTheme="majorEastAsia"/>
                <w:color w:val="222222"/>
                <w:spacing w:val="8"/>
                <w:kern w:val="0"/>
                <w:sz w:val="18"/>
                <w:szCs w:val="18"/>
              </w:rPr>
              <w:t>)</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溶解氧</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高锰酸钾指数（耗氧量）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化学需氧量(COD</w:t>
            </w:r>
            <w:r>
              <w:rPr>
                <w:rFonts w:hint="eastAsia" w:cs="宋体" w:asciiTheme="majorEastAsia" w:hAnsiTheme="majorEastAsia" w:eastAsiaTheme="majorEastAsia"/>
                <w:color w:val="222222"/>
                <w:spacing w:val="8"/>
                <w:kern w:val="0"/>
                <w:sz w:val="18"/>
                <w:szCs w:val="18"/>
                <w:vertAlign w:val="subscript"/>
              </w:rPr>
              <w:t>Cr</w:t>
            </w:r>
            <w:r>
              <w:rPr>
                <w:rFonts w:hint="eastAsia" w:cs="宋体" w:asciiTheme="majorEastAsia" w:hAnsiTheme="majorEastAsia" w:eastAsiaTheme="majorEastAsia"/>
                <w:color w:val="222222"/>
                <w:spacing w:val="8"/>
                <w:kern w:val="0"/>
                <w:sz w:val="18"/>
                <w:szCs w:val="18"/>
              </w:rPr>
              <w:t>)</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一</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水和废水</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总氯（总余氯、余氯、活性氯）</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氯化物(氯离子)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二氧化氯</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亚氯酸盐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氯酸盐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氨氮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凯氏氮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氨</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铵</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硝酸盐（硝酸根、硝酸盐氮）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亚硝酸盐(亚硝酸根、亚硝酸盐氮)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氟化物（氟离子）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总磷（磷酸盐、元素磷）</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硫化物（硫）</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硫酸盐（硫酸根）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亚硫酸根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溴酸盐（溴化物,溴离子）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碘化物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总氰化物、氰化物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总硬度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总有机碳</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硅</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总α放射性</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400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总β放射性</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400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游离二氧化碳</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侵蚀性二氧化碳</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氧化还原电位</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粪大肠菌群（耐热大肠菌群）</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总大肠菌群</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大肠埃希氏菌（大肠菌群，大肠杆菌）</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39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细菌总数（菌落总数）</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嗜肺军团菌</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800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48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浮游植物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只做蓝绿藻计数</w:t>
            </w: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一</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水和废水</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蛔虫卵</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叶绿素a</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硼</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挥发酚（挥发酚类）</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金属元素</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第1项200，5项以内每增加一项加120，5项以上每增加一项加80，最高2000元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挥发性有机污染物含量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第1项300，5项以内每增加一项加200，5项以上每增加一项加150，最高3500元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半挥发性有机污染物含量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300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项以内每增加一项加</w:t>
            </w:r>
            <w:r>
              <w:rPr>
                <w:rFonts w:cs="宋体" w:asciiTheme="majorEastAsia" w:hAnsiTheme="majorEastAsia" w:eastAsiaTheme="majorEastAsia"/>
                <w:color w:val="222222"/>
                <w:spacing w:val="8"/>
                <w:kern w:val="0"/>
                <w:sz w:val="18"/>
                <w:szCs w:val="18"/>
              </w:rPr>
              <w:t>200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项以上每增加一项加</w:t>
            </w:r>
            <w:r>
              <w:rPr>
                <w:rFonts w:cs="宋体" w:asciiTheme="majorEastAsia" w:hAnsiTheme="majorEastAsia" w:eastAsiaTheme="majorEastAsia"/>
                <w:color w:val="222222"/>
                <w:spacing w:val="8"/>
                <w:kern w:val="0"/>
                <w:sz w:val="18"/>
                <w:szCs w:val="18"/>
              </w:rPr>
              <w:t>150</w:t>
            </w:r>
            <w:r>
              <w:rPr>
                <w:rFonts w:hint="eastAsia" w:cs="宋体" w:asciiTheme="majorEastAsia" w:hAnsiTheme="majorEastAsia" w:eastAsiaTheme="majorEastAsia"/>
                <w:color w:val="222222"/>
                <w:spacing w:val="8"/>
                <w:kern w:val="0"/>
                <w:sz w:val="18"/>
                <w:szCs w:val="18"/>
              </w:rPr>
              <w:t>，最高</w:t>
            </w:r>
            <w:r>
              <w:rPr>
                <w:rFonts w:cs="宋体" w:asciiTheme="majorEastAsia" w:hAnsiTheme="majorEastAsia" w:eastAsiaTheme="majorEastAsia"/>
                <w:color w:val="222222"/>
                <w:spacing w:val="8"/>
                <w:kern w:val="0"/>
                <w:sz w:val="18"/>
                <w:szCs w:val="18"/>
              </w:rPr>
              <w:t>3500</w:t>
            </w:r>
            <w:r>
              <w:rPr>
                <w:rFonts w:hint="eastAsia" w:cs="宋体" w:asciiTheme="majorEastAsia" w:hAnsiTheme="majorEastAsia" w:eastAsiaTheme="majorEastAsia"/>
                <w:color w:val="222222"/>
                <w:spacing w:val="8"/>
                <w:kern w:val="0"/>
                <w:sz w:val="18"/>
                <w:szCs w:val="18"/>
              </w:rPr>
              <w:t>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农药类有机污染物含量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300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项以内每增加一项加</w:t>
            </w:r>
            <w:r>
              <w:rPr>
                <w:rFonts w:cs="宋体" w:asciiTheme="majorEastAsia" w:hAnsiTheme="majorEastAsia" w:eastAsiaTheme="majorEastAsia"/>
                <w:color w:val="222222"/>
                <w:spacing w:val="8"/>
                <w:kern w:val="0"/>
                <w:sz w:val="18"/>
                <w:szCs w:val="18"/>
              </w:rPr>
              <w:t>200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项以上每增加一项加</w:t>
            </w:r>
            <w:r>
              <w:rPr>
                <w:rFonts w:cs="宋体" w:asciiTheme="majorEastAsia" w:hAnsiTheme="majorEastAsia" w:eastAsiaTheme="majorEastAsia"/>
                <w:color w:val="222222"/>
                <w:spacing w:val="8"/>
                <w:kern w:val="0"/>
                <w:sz w:val="18"/>
                <w:szCs w:val="18"/>
              </w:rPr>
              <w:t>150</w:t>
            </w:r>
            <w:r>
              <w:rPr>
                <w:rFonts w:hint="eastAsia" w:cs="宋体" w:asciiTheme="majorEastAsia" w:hAnsiTheme="majorEastAsia" w:eastAsiaTheme="majorEastAsia"/>
                <w:color w:val="222222"/>
                <w:spacing w:val="8"/>
                <w:kern w:val="0"/>
                <w:sz w:val="18"/>
                <w:szCs w:val="18"/>
              </w:rPr>
              <w:t>，最高</w:t>
            </w:r>
            <w:r>
              <w:rPr>
                <w:rFonts w:cs="宋体" w:asciiTheme="majorEastAsia" w:hAnsiTheme="majorEastAsia" w:eastAsiaTheme="majorEastAsia"/>
                <w:color w:val="222222"/>
                <w:spacing w:val="8"/>
                <w:kern w:val="0"/>
                <w:sz w:val="18"/>
                <w:szCs w:val="18"/>
              </w:rPr>
              <w:t>3500</w:t>
            </w:r>
            <w:r>
              <w:rPr>
                <w:rFonts w:hint="eastAsia" w:cs="宋体" w:asciiTheme="majorEastAsia" w:hAnsiTheme="majorEastAsia" w:eastAsiaTheme="majorEastAsia"/>
                <w:color w:val="222222"/>
                <w:spacing w:val="8"/>
                <w:kern w:val="0"/>
                <w:sz w:val="18"/>
                <w:szCs w:val="18"/>
              </w:rPr>
              <w:t>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其他类有机污染物含量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300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项以内每增加一项加</w:t>
            </w:r>
            <w:r>
              <w:rPr>
                <w:rFonts w:cs="宋体" w:asciiTheme="majorEastAsia" w:hAnsiTheme="majorEastAsia" w:eastAsiaTheme="majorEastAsia"/>
                <w:color w:val="222222"/>
                <w:spacing w:val="8"/>
                <w:kern w:val="0"/>
                <w:sz w:val="18"/>
                <w:szCs w:val="18"/>
              </w:rPr>
              <w:t>200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项以上每增加一项加</w:t>
            </w:r>
            <w:r>
              <w:rPr>
                <w:rFonts w:cs="宋体" w:asciiTheme="majorEastAsia" w:hAnsiTheme="majorEastAsia" w:eastAsiaTheme="majorEastAsia"/>
                <w:color w:val="222222"/>
                <w:spacing w:val="8"/>
                <w:kern w:val="0"/>
                <w:sz w:val="18"/>
                <w:szCs w:val="18"/>
              </w:rPr>
              <w:t>150</w:t>
            </w:r>
            <w:r>
              <w:rPr>
                <w:rFonts w:hint="eastAsia" w:cs="宋体" w:asciiTheme="majorEastAsia" w:hAnsiTheme="majorEastAsia" w:eastAsiaTheme="majorEastAsia"/>
                <w:color w:val="222222"/>
                <w:spacing w:val="8"/>
                <w:kern w:val="0"/>
                <w:sz w:val="18"/>
                <w:szCs w:val="18"/>
              </w:rPr>
              <w:t>，最高</w:t>
            </w:r>
            <w:r>
              <w:rPr>
                <w:rFonts w:cs="宋体" w:asciiTheme="majorEastAsia" w:hAnsiTheme="majorEastAsia" w:eastAsiaTheme="majorEastAsia"/>
                <w:color w:val="222222"/>
                <w:spacing w:val="8"/>
                <w:kern w:val="0"/>
                <w:sz w:val="18"/>
                <w:szCs w:val="18"/>
              </w:rPr>
              <w:t>3500</w:t>
            </w:r>
            <w:r>
              <w:rPr>
                <w:rFonts w:hint="eastAsia" w:cs="宋体" w:asciiTheme="majorEastAsia" w:hAnsiTheme="majorEastAsia" w:eastAsiaTheme="majorEastAsia"/>
                <w:color w:val="222222"/>
                <w:spacing w:val="8"/>
                <w:kern w:val="0"/>
                <w:sz w:val="18"/>
                <w:szCs w:val="18"/>
              </w:rPr>
              <w:t>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甲醛</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丁基黄原酸</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微囊藻毒素（MC-RR、MC-LR、MC-YR）</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苯胺（类）</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联苯胺</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烷基汞（包括甲基汞、乙基汞）</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石油烃</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四乙基铅</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二</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空气和废气</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林格曼黑度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烟尘（颗粒物）、烟气参数</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高于20mg/m3浓度</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烟尘（颗粒物）、烟气参数</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低于20mg/m3浓度</w:t>
            </w:r>
          </w:p>
          <w:p>
            <w:pPr>
              <w:widowControl/>
              <w:wordWrap w:val="0"/>
              <w:jc w:val="center"/>
              <w:rPr>
                <w:rFonts w:cs="宋体" w:asciiTheme="majorEastAsia" w:hAnsiTheme="majorEastAsia" w:eastAsiaTheme="majorEastAsia"/>
                <w:color w:val="222222"/>
                <w:spacing w:val="8"/>
                <w:kern w:val="0"/>
                <w:sz w:val="18"/>
                <w:szCs w:val="18"/>
              </w:rPr>
            </w:pPr>
          </w:p>
          <w:p>
            <w:pPr>
              <w:widowControl/>
              <w:wordWrap w:val="0"/>
              <w:jc w:val="center"/>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总悬浮颗粒物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日均值最高1000</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PM</w:t>
            </w:r>
            <w:r>
              <w:rPr>
                <w:rFonts w:hint="eastAsia" w:cs="宋体" w:asciiTheme="majorEastAsia" w:hAnsiTheme="majorEastAsia" w:eastAsiaTheme="majorEastAsia"/>
                <w:color w:val="222222"/>
                <w:spacing w:val="8"/>
                <w:kern w:val="0"/>
                <w:sz w:val="18"/>
                <w:szCs w:val="18"/>
                <w:vertAlign w:val="subscript"/>
              </w:rPr>
              <w:t>10</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日均值最高1000</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PM</w:t>
            </w:r>
            <w:r>
              <w:rPr>
                <w:rFonts w:hint="eastAsia" w:cs="宋体" w:asciiTheme="majorEastAsia" w:hAnsiTheme="majorEastAsia" w:eastAsiaTheme="majorEastAsia"/>
                <w:color w:val="222222"/>
                <w:spacing w:val="8"/>
                <w:kern w:val="0"/>
                <w:sz w:val="18"/>
                <w:szCs w:val="18"/>
                <w:vertAlign w:val="subscript"/>
              </w:rPr>
              <w:t>2.5</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日均值最高1000</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石棉尘</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沥青烟</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饮食业油烟</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二</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空气和废气</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光气</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氰化氢</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臭氧</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一氧化碳</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二氧化碳</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氨、铵离子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一氧化氮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二氧化氮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氮氧化物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污染源</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氮氧化物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环境空气（小时均值）</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二氧化硫</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污染源</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二氧化硫</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环境空气（小时均值）</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硫酸盐(硫酸根)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亚硫酸根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硫酸雾</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硫酸盐化速率</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800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硫化氢</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氟化物、氟离子、氟化氢</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氯离子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氯化氢</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氯气</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铬酸雾</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铬(六价)</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溴离子、亚硝酸根、硝酸根、磷酸根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第1项300，每增加一项加100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五氧化二磷</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苯可溶物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氡</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甲醛</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苯并[a]芘</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TVOC</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空内空气、环境空气</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总挥发性有机物（VOC</w:t>
            </w:r>
            <w:r>
              <w:rPr>
                <w:rFonts w:hint="eastAsia" w:cs="宋体" w:asciiTheme="majorEastAsia" w:hAnsiTheme="majorEastAsia" w:eastAsiaTheme="majorEastAsia"/>
                <w:color w:val="222222"/>
                <w:spacing w:val="8"/>
                <w:kern w:val="0"/>
                <w:sz w:val="18"/>
                <w:szCs w:val="18"/>
                <w:vertAlign w:val="subscript"/>
              </w:rPr>
              <w:t>S</w:t>
            </w:r>
            <w:r>
              <w:rPr>
                <w:rFonts w:hint="eastAsia" w:cs="宋体" w:asciiTheme="majorEastAsia" w:hAnsiTheme="majorEastAsia" w:eastAsiaTheme="majorEastAsia"/>
                <w:color w:val="222222"/>
                <w:spacing w:val="8"/>
                <w:kern w:val="0"/>
                <w:sz w:val="18"/>
                <w:szCs w:val="18"/>
              </w:rPr>
              <w:t>）</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污染源</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臭气浓度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二</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空气和废气</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金属元素</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第1项300，5项以内每增加一项加200，5项以上每增加一项加100，最高2500元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挥发性有机污染物含量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第1项300，每增加一项加150，最高3000元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半挥发性有机污染物含量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300</w:t>
            </w:r>
            <w:r>
              <w:rPr>
                <w:rFonts w:hint="eastAsia" w:cs="宋体" w:asciiTheme="majorEastAsia" w:hAnsiTheme="majorEastAsia" w:eastAsiaTheme="majorEastAsia"/>
                <w:color w:val="222222"/>
                <w:spacing w:val="8"/>
                <w:kern w:val="0"/>
                <w:sz w:val="18"/>
                <w:szCs w:val="18"/>
              </w:rPr>
              <w:t>，每增加一项加</w:t>
            </w:r>
            <w:r>
              <w:rPr>
                <w:rFonts w:cs="宋体" w:asciiTheme="majorEastAsia" w:hAnsiTheme="majorEastAsia" w:eastAsiaTheme="majorEastAsia"/>
                <w:color w:val="222222"/>
                <w:spacing w:val="8"/>
                <w:kern w:val="0"/>
                <w:sz w:val="18"/>
                <w:szCs w:val="18"/>
              </w:rPr>
              <w:t>150</w:t>
            </w:r>
            <w:r>
              <w:rPr>
                <w:rFonts w:hint="eastAsia" w:cs="宋体" w:asciiTheme="majorEastAsia" w:hAnsiTheme="majorEastAsia" w:eastAsiaTheme="majorEastAsia"/>
                <w:color w:val="222222"/>
                <w:spacing w:val="8"/>
                <w:kern w:val="0"/>
                <w:sz w:val="18"/>
                <w:szCs w:val="18"/>
              </w:rPr>
              <w:t>，最高</w:t>
            </w:r>
            <w:r>
              <w:rPr>
                <w:rFonts w:cs="宋体" w:asciiTheme="majorEastAsia" w:hAnsiTheme="majorEastAsia" w:eastAsiaTheme="majorEastAsia"/>
                <w:color w:val="222222"/>
                <w:spacing w:val="8"/>
                <w:kern w:val="0"/>
                <w:sz w:val="18"/>
                <w:szCs w:val="18"/>
              </w:rPr>
              <w:t>3000</w:t>
            </w:r>
            <w:r>
              <w:rPr>
                <w:rFonts w:hint="eastAsia" w:cs="宋体" w:asciiTheme="majorEastAsia" w:hAnsiTheme="majorEastAsia" w:eastAsiaTheme="majorEastAsia"/>
                <w:color w:val="222222"/>
                <w:spacing w:val="8"/>
                <w:kern w:val="0"/>
                <w:sz w:val="18"/>
                <w:szCs w:val="18"/>
              </w:rPr>
              <w:t>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农药类有机污染物含量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300</w:t>
            </w:r>
            <w:r>
              <w:rPr>
                <w:rFonts w:hint="eastAsia" w:cs="宋体" w:asciiTheme="majorEastAsia" w:hAnsiTheme="majorEastAsia" w:eastAsiaTheme="majorEastAsia"/>
                <w:color w:val="222222"/>
                <w:spacing w:val="8"/>
                <w:kern w:val="0"/>
                <w:sz w:val="18"/>
                <w:szCs w:val="18"/>
              </w:rPr>
              <w:t>，每增加一项加</w:t>
            </w:r>
            <w:r>
              <w:rPr>
                <w:rFonts w:cs="宋体" w:asciiTheme="majorEastAsia" w:hAnsiTheme="majorEastAsia" w:eastAsiaTheme="majorEastAsia"/>
                <w:color w:val="222222"/>
                <w:spacing w:val="8"/>
                <w:kern w:val="0"/>
                <w:sz w:val="18"/>
                <w:szCs w:val="18"/>
              </w:rPr>
              <w:t>150</w:t>
            </w:r>
            <w:r>
              <w:rPr>
                <w:rFonts w:hint="eastAsia" w:cs="宋体" w:asciiTheme="majorEastAsia" w:hAnsiTheme="majorEastAsia" w:eastAsiaTheme="majorEastAsia"/>
                <w:color w:val="222222"/>
                <w:spacing w:val="8"/>
                <w:kern w:val="0"/>
                <w:sz w:val="18"/>
                <w:szCs w:val="18"/>
              </w:rPr>
              <w:t>，最高</w:t>
            </w:r>
            <w:r>
              <w:rPr>
                <w:rFonts w:cs="宋体" w:asciiTheme="majorEastAsia" w:hAnsiTheme="majorEastAsia" w:eastAsiaTheme="majorEastAsia"/>
                <w:color w:val="222222"/>
                <w:spacing w:val="8"/>
                <w:kern w:val="0"/>
                <w:sz w:val="18"/>
                <w:szCs w:val="18"/>
              </w:rPr>
              <w:t>3000</w:t>
            </w:r>
            <w:r>
              <w:rPr>
                <w:rFonts w:hint="eastAsia" w:cs="宋体" w:asciiTheme="majorEastAsia" w:hAnsiTheme="majorEastAsia" w:eastAsiaTheme="majorEastAsia"/>
                <w:color w:val="222222"/>
                <w:spacing w:val="8"/>
                <w:kern w:val="0"/>
                <w:sz w:val="18"/>
                <w:szCs w:val="18"/>
              </w:rPr>
              <w:t>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其他类有机污染物含量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300</w:t>
            </w:r>
            <w:r>
              <w:rPr>
                <w:rFonts w:hint="eastAsia" w:cs="宋体" w:asciiTheme="majorEastAsia" w:hAnsiTheme="majorEastAsia" w:eastAsiaTheme="majorEastAsia"/>
                <w:color w:val="222222"/>
                <w:spacing w:val="8"/>
                <w:kern w:val="0"/>
                <w:sz w:val="18"/>
                <w:szCs w:val="18"/>
              </w:rPr>
              <w:t>，每增加一项加</w:t>
            </w:r>
            <w:r>
              <w:rPr>
                <w:rFonts w:cs="宋体" w:asciiTheme="majorEastAsia" w:hAnsiTheme="majorEastAsia" w:eastAsiaTheme="majorEastAsia"/>
                <w:color w:val="222222"/>
                <w:spacing w:val="8"/>
                <w:kern w:val="0"/>
                <w:sz w:val="18"/>
                <w:szCs w:val="18"/>
              </w:rPr>
              <w:t>150</w:t>
            </w:r>
            <w:r>
              <w:rPr>
                <w:rFonts w:hint="eastAsia" w:cs="宋体" w:asciiTheme="majorEastAsia" w:hAnsiTheme="majorEastAsia" w:eastAsiaTheme="majorEastAsia"/>
                <w:color w:val="222222"/>
                <w:spacing w:val="8"/>
                <w:kern w:val="0"/>
                <w:sz w:val="18"/>
                <w:szCs w:val="18"/>
              </w:rPr>
              <w:t>，最高</w:t>
            </w:r>
            <w:r>
              <w:rPr>
                <w:rFonts w:cs="宋体" w:asciiTheme="majorEastAsia" w:hAnsiTheme="majorEastAsia" w:eastAsiaTheme="majorEastAsia"/>
                <w:color w:val="222222"/>
                <w:spacing w:val="8"/>
                <w:kern w:val="0"/>
                <w:sz w:val="18"/>
                <w:szCs w:val="18"/>
              </w:rPr>
              <w:t>3000</w:t>
            </w:r>
            <w:r>
              <w:rPr>
                <w:rFonts w:hint="eastAsia" w:cs="宋体" w:asciiTheme="majorEastAsia" w:hAnsiTheme="majorEastAsia" w:eastAsiaTheme="majorEastAsia"/>
                <w:color w:val="222222"/>
                <w:spacing w:val="8"/>
                <w:kern w:val="0"/>
                <w:sz w:val="18"/>
                <w:szCs w:val="18"/>
              </w:rPr>
              <w:t>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二噁英类</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样</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三</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土壤、沉积物、污泥</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pH</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干物质和水分</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电导率</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容重</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氧化还原电位</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有机质（碳氮比、有机碳、有机物）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阳离子交换量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全硫</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有效硫</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有效硅</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最大吸湿量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土粒密度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盐基饱和度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碱化度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可交换酸度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水解性总酸度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石灰施用量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交换性盐基及盐基总量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水溶性硫酸盐和酸溶性硫酸盐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水溶性盐分</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机械组成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氟化物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氯离子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硫酸根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氰化物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总氰化物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三</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土壤、沉积物、污泥</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总碱度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矿物油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有效钼</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全氮（总氮）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氨氮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180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亚硝酸盐氮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180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硝酸盐氮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180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水解性氮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180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硝态氮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180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铵态氮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180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总磷（全磷）</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有效磷</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有效硼</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硼</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细菌总数</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180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大肠菌群</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180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蛔虫卵</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混合液污泥浓度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脂肪酸</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总石油烃</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腐殖质</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400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大肠菌值（粪大肠菌群）</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蛔虫卵死亡率</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放射性核素</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400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元素全量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第1项200，每增加一项加150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元素有效态</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挥发性有机污染物含量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第1项250，5项以内每增加一项加200，5项以上每增加一项加150，最高3500元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三</w:t>
            </w:r>
          </w:p>
        </w:tc>
        <w:tc>
          <w:tcPr>
            <w:tcW w:w="159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土壤、沉积物、污泥</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半挥发性有机污染物含量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250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项以内每增加一项加</w:t>
            </w:r>
            <w:r>
              <w:rPr>
                <w:rFonts w:cs="宋体" w:asciiTheme="majorEastAsia" w:hAnsiTheme="majorEastAsia" w:eastAsiaTheme="majorEastAsia"/>
                <w:color w:val="222222"/>
                <w:spacing w:val="8"/>
                <w:kern w:val="0"/>
                <w:sz w:val="18"/>
                <w:szCs w:val="18"/>
              </w:rPr>
              <w:t>200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项以上每增加一项加</w:t>
            </w:r>
            <w:r>
              <w:rPr>
                <w:rFonts w:cs="宋体" w:asciiTheme="majorEastAsia" w:hAnsiTheme="majorEastAsia" w:eastAsiaTheme="majorEastAsia"/>
                <w:color w:val="222222"/>
                <w:spacing w:val="8"/>
                <w:kern w:val="0"/>
                <w:sz w:val="18"/>
                <w:szCs w:val="18"/>
              </w:rPr>
              <w:t>150</w:t>
            </w:r>
            <w:r>
              <w:rPr>
                <w:rFonts w:hint="eastAsia" w:cs="宋体" w:asciiTheme="majorEastAsia" w:hAnsiTheme="majorEastAsia" w:eastAsiaTheme="majorEastAsia"/>
                <w:color w:val="222222"/>
                <w:spacing w:val="8"/>
                <w:kern w:val="0"/>
                <w:sz w:val="18"/>
                <w:szCs w:val="18"/>
              </w:rPr>
              <w:t>，最高</w:t>
            </w:r>
            <w:r>
              <w:rPr>
                <w:rFonts w:cs="宋体" w:asciiTheme="majorEastAsia" w:hAnsiTheme="majorEastAsia" w:eastAsiaTheme="majorEastAsia"/>
                <w:color w:val="222222"/>
                <w:spacing w:val="8"/>
                <w:kern w:val="0"/>
                <w:sz w:val="18"/>
                <w:szCs w:val="18"/>
              </w:rPr>
              <w:t>3500</w:t>
            </w:r>
            <w:r>
              <w:rPr>
                <w:rFonts w:hint="eastAsia" w:cs="宋体" w:asciiTheme="majorEastAsia" w:hAnsiTheme="majorEastAsia" w:eastAsiaTheme="majorEastAsia"/>
                <w:color w:val="222222"/>
                <w:spacing w:val="8"/>
                <w:kern w:val="0"/>
                <w:sz w:val="18"/>
                <w:szCs w:val="18"/>
              </w:rPr>
              <w:t>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三</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土壤、沉积物、污泥</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农药类有机污染物含量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250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项以内每增加一项加</w:t>
            </w:r>
            <w:r>
              <w:rPr>
                <w:rFonts w:cs="宋体" w:asciiTheme="majorEastAsia" w:hAnsiTheme="majorEastAsia" w:eastAsiaTheme="majorEastAsia"/>
                <w:color w:val="222222"/>
                <w:spacing w:val="8"/>
                <w:kern w:val="0"/>
                <w:sz w:val="18"/>
                <w:szCs w:val="18"/>
              </w:rPr>
              <w:t>200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项以上每增加一项加</w:t>
            </w:r>
            <w:r>
              <w:rPr>
                <w:rFonts w:cs="宋体" w:asciiTheme="majorEastAsia" w:hAnsiTheme="majorEastAsia" w:eastAsiaTheme="majorEastAsia"/>
                <w:color w:val="222222"/>
                <w:spacing w:val="8"/>
                <w:kern w:val="0"/>
                <w:sz w:val="18"/>
                <w:szCs w:val="18"/>
              </w:rPr>
              <w:t>150</w:t>
            </w:r>
            <w:r>
              <w:rPr>
                <w:rFonts w:hint="eastAsia" w:cs="宋体" w:asciiTheme="majorEastAsia" w:hAnsiTheme="majorEastAsia" w:eastAsiaTheme="majorEastAsia"/>
                <w:color w:val="222222"/>
                <w:spacing w:val="8"/>
                <w:kern w:val="0"/>
                <w:sz w:val="18"/>
                <w:szCs w:val="18"/>
              </w:rPr>
              <w:t>，最高</w:t>
            </w:r>
            <w:r>
              <w:rPr>
                <w:rFonts w:cs="宋体" w:asciiTheme="majorEastAsia" w:hAnsiTheme="majorEastAsia" w:eastAsiaTheme="majorEastAsia"/>
                <w:color w:val="222222"/>
                <w:spacing w:val="8"/>
                <w:kern w:val="0"/>
                <w:sz w:val="18"/>
                <w:szCs w:val="18"/>
              </w:rPr>
              <w:t>3500</w:t>
            </w:r>
            <w:r>
              <w:rPr>
                <w:rFonts w:hint="eastAsia" w:cs="宋体" w:asciiTheme="majorEastAsia" w:hAnsiTheme="majorEastAsia" w:eastAsiaTheme="majorEastAsia"/>
                <w:color w:val="222222"/>
                <w:spacing w:val="8"/>
                <w:kern w:val="0"/>
                <w:sz w:val="18"/>
                <w:szCs w:val="18"/>
              </w:rPr>
              <w:t>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其他类有机污染物含量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250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项以内每增加一项加</w:t>
            </w:r>
            <w:r>
              <w:rPr>
                <w:rFonts w:cs="宋体" w:asciiTheme="majorEastAsia" w:hAnsiTheme="majorEastAsia" w:eastAsiaTheme="majorEastAsia"/>
                <w:color w:val="222222"/>
                <w:spacing w:val="8"/>
                <w:kern w:val="0"/>
                <w:sz w:val="18"/>
                <w:szCs w:val="18"/>
              </w:rPr>
              <w:t>200</w:t>
            </w:r>
            <w:r>
              <w:rPr>
                <w:rFonts w:hint="eastAsia" w:cs="宋体" w:asciiTheme="majorEastAsia" w:hAnsiTheme="majorEastAsia" w:eastAsiaTheme="majorEastAsia"/>
                <w:color w:val="222222"/>
                <w:spacing w:val="8"/>
                <w:kern w:val="0"/>
                <w:sz w:val="18"/>
                <w:szCs w:val="18"/>
              </w:rPr>
              <w:t>，</w:t>
            </w:r>
            <w:r>
              <w:rPr>
                <w:rFonts w:cs="宋体" w:asciiTheme="majorEastAsia" w:hAnsiTheme="majorEastAsia" w:eastAsiaTheme="majorEastAsia"/>
                <w:color w:val="222222"/>
                <w:spacing w:val="8"/>
                <w:kern w:val="0"/>
                <w:sz w:val="18"/>
                <w:szCs w:val="18"/>
              </w:rPr>
              <w:t>5</w:t>
            </w:r>
            <w:r>
              <w:rPr>
                <w:rFonts w:hint="eastAsia" w:cs="宋体" w:asciiTheme="majorEastAsia" w:hAnsiTheme="majorEastAsia" w:eastAsiaTheme="majorEastAsia"/>
                <w:color w:val="222222"/>
                <w:spacing w:val="8"/>
                <w:kern w:val="0"/>
                <w:sz w:val="18"/>
                <w:szCs w:val="18"/>
              </w:rPr>
              <w:t>项以上每增加一项加</w:t>
            </w:r>
            <w:r>
              <w:rPr>
                <w:rFonts w:cs="宋体" w:asciiTheme="majorEastAsia" w:hAnsiTheme="majorEastAsia" w:eastAsiaTheme="majorEastAsia"/>
                <w:color w:val="222222"/>
                <w:spacing w:val="8"/>
                <w:kern w:val="0"/>
                <w:sz w:val="18"/>
                <w:szCs w:val="18"/>
              </w:rPr>
              <w:t>150</w:t>
            </w:r>
            <w:r>
              <w:rPr>
                <w:rFonts w:hint="eastAsia" w:cs="宋体" w:asciiTheme="majorEastAsia" w:hAnsiTheme="majorEastAsia" w:eastAsiaTheme="majorEastAsia"/>
                <w:color w:val="222222"/>
                <w:spacing w:val="8"/>
                <w:kern w:val="0"/>
                <w:sz w:val="18"/>
                <w:szCs w:val="18"/>
              </w:rPr>
              <w:t>，最高</w:t>
            </w:r>
            <w:r>
              <w:rPr>
                <w:rFonts w:cs="宋体" w:asciiTheme="majorEastAsia" w:hAnsiTheme="majorEastAsia" w:eastAsiaTheme="majorEastAsia"/>
                <w:color w:val="222222"/>
                <w:spacing w:val="8"/>
                <w:kern w:val="0"/>
                <w:sz w:val="18"/>
                <w:szCs w:val="18"/>
              </w:rPr>
              <w:t>3500</w:t>
            </w:r>
            <w:r>
              <w:rPr>
                <w:rFonts w:hint="eastAsia" w:cs="宋体" w:asciiTheme="majorEastAsia" w:hAnsiTheme="majorEastAsia" w:eastAsiaTheme="majorEastAsia"/>
                <w:color w:val="222222"/>
                <w:spacing w:val="8"/>
                <w:kern w:val="0"/>
                <w:sz w:val="18"/>
                <w:szCs w:val="18"/>
              </w:rPr>
              <w:t>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四</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固体废物和危险废物</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前处理（浸出毒性-无机项目）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样</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前处理（浸出毒性-有机项目）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样</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含水率</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四</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固体废物和危险废物</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有机质</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热酌减率</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溴酸根、氯离子、亚硝酸根、溴离子、硝酸根、磷酸根、硫酸根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第1项250，每增加一项加150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氟化物、氟离子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氰化物、氰酸根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总磷</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元素全量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第1项200，每增加一项加150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元素浸出量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第1项200，每增加一项加100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挥发性有机污染物含量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第1项300，每增加一项加200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半挥发性有机污染物含量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ind w:firstLine="315"/>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300</w:t>
            </w:r>
            <w:r>
              <w:rPr>
                <w:rFonts w:hint="eastAsia" w:cs="宋体" w:asciiTheme="majorEastAsia" w:hAnsiTheme="majorEastAsia" w:eastAsiaTheme="majorEastAsia"/>
                <w:color w:val="222222"/>
                <w:spacing w:val="8"/>
                <w:kern w:val="0"/>
                <w:sz w:val="18"/>
                <w:szCs w:val="18"/>
              </w:rPr>
              <w:t>，每增加一项加</w:t>
            </w:r>
            <w:r>
              <w:rPr>
                <w:rFonts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农药类有机污染物含量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300</w:t>
            </w:r>
            <w:r>
              <w:rPr>
                <w:rFonts w:hint="eastAsia" w:cs="宋体" w:asciiTheme="majorEastAsia" w:hAnsiTheme="majorEastAsia" w:eastAsiaTheme="majorEastAsia"/>
                <w:color w:val="222222"/>
                <w:spacing w:val="8"/>
                <w:kern w:val="0"/>
                <w:sz w:val="18"/>
                <w:szCs w:val="18"/>
              </w:rPr>
              <w:t>，每增加一项加</w:t>
            </w:r>
            <w:r>
              <w:rPr>
                <w:rFonts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其他类有机污染物含量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第</w:t>
            </w:r>
            <w:r>
              <w:rPr>
                <w:rFonts w:cs="宋体" w:asciiTheme="majorEastAsia" w:hAnsiTheme="majorEastAsia" w:eastAsiaTheme="majorEastAsia"/>
                <w:color w:val="222222"/>
                <w:spacing w:val="8"/>
                <w:kern w:val="0"/>
                <w:sz w:val="18"/>
                <w:szCs w:val="18"/>
              </w:rPr>
              <w:t>1</w:t>
            </w:r>
            <w:r>
              <w:rPr>
                <w:rFonts w:hint="eastAsia" w:cs="宋体" w:asciiTheme="majorEastAsia" w:hAnsiTheme="majorEastAsia" w:eastAsiaTheme="majorEastAsia"/>
                <w:color w:val="222222"/>
                <w:spacing w:val="8"/>
                <w:kern w:val="0"/>
                <w:sz w:val="18"/>
                <w:szCs w:val="18"/>
              </w:rPr>
              <w:t>项</w:t>
            </w:r>
            <w:r>
              <w:rPr>
                <w:rFonts w:cs="宋体" w:asciiTheme="majorEastAsia" w:hAnsiTheme="majorEastAsia" w:eastAsiaTheme="majorEastAsia"/>
                <w:color w:val="222222"/>
                <w:spacing w:val="8"/>
                <w:kern w:val="0"/>
                <w:sz w:val="18"/>
                <w:szCs w:val="18"/>
              </w:rPr>
              <w:t>300</w:t>
            </w:r>
            <w:r>
              <w:rPr>
                <w:rFonts w:hint="eastAsia" w:cs="宋体" w:asciiTheme="majorEastAsia" w:hAnsiTheme="majorEastAsia" w:eastAsiaTheme="majorEastAsia"/>
                <w:color w:val="222222"/>
                <w:spacing w:val="8"/>
                <w:kern w:val="0"/>
                <w:sz w:val="18"/>
                <w:szCs w:val="18"/>
              </w:rPr>
              <w:t>，每增加一项加</w:t>
            </w:r>
            <w:r>
              <w:rPr>
                <w:rFonts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热值</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氰化物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烷基汞</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腐蚀性</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易燃性</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反应性</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二噁英类</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样</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五</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海水</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金属元素</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油类</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六六六（α-六六六、β-六六六、γ-六六六、δ-六六六）</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DDT（P，P，-DDE、O，P-DDT、P，P，-DDD、P，P，-DDT）</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多氯联苯</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800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狄氏剂</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活性硅酸盐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挥发性酚</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氰化物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透明度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阴离子表面活性剂</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嗅和味</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水温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pH</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五</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海水</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悬浮物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氯化物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盐度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浑浊度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溶解氧</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化学需氧量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生化需氧量</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总有机碳</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氨</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亚硝酸盐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硝酸盐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无机磷</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总磷</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活性磷酸盐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六</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海洋沉积物</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金属元素</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油类</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1875"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hint="eastAsia"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666、DDT</w:t>
            </w:r>
          </w:p>
          <w:p>
            <w:pPr>
              <w:widowControl/>
              <w:wordWrap w:val="0"/>
              <w:rPr>
                <w:rFonts w:hint="eastAsia" w:cs="宋体" w:asciiTheme="majorEastAsia" w:hAnsiTheme="majorEastAsia" w:eastAsiaTheme="majorEastAsia"/>
                <w:color w:val="222222"/>
                <w:spacing w:val="8"/>
                <w:kern w:val="0"/>
                <w:sz w:val="18"/>
                <w:szCs w:val="18"/>
              </w:rPr>
            </w:pPr>
          </w:p>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（α-六六六、β-六六六、γ-六六六、δ-六六六、P,P,-DDE, O,P-DDT,  P,P,-DDD, P,P,-DDT</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多氯联苯</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800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狄氏剂</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350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硫化物</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160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有机碳</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含水率</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氧化还原电位</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七</w:t>
            </w:r>
          </w:p>
        </w:tc>
        <w:tc>
          <w:tcPr>
            <w:tcW w:w="159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油气回收</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泄漏浓度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c>
          <w:tcPr>
            <w:tcW w:w="159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液阻、密闭性、气液比</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每个油站5台加油机以内4000元，每增加一台加油机加1000元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八</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噪声和振动</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噪声</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夜间加收300%</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频谱分析</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振动</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九</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电磁（电离）辐射</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工频电场强度、工频磁场强度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工频电场强度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九</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电磁（电离）辐射</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电场强度、磁场强度、功率密度</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300元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无线电干扰场强</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X、γ射线剂量率</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α、β表面污染</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点</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200元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十</w:t>
            </w:r>
          </w:p>
        </w:tc>
        <w:tc>
          <w:tcPr>
            <w:tcW w:w="1591"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自动监测设备验收比对监测</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pH值</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台</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1500元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化学需氧量(CODCr)</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台</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5000元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台</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氨氮</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台</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4000元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总磷</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台</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烟尘、颗粒物\氧量、烟气流速、烟气温度、氮氧化物、二氧化硫</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台</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10000元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烟尘、颗粒物低浓度排放加收6000元/台</w:t>
            </w: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金属元素</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台</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6000元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vMerge w:val="continue"/>
            <w:tcBorders>
              <w:top w:val="nil"/>
              <w:left w:val="single" w:color="auto" w:sz="6" w:space="0"/>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1591" w:type="dxa"/>
            <w:vMerge w:val="continue"/>
            <w:tcBorders>
              <w:top w:val="nil"/>
              <w:left w:val="nil"/>
              <w:bottom w:val="single" w:color="auto" w:sz="6" w:space="0"/>
              <w:right w:val="single" w:color="auto" w:sz="6" w:space="0"/>
            </w:tcBorders>
            <w:shd w:val="clear" w:color="auto" w:fill="FFFFFF"/>
            <w:vAlign w:val="center"/>
          </w:tcPr>
          <w:p>
            <w:pPr>
              <w:widowControl/>
              <w:jc w:val="left"/>
              <w:rPr>
                <w:rFonts w:cs="宋体" w:asciiTheme="majorEastAsia" w:hAnsiTheme="majorEastAsia" w:eastAsiaTheme="majorEastAsia"/>
                <w:color w:val="222222"/>
                <w:spacing w:val="8"/>
                <w:kern w:val="0"/>
                <w:sz w:val="18"/>
                <w:szCs w:val="18"/>
              </w:rPr>
            </w:pP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挥发性有机物VOC</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台</w:t>
            </w: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8000元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r>
        <w:tblPrEx>
          <w:tblLayout w:type="fixed"/>
          <w:tblCellMar>
            <w:top w:w="0" w:type="dxa"/>
            <w:left w:w="0" w:type="dxa"/>
            <w:bottom w:w="0" w:type="dxa"/>
            <w:right w:w="0" w:type="dxa"/>
          </w:tblCellMar>
        </w:tblPrEx>
        <w:trPr>
          <w:trHeight w:val="240" w:hRule="atLeast"/>
        </w:trPr>
        <w:tc>
          <w:tcPr>
            <w:tcW w:w="718"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十一</w:t>
            </w:r>
          </w:p>
        </w:tc>
        <w:tc>
          <w:tcPr>
            <w:tcW w:w="159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b/>
                <w:bCs/>
                <w:color w:val="222222"/>
                <w:spacing w:val="8"/>
                <w:kern w:val="0"/>
                <w:sz w:val="18"/>
                <w:szCs w:val="18"/>
              </w:rPr>
              <w:t>采样</w:t>
            </w:r>
          </w:p>
        </w:tc>
        <w:tc>
          <w:tcPr>
            <w:tcW w:w="21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交通费</w:t>
            </w:r>
          </w:p>
        </w:tc>
        <w:tc>
          <w:tcPr>
            <w:tcW w:w="116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c>
          <w:tcPr>
            <w:tcW w:w="18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jc w:val="center"/>
              <w:rPr>
                <w:rFonts w:cs="宋体" w:asciiTheme="majorEastAsia" w:hAnsiTheme="majorEastAsia" w:eastAsiaTheme="majorEastAsia"/>
                <w:color w:val="222222"/>
                <w:spacing w:val="8"/>
                <w:kern w:val="0"/>
                <w:sz w:val="18"/>
                <w:szCs w:val="18"/>
              </w:rPr>
            </w:pPr>
            <w:r>
              <w:rPr>
                <w:rFonts w:hint="eastAsia" w:cs="宋体" w:asciiTheme="majorEastAsia" w:hAnsiTheme="majorEastAsia" w:eastAsiaTheme="majorEastAsia"/>
                <w:color w:val="222222"/>
                <w:spacing w:val="8"/>
                <w:kern w:val="0"/>
                <w:sz w:val="18"/>
                <w:szCs w:val="18"/>
              </w:rPr>
              <w:t>每天1000元，半天500元</w:t>
            </w:r>
          </w:p>
        </w:tc>
        <w:tc>
          <w:tcPr>
            <w:tcW w:w="18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wordWrap w:val="0"/>
              <w:rPr>
                <w:rFonts w:cs="宋体" w:asciiTheme="majorEastAsia" w:hAnsiTheme="majorEastAsia" w:eastAsiaTheme="majorEastAsia"/>
                <w:color w:val="222222"/>
                <w:spacing w:val="8"/>
                <w:kern w:val="0"/>
                <w:sz w:val="18"/>
                <w:szCs w:val="18"/>
              </w:rPr>
            </w:pPr>
          </w:p>
        </w:tc>
      </w:tr>
    </w:tbl>
    <w:p/>
    <w:p/>
    <w:p>
      <w:r>
        <w:rPr>
          <w:rFonts w:hint="eastAsia"/>
        </w:rPr>
        <w:t>来源：</w:t>
      </w:r>
      <w:r>
        <w:t>https://www.gdaem.org/news/12569-cn.html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290"/>
    <w:rsid w:val="00057449"/>
    <w:rsid w:val="00066620"/>
    <w:rsid w:val="00084819"/>
    <w:rsid w:val="00093039"/>
    <w:rsid w:val="000B1E79"/>
    <w:rsid w:val="000F4DA4"/>
    <w:rsid w:val="00131F29"/>
    <w:rsid w:val="00143C8A"/>
    <w:rsid w:val="00162300"/>
    <w:rsid w:val="00170568"/>
    <w:rsid w:val="00187744"/>
    <w:rsid w:val="001B56B9"/>
    <w:rsid w:val="001D637C"/>
    <w:rsid w:val="001E06E3"/>
    <w:rsid w:val="00207605"/>
    <w:rsid w:val="00242E43"/>
    <w:rsid w:val="002767EC"/>
    <w:rsid w:val="0028173C"/>
    <w:rsid w:val="002A380C"/>
    <w:rsid w:val="002A7B7B"/>
    <w:rsid w:val="002B0AC9"/>
    <w:rsid w:val="002C282D"/>
    <w:rsid w:val="002D6997"/>
    <w:rsid w:val="002E637D"/>
    <w:rsid w:val="002F7F3A"/>
    <w:rsid w:val="00317D89"/>
    <w:rsid w:val="00324F40"/>
    <w:rsid w:val="0034672D"/>
    <w:rsid w:val="00352353"/>
    <w:rsid w:val="003530B6"/>
    <w:rsid w:val="003761A1"/>
    <w:rsid w:val="003D5554"/>
    <w:rsid w:val="003D650F"/>
    <w:rsid w:val="003E5F41"/>
    <w:rsid w:val="004302E4"/>
    <w:rsid w:val="004359B0"/>
    <w:rsid w:val="0044448E"/>
    <w:rsid w:val="00451584"/>
    <w:rsid w:val="0046134B"/>
    <w:rsid w:val="004704D2"/>
    <w:rsid w:val="004F20A9"/>
    <w:rsid w:val="004F5D7D"/>
    <w:rsid w:val="0050320C"/>
    <w:rsid w:val="005326C4"/>
    <w:rsid w:val="0056245A"/>
    <w:rsid w:val="0056468D"/>
    <w:rsid w:val="00580E96"/>
    <w:rsid w:val="0058135E"/>
    <w:rsid w:val="005E321E"/>
    <w:rsid w:val="005F6F10"/>
    <w:rsid w:val="00615136"/>
    <w:rsid w:val="00630C91"/>
    <w:rsid w:val="00632402"/>
    <w:rsid w:val="00635485"/>
    <w:rsid w:val="00642D3D"/>
    <w:rsid w:val="00643DC4"/>
    <w:rsid w:val="00650FAB"/>
    <w:rsid w:val="00682A46"/>
    <w:rsid w:val="006A043F"/>
    <w:rsid w:val="006D678A"/>
    <w:rsid w:val="006E0699"/>
    <w:rsid w:val="006F1548"/>
    <w:rsid w:val="007046A4"/>
    <w:rsid w:val="00712248"/>
    <w:rsid w:val="00732C42"/>
    <w:rsid w:val="00772160"/>
    <w:rsid w:val="00777B97"/>
    <w:rsid w:val="0079713C"/>
    <w:rsid w:val="007A7A32"/>
    <w:rsid w:val="007C1DB4"/>
    <w:rsid w:val="007D70E7"/>
    <w:rsid w:val="00812A58"/>
    <w:rsid w:val="00813D32"/>
    <w:rsid w:val="008624E4"/>
    <w:rsid w:val="008E0AB0"/>
    <w:rsid w:val="00905C7C"/>
    <w:rsid w:val="00910FD3"/>
    <w:rsid w:val="009222EE"/>
    <w:rsid w:val="00963C38"/>
    <w:rsid w:val="009670C6"/>
    <w:rsid w:val="009728D0"/>
    <w:rsid w:val="009D0765"/>
    <w:rsid w:val="009E735A"/>
    <w:rsid w:val="00A040A1"/>
    <w:rsid w:val="00A13BF8"/>
    <w:rsid w:val="00A6065F"/>
    <w:rsid w:val="00A64394"/>
    <w:rsid w:val="00A72F89"/>
    <w:rsid w:val="00A83470"/>
    <w:rsid w:val="00A94459"/>
    <w:rsid w:val="00A97681"/>
    <w:rsid w:val="00AE52B3"/>
    <w:rsid w:val="00B6194D"/>
    <w:rsid w:val="00C063A3"/>
    <w:rsid w:val="00C34B27"/>
    <w:rsid w:val="00C72BD3"/>
    <w:rsid w:val="00C85C7D"/>
    <w:rsid w:val="00CA6F82"/>
    <w:rsid w:val="00CB2075"/>
    <w:rsid w:val="00CD6F01"/>
    <w:rsid w:val="00D06D5E"/>
    <w:rsid w:val="00D13ADB"/>
    <w:rsid w:val="00D87E8F"/>
    <w:rsid w:val="00DB0D2A"/>
    <w:rsid w:val="00DB4AF9"/>
    <w:rsid w:val="00DB6BB2"/>
    <w:rsid w:val="00DF17F8"/>
    <w:rsid w:val="00E347C2"/>
    <w:rsid w:val="00E4425B"/>
    <w:rsid w:val="00E62649"/>
    <w:rsid w:val="00E87947"/>
    <w:rsid w:val="00EF0290"/>
    <w:rsid w:val="00F205C4"/>
    <w:rsid w:val="00F67ECB"/>
    <w:rsid w:val="00F8795D"/>
    <w:rsid w:val="00FB2B51"/>
    <w:rsid w:val="00FD569A"/>
    <w:rsid w:val="00FE1769"/>
    <w:rsid w:val="28BD6BDD"/>
    <w:rsid w:val="2D191338"/>
    <w:rsid w:val="66657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ITSK.com</Company>
  <Pages>11</Pages>
  <Words>3582</Words>
  <Characters>4442</Characters>
  <Lines>45</Lines>
  <Paragraphs>12</Paragraphs>
  <TotalTime>9</TotalTime>
  <ScaleCrop>false</ScaleCrop>
  <LinksUpToDate>false</LinksUpToDate>
  <CharactersWithSpaces>4446</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2022-05-19T07:30:00Z</dcterms:created>
  <dc:creator>Administrator</dc:creator>
  <cp:lastModifiedBy>成玉菲</cp:lastModifiedBy>
  <dcterms:modified xsi:type="dcterms:W3CDTF">2023-03-22T03:49:16Z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B445EE0ED27542B4A18E0432370C25CA</vt:lpwstr>
  </property>
</Properties>
</file>