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一、项目概括</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（一）项目名称</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韶关市生态环境监测站粤北基地实验室设备及配套设施搬迁服务项目</w:t>
      </w:r>
    </w:p>
    <w:p>
      <w:pPr>
        <w:numPr>
          <w:ilvl w:val="0"/>
          <w:numId w:val="1"/>
        </w:num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采购项目预（概）算</w:t>
      </w:r>
    </w:p>
    <w:p>
      <w:pPr>
        <w:spacing w:line="240" w:lineRule="atLeas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本项目总预算为人民币肆万</w:t>
      </w:r>
      <w:r>
        <w:rPr>
          <w:rFonts w:hint="eastAsia" w:ascii="仿宋_GB2312" w:hAnsi="仿宋_GB2312" w:eastAsia="仿宋_GB2312" w:cs="仿宋_GB2312"/>
          <w:sz w:val="32"/>
          <w:szCs w:val="32"/>
          <w:lang w:eastAsia="zh-CN"/>
        </w:rPr>
        <w:t>捌仟伍佰</w:t>
      </w:r>
      <w:r>
        <w:rPr>
          <w:rFonts w:hint="eastAsia" w:ascii="仿宋_GB2312" w:hAnsi="仿宋_GB2312" w:eastAsia="仿宋_GB2312" w:cs="仿宋_GB2312"/>
          <w:sz w:val="32"/>
          <w:szCs w:val="32"/>
        </w:rPr>
        <w:t>元整（¥4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00.00）（含税）。中标供应商的投标报价及工作范围应被视为已完全满足本项目所要求的一切服务所需的全部费用及内容，若有任何漏项，均由中标供应商自行承担，采购人不再追加任何费用</w:t>
      </w:r>
      <w:r>
        <w:rPr>
          <w:rFonts w:hint="eastAsia" w:ascii="仿宋_GB2312" w:hAnsi="仿宋_GB2312" w:eastAsia="仿宋_GB2312" w:cs="仿宋_GB2312"/>
          <w:sz w:val="32"/>
          <w:szCs w:val="32"/>
          <w:lang w:eastAsia="zh-CN"/>
        </w:rPr>
        <w:t>。</w:t>
      </w:r>
    </w:p>
    <w:p>
      <w:pPr>
        <w:numPr>
          <w:ilvl w:val="0"/>
          <w:numId w:val="2"/>
        </w:numPr>
        <w:spacing w:line="240" w:lineRule="atLeast"/>
        <w:ind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需求清单</w:t>
      </w:r>
    </w:p>
    <w:p>
      <w:pPr>
        <w:numPr>
          <w:ilvl w:val="0"/>
          <w:numId w:val="3"/>
        </w:num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搬迁清单汇总表</w:t>
      </w:r>
    </w:p>
    <w:tbl>
      <w:tblPr>
        <w:tblStyle w:val="4"/>
        <w:tblW w:w="8319" w:type="dxa"/>
        <w:tblInd w:w="93" w:type="dxa"/>
        <w:tblLayout w:type="autofit"/>
        <w:tblCellMar>
          <w:top w:w="0" w:type="dxa"/>
          <w:left w:w="108" w:type="dxa"/>
          <w:bottom w:w="0" w:type="dxa"/>
          <w:right w:w="108" w:type="dxa"/>
        </w:tblCellMar>
      </w:tblPr>
      <w:tblGrid>
        <w:gridCol w:w="2773"/>
        <w:gridCol w:w="5546"/>
      </w:tblGrid>
      <w:tr>
        <w:tblPrEx>
          <w:tblCellMar>
            <w:top w:w="0" w:type="dxa"/>
            <w:left w:w="108" w:type="dxa"/>
            <w:bottom w:w="0" w:type="dxa"/>
            <w:right w:w="108" w:type="dxa"/>
          </w:tblCellMar>
        </w:tblPrEx>
        <w:trPr>
          <w:trHeight w:val="624"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b/>
                <w:bCs/>
                <w:color w:val="000000"/>
                <w:sz w:val="32"/>
                <w:szCs w:val="32"/>
              </w:rPr>
            </w:pPr>
            <w:r>
              <w:rPr>
                <w:rFonts w:ascii="等线" w:hAnsi="等线" w:eastAsia="等线" w:cs="等线"/>
                <w:b/>
                <w:bCs/>
                <w:color w:val="000000"/>
                <w:kern w:val="0"/>
                <w:sz w:val="32"/>
                <w:szCs w:val="32"/>
                <w:lang w:bidi="ar"/>
              </w:rPr>
              <w:t>存放位置</w:t>
            </w:r>
          </w:p>
        </w:tc>
        <w:tc>
          <w:tcPr>
            <w:tcW w:w="554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b/>
                <w:bCs/>
                <w:color w:val="000000"/>
                <w:sz w:val="32"/>
                <w:szCs w:val="32"/>
              </w:rPr>
            </w:pPr>
            <w:r>
              <w:rPr>
                <w:rFonts w:ascii="等线" w:hAnsi="等线" w:eastAsia="等线" w:cs="等线"/>
                <w:b/>
                <w:bCs/>
                <w:color w:val="000000"/>
                <w:kern w:val="0"/>
                <w:sz w:val="32"/>
                <w:szCs w:val="32"/>
                <w:lang w:bidi="ar"/>
              </w:rPr>
              <w:t>需搬运的仪器设备</w:t>
            </w:r>
          </w:p>
        </w:tc>
      </w:tr>
      <w:tr>
        <w:tblPrEx>
          <w:tblCellMar>
            <w:top w:w="0" w:type="dxa"/>
            <w:left w:w="108" w:type="dxa"/>
            <w:bottom w:w="0" w:type="dxa"/>
            <w:right w:w="108" w:type="dxa"/>
          </w:tblCellMar>
        </w:tblPrEx>
        <w:trPr>
          <w:trHeight w:val="624"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b/>
                <w:bCs/>
                <w:color w:val="000000"/>
                <w:sz w:val="32"/>
                <w:szCs w:val="3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b/>
                <w:bCs/>
                <w:color w:val="000000"/>
                <w:sz w:val="32"/>
                <w:szCs w:val="3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103</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9个货架</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201</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2台紫外</w:t>
            </w:r>
            <w:r>
              <w:rPr>
                <w:rFonts w:hint="eastAsia" w:ascii="等线" w:hAnsi="等线" w:eastAsia="等线" w:cs="等线"/>
                <w:color w:val="000000"/>
                <w:kern w:val="0"/>
                <w:sz w:val="22"/>
                <w:szCs w:val="22"/>
                <w:lang w:bidi="ar"/>
              </w:rPr>
              <w:t>分光光度计</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202</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1台冰箱、1台超声波清洗器、1台氮吹仪、1台固相萃取仪</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203</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1台旋转蒸发仪、1台冰箱</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205</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1台高压灭菌锅、1台离心机</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206</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1台微波消解仪、1台COD消解仪、1台COD快消仪、3个柜子</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207</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1台离子色谱</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208</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1台LC-MS</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209</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1台GC-MS、1套UPS</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210</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1台ICP、1套UPS</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211</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1台ICP-MS、1套UPS</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212</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1台原子荧光、1台索氏提取器</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214</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1台冷冻干燥机、1台生化培养箱、1台马弗炉</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215</w:t>
            </w:r>
          </w:p>
        </w:tc>
        <w:tc>
          <w:tcPr>
            <w:tcW w:w="554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1台电热鼓风干燥箱</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217</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1个货架、7个柜子</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218</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1台翻转震荡仪、3个柜子</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219</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3个柜子</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220</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7个货架</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221</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6个货架</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themeColor="text1"/>
                <w:sz w:val="22"/>
                <w:szCs w:val="22"/>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222</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themeColor="text1"/>
                <w:sz w:val="22"/>
                <w:szCs w:val="22"/>
                <w14:textFill>
                  <w14:solidFill>
                    <w14:schemeClr w14:val="tx1"/>
                  </w14:solidFill>
                </w14:textFill>
              </w:rPr>
            </w:pPr>
            <w:r>
              <w:rPr>
                <w:rFonts w:ascii="等线" w:hAnsi="等线" w:eastAsia="等线" w:cs="等线"/>
                <w:color w:val="000000" w:themeColor="text1"/>
                <w:kern w:val="0"/>
                <w:sz w:val="22"/>
                <w:szCs w:val="22"/>
                <w:lang w:bidi="ar"/>
                <w14:textFill>
                  <w14:solidFill>
                    <w14:schemeClr w14:val="tx1"/>
                  </w14:solidFill>
                </w14:textFill>
              </w:rPr>
              <w:t>2个双锁试剂柜、4个柜子</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223</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1台冰箱、1个货架</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224</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1台振荡培养箱</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r>
        <w:tblPrEx>
          <w:tblCellMar>
            <w:top w:w="0" w:type="dxa"/>
            <w:left w:w="108" w:type="dxa"/>
            <w:bottom w:w="0" w:type="dxa"/>
            <w:right w:w="108" w:type="dxa"/>
          </w:tblCellMar>
        </w:tblPrEx>
        <w:trPr>
          <w:trHeight w:val="312" w:hRule="atLeast"/>
        </w:trPr>
        <w:tc>
          <w:tcPr>
            <w:tcW w:w="2773"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hint="eastAsia" w:ascii="等线" w:hAnsi="等线" w:eastAsia="等线" w:cs="等线"/>
                <w:color w:val="000000"/>
                <w:kern w:val="0"/>
                <w:sz w:val="22"/>
                <w:szCs w:val="22"/>
                <w:lang w:bidi="ar"/>
              </w:rPr>
              <w:t>粤北基地实验室</w:t>
            </w:r>
            <w:r>
              <w:rPr>
                <w:rFonts w:ascii="等线" w:hAnsi="等线" w:eastAsia="等线" w:cs="等线"/>
                <w:color w:val="000000"/>
                <w:kern w:val="0"/>
                <w:sz w:val="22"/>
                <w:szCs w:val="22"/>
                <w:lang w:bidi="ar"/>
              </w:rPr>
              <w:t>225</w:t>
            </w:r>
          </w:p>
        </w:tc>
        <w:tc>
          <w:tcPr>
            <w:tcW w:w="5546"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hint="eastAsia" w:ascii="等线" w:hAnsi="等线" w:eastAsia="等线" w:cs="等线"/>
                <w:color w:val="000000"/>
                <w:sz w:val="22"/>
                <w:szCs w:val="22"/>
              </w:rPr>
            </w:pPr>
            <w:r>
              <w:rPr>
                <w:rFonts w:ascii="等线" w:hAnsi="等线" w:eastAsia="等线" w:cs="等线"/>
                <w:color w:val="000000"/>
                <w:kern w:val="0"/>
                <w:sz w:val="22"/>
                <w:szCs w:val="22"/>
                <w:lang w:bidi="ar"/>
              </w:rPr>
              <w:t>1台纯水机</w:t>
            </w:r>
          </w:p>
        </w:tc>
      </w:tr>
      <w:tr>
        <w:tblPrEx>
          <w:tblCellMar>
            <w:top w:w="0" w:type="dxa"/>
            <w:left w:w="108" w:type="dxa"/>
            <w:bottom w:w="0" w:type="dxa"/>
            <w:right w:w="108" w:type="dxa"/>
          </w:tblCellMar>
        </w:tblPrEx>
        <w:trPr>
          <w:trHeight w:val="312" w:hRule="atLeast"/>
        </w:trPr>
        <w:tc>
          <w:tcPr>
            <w:tcW w:w="2773"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c>
          <w:tcPr>
            <w:tcW w:w="5546"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hint="eastAsia" w:ascii="等线" w:hAnsi="等线" w:eastAsia="等线" w:cs="等线"/>
                <w:color w:val="000000"/>
                <w:sz w:val="22"/>
                <w:szCs w:val="22"/>
              </w:rPr>
            </w:pPr>
          </w:p>
        </w:tc>
      </w:tr>
    </w:tbl>
    <w:p>
      <w:pPr>
        <w:numPr>
          <w:ilvl w:val="0"/>
          <w:numId w:val="2"/>
        </w:numPr>
        <w:spacing w:line="240" w:lineRule="atLeast"/>
        <w:ind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技术指标要求</w:t>
      </w:r>
    </w:p>
    <w:p>
      <w:pPr>
        <w:numPr>
          <w:ilvl w:val="0"/>
          <w:numId w:val="4"/>
        </w:numPr>
        <w:spacing w:line="240" w:lineRule="atLeast"/>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搬迁实施范围</w:t>
      </w:r>
    </w:p>
    <w:p>
      <w:pPr>
        <w:widowControl/>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F1115"/>
          <w:kern w:val="0"/>
          <w:sz w:val="32"/>
          <w:szCs w:val="32"/>
          <w:shd w:val="clear" w:color="auto" w:fill="FFFFFF"/>
          <w:lang w:bidi="ar"/>
        </w:rPr>
        <w:t>中标供应商须负责实验室设备及配套设施的全面搬迁工作，具体包括但不限于：设备拆卸、专业包装防护、安全运输、在新址</w:t>
      </w:r>
      <w:r>
        <w:rPr>
          <w:rFonts w:hint="eastAsia" w:ascii="仿宋_GB2312" w:hAnsi="仿宋_GB2312" w:eastAsia="仿宋_GB2312" w:cs="仿宋_GB2312"/>
          <w:color w:val="0F1115"/>
          <w:kern w:val="0"/>
          <w:sz w:val="32"/>
          <w:szCs w:val="32"/>
          <w:shd w:val="clear" w:color="auto" w:fill="FFFFFF"/>
          <w:lang w:eastAsia="zh-CN" w:bidi="ar"/>
        </w:rPr>
        <w:t>（韶关市武江区体育东路</w:t>
      </w:r>
      <w:r>
        <w:rPr>
          <w:rFonts w:hint="eastAsia" w:ascii="仿宋_GB2312" w:hAnsi="仿宋_GB2312" w:eastAsia="仿宋_GB2312" w:cs="仿宋_GB2312"/>
          <w:color w:val="0F1115"/>
          <w:kern w:val="0"/>
          <w:sz w:val="32"/>
          <w:szCs w:val="32"/>
          <w:shd w:val="clear" w:color="auto" w:fill="FFFFFF"/>
          <w:lang w:val="en-US" w:eastAsia="zh-CN" w:bidi="ar"/>
        </w:rPr>
        <w:t>10号韶关市生态环境监测站</w:t>
      </w:r>
      <w:r>
        <w:rPr>
          <w:rFonts w:hint="eastAsia" w:ascii="仿宋_GB2312" w:hAnsi="仿宋_GB2312" w:eastAsia="仿宋_GB2312" w:cs="仿宋_GB2312"/>
          <w:color w:val="0F1115"/>
          <w:kern w:val="0"/>
          <w:sz w:val="32"/>
          <w:szCs w:val="32"/>
          <w:shd w:val="clear" w:color="auto" w:fill="FFFFFF"/>
          <w:lang w:eastAsia="zh-CN" w:bidi="ar"/>
        </w:rPr>
        <w:t>）</w:t>
      </w:r>
      <w:r>
        <w:rPr>
          <w:rFonts w:hint="eastAsia" w:ascii="仿宋_GB2312" w:hAnsi="仿宋_GB2312" w:eastAsia="仿宋_GB2312" w:cs="仿宋_GB2312"/>
          <w:color w:val="0F1115"/>
          <w:kern w:val="0"/>
          <w:sz w:val="32"/>
          <w:szCs w:val="32"/>
          <w:shd w:val="clear" w:color="auto" w:fill="FFFFFF"/>
          <w:lang w:bidi="ar"/>
        </w:rPr>
        <w:t>的重新安装及调试。搬迁范围覆盖本需求清单所列全部分析仪器、配套电源（含UPS）、储存柜、货架、实验辅助设备等各类资产。</w:t>
      </w:r>
    </w:p>
    <w:p>
      <w:pPr>
        <w:numPr>
          <w:ilvl w:val="0"/>
          <w:numId w:val="4"/>
        </w:numPr>
        <w:spacing w:line="240" w:lineRule="atLeast"/>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搬迁前设备状态检查</w:t>
      </w:r>
    </w:p>
    <w:p>
      <w:pPr>
        <w:spacing w:line="240" w:lineRule="atLeast"/>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中标供应商在搬迁实施前，须对所有待搬迁仪器设备进行全面的运行状态检查和性能记录，包括但不限于外观检查、通电测试、关键性能指标基线测试等。检查结果须形成书面状态报告，经采购人确认后方可开展搬迁工作。搬迁后，中标供应商须确保所有仪器设备的状态（含硬件完整性、软件运行、性能指标等）与搬迁前检查记录保持一致。若出现状态差异，由中标供应商负责无偿修复至原状。</w:t>
      </w:r>
    </w:p>
    <w:p>
      <w:pPr>
        <w:numPr>
          <w:ilvl w:val="0"/>
          <w:numId w:val="4"/>
        </w:numPr>
        <w:spacing w:line="240" w:lineRule="atLeast"/>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搬迁后安装调试与专项维修</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中标供应商须在设备迁入新址后，按照各设备的技术规范完成安装、接线、气路连接、水电路连接等全部复原工作，并进行全面调试，确保每台设备能够正常启动、稳定运行且满足原有实验精度要求。</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针对本次搬迁范围内的ICP-MS设备，中标供应商须负责对其</w:t>
      </w:r>
      <w:r>
        <w:rPr>
          <w:rFonts w:hint="eastAsia" w:ascii="仿宋_GB2312" w:hAnsi="仿宋_GB2312" w:eastAsia="仿宋_GB2312" w:cs="仿宋_GB2312"/>
          <w:sz w:val="32"/>
          <w:szCs w:val="32"/>
          <w:lang w:eastAsia="zh-CN"/>
        </w:rPr>
        <w:t>该设备</w:t>
      </w:r>
      <w:r>
        <w:rPr>
          <w:rFonts w:ascii="仿宋_GB2312" w:hAnsi="仿宋_GB2312" w:eastAsia="仿宋_GB2312" w:cs="仿宋_GB2312"/>
          <w:sz w:val="32"/>
          <w:szCs w:val="32"/>
        </w:rPr>
        <w:t>进行故障排查与维修，</w:t>
      </w:r>
      <w:bookmarkStart w:id="0" w:name="_GoBack"/>
      <w:bookmarkEnd w:id="0"/>
      <w:r>
        <w:rPr>
          <w:rFonts w:ascii="仿宋_GB2312" w:hAnsi="仿宋_GB2312" w:eastAsia="仿宋_GB2312" w:cs="仿宋_GB2312"/>
          <w:sz w:val="32"/>
          <w:szCs w:val="32"/>
        </w:rPr>
        <w:t>确保该</w:t>
      </w:r>
      <w:r>
        <w:rPr>
          <w:rFonts w:hint="eastAsia" w:ascii="仿宋_GB2312" w:hAnsi="仿宋_GB2312" w:eastAsia="仿宋_GB2312" w:cs="仿宋_GB2312"/>
          <w:sz w:val="32"/>
          <w:szCs w:val="32"/>
          <w:lang w:eastAsia="zh-CN"/>
        </w:rPr>
        <w:t>设备</w:t>
      </w:r>
      <w:r>
        <w:rPr>
          <w:rFonts w:ascii="仿宋_GB2312" w:hAnsi="仿宋_GB2312" w:eastAsia="仿宋_GB2312" w:cs="仿宋_GB2312"/>
          <w:sz w:val="32"/>
          <w:szCs w:val="32"/>
        </w:rPr>
        <w:t>功能恢复正常，能够正常联机、通讯及采集数据。维修所需配件、工具及人工费用均由中标供应商承担，已包含在投标报价内。</w:t>
      </w:r>
    </w:p>
    <w:p>
      <w:pPr>
        <w:numPr>
          <w:ilvl w:val="0"/>
          <w:numId w:val="4"/>
        </w:numPr>
        <w:spacing w:line="240" w:lineRule="atLeast"/>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搬迁过程保护与运输要求</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中标供应商应根据设备精密程度，采用适当的减震、防潮、防静电、防倾斜等专业包装措施，运输过程中须使用气垫车或具有减震功能的专用车辆，确保精密仪器不受振动、冲击和温湿度变化的影响。</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对于大型或特殊设备，应制定专项吊装、搬运方案，明确使用机械工具及操作流程，确保人员和设备安全。</w:t>
      </w:r>
    </w:p>
    <w:p>
      <w:pPr>
        <w:spacing w:line="240" w:lineRule="atLeast"/>
        <w:ind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四、服务要求</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（一）搬迁方案编制与报批</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中标供应商应在中标后、搬迁实施前，根据实际踏勘情况，编制详细的搬迁实施方案，内容须至少包括：</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1.各设备的搬运方式、所用机械及辅助工具；</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2.搬迁实施的具体时间计划及进度安排；</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3.需采购人配合提供的条件（如电力、场地、人员协助等）；</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4.应急预案及风险防控措施。</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搬迁方案须报送采购人审核批准后方可实施，实施过程中须严格遵照执行。未经采购人书面同意，不得擅自变更方案。</w:t>
      </w:r>
    </w:p>
    <w:p>
      <w:pPr>
        <w:numPr>
          <w:ilvl w:val="0"/>
          <w:numId w:val="3"/>
        </w:num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设备状态确认与交接</w:t>
      </w:r>
    </w:p>
    <w:p>
      <w:pPr>
        <w:spacing w:line="240" w:lineRule="atLeas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搬迁前，中标供应商须与采购人共同完成设备状态确认，签署状态记录文件</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搬迁安装调试完成后，</w:t>
      </w:r>
      <w:r>
        <w:rPr>
          <w:rFonts w:hint="eastAsia" w:ascii="仿宋_GB2312" w:hAnsi="仿宋_GB2312" w:eastAsia="仿宋_GB2312" w:cs="仿宋_GB2312"/>
          <w:sz w:val="32"/>
          <w:szCs w:val="32"/>
          <w:lang w:eastAsia="zh-CN"/>
        </w:rPr>
        <w:t>开展验收工作。</w:t>
      </w:r>
      <w:r>
        <w:rPr>
          <w:rFonts w:ascii="仿宋_GB2312" w:hAnsi="仿宋_GB2312" w:eastAsia="仿宋_GB2312" w:cs="仿宋_GB2312"/>
          <w:sz w:val="32"/>
          <w:szCs w:val="32"/>
        </w:rPr>
        <w:t>验收合格后，双方签署设备移交确认单，视为服务交付完毕。</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（三）损坏赔偿责任</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搬迁开始至最终验收合格前，若因中标供应商操作不当、防护不足或运输事故等导致任何物品损坏、性能下降或数据丢失的，中标供应商须按照采购人提供的物品原值或声明价值予以全额赔偿，并承担由此产生的所有修复、更换及维修费用。</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（四）人员资质要求</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派出的项目负责人及主要技术人员应具备实验室精密仪器搬迁经验，熟悉所涉主要设备（LC-MS、GC-MS、ICP-MS、ICP、离子色谱等）的结构和操作规范。项目实施人员须持相关设备搬迁维修经验或设备厂家培训证明，并在方案中予以说明。</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（五）时限要求</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中标供应商须在合同签订后10个自然日内（具体天数由采购人根据实际情况确定）完成全部搬迁、安装、调试、维修及验收工作。若因中标供应商原因造成工期延误，采购人有权按合同约定追究其违约责任。</w:t>
      </w:r>
    </w:p>
    <w:p>
      <w:pPr>
        <w:spacing w:line="240" w:lineRule="atLeast"/>
        <w:ind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五、其他说明</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1.本项目为交钥匙工程，中标供应商的报价应涵盖人工、材料、包装、运输、保险、吊装、安装调试、</w:t>
      </w:r>
      <w:r>
        <w:rPr>
          <w:rFonts w:ascii="仿宋_GB2312" w:hAnsi="仿宋_GB2312" w:eastAsia="仿宋_GB2312" w:cs="仿宋_GB2312"/>
          <w:sz w:val="32"/>
          <w:szCs w:val="32"/>
        </w:rPr>
        <w:t>维修及人工</w:t>
      </w:r>
      <w:r>
        <w:rPr>
          <w:rFonts w:hint="eastAsia" w:ascii="仿宋_GB2312" w:hAnsi="仿宋_GB2312" w:eastAsia="仿宋_GB2312" w:cs="仿宋_GB2312"/>
          <w:sz w:val="32"/>
          <w:szCs w:val="32"/>
        </w:rPr>
        <w:t>费、税费及所有不可预见费用，采购人不再支付任何额外费用。</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2.投标供应商应充分了解项目现场情况，自行评估搬迁难度和风险，合理报价。</w:t>
      </w:r>
    </w:p>
    <w:p>
      <w:pPr>
        <w:spacing w:line="240" w:lineRule="atLeas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3.本采购需求及实施方案作为合同附件，与合同具有同等法律效力。</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Calibri Light">
    <w:altName w:val="Lucida Sans Unicode"/>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CE37C5"/>
    <w:multiLevelType w:val="multilevel"/>
    <w:tmpl w:val="AFCE37C5"/>
    <w:lvl w:ilvl="0" w:tentative="0">
      <w:start w:val="2"/>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abstractNum w:abstractNumId="1">
    <w:nsid w:val="DCBC88F7"/>
    <w:multiLevelType w:val="singleLevel"/>
    <w:tmpl w:val="DCBC88F7"/>
    <w:lvl w:ilvl="0" w:tentative="0">
      <w:start w:val="1"/>
      <w:numFmt w:val="chineseCounting"/>
      <w:suff w:val="nothing"/>
      <w:lvlText w:val="（%1）"/>
      <w:lvlJc w:val="left"/>
      <w:rPr>
        <w:rFonts w:hint="eastAsia"/>
      </w:rPr>
    </w:lvl>
  </w:abstractNum>
  <w:abstractNum w:abstractNumId="2">
    <w:nsid w:val="ED7FC46E"/>
    <w:multiLevelType w:val="singleLevel"/>
    <w:tmpl w:val="ED7FC46E"/>
    <w:lvl w:ilvl="0" w:tentative="0">
      <w:start w:val="2"/>
      <w:numFmt w:val="chineseCounting"/>
      <w:suff w:val="nothing"/>
      <w:lvlText w:val="%1、"/>
      <w:lvlJc w:val="left"/>
      <w:rPr>
        <w:rFonts w:hint="eastAsia"/>
      </w:rPr>
    </w:lvl>
  </w:abstractNum>
  <w:abstractNum w:abstractNumId="3">
    <w:nsid w:val="7DD9040A"/>
    <w:multiLevelType w:val="singleLevel"/>
    <w:tmpl w:val="7DD9040A"/>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hZmJlYzAzMWM1NzliZWZmZjkzOTJhZTc0ZjY2YTgifQ=="/>
  </w:docVars>
  <w:rsids>
    <w:rsidRoot w:val="07EA0C6D"/>
    <w:rsid w:val="000E3A50"/>
    <w:rsid w:val="007837D4"/>
    <w:rsid w:val="008C555B"/>
    <w:rsid w:val="00B5374B"/>
    <w:rsid w:val="0563090D"/>
    <w:rsid w:val="07EA0C6D"/>
    <w:rsid w:val="08B5DF56"/>
    <w:rsid w:val="0A1250E6"/>
    <w:rsid w:val="0BECAF49"/>
    <w:rsid w:val="10B61C33"/>
    <w:rsid w:val="167F37EE"/>
    <w:rsid w:val="1F6C7CF7"/>
    <w:rsid w:val="23146FAF"/>
    <w:rsid w:val="28265277"/>
    <w:rsid w:val="2AEA2D75"/>
    <w:rsid w:val="2D754437"/>
    <w:rsid w:val="32DB4FF0"/>
    <w:rsid w:val="37FDAFFD"/>
    <w:rsid w:val="39192F1B"/>
    <w:rsid w:val="39FD79E6"/>
    <w:rsid w:val="3A7B70D7"/>
    <w:rsid w:val="3B7FB3B2"/>
    <w:rsid w:val="3CBA010B"/>
    <w:rsid w:val="3FEF8DB2"/>
    <w:rsid w:val="44E2330A"/>
    <w:rsid w:val="45A64955"/>
    <w:rsid w:val="471F73C9"/>
    <w:rsid w:val="4A75496A"/>
    <w:rsid w:val="4B4FA2B4"/>
    <w:rsid w:val="4E881E17"/>
    <w:rsid w:val="4F9C4CEF"/>
    <w:rsid w:val="50D665A3"/>
    <w:rsid w:val="536B54E7"/>
    <w:rsid w:val="54D933CD"/>
    <w:rsid w:val="5DF92A30"/>
    <w:rsid w:val="5DFC012C"/>
    <w:rsid w:val="615269E1"/>
    <w:rsid w:val="62CA07F9"/>
    <w:rsid w:val="6457704E"/>
    <w:rsid w:val="675A7E50"/>
    <w:rsid w:val="67A91AA0"/>
    <w:rsid w:val="69C5429F"/>
    <w:rsid w:val="69F37697"/>
    <w:rsid w:val="6D150654"/>
    <w:rsid w:val="6EDAA495"/>
    <w:rsid w:val="6EDE7B06"/>
    <w:rsid w:val="75023F47"/>
    <w:rsid w:val="75CE7702"/>
    <w:rsid w:val="77327150"/>
    <w:rsid w:val="7A762022"/>
    <w:rsid w:val="7BFFE666"/>
    <w:rsid w:val="7DCD7765"/>
    <w:rsid w:val="7DFDD49A"/>
    <w:rsid w:val="7F671451"/>
    <w:rsid w:val="7FAA0B86"/>
    <w:rsid w:val="7FB66A5C"/>
    <w:rsid w:val="95BF65C4"/>
    <w:rsid w:val="ADFC4A18"/>
    <w:rsid w:val="BDFFAA47"/>
    <w:rsid w:val="CDF76749"/>
    <w:rsid w:val="E3CEE0D4"/>
    <w:rsid w:val="EEBE8CE9"/>
    <w:rsid w:val="FBFFFD2D"/>
    <w:rsid w:val="FCED2419"/>
    <w:rsid w:val="FD7D67C3"/>
    <w:rsid w:val="FDB788FF"/>
    <w:rsid w:val="FDC902C7"/>
    <w:rsid w:val="FDFAF454"/>
    <w:rsid w:val="FF4F525C"/>
    <w:rsid w:val="FF9C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11"/>
    <w:basedOn w:val="6"/>
    <w:qFormat/>
    <w:uiPriority w:val="0"/>
    <w:rPr>
      <w:rFonts w:hint="default" w:ascii="等线" w:hAnsi="等线" w:eastAsia="等线" w:cs="等线"/>
      <w:color w:val="000000"/>
      <w:sz w:val="22"/>
      <w:szCs w:val="22"/>
      <w:u w:val="none"/>
    </w:rPr>
  </w:style>
  <w:style w:type="character" w:customStyle="1" w:styleId="8">
    <w:name w:val="font01"/>
    <w:basedOn w:val="6"/>
    <w:qFormat/>
    <w:uiPriority w:val="0"/>
    <w:rPr>
      <w:rFonts w:hint="default" w:ascii="等线" w:hAnsi="等线" w:eastAsia="等线" w:cs="等线"/>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366</Words>
  <Characters>2092</Characters>
  <Lines>17</Lines>
  <Paragraphs>4</Paragraphs>
  <TotalTime>80</TotalTime>
  <ScaleCrop>false</ScaleCrop>
  <LinksUpToDate>false</LinksUpToDate>
  <CharactersWithSpaces>2454</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2024-07-07T20:15:00Z</dcterms:created>
  <dc:creator>LT</dc:creator>
  <cp:lastModifiedBy>欧阳康</cp:lastModifiedBy>
  <cp:lastPrinted>2026-06-29T09:48:06Z</cp:lastPrinted>
  <dcterms:modified xsi:type="dcterms:W3CDTF">2026-06-29T09:49:47Z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E840D29F2CCC571A4CC1B966CBEFF914</vt:lpwstr>
  </property>
</Properties>
</file>