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1A4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265" w:afterLines="85" w:line="560" w:lineRule="exact"/>
        <w:ind w:left="0" w:leftChars="0" w:right="0" w:rightChars="0" w:firstLine="0" w:firstLineChars="0"/>
        <w:jc w:val="both"/>
        <w:textAlignment w:val="auto"/>
        <w:outlineLvl w:val="9"/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679450</wp:posOffset>
                </wp:positionH>
                <wp:positionV relativeFrom="margin">
                  <wp:posOffset>-645795</wp:posOffset>
                </wp:positionV>
                <wp:extent cx="6200775" cy="89979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775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20CEF7">
                            <w:pPr>
                              <w:ind w:left="0" w:leftChars="0" w:right="0" w:rightChars="0" w:firstLine="0" w:firstLineChars="0"/>
                              <w:jc w:val="distribute"/>
                              <w:rPr>
                                <w:rFonts w:eastAsia="方正小标宋简体"/>
                                <w:color w:val="FF0000"/>
                                <w:w w:val="64"/>
                                <w:sz w:val="102"/>
                              </w:rPr>
                            </w:pPr>
                            <w:r>
                              <w:rPr>
                                <w:rFonts w:eastAsia="方正小标宋简体"/>
                                <w:color w:val="FF0000"/>
                                <w:w w:val="64"/>
                                <w:sz w:val="102"/>
                              </w:rPr>
                              <w:t>韶关市住房和城乡建设管理局</w:t>
                            </w:r>
                          </w:p>
                          <w:p w14:paraId="6DE965F1">
                            <w:pPr>
                              <w:ind w:left="0" w:leftChars="0" w:right="0" w:rightChars="0" w:firstLine="0" w:firstLineChars="0"/>
                              <w:jc w:val="distribute"/>
                              <w:rPr>
                                <w:rFonts w:eastAsia="方正小标宋简体"/>
                                <w:color w:val="FF0000"/>
                                <w:w w:val="60"/>
                                <w:sz w:val="102"/>
                              </w:rPr>
                            </w:pPr>
                          </w:p>
                        </w:txbxContent>
                      </wps:txbx>
                      <wps:bodyPr lIns="127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.5pt;margin-top:-50.85pt;height:70.85pt;width:488.25pt;mso-position-horizontal-relative:page;mso-position-vertical-relative:margin;z-index:251660288;mso-width-relative:page;mso-height-relative:page;" filled="f" stroked="f" coordsize="21600,21600" o:gfxdata="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3lHMzNgAAAAMAQAADwAAAAAAAAABACAAAAAiAAAAZHJzL2Rvd25yZXYueG1s&#10;UEsBAhQAFAAAAAgAh07iQPYEvae/AQAAdQMAAA4AAAAAAAAAAQAgAAAAJwEAAGRycy9lMm9Eb2Mu&#10;eG1sUEsFBgAAAAAGAAYAWQEAAFgFAAAAAA==&#10;">
                <v:fill on="f" focussize="0,0"/>
                <v:stroke on="f"/>
                <v:imagedata o:title=""/>
                <o:lock v:ext="edit" aspectratio="f"/>
                <v:textbox inset="0.1pt,0mm,0mm,0mm">
                  <w:txbxContent>
                    <w:p w14:paraId="6E20CEF7">
                      <w:pPr>
                        <w:ind w:left="0" w:leftChars="0" w:right="0" w:rightChars="0" w:firstLine="0" w:firstLineChars="0"/>
                        <w:jc w:val="distribute"/>
                        <w:rPr>
                          <w:rFonts w:eastAsia="方正小标宋简体"/>
                          <w:color w:val="FF0000"/>
                          <w:w w:val="64"/>
                          <w:sz w:val="102"/>
                        </w:rPr>
                      </w:pPr>
                      <w:r>
                        <w:rPr>
                          <w:rFonts w:eastAsia="方正小标宋简体"/>
                          <w:color w:val="FF0000"/>
                          <w:w w:val="64"/>
                          <w:sz w:val="102"/>
                        </w:rPr>
                        <w:t>韶关市住房和城乡建设管理局</w:t>
                      </w:r>
                    </w:p>
                    <w:p w14:paraId="6DE965F1">
                      <w:pPr>
                        <w:ind w:left="0" w:leftChars="0" w:right="0" w:rightChars="0" w:firstLine="0" w:firstLineChars="0"/>
                        <w:jc w:val="distribute"/>
                        <w:rPr>
                          <w:rFonts w:eastAsia="方正小标宋简体"/>
                          <w:color w:val="FF0000"/>
                          <w:w w:val="60"/>
                          <w:sz w:val="10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B496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4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511175</wp:posOffset>
                </wp:positionH>
                <wp:positionV relativeFrom="margin">
                  <wp:posOffset>547370</wp:posOffset>
                </wp:positionV>
                <wp:extent cx="6479540" cy="635"/>
                <wp:effectExtent l="0" t="31750" r="16510" b="4381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9540" cy="635"/>
                        </a:xfrm>
                        <a:prstGeom prst="line">
                          <a:avLst/>
                        </a:prstGeom>
                        <a:ln w="6350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0.25pt;margin-top:43.1pt;height:0.05pt;width:510.2pt;mso-position-horizontal-relative:page;mso-position-vertical-relative:margin;z-index:251659264;mso-width-relative:page;mso-height-relative:page;" filled="f" stroked="t" coordsize="21600,21600" o:gfxdata="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fOEAU1QAAAAkBAAAPAAAAAAAAAAEAIAAAACIAAABkcnMvZG93bnJldi54bWxQ&#10;SwECFAAUAAAACACHTuJASPtzOfoBAADtAwAADgAAAAAAAAABACAAAAAkAQAAZHJzL2Uyb0RvYy54&#10;bWxQSwUGAAAAAAYABgBZAQAAkAUAAAAA&#10;">
                <v:fill on="f" focussize="0,0"/>
                <v:stroke weight="5pt" color="#FF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lang w:val="en-US" w:eastAsia="zh-CN"/>
        </w:rPr>
        <w:t xml:space="preserve">                             </w:t>
      </w:r>
    </w:p>
    <w:p w14:paraId="2F596A50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265" w:afterLines="85" w:line="420" w:lineRule="exact"/>
        <w:ind w:left="0" w:leftChars="0" w:right="0" w:rightChars="0" w:firstLine="0" w:firstLineChars="0"/>
        <w:jc w:val="right"/>
        <w:textAlignment w:val="auto"/>
        <w:outlineLvl w:val="9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snapToGrid w:val="0"/>
          <w:color w:val="000000"/>
          <w:spacing w:val="-2"/>
          <w:kern w:val="0"/>
          <w:sz w:val="32"/>
          <w:szCs w:val="32"/>
          <w:lang w:eastAsia="zh-CN" w:bidi="ar-SA"/>
        </w:rPr>
        <w:t>韶联验字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-2"/>
          <w:kern w:val="0"/>
          <w:sz w:val="32"/>
          <w:szCs w:val="32"/>
          <w:lang w:eastAsia="zh-CN" w:bidi="ar-SA"/>
        </w:rPr>
        <w:t>〔</w:t>
      </w:r>
      <w:r>
        <w:rPr>
          <w:rFonts w:hint="eastAsia" w:ascii="仿宋_GB2312" w:hAnsi="仿宋_GB2312" w:cs="仿宋_GB2312"/>
          <w:b w:val="0"/>
          <w:bCs w:val="0"/>
          <w:snapToGrid w:val="0"/>
          <w:color w:val="000000"/>
          <w:spacing w:val="-2"/>
          <w:kern w:val="0"/>
          <w:sz w:val="32"/>
          <w:szCs w:val="32"/>
          <w:lang w:val="en-US" w:eastAsia="zh-CN" w:bidi="ar-SA"/>
        </w:rPr>
        <w:t>2026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-2"/>
          <w:kern w:val="0"/>
          <w:sz w:val="32"/>
          <w:szCs w:val="32"/>
          <w:lang w:eastAsia="zh-CN" w:bidi="ar-SA"/>
        </w:rPr>
        <w:t>〕</w:t>
      </w:r>
      <w:r>
        <w:rPr>
          <w:rFonts w:hint="eastAsia" w:ascii="仿宋_GB2312" w:hAnsi="仿宋_GB2312" w:cs="仿宋_GB2312"/>
          <w:b w:val="0"/>
          <w:bCs w:val="0"/>
          <w:snapToGrid w:val="0"/>
          <w:color w:val="000000"/>
          <w:spacing w:val="-2"/>
          <w:kern w:val="0"/>
          <w:sz w:val="32"/>
          <w:szCs w:val="32"/>
          <w:lang w:val="en-US" w:eastAsia="zh-CN" w:bidi="ar-SA"/>
        </w:rPr>
        <w:t>XX号</w:t>
      </w:r>
    </w:p>
    <w:p w14:paraId="7E5EBF90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韶关市房屋建筑和市政基础设施工程</w:t>
      </w:r>
    </w:p>
    <w:p w14:paraId="2A0A58C0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竣工联合验收意见书</w:t>
      </w:r>
    </w:p>
    <w:p w14:paraId="0A9DEA25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cs="Times New Roman"/>
          <w:lang w:val="en-US" w:eastAsia="zh-CN"/>
        </w:rPr>
      </w:pPr>
    </w:p>
    <w:p w14:paraId="4F79194F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韶关市XXX建设工程有限公司</w:t>
      </w:r>
      <w:r>
        <w:rPr>
          <w:rFonts w:hint="default" w:ascii="Times New Roman" w:hAnsi="Times New Roman" w:cs="Times New Roman"/>
          <w:lang w:val="en-US" w:eastAsia="zh-CN"/>
        </w:rPr>
        <w:t>：</w:t>
      </w:r>
    </w:p>
    <w:p w14:paraId="30E17F91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2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22"/>
          <w:lang w:val="en-US" w:eastAsia="zh-CN" w:bidi="ar-SA"/>
        </w:rPr>
        <w:t>你单位申报“</w:t>
      </w:r>
      <w:r>
        <w:rPr>
          <w:rFonts w:hint="eastAsia" w:ascii="仿宋_GB2312" w:hAnsi="仿宋_GB2312" w:eastAsia="仿宋_GB2312" w:cs="仿宋_GB2312"/>
          <w:kern w:val="2"/>
          <w:sz w:val="32"/>
          <w:szCs w:val="22"/>
          <w:lang w:val="en-US" w:eastAsia="zh-CN" w:bidi="ar-SA"/>
        </w:rPr>
        <w:t>韶关市XXX</w:t>
      </w:r>
      <w:r>
        <w:rPr>
          <w:rFonts w:hint="default" w:ascii="仿宋_GB2312" w:hAnsi="仿宋_GB2312" w:eastAsia="仿宋_GB2312" w:cs="仿宋_GB2312"/>
          <w:kern w:val="2"/>
          <w:sz w:val="32"/>
          <w:szCs w:val="22"/>
          <w:lang w:val="en-US" w:eastAsia="zh-CN" w:bidi="ar-SA"/>
        </w:rPr>
        <w:t>建设项目”工程联合验收事项</w:t>
      </w:r>
      <w:r>
        <w:rPr>
          <w:rFonts w:hint="eastAsia" w:ascii="仿宋_GB2312" w:hAnsi="仿宋_GB2312" w:eastAsia="仿宋_GB2312" w:cs="仿宋_GB2312"/>
          <w:kern w:val="2"/>
          <w:sz w:val="32"/>
          <w:szCs w:val="22"/>
          <w:lang w:val="en-US" w:eastAsia="zh-CN" w:bidi="ar-SA"/>
        </w:rPr>
        <w:t>，我局</w:t>
      </w:r>
      <w:r>
        <w:rPr>
          <w:rFonts w:hint="default" w:ascii="仿宋_GB2312" w:hAnsi="仿宋_GB2312" w:eastAsia="仿宋_GB2312" w:cs="仿宋_GB2312"/>
          <w:kern w:val="2"/>
          <w:sz w:val="32"/>
          <w:szCs w:val="22"/>
          <w:lang w:val="en-US" w:eastAsia="zh-CN" w:bidi="ar-SA"/>
        </w:rPr>
        <w:t>于202</w:t>
      </w:r>
      <w:r>
        <w:rPr>
          <w:rFonts w:hint="eastAsia" w:ascii="仿宋_GB2312" w:hAnsi="仿宋_GB2312" w:eastAsia="仿宋_GB2312" w:cs="仿宋_GB2312"/>
          <w:kern w:val="2"/>
          <w:sz w:val="32"/>
          <w:szCs w:val="22"/>
          <w:lang w:val="en-US" w:eastAsia="zh-CN" w:bidi="ar-SA"/>
        </w:rPr>
        <w:t>6</w:t>
      </w:r>
      <w:r>
        <w:rPr>
          <w:rFonts w:hint="default" w:ascii="仿宋_GB2312" w:hAnsi="仿宋_GB2312" w:eastAsia="仿宋_GB2312" w:cs="仿宋_GB2312"/>
          <w:kern w:val="2"/>
          <w:sz w:val="32"/>
          <w:szCs w:val="22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kern w:val="2"/>
          <w:sz w:val="32"/>
          <w:szCs w:val="22"/>
          <w:lang w:val="en-US" w:eastAsia="zh-CN" w:bidi="ar-SA"/>
        </w:rPr>
        <w:t>XX</w:t>
      </w:r>
      <w:r>
        <w:rPr>
          <w:rFonts w:hint="default" w:ascii="仿宋_GB2312" w:hAnsi="仿宋_GB2312" w:eastAsia="仿宋_GB2312" w:cs="仿宋_GB2312"/>
          <w:kern w:val="2"/>
          <w:sz w:val="32"/>
          <w:szCs w:val="22"/>
          <w:lang w:val="en-US" w:eastAsia="zh-CN" w:bidi="ar-SA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22"/>
          <w:lang w:val="en-US" w:eastAsia="zh-CN" w:bidi="ar-SA"/>
        </w:rPr>
        <w:t>XX</w:t>
      </w:r>
      <w:r>
        <w:rPr>
          <w:rFonts w:hint="default" w:ascii="仿宋_GB2312" w:hAnsi="仿宋_GB2312" w:eastAsia="仿宋_GB2312" w:cs="仿宋_GB2312"/>
          <w:kern w:val="2"/>
          <w:sz w:val="32"/>
          <w:szCs w:val="22"/>
          <w:lang w:val="en-US" w:eastAsia="zh-CN" w:bidi="ar-SA"/>
        </w:rPr>
        <w:t>日</w:t>
      </w:r>
      <w:r>
        <w:rPr>
          <w:rFonts w:hint="eastAsia" w:ascii="仿宋_GB2312" w:hAnsi="仿宋_GB2312" w:eastAsia="仿宋_GB2312" w:cs="仿宋_GB2312"/>
          <w:kern w:val="2"/>
          <w:sz w:val="32"/>
          <w:szCs w:val="22"/>
          <w:lang w:val="en-US" w:eastAsia="zh-CN" w:bidi="ar-SA"/>
        </w:rPr>
        <w:t>受理</w:t>
      </w:r>
      <w:r>
        <w:rPr>
          <w:rFonts w:hint="default" w:ascii="仿宋_GB2312" w:hAnsi="仿宋_GB2312" w:eastAsia="仿宋_GB2312" w:cs="仿宋_GB2312"/>
          <w:kern w:val="2"/>
          <w:sz w:val="32"/>
          <w:szCs w:val="22"/>
          <w:lang w:val="en-US" w:eastAsia="zh-CN" w:bidi="ar-SA"/>
        </w:rPr>
        <w:t>联合验收</w:t>
      </w:r>
      <w:r>
        <w:rPr>
          <w:rFonts w:hint="eastAsia" w:ascii="仿宋_GB2312" w:hAnsi="仿宋_GB2312" w:eastAsia="仿宋_GB2312" w:cs="仿宋_GB2312"/>
          <w:kern w:val="2"/>
          <w:sz w:val="32"/>
          <w:szCs w:val="22"/>
          <w:lang w:val="en-US" w:eastAsia="zh-CN" w:bidi="ar-SA"/>
        </w:rPr>
        <w:t>申请。现</w:t>
      </w:r>
      <w:r>
        <w:rPr>
          <w:rFonts w:hint="default" w:ascii="仿宋_GB2312" w:hAnsi="仿宋_GB2312" w:eastAsia="仿宋_GB2312" w:cs="仿宋_GB2312"/>
          <w:kern w:val="2"/>
          <w:sz w:val="32"/>
          <w:szCs w:val="22"/>
          <w:lang w:val="en-US" w:eastAsia="zh-CN" w:bidi="ar-SA"/>
        </w:rPr>
        <w:t>该工程</w:t>
      </w:r>
      <w:r>
        <w:rPr>
          <w:rFonts w:hint="eastAsia" w:ascii="仿宋_GB2312" w:hAnsi="仿宋_GB2312" w:eastAsia="仿宋_GB2312" w:cs="仿宋_GB2312"/>
          <w:kern w:val="2"/>
          <w:sz w:val="32"/>
          <w:szCs w:val="22"/>
          <w:lang w:val="en-US" w:eastAsia="zh-CN" w:bidi="ar-SA"/>
        </w:rPr>
        <w:t>竣工</w:t>
      </w:r>
      <w:r>
        <w:rPr>
          <w:rFonts w:hint="default" w:ascii="仿宋_GB2312" w:hAnsi="仿宋_GB2312" w:eastAsia="仿宋_GB2312" w:cs="仿宋_GB2312"/>
          <w:kern w:val="2"/>
          <w:sz w:val="32"/>
          <w:szCs w:val="22"/>
          <w:lang w:val="en-US" w:eastAsia="zh-CN" w:bidi="ar-SA"/>
        </w:rPr>
        <w:t>联合验收</w:t>
      </w:r>
      <w:r>
        <w:rPr>
          <w:rFonts w:hint="eastAsia" w:ascii="仿宋_GB2312" w:hAnsi="仿宋_GB2312" w:eastAsia="仿宋_GB2312" w:cs="仿宋_GB2312"/>
          <w:kern w:val="2"/>
          <w:sz w:val="32"/>
          <w:szCs w:val="22"/>
          <w:lang w:val="en-US" w:eastAsia="zh-CN" w:bidi="ar-SA"/>
        </w:rPr>
        <w:t>情况如下，根据《建设工程质量管理条例》，予以工程竣工联合验收备案。</w:t>
      </w:r>
    </w:p>
    <w:p w14:paraId="0E28BDEC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22"/>
          <w:lang w:val="en-US" w:eastAsia="zh-CN" w:bidi="ar-SA"/>
        </w:rPr>
      </w:pPr>
    </w:p>
    <w:tbl>
      <w:tblPr>
        <w:tblStyle w:val="8"/>
        <w:tblW w:w="9540" w:type="dxa"/>
        <w:tblInd w:w="-1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3975"/>
        <w:gridCol w:w="3435"/>
      </w:tblGrid>
      <w:tr w14:paraId="3B56E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30" w:type="dxa"/>
            <w:vAlign w:val="center"/>
          </w:tcPr>
          <w:p w14:paraId="01CA3A3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验收内容</w:t>
            </w:r>
          </w:p>
        </w:tc>
        <w:tc>
          <w:tcPr>
            <w:tcW w:w="3975" w:type="dxa"/>
            <w:vAlign w:val="center"/>
          </w:tcPr>
          <w:p w14:paraId="5D990ED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负责部门（单位）</w:t>
            </w:r>
          </w:p>
        </w:tc>
        <w:tc>
          <w:tcPr>
            <w:tcW w:w="3435" w:type="dxa"/>
            <w:vAlign w:val="center"/>
          </w:tcPr>
          <w:p w14:paraId="1EC4C4F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验收情况</w:t>
            </w:r>
          </w:p>
        </w:tc>
      </w:tr>
      <w:tr w14:paraId="2F77C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2130" w:type="dxa"/>
            <w:vAlign w:val="center"/>
          </w:tcPr>
          <w:p w14:paraId="402B0D3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56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工程质量专项</w:t>
            </w:r>
          </w:p>
        </w:tc>
        <w:tc>
          <w:tcPr>
            <w:tcW w:w="3975" w:type="dxa"/>
            <w:vAlign w:val="center"/>
          </w:tcPr>
          <w:p w14:paraId="0DC8622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56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韶关市住房和城乡建设管理局</w:t>
            </w:r>
          </w:p>
        </w:tc>
        <w:tc>
          <w:tcPr>
            <w:tcW w:w="3435" w:type="dxa"/>
            <w:vAlign w:val="center"/>
          </w:tcPr>
          <w:p w14:paraId="7300287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56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通过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sym w:font="Wingdings 2" w:char="00A3"/>
            </w:r>
          </w:p>
        </w:tc>
      </w:tr>
      <w:tr w14:paraId="0A0E4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7043B44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56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规划专项</w:t>
            </w:r>
          </w:p>
        </w:tc>
        <w:tc>
          <w:tcPr>
            <w:tcW w:w="3975" w:type="dxa"/>
            <w:vAlign w:val="center"/>
          </w:tcPr>
          <w:p w14:paraId="001D889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56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韶关市自然资源局</w:t>
            </w:r>
          </w:p>
        </w:tc>
        <w:tc>
          <w:tcPr>
            <w:tcW w:w="3435" w:type="dxa"/>
            <w:vAlign w:val="center"/>
          </w:tcPr>
          <w:p w14:paraId="01FF134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56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通过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sym w:font="Wingdings 2" w:char="00A3"/>
            </w:r>
            <w:r>
              <w:rPr>
                <w:rFonts w:hint="eastAsia" w:ascii="仿宋_GB2312" w:hAnsi="仿宋_GB2312" w:cs="仿宋_GB2312"/>
                <w:kern w:val="2"/>
                <w:sz w:val="28"/>
                <w:szCs w:val="28"/>
                <w:lang w:val="en-US" w:eastAsia="zh-CN" w:bidi="ar-SA"/>
              </w:rPr>
              <w:t>/不涉及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sym w:font="Wingdings 2" w:char="00A3"/>
            </w:r>
          </w:p>
        </w:tc>
      </w:tr>
      <w:tr w14:paraId="1D487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752CA42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56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消防专项</w:t>
            </w:r>
          </w:p>
        </w:tc>
        <w:tc>
          <w:tcPr>
            <w:tcW w:w="3975" w:type="dxa"/>
            <w:vAlign w:val="center"/>
          </w:tcPr>
          <w:p w14:paraId="6A971BF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56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韶关市住房和城乡建设管理局</w:t>
            </w:r>
          </w:p>
        </w:tc>
        <w:tc>
          <w:tcPr>
            <w:tcW w:w="3435" w:type="dxa"/>
            <w:vAlign w:val="center"/>
          </w:tcPr>
          <w:p w14:paraId="378B4D2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56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通过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sym w:font="Wingdings 2" w:char="00A3"/>
            </w:r>
            <w:r>
              <w:rPr>
                <w:rFonts w:hint="eastAsia" w:ascii="仿宋_GB2312" w:hAnsi="仿宋_GB2312" w:cs="仿宋_GB2312"/>
                <w:kern w:val="2"/>
                <w:sz w:val="28"/>
                <w:szCs w:val="28"/>
                <w:lang w:val="en-US" w:eastAsia="zh-CN" w:bidi="ar-SA"/>
              </w:rPr>
              <w:t>/不涉及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sym w:font="Wingdings 2" w:char="00A3"/>
            </w:r>
          </w:p>
        </w:tc>
      </w:tr>
      <w:tr w14:paraId="79A28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74BB3C1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56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人防专项</w:t>
            </w:r>
          </w:p>
        </w:tc>
        <w:tc>
          <w:tcPr>
            <w:tcW w:w="3975" w:type="dxa"/>
            <w:vAlign w:val="center"/>
          </w:tcPr>
          <w:p w14:paraId="0546135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56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韶关市住房和城乡建设管理局</w:t>
            </w:r>
          </w:p>
        </w:tc>
        <w:tc>
          <w:tcPr>
            <w:tcW w:w="3435" w:type="dxa"/>
            <w:vAlign w:val="center"/>
          </w:tcPr>
          <w:p w14:paraId="3EB73CB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56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通过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sym w:font="Wingdings 2" w:char="00A3"/>
            </w:r>
            <w:r>
              <w:rPr>
                <w:rFonts w:hint="eastAsia" w:ascii="仿宋_GB2312" w:hAnsi="仿宋_GB2312" w:cs="仿宋_GB2312"/>
                <w:kern w:val="2"/>
                <w:sz w:val="28"/>
                <w:szCs w:val="28"/>
                <w:lang w:val="en-US" w:eastAsia="zh-CN" w:bidi="ar-SA"/>
              </w:rPr>
              <w:t>/承诺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sym w:font="Wingdings 2" w:char="00A3"/>
            </w:r>
            <w:r>
              <w:rPr>
                <w:rFonts w:hint="eastAsia" w:ascii="仿宋_GB2312" w:hAnsi="仿宋_GB2312" w:cs="仿宋_GB2312"/>
                <w:kern w:val="2"/>
                <w:sz w:val="28"/>
                <w:szCs w:val="28"/>
                <w:lang w:val="en-US" w:eastAsia="zh-CN" w:bidi="ar-SA"/>
              </w:rPr>
              <w:t>/不涉及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sym w:font="Wingdings 2" w:char="00A3"/>
            </w:r>
          </w:p>
        </w:tc>
      </w:tr>
      <w:tr w14:paraId="12B4E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51E32FE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56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城建档案专项</w:t>
            </w:r>
          </w:p>
        </w:tc>
        <w:tc>
          <w:tcPr>
            <w:tcW w:w="3975" w:type="dxa"/>
            <w:vAlign w:val="center"/>
          </w:tcPr>
          <w:p w14:paraId="1A471B7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56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韶关市城市建设档案馆</w:t>
            </w:r>
          </w:p>
        </w:tc>
        <w:tc>
          <w:tcPr>
            <w:tcW w:w="3435" w:type="dxa"/>
            <w:vAlign w:val="center"/>
          </w:tcPr>
          <w:p w14:paraId="0B56FBE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56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通过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sym w:font="Wingdings 2" w:char="00A3"/>
            </w:r>
            <w:r>
              <w:rPr>
                <w:rFonts w:hint="eastAsia" w:ascii="仿宋_GB2312" w:hAnsi="仿宋_GB2312" w:cs="仿宋_GB2312"/>
                <w:kern w:val="2"/>
                <w:sz w:val="28"/>
                <w:szCs w:val="28"/>
                <w:lang w:val="en-US" w:eastAsia="zh-CN" w:bidi="ar-SA"/>
              </w:rPr>
              <w:t>/承诺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sym w:font="Wingdings 2" w:char="00A3"/>
            </w:r>
            <w:r>
              <w:rPr>
                <w:rFonts w:hint="eastAsia" w:ascii="仿宋_GB2312" w:hAnsi="仿宋_GB2312" w:cs="仿宋_GB2312"/>
                <w:kern w:val="2"/>
                <w:sz w:val="28"/>
                <w:szCs w:val="28"/>
                <w:lang w:val="en-US" w:eastAsia="zh-CN" w:bidi="ar-SA"/>
              </w:rPr>
              <w:t>/不涉及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sym w:font="Wingdings 2" w:char="00A3"/>
            </w:r>
          </w:p>
        </w:tc>
      </w:tr>
    </w:tbl>
    <w:p w14:paraId="39FCACAD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FF0000"/>
          <w:kern w:val="2"/>
          <w:sz w:val="32"/>
          <w:szCs w:val="32"/>
          <w:lang w:val="en-US" w:eastAsia="zh-CN" w:bidi="ar-SA"/>
        </w:rPr>
      </w:pPr>
    </w:p>
    <w:p w14:paraId="5A211D6E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lang w:val="en-US" w:eastAsia="zh-CN"/>
        </w:rPr>
      </w:pPr>
    </w:p>
    <w:p w14:paraId="76976C94">
      <w:pPr>
        <w:pStyle w:val="10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560" w:lineRule="exact"/>
        <w:ind w:left="0" w:leftChars="0" w:right="0" w:rightChars="0" w:firstLine="0" w:firstLineChars="0"/>
        <w:jc w:val="right"/>
        <w:textAlignment w:val="auto"/>
        <w:outlineLvl w:val="9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韶关市住房和城乡建设管理局</w:t>
      </w:r>
      <w:r>
        <w:rPr>
          <w:rFonts w:hint="eastAsia" w:cs="Times New Roman"/>
          <w:lang w:val="en-US" w:eastAsia="zh-CN"/>
        </w:rPr>
        <w:t xml:space="preserve">  </w:t>
      </w:r>
    </w:p>
    <w:p w14:paraId="6AB26B57">
      <w:pPr>
        <w:pStyle w:val="10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560" w:lineRule="exact"/>
        <w:ind w:left="0" w:leftChars="0" w:right="0" w:rightChars="0" w:firstLine="0" w:firstLineChars="0"/>
        <w:jc w:val="right"/>
        <w:textAlignment w:val="auto"/>
        <w:outlineLvl w:val="9"/>
      </w:pPr>
      <w:r>
        <w:rPr>
          <w:rFonts w:hint="default" w:ascii="仿宋_GB2312" w:hAnsi="仿宋_GB2312" w:eastAsia="仿宋_GB2312" w:cs="仿宋_GB231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lang w:val="en-US" w:eastAsia="zh-CN"/>
        </w:rPr>
        <w:t>2</w:t>
      </w:r>
      <w:r>
        <w:rPr>
          <w:rFonts w:hint="eastAsia" w:ascii="仿宋_GB2312" w:hAnsi="仿宋_GB2312" w:cs="仿宋_GB2312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lang w:val="en-US" w:eastAsia="zh-CN"/>
        </w:rPr>
        <w:t>×</w:t>
      </w:r>
      <w:r>
        <w:rPr>
          <w:rFonts w:hint="default" w:ascii="仿宋_GB2312" w:hAnsi="仿宋_GB2312" w:eastAsia="仿宋_GB2312" w:cs="仿宋_GB231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lang w:val="en-US" w:eastAsia="zh-CN"/>
        </w:rPr>
        <w:t>×</w:t>
      </w:r>
      <w:r>
        <w:rPr>
          <w:rFonts w:hint="default" w:ascii="仿宋_GB2312" w:hAnsi="仿宋_GB2312" w:eastAsia="仿宋_GB2312" w:cs="仿宋_GB2312"/>
          <w:lang w:val="en-US" w:eastAsia="zh-CN"/>
        </w:rPr>
        <w:t>日</w:t>
      </w:r>
      <w:r>
        <w:rPr>
          <w:rFonts w:hint="eastAsia" w:ascii="仿宋_GB2312" w:hAnsi="仿宋_GB2312" w:cs="仿宋_GB2312"/>
          <w:lang w:val="en-US" w:eastAsia="zh-CN"/>
        </w:rPr>
        <w:t xml:space="preserve">        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6B97FA">
    <w:pPr>
      <w:pStyle w:val="5"/>
      <w:framePr w:wrap="around" w:vAnchor="text" w:hAnchor="margin" w:xAlign="outside" w:yAlign="top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napToGrid w:val="0"/>
      <w:spacing w:after="0" w:afterLines="0"/>
      <w:jc w:val="left"/>
    </w:pPr>
  </w:p>
  <w:p w14:paraId="0DFFC8AC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AF87FB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9A5A65"/>
    <w:rsid w:val="234DCAC1"/>
    <w:rsid w:val="35FFAD8E"/>
    <w:rsid w:val="3CD66894"/>
    <w:rsid w:val="429A5A65"/>
    <w:rsid w:val="4AFD9797"/>
    <w:rsid w:val="5D542CA2"/>
    <w:rsid w:val="65E9A558"/>
    <w:rsid w:val="6EDF5CD5"/>
    <w:rsid w:val="6F7B5F40"/>
    <w:rsid w:val="7F9A71DD"/>
    <w:rsid w:val="7FFECE42"/>
    <w:rsid w:val="9FDDF880"/>
    <w:rsid w:val="D7CF9BC7"/>
    <w:rsid w:val="F3EDFC91"/>
    <w:rsid w:val="F9F6E989"/>
    <w:rsid w:val="FAEFF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left="480" w:firstLine="210" w:firstLineChars="100"/>
    </w:pPr>
  </w:style>
  <w:style w:type="paragraph" w:styleId="3">
    <w:name w:val="Body Text Indent"/>
    <w:basedOn w:val="1"/>
    <w:next w:val="4"/>
    <w:qFormat/>
    <w:uiPriority w:val="0"/>
    <w:pPr>
      <w:spacing w:after="120" w:afterLines="0" w:line="240" w:lineRule="auto"/>
      <w:ind w:left="420" w:leftChars="200"/>
    </w:pPr>
    <w:rPr>
      <w:rFonts w:ascii="宋体" w:hAnsi="宋体" w:cs="宋体"/>
      <w:color w:val="000000"/>
      <w:szCs w:val="32"/>
    </w:rPr>
  </w:style>
  <w:style w:type="paragraph" w:styleId="4">
    <w:name w:val="Normal Indent"/>
    <w:basedOn w:val="1"/>
    <w:next w:val="1"/>
    <w:qFormat/>
    <w:uiPriority w:val="0"/>
    <w:pPr>
      <w:spacing w:line="240" w:lineRule="auto"/>
      <w:ind w:firstLine="420"/>
    </w:pPr>
    <w:rPr>
      <w:rFonts w:ascii="宋体" w:hAnsi="宋体" w:cs="宋体"/>
      <w:color w:val="000000"/>
      <w:szCs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 New New New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customStyle="1" w:styleId="11">
    <w:name w:val="正文 New New New New New New New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paragraph" w:customStyle="1" w:styleId="12">
    <w:name w:val="正文 New New New New New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lang w:val="en-US" w:eastAsia="zh-CN"/>
    </w:rPr>
  </w:style>
  <w:style w:type="paragraph" w:customStyle="1" w:styleId="13">
    <w:name w:val="正文 New New New New New New New New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paragraph" w:customStyle="1" w:styleId="14">
    <w:name w:val="正文 New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bgs</Company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2019-12-27T18:13:00Z</dcterms:created>
  <dc:creator>宁粤娜</dc:creator>
  <cp:lastModifiedBy>admin123</cp:lastModifiedBy>
  <cp:lastPrinted>2026-06-02T19:03:00Z</cp:lastPrinted>
  <dcterms:modified xsi:type="dcterms:W3CDTF">2026-06-03T14:48:58Z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9BB78639A8930EDD90471E6A1307E5BC_43</vt:lpwstr>
  </property>
</Properties>
</file>