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韶关市实施高新技术企业“倍增计划”</w:t>
      </w:r>
    </w:p>
    <w:p>
      <w:pPr>
        <w:spacing w:after="0"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若干措施（</w:t>
      </w:r>
      <w:r>
        <w:rPr>
          <w:rFonts w:hint="eastAsia" w:ascii="方正小标宋简体" w:hAnsi="方正小标宋简体" w:eastAsia="方正小标宋简体"/>
          <w:spacing w:val="-24"/>
          <w:sz w:val="44"/>
          <w:szCs w:val="44"/>
        </w:rPr>
        <w:t>征求意见稿</w:t>
      </w:r>
      <w:r>
        <w:rPr>
          <w:rFonts w:hint="eastAsia" w:ascii="方正小标宋简体" w:hAnsi="方正小标宋简体" w:eastAsia="方正小标宋简体"/>
          <w:sz w:val="44"/>
          <w:szCs w:val="44"/>
        </w:rPr>
        <w:t>）</w:t>
      </w:r>
    </w:p>
    <w:p>
      <w:pPr>
        <w:spacing w:after="0" w:line="560" w:lineRule="exact"/>
        <w:ind w:firstLine="640" w:firstLineChars="200"/>
        <w:rPr>
          <w:rFonts w:ascii="仿宋_GB2312"/>
          <w:szCs w:val="32"/>
        </w:rPr>
      </w:pPr>
    </w:p>
    <w:p>
      <w:pPr>
        <w:spacing w:after="0" w:line="560" w:lineRule="exact"/>
        <w:ind w:firstLine="640" w:firstLineChars="200"/>
        <w:rPr>
          <w:rFonts w:ascii="仿宋_GB2312"/>
          <w:szCs w:val="32"/>
        </w:rPr>
      </w:pPr>
      <w:r>
        <w:rPr>
          <w:rFonts w:hint="eastAsia" w:ascii="仿宋_GB2312"/>
          <w:szCs w:val="32"/>
        </w:rPr>
        <w:t>坚持以习近平新时代中国特色社会主义思想为指导，全面贯彻党的二十大和二十届历次全会精神</w:t>
      </w:r>
      <w:bookmarkStart w:id="0" w:name="_GoBack"/>
      <w:bookmarkEnd w:id="0"/>
      <w:r>
        <w:rPr>
          <w:rFonts w:hint="eastAsia" w:ascii="仿宋_GB2312"/>
          <w:szCs w:val="32"/>
        </w:rPr>
        <w:t>，落实市委十三届十次全会具体部署，深入实施创新驱动发展战略，加快以科技创新为引领、发展新质生产力，促进科技创新和产业创新深度融合，加快培育市场创新主体，努力建设具有区域影响力的新韶关，结合韶关实际，制定本政策措施。</w:t>
      </w:r>
    </w:p>
    <w:p>
      <w:pPr>
        <w:spacing w:after="0" w:line="560" w:lineRule="exact"/>
        <w:ind w:firstLine="640" w:firstLineChars="200"/>
        <w:rPr>
          <w:rFonts w:hint="eastAsia" w:ascii="黑体" w:hAnsi="黑体" w:eastAsia="黑体"/>
          <w:szCs w:val="32"/>
        </w:rPr>
      </w:pPr>
      <w:r>
        <w:rPr>
          <w:rFonts w:hint="eastAsia" w:ascii="黑体" w:hAnsi="黑体" w:eastAsia="黑体"/>
          <w:szCs w:val="32"/>
        </w:rPr>
        <w:t>一、加强创新主体培育扶持</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（一）支持企业申报高新技术企业。</w:t>
      </w:r>
      <w:r>
        <w:rPr>
          <w:rFonts w:hint="eastAsia" w:ascii="仿宋_GB2312"/>
          <w:szCs w:val="32"/>
        </w:rPr>
        <w:t>对申报高新技术企业认定并在市级企业创新能力评价中得分超过70分的企业给予每家3万元的一次性奖补，对通过高新技术企业认定的企业给予每家10万元的一次性奖补。</w:t>
      </w:r>
      <w:r>
        <w:rPr>
          <w:rFonts w:hint="eastAsia" w:ascii="黑体" w:hAnsi="黑体" w:eastAsia="黑体" w:cs="黑体"/>
          <w:szCs w:val="32"/>
        </w:rPr>
        <w:t>〔责任单位：各县（市、区）政府，韶关高新区管委会、华南装备园、市科技局、市财政局〕</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（二）大力引进高新技术企业。</w:t>
      </w:r>
      <w:r>
        <w:rPr>
          <w:rFonts w:hint="eastAsia" w:ascii="仿宋_GB2312"/>
          <w:szCs w:val="32"/>
        </w:rPr>
        <w:t>根据《促进产业有序转移财政支持方案（修订）》（粤财工〔2025〕45号）规定，对产业承接地区以外转移来韶且符合条件的项目，可按不超过设备购置额及自建厂房（不含土地购置成本）固定资产投资额的10%予以一次性奖励，每个项目（企业）最高可获得2000万元奖励。市财政安排总金额不少于8000万元用于支持市产业有序转移“补改投”试点项目，原则上单个试点项目投资额度不超过2000万元。对有效期内异地转移来韶关的高新技术企业，按新认定高新技术企业对待。</w:t>
      </w:r>
      <w:r>
        <w:rPr>
          <w:rFonts w:hint="eastAsia" w:ascii="黑体" w:hAnsi="黑体" w:eastAsia="黑体" w:cs="黑体"/>
          <w:szCs w:val="32"/>
        </w:rPr>
        <w:t>〔责任单位：市科技局、市工信局、市商务局、市财政局、市发改局、市国资委、市市场监管局、市投促局、韶关高新区管委会、华南装备园，各县（市、区）政府〕</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（三）实施重点产业科技专项。</w:t>
      </w:r>
      <w:r>
        <w:rPr>
          <w:rFonts w:hint="eastAsia" w:ascii="仿宋_GB2312"/>
          <w:szCs w:val="32"/>
        </w:rPr>
        <w:t>市级财政每年安排1000万元资金用于重点产业科技专项。支持我市“1+8”现代化产业体系企业开展关键技术攻关，企业自筹与财政拨付比例不低于3：1，单个项目不超过50万元。对我市企业牵头承担国家级重点研发计划、国家自然科学基金的项目，按获得经费的20%予以资金配套支持，单个项目不超过50万元。对我市企业牵头承担省重点领域研发计划或省基础与应用基础研究基金的项目，按获得经费的10%予以资金配套支持，单个项目不超过30万元。</w:t>
      </w:r>
      <w:r>
        <w:rPr>
          <w:rFonts w:hint="eastAsia" w:ascii="黑体" w:hAnsi="黑体" w:eastAsia="黑体" w:cs="黑体"/>
          <w:szCs w:val="32"/>
        </w:rPr>
        <w:t>〔责任单位：市科技局、市财政局、市国资委、市工信局、市农业农村局、市住建管理局、市商务局、韶关高新区管委会、华南装备园，各县（市、区）政府〕</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（四）推动产学研合作与科技成果转化。</w:t>
      </w:r>
      <w:r>
        <w:rPr>
          <w:rFonts w:hint="eastAsia" w:ascii="仿宋_GB2312"/>
          <w:szCs w:val="32"/>
        </w:rPr>
        <w:t>对国家、省、市立项并获得资金支持的项目以外，企业开展的产学研合作项目、承接的科技成果转化项目，按该项目成功认定的技术合同所核定的技术交易额的10%给予奖补，每个项目所获奖补不超过30万元、每家企业所获奖补累计不超过100万元。</w:t>
      </w:r>
      <w:r>
        <w:rPr>
          <w:rFonts w:hint="eastAsia" w:ascii="黑体" w:hAnsi="黑体" w:eastAsia="黑体" w:cs="黑体"/>
          <w:szCs w:val="32"/>
        </w:rPr>
        <w:t>〔责任单位：韶关高新区管委会、华南装备园，各县（市、区）政府，市科技局〕</w:t>
      </w:r>
    </w:p>
    <w:p>
      <w:pPr>
        <w:spacing w:after="0" w:line="560" w:lineRule="exact"/>
        <w:ind w:firstLine="640" w:firstLineChars="200"/>
        <w:rPr>
          <w:rFonts w:hint="eastAsia" w:ascii="黑体" w:hAnsi="黑体" w:eastAsia="黑体"/>
          <w:szCs w:val="32"/>
        </w:rPr>
      </w:pPr>
      <w:r>
        <w:rPr>
          <w:rFonts w:hint="eastAsia" w:ascii="黑体" w:hAnsi="黑体" w:eastAsia="黑体"/>
          <w:szCs w:val="32"/>
        </w:rPr>
        <w:t>二、加快企业研发能力提升</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（五）鼓励企业加大研发投入。</w:t>
      </w:r>
      <w:r>
        <w:rPr>
          <w:rFonts w:hint="eastAsia" w:ascii="仿宋_GB2312"/>
          <w:szCs w:val="32"/>
        </w:rPr>
        <w:t>鼓励企业建立健全研发准备金制度，加大研发费用税前加计扣除政策实施力度，落实设备器具加速折旧、高新技术企业所得税税率优惠政策。</w:t>
      </w:r>
      <w:r>
        <w:rPr>
          <w:rFonts w:hint="eastAsia" w:ascii="黑体" w:hAnsi="黑体" w:eastAsia="黑体" w:cs="黑体"/>
          <w:szCs w:val="32"/>
        </w:rPr>
        <w:t>〔责任单位：市税务局、市科技局、韶关高新区管委会、华南装备园，各县（市、区）政府〕</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（六）推动研发机构建设。</w:t>
      </w:r>
      <w:r>
        <w:rPr>
          <w:rFonts w:hint="eastAsia" w:ascii="仿宋_GB2312"/>
          <w:szCs w:val="32"/>
        </w:rPr>
        <w:t>对认定为省级、市级工程技术研究中心的企业，分别给予10万元、5万元的奖补。对认定为市重点实验室的企业，给予20万元的奖补。对认定为省重点实验室的，最高按广东省科学技术厅支持的金额给予1：1配套。</w:t>
      </w:r>
      <w:r>
        <w:rPr>
          <w:rFonts w:hint="eastAsia" w:ascii="黑体" w:hAnsi="黑体" w:eastAsia="黑体" w:cs="黑体"/>
          <w:szCs w:val="32"/>
        </w:rPr>
        <w:t>〔责任单位：各县（市、区）政府，韶关高新区管委会、华南装备园、市科技局、市财政局〕</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（七）积极鼓励AI大模型建设。</w:t>
      </w:r>
      <w:r>
        <w:rPr>
          <w:rFonts w:hint="eastAsia" w:ascii="仿宋_GB2312"/>
          <w:szCs w:val="32"/>
        </w:rPr>
        <w:t>根据《韶关市人民政府办公室关于印发韶关市加快智能计算产业发展若干措施的通知》（韶府办发函〔2025〕80号）规定，对AI大模型前2年按照算力消费额的30%给予最高300万元的奖励。对自主研发并完成备案的垂直领域模型，可叠加省级专项资金支持。</w:t>
      </w:r>
      <w:r>
        <w:rPr>
          <w:rFonts w:hint="eastAsia" w:ascii="黑体" w:hAnsi="黑体" w:eastAsia="黑体" w:cs="黑体"/>
          <w:szCs w:val="32"/>
        </w:rPr>
        <w:t>〔责任单位：市发改局、市财政局、市科技局〕</w:t>
      </w:r>
    </w:p>
    <w:p>
      <w:pPr>
        <w:spacing w:after="0" w:line="560" w:lineRule="exact"/>
        <w:ind w:firstLine="640" w:firstLineChars="200"/>
        <w:rPr>
          <w:rFonts w:hint="eastAsia" w:ascii="黑体" w:hAnsi="黑体" w:eastAsia="黑体"/>
          <w:szCs w:val="32"/>
        </w:rPr>
      </w:pPr>
      <w:r>
        <w:rPr>
          <w:rFonts w:hint="eastAsia" w:ascii="黑体" w:hAnsi="黑体" w:eastAsia="黑体"/>
          <w:szCs w:val="32"/>
        </w:rPr>
        <w:t>三、强化载体平台建设</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（八）支持载体平台建设。</w:t>
      </w:r>
      <w:r>
        <w:rPr>
          <w:rFonts w:hint="eastAsia" w:ascii="仿宋_GB2312"/>
          <w:szCs w:val="32"/>
        </w:rPr>
        <w:t>支持众创空间、科技企业孵化器、大学科技园（分园）、概念验证中心、中试平台等载体平台加大高新技术企业培育，每年对载体平台按每净增一家高新技术企业给予5万元的一次性奖补。</w:t>
      </w:r>
      <w:r>
        <w:rPr>
          <w:rFonts w:hint="eastAsia" w:ascii="黑体" w:hAnsi="黑体" w:eastAsia="黑体" w:cs="黑体"/>
          <w:szCs w:val="32"/>
        </w:rPr>
        <w:t>〔责任单位：各县（市、区）政府，高新区管委会、市科技局、市发改局、市财政局〕</w:t>
      </w:r>
    </w:p>
    <w:p>
      <w:pPr>
        <w:spacing w:after="0" w:line="560" w:lineRule="exact"/>
        <w:ind w:firstLine="640" w:firstLineChars="200"/>
        <w:rPr>
          <w:rFonts w:hint="eastAsia" w:ascii="黑体" w:hAnsi="黑体" w:eastAsia="黑体" w:cs="黑体"/>
          <w:szCs w:val="32"/>
        </w:rPr>
      </w:pPr>
      <w:r>
        <w:rPr>
          <w:rFonts w:hint="eastAsia" w:ascii="黑体" w:hAnsi="黑体" w:eastAsia="黑体" w:cs="黑体"/>
          <w:szCs w:val="32"/>
        </w:rPr>
        <w:t>四、加快创新人才集聚地建设</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（九）支持企业引进培育人才。</w:t>
      </w:r>
      <w:r>
        <w:rPr>
          <w:rFonts w:hint="eastAsia" w:ascii="仿宋_GB2312"/>
          <w:szCs w:val="32"/>
        </w:rPr>
        <w:t>对认定的创新创业人才分档给予最高100万元人才津贴；对认定的专业技术人才分档给予最高50万元人才津贴；对新引进的青年人才分档给予最高30万元人才津贴；对认定的韶州工匠分年度给予最高15万元补贴。对推动产业发展取得重大突破、支撑韶关跨越式发展的人才，可按“一事一议”原则予以支持。对新入选国家级、省级重大人才项目的人才，按照国家、省相关要求予以相应配套支持。</w:t>
      </w:r>
      <w:r>
        <w:rPr>
          <w:rFonts w:hint="eastAsia" w:ascii="黑体" w:hAnsi="黑体" w:eastAsia="黑体" w:cs="黑体"/>
          <w:szCs w:val="32"/>
        </w:rPr>
        <w:t>〔责任单位：市人社局、市科技局、市教育局、市委组织部、韶关高新区管委会、华南装备园，各县（市、区）政府〕</w:t>
      </w:r>
    </w:p>
    <w:p>
      <w:pPr>
        <w:spacing w:after="0" w:line="560" w:lineRule="exact"/>
        <w:ind w:firstLine="640" w:firstLineChars="200"/>
        <w:rPr>
          <w:rFonts w:hint="eastAsia" w:ascii="黑体" w:hAnsi="黑体" w:eastAsia="黑体"/>
          <w:szCs w:val="32"/>
        </w:rPr>
      </w:pPr>
      <w:r>
        <w:rPr>
          <w:rFonts w:hint="eastAsia" w:ascii="黑体" w:hAnsi="黑体" w:eastAsia="黑体"/>
          <w:szCs w:val="32"/>
        </w:rPr>
        <w:t>五、促进科技金融深度融合</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（十）建立韶关市科技信贷风险补偿机制。</w:t>
      </w:r>
      <w:r>
        <w:rPr>
          <w:rFonts w:hint="eastAsia" w:ascii="仿宋_GB2312"/>
          <w:szCs w:val="32"/>
        </w:rPr>
        <w:t>研究出台《韶关市科技信贷风险补偿管理办法》，引导和推动银行业金融机构加大对科技创新活动及科技型企业的信贷支持力度。对纳入省级科技信贷风险补偿项目库的项目，贷款企业成立不超过2年或为首贷户的，市级财政按不良贷款本金损失的35%给予合作银行补偿，省级财政按市级实际补偿额的50%配套补偿；贷款企业成立超过2年且非首贷户的，市级财政按不良贷款本金损失的40%给予合作银行补偿，省级财政按市级实际补偿额的30%配套补偿。市级财政对纳入市级科技信贷风险补偿项目库企业发生的不良贷款本金损失给予合作银行50%的补偿。</w:t>
      </w:r>
      <w:r>
        <w:rPr>
          <w:rFonts w:hint="eastAsia" w:ascii="黑体" w:hAnsi="黑体" w:eastAsia="黑体" w:cs="黑体"/>
          <w:szCs w:val="32"/>
        </w:rPr>
        <w:t>〔责任单位：市科技局、市财政局、中国人民银行韶关市分行、国家金融监督管理总局韶关监管分局〕</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（十一）用好“再贷款”政策工具。</w:t>
      </w:r>
      <w:r>
        <w:rPr>
          <w:rFonts w:hint="eastAsia" w:ascii="仿宋_GB2312"/>
          <w:szCs w:val="32"/>
        </w:rPr>
        <w:t>积极运用科技创新和技术改造再贷款，引导金融机构加大对科技型企业的放贷力度，缓解企业融资难问题。</w:t>
      </w:r>
      <w:r>
        <w:rPr>
          <w:rFonts w:hint="eastAsia" w:ascii="黑体" w:hAnsi="黑体" w:eastAsia="黑体" w:cs="黑体"/>
          <w:szCs w:val="32"/>
        </w:rPr>
        <w:t>〔责任单位：中国人民银行韶关市分行、市科技局、市工信局〕</w:t>
      </w:r>
    </w:p>
    <w:p>
      <w:pPr>
        <w:spacing w:after="0" w:line="560" w:lineRule="exact"/>
        <w:ind w:firstLine="640" w:firstLineChars="200"/>
        <w:rPr>
          <w:rFonts w:hint="eastAsia" w:ascii="黑体" w:hAnsi="黑体" w:eastAsia="黑体" w:cs="黑体"/>
          <w:szCs w:val="32"/>
        </w:rPr>
      </w:pPr>
      <w:r>
        <w:rPr>
          <w:rFonts w:hint="eastAsia" w:ascii="楷体_GB2312" w:eastAsia="楷体_GB2312"/>
          <w:szCs w:val="32"/>
        </w:rPr>
        <w:t>（十二）鼓励保险机构探索科技保险产品和服务创新。</w:t>
      </w:r>
      <w:r>
        <w:rPr>
          <w:rFonts w:hint="eastAsia" w:ascii="仿宋_GB2312"/>
          <w:szCs w:val="32"/>
        </w:rPr>
        <w:t>针对我市“1+8”现代化产业特定风险需求，探索开发覆盖研发、中试、产业化全过程的创新型保险产品体系，减少科技型企业创业风险。鼓励韶关高新区管委会、华南装备园和各县（市、区）对参保企业给予保费补贴。</w:t>
      </w:r>
      <w:r>
        <w:rPr>
          <w:rFonts w:hint="eastAsia" w:ascii="黑体" w:hAnsi="黑体" w:eastAsia="黑体" w:cs="黑体"/>
          <w:szCs w:val="32"/>
        </w:rPr>
        <w:t>〔责任单位：国家金融监督管理总局韶关监管分局、市科技局、中国人民银行韶关市分行、市工信局、韶关高新区管委会、华南装备园、各县（市、区）政府〕</w:t>
      </w:r>
    </w:p>
    <w:p>
      <w:pPr>
        <w:spacing w:after="0" w:line="560" w:lineRule="exact"/>
        <w:ind w:firstLine="640" w:firstLineChars="200"/>
        <w:rPr>
          <w:rFonts w:hint="eastAsia" w:ascii="黑体" w:hAnsi="黑体" w:eastAsia="黑体"/>
          <w:szCs w:val="32"/>
        </w:rPr>
      </w:pPr>
      <w:r>
        <w:rPr>
          <w:rFonts w:hint="eastAsia" w:ascii="黑体" w:hAnsi="黑体" w:eastAsia="黑体"/>
          <w:szCs w:val="32"/>
        </w:rPr>
        <w:t>六、加强政策宣讲与申报服务</w:t>
      </w:r>
    </w:p>
    <w:p>
      <w:pPr>
        <w:spacing w:after="0" w:line="560" w:lineRule="exact"/>
        <w:ind w:firstLine="640" w:firstLineChars="200"/>
        <w:rPr>
          <w:rFonts w:hint="eastAsia" w:ascii="黑体" w:hAnsi="黑体" w:eastAsia="黑体" w:cs="黑体"/>
          <w:szCs w:val="32"/>
        </w:rPr>
      </w:pPr>
      <w:r>
        <w:rPr>
          <w:rFonts w:hint="eastAsia" w:ascii="楷体_GB2312" w:hAnsi="黑体" w:eastAsia="楷体_GB2312"/>
          <w:szCs w:val="32"/>
        </w:rPr>
        <w:t>（十三）设立高企服务专题。</w:t>
      </w:r>
      <w:r>
        <w:rPr>
          <w:rFonts w:hint="eastAsia" w:ascii="仿宋_GB2312"/>
          <w:szCs w:val="32"/>
        </w:rPr>
        <w:t>在重点产业科技专项中设立高企服务专题，遴选优质服务机构，组织专家到韶关高新区、华南装备园、各县（市、区）开展政策宣讲并为企业免费提供政策咨询、“一对一”申报辅导服务。该专项每年安排不超过40万元。</w:t>
      </w:r>
      <w:r>
        <w:rPr>
          <w:rFonts w:hint="eastAsia" w:ascii="黑体" w:hAnsi="黑体" w:eastAsia="黑体" w:cs="黑体"/>
          <w:szCs w:val="32"/>
        </w:rPr>
        <w:t>〔责任单位：市科技局、市财政局〕</w:t>
      </w:r>
    </w:p>
    <w:p>
      <w:pPr>
        <w:spacing w:after="0" w:line="560" w:lineRule="exact"/>
        <w:ind w:firstLine="640" w:firstLineChars="200"/>
        <w:rPr>
          <w:rFonts w:hint="eastAsia" w:ascii="黑体" w:hAnsi="黑体" w:eastAsia="黑体" w:cs="黑体"/>
          <w:szCs w:val="32"/>
        </w:rPr>
      </w:pPr>
      <w:r>
        <w:rPr>
          <w:rFonts w:hint="eastAsia" w:ascii="黑体" w:hAnsi="黑体" w:eastAsia="黑体" w:cs="黑体"/>
          <w:szCs w:val="32"/>
        </w:rPr>
        <w:t>七、附则</w:t>
      </w:r>
    </w:p>
    <w:p>
      <w:pPr>
        <w:spacing w:after="0" w:line="560" w:lineRule="exact"/>
        <w:ind w:firstLine="640" w:firstLineChars="200"/>
        <w:rPr>
          <w:rFonts w:hint="eastAsia" w:ascii="楷体_GB2312" w:hAnsi="黑体" w:eastAsia="楷体_GB2312"/>
          <w:szCs w:val="32"/>
        </w:rPr>
      </w:pPr>
      <w:r>
        <w:rPr>
          <w:rFonts w:hint="eastAsia" w:ascii="楷体_GB2312" w:hAnsi="黑体" w:eastAsia="楷体_GB2312"/>
          <w:szCs w:val="32"/>
        </w:rPr>
        <w:t>（十四）资金来源。</w:t>
      </w:r>
      <w:r>
        <w:rPr>
          <w:rFonts w:hint="eastAsia" w:ascii="仿宋_GB2312"/>
          <w:szCs w:val="32"/>
        </w:rPr>
        <w:t>第（一）、（四）、（六）、（八）条涉及的奖补资金按“谁受益、谁承担”的原则分级保障</w:t>
      </w:r>
      <w:r>
        <w:rPr>
          <w:rFonts w:ascii="仿宋_GB2312"/>
          <w:szCs w:val="32"/>
        </w:rPr>
        <w:t>,</w:t>
      </w:r>
      <w:r>
        <w:rPr>
          <w:rFonts w:hint="eastAsia" w:ascii="仿宋_GB2312"/>
          <w:szCs w:val="32"/>
        </w:rPr>
        <w:t>对由韶关高新区负责保障部分，可自行按照“从优、从高、不重复”原则执行园区现有政策。第（九）条支持企业引进培育人才所需资金从2026年起，市级和浈江区、武江区人才资金分担比例调整为1:9，其余县（市、区）按属地原则自行负担。其余产业有序转移、重点产业科技专项、大模型建设、科技金融及高企服务专题由省市级财政保障。本措施所需要资金，列入下一年度同级财政预算。</w:t>
      </w:r>
    </w:p>
    <w:p>
      <w:pPr>
        <w:spacing w:after="0" w:line="560" w:lineRule="exact"/>
        <w:ind w:firstLine="640" w:firstLineChars="200"/>
        <w:rPr>
          <w:rFonts w:ascii="仿宋_GB2312"/>
          <w:szCs w:val="32"/>
        </w:rPr>
      </w:pPr>
      <w:r>
        <w:rPr>
          <w:rFonts w:hint="eastAsia" w:ascii="楷体_GB2312" w:hAnsi="黑体" w:eastAsia="楷体_GB2312"/>
          <w:szCs w:val="32"/>
        </w:rPr>
        <w:t>（十五）</w:t>
      </w:r>
      <w:r>
        <w:rPr>
          <w:rFonts w:hint="eastAsia" w:ascii="仿宋_GB2312"/>
          <w:szCs w:val="32"/>
        </w:rPr>
        <w:t>获奖补企业要落实好科技部门跟踪的统计报表；规上企业需要落实好统计部门的《工业企业研发活动统计报表制度》，按时填报和提交统计年报资料；符合国家科技型中小企业评价标准的企业要在“全国科技型中小企业评价工作系统中”完成评价及入库工作。</w:t>
      </w:r>
    </w:p>
    <w:p>
      <w:pPr>
        <w:spacing w:after="0" w:line="560" w:lineRule="exact"/>
        <w:ind w:firstLine="640" w:firstLineChars="200"/>
        <w:rPr>
          <w:rFonts w:ascii="仿宋_GB2312"/>
          <w:szCs w:val="32"/>
        </w:rPr>
      </w:pPr>
      <w:r>
        <w:rPr>
          <w:rFonts w:hint="eastAsia" w:ascii="楷体_GB2312" w:hAnsi="黑体" w:eastAsia="楷体_GB2312"/>
          <w:szCs w:val="32"/>
        </w:rPr>
        <w:t>（十六）</w:t>
      </w:r>
      <w:r>
        <w:rPr>
          <w:rFonts w:hint="eastAsia" w:ascii="仿宋_GB2312"/>
          <w:szCs w:val="32"/>
        </w:rPr>
        <w:t>本政策措施自印发之日起施行，有效期3年，由市科技局会同各有关部门负责解释。</w:t>
      </w:r>
    </w:p>
    <w:sectPr>
      <w:headerReference r:id="rId5" w:type="default"/>
      <w:footerReference r:id="rId6" w:type="default"/>
      <w:pgSz w:w="11906" w:h="16838"/>
      <w:pgMar w:top="1701" w:right="1531" w:bottom="1134" w:left="1531" w:header="1247" w:footer="1247" w:gutter="0"/>
      <w:pgNumType w:fmt="numberInDash"/>
      <w:cols w:space="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仿宋_GB2312" w:hAnsi="仿宋_GB2312" w:cs="仿宋_GB2312"/>
                              <w:szCs w:val="32"/>
                            </w:rPr>
                          </w:pPr>
                          <w:r>
                            <w:rPr>
                              <w:rFonts w:hint="eastAsia" w:ascii="仿宋_GB2312" w:hAnsi="仿宋_GB2312" w:cs="仿宋_GB2312"/>
                              <w:szCs w:val="32"/>
                            </w:rPr>
                            <w:fldChar w:fldCharType="begin"/>
                          </w:r>
                          <w:r>
                            <w:rPr>
                              <w:rFonts w:hint="eastAsia" w:ascii="仿宋_GB2312" w:hAnsi="仿宋_GB2312" w:cs="仿宋_GB2312"/>
                              <w:szCs w:val="32"/>
                            </w:rPr>
                            <w:instrText xml:space="preserve"> PAGE  \* MERGEFORMAT </w:instrText>
                          </w:r>
                          <w:r>
                            <w:rPr>
                              <w:rFonts w:hint="eastAsia" w:ascii="仿宋_GB2312" w:hAnsi="仿宋_GB2312" w:cs="仿宋_GB2312"/>
                              <w:szCs w:val="32"/>
                            </w:rPr>
                            <w:fldChar w:fldCharType="separate"/>
                          </w:r>
                          <w:r>
                            <w:rPr>
                              <w:rFonts w:hint="eastAsia" w:ascii="仿宋_GB2312" w:hAnsi="仿宋_GB2312" w:cs="仿宋_GB2312"/>
                              <w:szCs w:val="32"/>
                            </w:rPr>
                            <w:t>３</w:t>
                          </w:r>
                          <w:r>
                            <w:rPr>
                              <w:rFonts w:hint="eastAsia" w:ascii="仿宋_GB2312" w:hAnsi="仿宋_GB2312" w:cs="仿宋_GB2312"/>
                              <w:szCs w:val="3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snapToGrid w:val="0"/>
                      <w:rPr>
                        <w:rFonts w:hint="eastAsia" w:ascii="仿宋_GB2312" w:hAnsi="仿宋_GB2312" w:cs="仿宋_GB2312"/>
                        <w:szCs w:val="32"/>
                      </w:rPr>
                    </w:pPr>
                    <w:r>
                      <w:rPr>
                        <w:rFonts w:hint="eastAsia" w:ascii="仿宋_GB2312" w:hAnsi="仿宋_GB2312" w:cs="仿宋_GB2312"/>
                        <w:szCs w:val="32"/>
                      </w:rPr>
                      <w:fldChar w:fldCharType="begin"/>
                    </w:r>
                    <w:r>
                      <w:rPr>
                        <w:rFonts w:hint="eastAsia" w:ascii="仿宋_GB2312" w:hAnsi="仿宋_GB2312" w:cs="仿宋_GB2312"/>
                        <w:szCs w:val="32"/>
                      </w:rPr>
                      <w:instrText xml:space="preserve"> PAGE  \* MERGEFORMAT </w:instrText>
                    </w:r>
                    <w:r>
                      <w:rPr>
                        <w:rFonts w:hint="eastAsia" w:ascii="仿宋_GB2312" w:hAnsi="仿宋_GB2312" w:cs="仿宋_GB2312"/>
                        <w:szCs w:val="32"/>
                      </w:rPr>
                      <w:fldChar w:fldCharType="separate"/>
                    </w:r>
                    <w:r>
                      <w:rPr>
                        <w:rFonts w:hint="eastAsia" w:ascii="仿宋_GB2312" w:hAnsi="仿宋_GB2312" w:cs="仿宋_GB2312"/>
                        <w:szCs w:val="32"/>
                      </w:rPr>
                      <w:t>３</w:t>
                    </w:r>
                    <w:r>
                      <w:rPr>
                        <w:rFonts w:hint="eastAsia" w:ascii="仿宋_GB2312" w:hAnsi="仿宋_GB2312" w:cs="仿宋_GB2312"/>
                        <w:szCs w:val="32"/>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right"/>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pPr>
                      <w:pStyle w:val="6"/>
                      <w:jc w:val="right"/>
                    </w:pPr>
                  </w:p>
                </w:txbxContent>
              </v:textbox>
            </v:shape>
          </w:pict>
        </mc:Fallback>
      </mc:AlternateConten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29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DF72DA"/>
    <w:rsid w:val="00001879"/>
    <w:rsid w:val="00002AB2"/>
    <w:rsid w:val="000041B9"/>
    <w:rsid w:val="00007B62"/>
    <w:rsid w:val="0001189D"/>
    <w:rsid w:val="00015B42"/>
    <w:rsid w:val="00015D61"/>
    <w:rsid w:val="0002117B"/>
    <w:rsid w:val="00023EE1"/>
    <w:rsid w:val="0002403F"/>
    <w:rsid w:val="00024132"/>
    <w:rsid w:val="00027F05"/>
    <w:rsid w:val="00035CC1"/>
    <w:rsid w:val="00037F73"/>
    <w:rsid w:val="00056184"/>
    <w:rsid w:val="00056618"/>
    <w:rsid w:val="000614AF"/>
    <w:rsid w:val="000655FC"/>
    <w:rsid w:val="00070A52"/>
    <w:rsid w:val="000730AB"/>
    <w:rsid w:val="00075F88"/>
    <w:rsid w:val="00083DC9"/>
    <w:rsid w:val="00087CC5"/>
    <w:rsid w:val="00091638"/>
    <w:rsid w:val="000A046F"/>
    <w:rsid w:val="000A2C23"/>
    <w:rsid w:val="000A7CE6"/>
    <w:rsid w:val="000B4779"/>
    <w:rsid w:val="000B6AF6"/>
    <w:rsid w:val="000B70AD"/>
    <w:rsid w:val="000B7948"/>
    <w:rsid w:val="000B7D35"/>
    <w:rsid w:val="000D18FA"/>
    <w:rsid w:val="000D4B70"/>
    <w:rsid w:val="000E1F42"/>
    <w:rsid w:val="000E3D25"/>
    <w:rsid w:val="000E69E2"/>
    <w:rsid w:val="000F162C"/>
    <w:rsid w:val="000F201D"/>
    <w:rsid w:val="000F25B4"/>
    <w:rsid w:val="000F6101"/>
    <w:rsid w:val="00100758"/>
    <w:rsid w:val="001014AD"/>
    <w:rsid w:val="00110060"/>
    <w:rsid w:val="00110662"/>
    <w:rsid w:val="001141BC"/>
    <w:rsid w:val="001159AC"/>
    <w:rsid w:val="001234DC"/>
    <w:rsid w:val="001256EA"/>
    <w:rsid w:val="001566DF"/>
    <w:rsid w:val="00164E03"/>
    <w:rsid w:val="00190B66"/>
    <w:rsid w:val="001919C6"/>
    <w:rsid w:val="00193DF7"/>
    <w:rsid w:val="001A1EB1"/>
    <w:rsid w:val="001A6EDC"/>
    <w:rsid w:val="001B6698"/>
    <w:rsid w:val="001C17CD"/>
    <w:rsid w:val="001C6E8F"/>
    <w:rsid w:val="001D04EA"/>
    <w:rsid w:val="001E0BCD"/>
    <w:rsid w:val="001E2AFE"/>
    <w:rsid w:val="001E36D5"/>
    <w:rsid w:val="001E469D"/>
    <w:rsid w:val="001E7C6D"/>
    <w:rsid w:val="001F0751"/>
    <w:rsid w:val="001F1AF6"/>
    <w:rsid w:val="001F48C1"/>
    <w:rsid w:val="001F4CB8"/>
    <w:rsid w:val="001F59A1"/>
    <w:rsid w:val="001F6F20"/>
    <w:rsid w:val="00205450"/>
    <w:rsid w:val="00210F82"/>
    <w:rsid w:val="002115E9"/>
    <w:rsid w:val="0021283A"/>
    <w:rsid w:val="00213A4D"/>
    <w:rsid w:val="0022271E"/>
    <w:rsid w:val="0022332E"/>
    <w:rsid w:val="002243FA"/>
    <w:rsid w:val="0024005D"/>
    <w:rsid w:val="00243CFC"/>
    <w:rsid w:val="002446D1"/>
    <w:rsid w:val="00247925"/>
    <w:rsid w:val="00251BF8"/>
    <w:rsid w:val="00252B79"/>
    <w:rsid w:val="00257854"/>
    <w:rsid w:val="00272B62"/>
    <w:rsid w:val="00273318"/>
    <w:rsid w:val="002741E7"/>
    <w:rsid w:val="00276416"/>
    <w:rsid w:val="00283B85"/>
    <w:rsid w:val="002979CE"/>
    <w:rsid w:val="002A7F38"/>
    <w:rsid w:val="002B7232"/>
    <w:rsid w:val="002C6BA9"/>
    <w:rsid w:val="002E00B7"/>
    <w:rsid w:val="002E6429"/>
    <w:rsid w:val="002F27A5"/>
    <w:rsid w:val="00306CF8"/>
    <w:rsid w:val="003118C1"/>
    <w:rsid w:val="00315828"/>
    <w:rsid w:val="00315E6B"/>
    <w:rsid w:val="00317C76"/>
    <w:rsid w:val="00320CD6"/>
    <w:rsid w:val="003265FE"/>
    <w:rsid w:val="00335C12"/>
    <w:rsid w:val="0034092D"/>
    <w:rsid w:val="003613E3"/>
    <w:rsid w:val="00362CE9"/>
    <w:rsid w:val="003658BC"/>
    <w:rsid w:val="00366210"/>
    <w:rsid w:val="0037665A"/>
    <w:rsid w:val="00382873"/>
    <w:rsid w:val="00385094"/>
    <w:rsid w:val="00386DF3"/>
    <w:rsid w:val="003876FF"/>
    <w:rsid w:val="003933D3"/>
    <w:rsid w:val="00397472"/>
    <w:rsid w:val="003A0626"/>
    <w:rsid w:val="003A34FC"/>
    <w:rsid w:val="003A4A22"/>
    <w:rsid w:val="003B6CAD"/>
    <w:rsid w:val="003C3045"/>
    <w:rsid w:val="003C3BF3"/>
    <w:rsid w:val="003C4588"/>
    <w:rsid w:val="003C4FF8"/>
    <w:rsid w:val="003C6FB0"/>
    <w:rsid w:val="003D1306"/>
    <w:rsid w:val="003D459B"/>
    <w:rsid w:val="003E11C6"/>
    <w:rsid w:val="003E30A6"/>
    <w:rsid w:val="003E529C"/>
    <w:rsid w:val="003E6B71"/>
    <w:rsid w:val="003E7AE6"/>
    <w:rsid w:val="003F0712"/>
    <w:rsid w:val="003F5154"/>
    <w:rsid w:val="004033E1"/>
    <w:rsid w:val="00405430"/>
    <w:rsid w:val="00405E4D"/>
    <w:rsid w:val="004200F8"/>
    <w:rsid w:val="004265A5"/>
    <w:rsid w:val="00436842"/>
    <w:rsid w:val="00440082"/>
    <w:rsid w:val="00445FB0"/>
    <w:rsid w:val="00451BDE"/>
    <w:rsid w:val="004774CB"/>
    <w:rsid w:val="004779B8"/>
    <w:rsid w:val="00486194"/>
    <w:rsid w:val="00487376"/>
    <w:rsid w:val="004A0677"/>
    <w:rsid w:val="004B4438"/>
    <w:rsid w:val="004C33D6"/>
    <w:rsid w:val="004C58A5"/>
    <w:rsid w:val="004D6AE6"/>
    <w:rsid w:val="005026EB"/>
    <w:rsid w:val="00502999"/>
    <w:rsid w:val="005044A3"/>
    <w:rsid w:val="00521710"/>
    <w:rsid w:val="0052294B"/>
    <w:rsid w:val="0052329C"/>
    <w:rsid w:val="00524110"/>
    <w:rsid w:val="00526AA9"/>
    <w:rsid w:val="00527885"/>
    <w:rsid w:val="00536A87"/>
    <w:rsid w:val="00543B9E"/>
    <w:rsid w:val="00546106"/>
    <w:rsid w:val="00552EED"/>
    <w:rsid w:val="00556EAF"/>
    <w:rsid w:val="0056029D"/>
    <w:rsid w:val="00562BEE"/>
    <w:rsid w:val="005636F5"/>
    <w:rsid w:val="00564DDD"/>
    <w:rsid w:val="00570FF7"/>
    <w:rsid w:val="00574BA0"/>
    <w:rsid w:val="00575A6B"/>
    <w:rsid w:val="00576871"/>
    <w:rsid w:val="00576EAA"/>
    <w:rsid w:val="005778E7"/>
    <w:rsid w:val="00577910"/>
    <w:rsid w:val="00577A2C"/>
    <w:rsid w:val="005821BF"/>
    <w:rsid w:val="005840FA"/>
    <w:rsid w:val="0058674A"/>
    <w:rsid w:val="005A3F12"/>
    <w:rsid w:val="005C0965"/>
    <w:rsid w:val="005D13CB"/>
    <w:rsid w:val="005D3310"/>
    <w:rsid w:val="005D6B5F"/>
    <w:rsid w:val="005E3CC6"/>
    <w:rsid w:val="005F0D57"/>
    <w:rsid w:val="0060044D"/>
    <w:rsid w:val="00600B5E"/>
    <w:rsid w:val="00620A9E"/>
    <w:rsid w:val="006215EB"/>
    <w:rsid w:val="006346EF"/>
    <w:rsid w:val="00635BCF"/>
    <w:rsid w:val="0065726C"/>
    <w:rsid w:val="00663618"/>
    <w:rsid w:val="006700BE"/>
    <w:rsid w:val="0067092A"/>
    <w:rsid w:val="00672E96"/>
    <w:rsid w:val="00673C6F"/>
    <w:rsid w:val="00681C9D"/>
    <w:rsid w:val="006915CC"/>
    <w:rsid w:val="006A66AB"/>
    <w:rsid w:val="006B0B31"/>
    <w:rsid w:val="006B7840"/>
    <w:rsid w:val="006D3135"/>
    <w:rsid w:val="006D6A51"/>
    <w:rsid w:val="006E2424"/>
    <w:rsid w:val="006E4FE6"/>
    <w:rsid w:val="007060AD"/>
    <w:rsid w:val="00707F9E"/>
    <w:rsid w:val="00713FF5"/>
    <w:rsid w:val="00717998"/>
    <w:rsid w:val="0072151F"/>
    <w:rsid w:val="007246E4"/>
    <w:rsid w:val="007261A1"/>
    <w:rsid w:val="0072758E"/>
    <w:rsid w:val="00732FF5"/>
    <w:rsid w:val="00743A7A"/>
    <w:rsid w:val="00751B4E"/>
    <w:rsid w:val="00753F8D"/>
    <w:rsid w:val="007573A9"/>
    <w:rsid w:val="00765ED8"/>
    <w:rsid w:val="00776CF5"/>
    <w:rsid w:val="00797DF0"/>
    <w:rsid w:val="007A0BB5"/>
    <w:rsid w:val="007A5687"/>
    <w:rsid w:val="007A5F9B"/>
    <w:rsid w:val="007B2E80"/>
    <w:rsid w:val="007B3293"/>
    <w:rsid w:val="007B480B"/>
    <w:rsid w:val="007B5136"/>
    <w:rsid w:val="007B7A18"/>
    <w:rsid w:val="007D1DB2"/>
    <w:rsid w:val="007E0F21"/>
    <w:rsid w:val="007F06DF"/>
    <w:rsid w:val="007F74F2"/>
    <w:rsid w:val="00804BE9"/>
    <w:rsid w:val="008103F1"/>
    <w:rsid w:val="00814184"/>
    <w:rsid w:val="00820E70"/>
    <w:rsid w:val="00820ECF"/>
    <w:rsid w:val="008275B9"/>
    <w:rsid w:val="00832CA4"/>
    <w:rsid w:val="00834DC1"/>
    <w:rsid w:val="00835041"/>
    <w:rsid w:val="00837877"/>
    <w:rsid w:val="008439EC"/>
    <w:rsid w:val="00844F02"/>
    <w:rsid w:val="008461A0"/>
    <w:rsid w:val="00850338"/>
    <w:rsid w:val="00854252"/>
    <w:rsid w:val="0085449A"/>
    <w:rsid w:val="00855183"/>
    <w:rsid w:val="0085622D"/>
    <w:rsid w:val="00860208"/>
    <w:rsid w:val="0087029D"/>
    <w:rsid w:val="008716EF"/>
    <w:rsid w:val="00882CD2"/>
    <w:rsid w:val="00893062"/>
    <w:rsid w:val="00894C52"/>
    <w:rsid w:val="008A795A"/>
    <w:rsid w:val="008A7A36"/>
    <w:rsid w:val="008B56CC"/>
    <w:rsid w:val="008D1452"/>
    <w:rsid w:val="008D49E2"/>
    <w:rsid w:val="008D7C3F"/>
    <w:rsid w:val="008E0365"/>
    <w:rsid w:val="008E31EB"/>
    <w:rsid w:val="008E5BE4"/>
    <w:rsid w:val="008F00E3"/>
    <w:rsid w:val="008F39E6"/>
    <w:rsid w:val="008F7BFE"/>
    <w:rsid w:val="00904500"/>
    <w:rsid w:val="009068D8"/>
    <w:rsid w:val="009111E9"/>
    <w:rsid w:val="00923661"/>
    <w:rsid w:val="00931016"/>
    <w:rsid w:val="009320B8"/>
    <w:rsid w:val="00933CA1"/>
    <w:rsid w:val="00940680"/>
    <w:rsid w:val="00951679"/>
    <w:rsid w:val="00954423"/>
    <w:rsid w:val="00954E3E"/>
    <w:rsid w:val="009568C8"/>
    <w:rsid w:val="00957737"/>
    <w:rsid w:val="009625DE"/>
    <w:rsid w:val="00967BD3"/>
    <w:rsid w:val="00977137"/>
    <w:rsid w:val="0098115E"/>
    <w:rsid w:val="009944A3"/>
    <w:rsid w:val="009A48EA"/>
    <w:rsid w:val="009A712E"/>
    <w:rsid w:val="009C12F4"/>
    <w:rsid w:val="009C3240"/>
    <w:rsid w:val="009C58C5"/>
    <w:rsid w:val="009C61AC"/>
    <w:rsid w:val="009D1307"/>
    <w:rsid w:val="009D3949"/>
    <w:rsid w:val="009D5A2A"/>
    <w:rsid w:val="009E0504"/>
    <w:rsid w:val="009E1818"/>
    <w:rsid w:val="009F7AE4"/>
    <w:rsid w:val="00A01E77"/>
    <w:rsid w:val="00A04F4E"/>
    <w:rsid w:val="00A07D51"/>
    <w:rsid w:val="00A07EA3"/>
    <w:rsid w:val="00A25D6E"/>
    <w:rsid w:val="00A27E0B"/>
    <w:rsid w:val="00A336CE"/>
    <w:rsid w:val="00A36645"/>
    <w:rsid w:val="00A41B16"/>
    <w:rsid w:val="00A561AE"/>
    <w:rsid w:val="00A65843"/>
    <w:rsid w:val="00A77906"/>
    <w:rsid w:val="00A80D2E"/>
    <w:rsid w:val="00A910D7"/>
    <w:rsid w:val="00A91739"/>
    <w:rsid w:val="00AA3609"/>
    <w:rsid w:val="00AA71AD"/>
    <w:rsid w:val="00AB22E1"/>
    <w:rsid w:val="00AB4D4C"/>
    <w:rsid w:val="00AD55DE"/>
    <w:rsid w:val="00AD67CF"/>
    <w:rsid w:val="00AE0993"/>
    <w:rsid w:val="00AE0B60"/>
    <w:rsid w:val="00AE2089"/>
    <w:rsid w:val="00AE2C62"/>
    <w:rsid w:val="00AE3AF0"/>
    <w:rsid w:val="00AE3E31"/>
    <w:rsid w:val="00AF296A"/>
    <w:rsid w:val="00AF7993"/>
    <w:rsid w:val="00B14E60"/>
    <w:rsid w:val="00B318AD"/>
    <w:rsid w:val="00B34522"/>
    <w:rsid w:val="00B3659C"/>
    <w:rsid w:val="00B36F87"/>
    <w:rsid w:val="00B4028B"/>
    <w:rsid w:val="00B40C71"/>
    <w:rsid w:val="00B42EE1"/>
    <w:rsid w:val="00B44B08"/>
    <w:rsid w:val="00B65E78"/>
    <w:rsid w:val="00B664FB"/>
    <w:rsid w:val="00B702F2"/>
    <w:rsid w:val="00B705BB"/>
    <w:rsid w:val="00B87DE1"/>
    <w:rsid w:val="00B96C00"/>
    <w:rsid w:val="00BA10EA"/>
    <w:rsid w:val="00BA38D3"/>
    <w:rsid w:val="00BA5B19"/>
    <w:rsid w:val="00BA64CA"/>
    <w:rsid w:val="00BB043B"/>
    <w:rsid w:val="00BB1A05"/>
    <w:rsid w:val="00BC3B5E"/>
    <w:rsid w:val="00BC5E2A"/>
    <w:rsid w:val="00BC65D3"/>
    <w:rsid w:val="00BE0479"/>
    <w:rsid w:val="00BE313C"/>
    <w:rsid w:val="00BE316E"/>
    <w:rsid w:val="00BF4010"/>
    <w:rsid w:val="00BF6B44"/>
    <w:rsid w:val="00C306E7"/>
    <w:rsid w:val="00C4240C"/>
    <w:rsid w:val="00C44A7B"/>
    <w:rsid w:val="00C4785E"/>
    <w:rsid w:val="00C47B15"/>
    <w:rsid w:val="00C53693"/>
    <w:rsid w:val="00C65620"/>
    <w:rsid w:val="00C65BBD"/>
    <w:rsid w:val="00C7061E"/>
    <w:rsid w:val="00C758EB"/>
    <w:rsid w:val="00C80138"/>
    <w:rsid w:val="00C82054"/>
    <w:rsid w:val="00C879A3"/>
    <w:rsid w:val="00C87F88"/>
    <w:rsid w:val="00C900F4"/>
    <w:rsid w:val="00C91104"/>
    <w:rsid w:val="00C9530B"/>
    <w:rsid w:val="00C95FFF"/>
    <w:rsid w:val="00CA0967"/>
    <w:rsid w:val="00CA79E6"/>
    <w:rsid w:val="00CB49D3"/>
    <w:rsid w:val="00CB4A80"/>
    <w:rsid w:val="00CB5F8E"/>
    <w:rsid w:val="00CC0A7E"/>
    <w:rsid w:val="00CD2ADE"/>
    <w:rsid w:val="00CD606A"/>
    <w:rsid w:val="00CE5C74"/>
    <w:rsid w:val="00CF2907"/>
    <w:rsid w:val="00D01E0A"/>
    <w:rsid w:val="00D025AE"/>
    <w:rsid w:val="00D16BD2"/>
    <w:rsid w:val="00D3065B"/>
    <w:rsid w:val="00D412FE"/>
    <w:rsid w:val="00D4203D"/>
    <w:rsid w:val="00D44CF4"/>
    <w:rsid w:val="00D479E0"/>
    <w:rsid w:val="00D52B92"/>
    <w:rsid w:val="00D54870"/>
    <w:rsid w:val="00D725F3"/>
    <w:rsid w:val="00D7333F"/>
    <w:rsid w:val="00D84F6C"/>
    <w:rsid w:val="00DA6C53"/>
    <w:rsid w:val="00DB4B81"/>
    <w:rsid w:val="00DC26C8"/>
    <w:rsid w:val="00DC3EE5"/>
    <w:rsid w:val="00DD4A92"/>
    <w:rsid w:val="00DE311F"/>
    <w:rsid w:val="00DE5423"/>
    <w:rsid w:val="00DE5DA6"/>
    <w:rsid w:val="00DE6243"/>
    <w:rsid w:val="00DF23F1"/>
    <w:rsid w:val="00DF2FC1"/>
    <w:rsid w:val="00DF4AA3"/>
    <w:rsid w:val="00E05CF1"/>
    <w:rsid w:val="00E22D69"/>
    <w:rsid w:val="00E238A3"/>
    <w:rsid w:val="00E23D7F"/>
    <w:rsid w:val="00E24667"/>
    <w:rsid w:val="00E25581"/>
    <w:rsid w:val="00E300C6"/>
    <w:rsid w:val="00E357B4"/>
    <w:rsid w:val="00E371A4"/>
    <w:rsid w:val="00E37D68"/>
    <w:rsid w:val="00E40CAE"/>
    <w:rsid w:val="00E415FE"/>
    <w:rsid w:val="00E42472"/>
    <w:rsid w:val="00E50165"/>
    <w:rsid w:val="00E56CE5"/>
    <w:rsid w:val="00E641F5"/>
    <w:rsid w:val="00E67D65"/>
    <w:rsid w:val="00E71897"/>
    <w:rsid w:val="00E73AF4"/>
    <w:rsid w:val="00E750A5"/>
    <w:rsid w:val="00E8103E"/>
    <w:rsid w:val="00E9156E"/>
    <w:rsid w:val="00E9343A"/>
    <w:rsid w:val="00EB0011"/>
    <w:rsid w:val="00EB78BE"/>
    <w:rsid w:val="00EC0809"/>
    <w:rsid w:val="00EC6CD0"/>
    <w:rsid w:val="00ED65D5"/>
    <w:rsid w:val="00EE4D58"/>
    <w:rsid w:val="00EE6AAB"/>
    <w:rsid w:val="00EE6ABB"/>
    <w:rsid w:val="00EF0430"/>
    <w:rsid w:val="00EF1231"/>
    <w:rsid w:val="00F005E6"/>
    <w:rsid w:val="00F07156"/>
    <w:rsid w:val="00F139B8"/>
    <w:rsid w:val="00F148BF"/>
    <w:rsid w:val="00F32AA3"/>
    <w:rsid w:val="00F40ABE"/>
    <w:rsid w:val="00F4149A"/>
    <w:rsid w:val="00F50BCC"/>
    <w:rsid w:val="00F53748"/>
    <w:rsid w:val="00F578C2"/>
    <w:rsid w:val="00F631C6"/>
    <w:rsid w:val="00F64233"/>
    <w:rsid w:val="00F643D4"/>
    <w:rsid w:val="00F72E9C"/>
    <w:rsid w:val="00F80CA6"/>
    <w:rsid w:val="00F811C5"/>
    <w:rsid w:val="00F83B09"/>
    <w:rsid w:val="00F86B90"/>
    <w:rsid w:val="00F91279"/>
    <w:rsid w:val="00F91B95"/>
    <w:rsid w:val="00F93B06"/>
    <w:rsid w:val="00FB3218"/>
    <w:rsid w:val="00FB5908"/>
    <w:rsid w:val="00FB759F"/>
    <w:rsid w:val="00FD397E"/>
    <w:rsid w:val="00FD4019"/>
    <w:rsid w:val="00FE10A9"/>
    <w:rsid w:val="00FE4D21"/>
    <w:rsid w:val="00FE4E45"/>
    <w:rsid w:val="00FE69F8"/>
    <w:rsid w:val="00FE70FC"/>
    <w:rsid w:val="00FF137A"/>
    <w:rsid w:val="09CC69E8"/>
    <w:rsid w:val="147F607B"/>
    <w:rsid w:val="15F5735F"/>
    <w:rsid w:val="1D9F5E03"/>
    <w:rsid w:val="25270AD1"/>
    <w:rsid w:val="297E3F5A"/>
    <w:rsid w:val="29CA2459"/>
    <w:rsid w:val="3A1A4D37"/>
    <w:rsid w:val="3B585B17"/>
    <w:rsid w:val="3BBD223D"/>
    <w:rsid w:val="431762B8"/>
    <w:rsid w:val="454405DD"/>
    <w:rsid w:val="45857508"/>
    <w:rsid w:val="45F4643C"/>
    <w:rsid w:val="50DB02D6"/>
    <w:rsid w:val="56961526"/>
    <w:rsid w:val="56D54068"/>
    <w:rsid w:val="56EE7CF3"/>
    <w:rsid w:val="577E71EF"/>
    <w:rsid w:val="5CBF559E"/>
    <w:rsid w:val="5DAF916C"/>
    <w:rsid w:val="5FFE018B"/>
    <w:rsid w:val="60143EB5"/>
    <w:rsid w:val="64917820"/>
    <w:rsid w:val="6D0B2883"/>
    <w:rsid w:val="746074FC"/>
    <w:rsid w:val="76E04CCF"/>
    <w:rsid w:val="76F7B8A9"/>
    <w:rsid w:val="773F3F23"/>
    <w:rsid w:val="7787EE16"/>
    <w:rsid w:val="7F3F0BC1"/>
    <w:rsid w:val="7FDF72DA"/>
    <w:rsid w:val="CEA6C9E2"/>
    <w:rsid w:val="CFDD0FB5"/>
    <w:rsid w:val="D9731BD2"/>
    <w:rsid w:val="DA7D4F7F"/>
    <w:rsid w:val="DFDF2229"/>
    <w:rsid w:val="EFBE92C6"/>
    <w:rsid w:val="F87792D5"/>
    <w:rsid w:val="FC7F2449"/>
    <w:rsid w:val="FFFB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_Style 5"/>
    <w:qFormat/>
    <w:uiPriority w:val="0"/>
    <w:pPr>
      <w:widowControl w:val="0"/>
      <w:spacing w:after="160" w:line="278" w:lineRule="auto"/>
      <w:ind w:firstLine="200" w:firstLineChars="200"/>
      <w:jc w:val="both"/>
    </w:pPr>
    <w:rPr>
      <w:rFonts w:ascii="Calibri" w:hAnsi="Calibri" w:eastAsia="宋体" w:cs="Times New Roman"/>
      <w:kern w:val="2"/>
      <w:sz w:val="24"/>
      <w:szCs w:val="22"/>
      <w:lang w:val="en-US" w:eastAsia="zh-CN" w:bidi="ar-SA"/>
    </w:rPr>
  </w:style>
  <w:style w:type="paragraph" w:styleId="3">
    <w:name w:val="annotation text"/>
    <w:basedOn w:val="1"/>
    <w:qFormat/>
    <w:uiPriority w:val="0"/>
    <w:pPr>
      <w:jc w:val="left"/>
    </w:pPr>
  </w:style>
  <w:style w:type="paragraph" w:styleId="4">
    <w:name w:val="Body Text"/>
    <w:basedOn w:val="1"/>
    <w:next w:val="5"/>
    <w:qFormat/>
    <w:uiPriority w:val="0"/>
    <w:pPr>
      <w:ind w:left="115"/>
    </w:pPr>
    <w:rPr>
      <w:rFonts w:ascii="仿宋" w:hAnsi="仿宋" w:eastAsia="仿宋" w:cs="仿宋"/>
      <w:szCs w:val="32"/>
    </w:rPr>
  </w:style>
  <w:style w:type="paragraph" w:styleId="5">
    <w:name w:val="Body Text First Indent"/>
    <w:basedOn w:val="4"/>
    <w:qFormat/>
    <w:uiPriority w:val="0"/>
    <w:pPr>
      <w:spacing w:after="120"/>
      <w:ind w:firstLine="420" w:firstLineChars="100"/>
    </w:pPr>
    <w:rPr>
      <w:sz w:val="30"/>
    </w:rPr>
  </w:style>
  <w:style w:type="paragraph" w:styleId="6">
    <w:name w:val="footer"/>
    <w:basedOn w:val="1"/>
    <w:next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rPr>
  </w:style>
  <w:style w:type="paragraph" w:customStyle="1" w:styleId="11">
    <w:name w:val="正文 New New New"/>
    <w:qFormat/>
    <w:uiPriority w:val="0"/>
    <w:pPr>
      <w:widowControl w:val="0"/>
      <w:spacing w:after="160" w:line="278" w:lineRule="auto"/>
      <w:jc w:val="both"/>
    </w:pPr>
    <w:rPr>
      <w:rFonts w:ascii="Times New Roman" w:hAnsi="Times New Roman" w:eastAsia="仿宋_GB2312" w:cs="Times New Roman"/>
      <w:kern w:val="2"/>
      <w:sz w:val="32"/>
      <w:szCs w:val="22"/>
      <w:lang w:val="en-US" w:eastAsia="zh-CN" w:bidi="ar-SA"/>
    </w:rPr>
  </w:style>
  <w:style w:type="paragraph" w:customStyle="1" w:styleId="12">
    <w:name w:val="Revision"/>
    <w:hidden/>
    <w:unhideWhenUsed/>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1533</Words>
  <Characters>1565</Characters>
  <Lines>65</Lines>
  <Paragraphs>26</Paragraphs>
  <TotalTime>16</TotalTime>
  <ScaleCrop>false</ScaleCrop>
  <LinksUpToDate>false</LinksUpToDate>
  <CharactersWithSpaces>3072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2026-01-27T13:53:00Z</dcterms:created>
  <dc:creator>user</dc:creator>
  <cp:lastModifiedBy>Administrator</cp:lastModifiedBy>
  <cp:lastPrinted>2026-03-03T05:32:00Z</cp:lastPrinted>
  <dcterms:modified xsi:type="dcterms:W3CDTF">2026-05-22T07:22:24Z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KSOTemplateDocerSaveRecord">
    <vt:lpwstr>eyJoZGlkIjoiMTg1MzliYTE1YjU1ZWJlZjU2NzBjNDI4OGEzM2UxMjYiLCJ1c2VySWQiOiIyNjAwNDI5NTEifQ==</vt:lpwstr>
  </property>
  <property fmtid="{D5CDD505-2E9C-101B-9397-08002B2CF9AE}" pid="4" name="ICV">
    <vt:lpwstr>5D4F7747D2C9425092536B4EC9643152</vt:lpwstr>
  </property>
</Properties>
</file>