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B78AC">
      <w:pPr>
        <w:pStyle w:val="22"/>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韶关市2026年住房发展年度计划</w:t>
      </w:r>
    </w:p>
    <w:p w14:paraId="033CE376">
      <w:pPr>
        <w:pageBreakBefore w:val="0"/>
        <w:kinsoku/>
        <w:wordWrap/>
        <w:overflowPunct/>
        <w:topLinePunct w:val="0"/>
        <w:autoSpaceDE/>
        <w:autoSpaceDN/>
        <w:bidi w:val="0"/>
        <w:adjustRightInd/>
        <w:snapToGrid/>
        <w:spacing w:line="560" w:lineRule="exact"/>
        <w:textAlignment w:val="auto"/>
        <w:rPr>
          <w:rFonts w:hint="default"/>
          <w:lang w:val="en-US" w:eastAsia="zh-CN"/>
        </w:rPr>
      </w:pPr>
    </w:p>
    <w:p w14:paraId="20B78C29">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住房城乡建设部关于做好住房发展规划和年度计划编制工作的通知》（建房函〔2024〕20号）、《广东省住房和城乡建设厅转发住房城乡建设部关于做好住房发展规划和年度计划编制工作的通知》等相关文件要求，结合韶关市实际，</w:t>
      </w:r>
      <w:r>
        <w:rPr>
          <w:rFonts w:hint="eastAsia" w:ascii="仿宋_GB2312" w:hAnsi="仿宋_GB2312" w:eastAsia="仿宋_GB2312" w:cs="仿宋_GB2312"/>
          <w:highlight w:val="none"/>
        </w:rPr>
        <w:t>制定202</w:t>
      </w:r>
      <w:r>
        <w:rPr>
          <w:rFonts w:hint="eastAsia" w:ascii="仿宋_GB2312" w:hAnsi="仿宋_GB2312" w:cs="仿宋_GB2312"/>
          <w:highlight w:val="none"/>
          <w:lang w:val="en-US" w:eastAsia="zh-CN"/>
        </w:rPr>
        <w:t>6</w:t>
      </w:r>
      <w:r>
        <w:rPr>
          <w:rFonts w:hint="eastAsia" w:ascii="仿宋_GB2312" w:hAnsi="仿宋_GB2312" w:eastAsia="仿宋_GB2312" w:cs="仿宋_GB2312"/>
          <w:highlight w:val="none"/>
        </w:rPr>
        <w:t>年住房发展年度计划。</w:t>
      </w:r>
    </w:p>
    <w:p w14:paraId="58056B5A">
      <w:pPr>
        <w:pStyle w:val="23"/>
        <w:pageBreakBefore w:val="0"/>
        <w:kinsoku/>
        <w:wordWrap/>
        <w:overflowPunct/>
        <w:topLinePunct w:val="0"/>
        <w:autoSpaceDE/>
        <w:autoSpaceDN/>
        <w:bidi w:val="0"/>
        <w:adjustRightInd/>
        <w:snapToGrid/>
        <w:spacing w:line="560" w:lineRule="exact"/>
        <w:textAlignment w:val="auto"/>
        <w:rPr>
          <w:rFonts w:hint="default"/>
          <w:lang w:eastAsia="zh-CN"/>
        </w:rPr>
      </w:pPr>
      <w:r>
        <w:rPr>
          <w:rFonts w:hint="eastAsia"/>
          <w:lang w:val="en-US" w:eastAsia="zh-CN"/>
        </w:rPr>
        <w:t>一、住房</w:t>
      </w:r>
      <w:r>
        <w:rPr>
          <w:rFonts w:hint="default"/>
          <w:lang w:eastAsia="zh-CN"/>
        </w:rPr>
        <w:t>发展</w:t>
      </w:r>
      <w:r>
        <w:rPr>
          <w:rFonts w:hint="eastAsia"/>
          <w:lang w:val="en-US" w:eastAsia="zh-CN"/>
        </w:rPr>
        <w:t>要求</w:t>
      </w:r>
    </w:p>
    <w:p w14:paraId="595D0E0E">
      <w:pPr>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rPr>
        <w:t>以习近平新时代中国特色社会主义思想为指导，全面贯彻党的二十大和二十届</w:t>
      </w:r>
      <w:r>
        <w:rPr>
          <w:rFonts w:hint="eastAsia"/>
          <w:lang w:eastAsia="zh-CN"/>
        </w:rPr>
        <w:t>历次</w:t>
      </w:r>
      <w:r>
        <w:rPr>
          <w:rFonts w:hint="eastAsia"/>
        </w:rPr>
        <w:t>全会、中央城市工作会议精神，全面贯彻落</w:t>
      </w:r>
      <w:r>
        <w:rPr>
          <w:rFonts w:hint="eastAsia" w:ascii="仿宋_GB2312" w:hAnsi="仿宋_GB2312" w:cs="仿宋_GB2312"/>
        </w:rPr>
        <w:t>实习近平总书记对广东系列重要讲话和重要指示精神，深入落实省委“1310”具体部署和市委“363”工作安排，</w:t>
      </w:r>
      <w:r>
        <w:rPr>
          <w:rFonts w:hint="eastAsia" w:ascii="仿宋_GB2312" w:hAnsi="仿宋_GB2312" w:cs="仿宋_GB2312"/>
          <w:color w:val="auto"/>
          <w:lang w:val="en-US" w:eastAsia="zh-CN"/>
        </w:rPr>
        <w:t>坚持房子是用来住的、不是用来炒的定位，围绕稳市场、优保障、惠民生、提品质的住房发展目标，</w:t>
      </w:r>
      <w:r>
        <w:rPr>
          <w:rFonts w:hint="eastAsia" w:ascii="仿宋_GB2312" w:hAnsi="仿宋_GB2312" w:cs="仿宋_GB2312"/>
        </w:rPr>
        <w:t>加快完善住房供应体系，</w:t>
      </w:r>
      <w:r>
        <w:rPr>
          <w:rFonts w:hint="eastAsia" w:ascii="仿宋_GB2312" w:hAnsi="仿宋_GB2312" w:cs="仿宋_GB2312"/>
          <w:lang w:val="en-US" w:eastAsia="zh-CN"/>
        </w:rPr>
        <w:t>优化房地产市场供给，不断完善住房保障体系，全面推进新建商品住房</w:t>
      </w:r>
      <w:r>
        <w:rPr>
          <w:rFonts w:hint="eastAsia"/>
          <w:lang w:val="en-US" w:eastAsia="zh-CN"/>
        </w:rPr>
        <w:t>和存量住房品质提升，</w:t>
      </w:r>
      <w:r>
        <w:rPr>
          <w:rFonts w:hint="eastAsia"/>
        </w:rPr>
        <w:t>持续满足城乡居民刚性需求和多样化的改善性住房需求，助力建设具有区域影响力的新</w:t>
      </w:r>
      <w:r>
        <w:rPr>
          <w:rFonts w:hint="eastAsia"/>
          <w:lang w:eastAsia="zh-CN"/>
        </w:rPr>
        <w:t>韶关</w:t>
      </w:r>
      <w:r>
        <w:rPr>
          <w:rFonts w:hint="eastAsia"/>
        </w:rPr>
        <w:t>。</w:t>
      </w:r>
    </w:p>
    <w:p w14:paraId="7E12CDE1">
      <w:pPr>
        <w:pStyle w:val="23"/>
        <w:pageBreakBefore w:val="0"/>
        <w:kinsoku/>
        <w:wordWrap/>
        <w:overflowPunct/>
        <w:topLinePunct w:val="0"/>
        <w:autoSpaceDE/>
        <w:autoSpaceDN/>
        <w:bidi w:val="0"/>
        <w:adjustRightInd/>
        <w:snapToGrid/>
        <w:spacing w:line="560" w:lineRule="exact"/>
        <w:textAlignment w:val="auto"/>
        <w:rPr>
          <w:rFonts w:hint="default"/>
          <w:lang w:eastAsia="zh-CN"/>
        </w:rPr>
      </w:pPr>
      <w:r>
        <w:rPr>
          <w:rFonts w:hint="eastAsia"/>
          <w:lang w:val="en-US" w:eastAsia="zh-CN"/>
        </w:rPr>
        <w:t>二、住房供应计划</w:t>
      </w:r>
    </w:p>
    <w:p w14:paraId="0DF310AA">
      <w:pPr>
        <w:pStyle w:val="24"/>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Times New Roman" w:hAnsi="Times New Roman"/>
          <w:lang w:val="en-US" w:eastAsia="zh-CN"/>
        </w:rPr>
        <w:t>（一）</w:t>
      </w:r>
      <w:r>
        <w:rPr>
          <w:rFonts w:hint="eastAsia"/>
          <w:lang w:val="en-US" w:eastAsia="zh-CN"/>
        </w:rPr>
        <w:t>商品住房供应目标。</w:t>
      </w:r>
    </w:p>
    <w:p w14:paraId="22B77B73">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lang w:val="en-US" w:eastAsia="zh-CN"/>
        </w:rPr>
      </w:pPr>
      <w:r>
        <w:rPr>
          <w:rFonts w:hint="eastAsia" w:ascii="仿宋_GB2312" w:hAnsi="仿宋_GB2312" w:cs="仿宋_GB2312"/>
          <w:color w:val="auto"/>
        </w:rPr>
        <w:t>全市计划</w:t>
      </w:r>
      <w:r>
        <w:rPr>
          <w:rFonts w:hint="default" w:ascii="Times New Roman" w:hAnsi="Times New Roman" w:cs="Times New Roman"/>
          <w:szCs w:val="36"/>
          <w:highlight w:val="none"/>
        </w:rPr>
        <w:t>批准预</w:t>
      </w:r>
      <w:r>
        <w:rPr>
          <w:rFonts w:hint="eastAsia" w:cs="Times New Roman"/>
          <w:szCs w:val="36"/>
          <w:highlight w:val="none"/>
          <w:lang w:eastAsia="zh-CN"/>
        </w:rPr>
        <w:t>（现）</w:t>
      </w:r>
      <w:r>
        <w:rPr>
          <w:rFonts w:hint="default" w:ascii="Times New Roman" w:hAnsi="Times New Roman" w:cs="Times New Roman"/>
          <w:szCs w:val="36"/>
          <w:highlight w:val="none"/>
        </w:rPr>
        <w:t>售</w:t>
      </w:r>
      <w:r>
        <w:rPr>
          <w:rFonts w:hint="eastAsia" w:ascii="仿宋_GB2312" w:hAnsi="仿宋_GB2312" w:cs="仿宋_GB2312"/>
          <w:color w:val="auto"/>
        </w:rPr>
        <w:t>商品住房建筑面积约</w:t>
      </w:r>
      <w:r>
        <w:rPr>
          <w:rFonts w:hint="eastAsia" w:ascii="仿宋_GB2312" w:hAnsi="仿宋_GB2312" w:cs="仿宋_GB2312"/>
          <w:color w:val="auto"/>
          <w:lang w:val="en-US" w:eastAsia="zh-CN"/>
        </w:rPr>
        <w:t>97</w:t>
      </w:r>
      <w:r>
        <w:rPr>
          <w:rFonts w:hint="eastAsia" w:ascii="仿宋_GB2312" w:hAnsi="仿宋_GB2312" w:cs="仿宋_GB2312"/>
          <w:color w:val="auto"/>
        </w:rPr>
        <w:t>万平方米，房源约</w:t>
      </w:r>
      <w:r>
        <w:rPr>
          <w:rFonts w:hint="eastAsia" w:ascii="仿宋_GB2312" w:hAnsi="仿宋_GB2312" w:cs="仿宋_GB2312"/>
          <w:color w:val="auto"/>
          <w:lang w:val="en-US" w:eastAsia="zh-CN"/>
        </w:rPr>
        <w:t>0.7</w:t>
      </w:r>
      <w:r>
        <w:rPr>
          <w:rFonts w:hint="eastAsia" w:ascii="仿宋_GB2312" w:hAnsi="仿宋_GB2312" w:cs="仿宋_GB2312"/>
          <w:color w:val="auto"/>
        </w:rPr>
        <w:t>万套。其中，</w:t>
      </w:r>
      <w:r>
        <w:rPr>
          <w:rFonts w:hint="eastAsia" w:ascii="仿宋_GB2312" w:hAnsi="仿宋_GB2312" w:cs="仿宋_GB2312"/>
          <w:color w:val="auto"/>
          <w:lang w:val="en-US" w:eastAsia="zh-CN"/>
        </w:rPr>
        <w:t>计划</w:t>
      </w:r>
      <w:r>
        <w:rPr>
          <w:rFonts w:hint="default" w:ascii="Times New Roman" w:hAnsi="Times New Roman" w:cs="Times New Roman"/>
          <w:szCs w:val="36"/>
          <w:highlight w:val="none"/>
        </w:rPr>
        <w:t>批准预</w:t>
      </w:r>
      <w:r>
        <w:rPr>
          <w:rFonts w:hint="eastAsia" w:cs="Times New Roman"/>
          <w:szCs w:val="36"/>
          <w:highlight w:val="none"/>
          <w:lang w:eastAsia="zh-CN"/>
        </w:rPr>
        <w:t>（现）</w:t>
      </w:r>
      <w:r>
        <w:rPr>
          <w:rFonts w:hint="default" w:ascii="Times New Roman" w:hAnsi="Times New Roman" w:cs="Times New Roman"/>
          <w:szCs w:val="36"/>
          <w:highlight w:val="none"/>
        </w:rPr>
        <w:t>售</w:t>
      </w:r>
      <w:r>
        <w:rPr>
          <w:rFonts w:hint="eastAsia" w:ascii="仿宋_GB2312" w:hAnsi="仿宋_GB2312" w:cs="仿宋_GB2312"/>
          <w:color w:val="auto"/>
          <w:lang w:val="en-US" w:eastAsia="zh-CN"/>
        </w:rPr>
        <w:t>商品住房以武江区为主，其次为乐昌市。</w:t>
      </w:r>
    </w:p>
    <w:p w14:paraId="1EA27108">
      <w:pPr>
        <w:pStyle w:val="24"/>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Times New Roman" w:hAnsi="Times New Roman"/>
          <w:lang w:val="en-US" w:eastAsia="zh-CN"/>
        </w:rPr>
        <w:t>（</w:t>
      </w:r>
      <w:r>
        <w:rPr>
          <w:rFonts w:hint="eastAsia"/>
          <w:lang w:val="en-US" w:eastAsia="zh-CN"/>
        </w:rPr>
        <w:t>二</w:t>
      </w:r>
      <w:r>
        <w:rPr>
          <w:rFonts w:hint="eastAsia" w:ascii="Times New Roman" w:hAnsi="Times New Roman"/>
          <w:lang w:val="en-US" w:eastAsia="zh-CN"/>
        </w:rPr>
        <w:t>）</w:t>
      </w:r>
      <w:r>
        <w:rPr>
          <w:rFonts w:hint="eastAsia"/>
          <w:lang w:val="en-US" w:eastAsia="zh-CN"/>
        </w:rPr>
        <w:t>保障性住房供应目标</w:t>
      </w:r>
    </w:p>
    <w:p w14:paraId="265C0E13">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lang w:val="en-US" w:eastAsia="zh-CN"/>
        </w:rPr>
      </w:pPr>
      <w:r>
        <w:rPr>
          <w:rFonts w:hint="eastAsia" w:ascii="仿宋_GB2312" w:hAnsi="仿宋_GB2312" w:cs="仿宋_GB2312"/>
          <w:color w:val="auto"/>
          <w:lang w:val="en-US" w:eastAsia="zh-CN"/>
        </w:rPr>
        <w:t>全市计划发放租赁补贴79户，新建设筹集保障性租赁住房528套，重点在中心城区供应，均为两房户型。暂无公共租赁住房和配售型保障性住房建设筹集计划。</w:t>
      </w:r>
    </w:p>
    <w:p w14:paraId="11BE8BFB">
      <w:pPr>
        <w:pStyle w:val="24"/>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Times New Roman" w:hAnsi="Times New Roman"/>
          <w:lang w:val="en-US" w:eastAsia="zh-CN"/>
        </w:rPr>
        <w:t>（</w:t>
      </w:r>
      <w:r>
        <w:rPr>
          <w:rFonts w:hint="eastAsia"/>
          <w:lang w:val="en-US" w:eastAsia="zh-CN"/>
        </w:rPr>
        <w:t>三</w:t>
      </w:r>
      <w:r>
        <w:rPr>
          <w:rFonts w:hint="eastAsia" w:ascii="Times New Roman" w:hAnsi="Times New Roman"/>
          <w:lang w:val="en-US" w:eastAsia="zh-CN"/>
        </w:rPr>
        <w:t>）</w:t>
      </w:r>
      <w:r>
        <w:rPr>
          <w:rFonts w:hint="eastAsia"/>
          <w:lang w:val="en-US" w:eastAsia="zh-CN"/>
        </w:rPr>
        <w:t>住房用地供应目标</w:t>
      </w:r>
    </w:p>
    <w:p w14:paraId="4D7068B3">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rPr>
      </w:pPr>
      <w:r>
        <w:rPr>
          <w:rFonts w:hint="eastAsia" w:ascii="仿宋_GB2312" w:hAnsi="仿宋_GB2312" w:cs="仿宋_GB2312"/>
          <w:color w:val="auto"/>
          <w:lang w:val="en-US" w:eastAsia="zh-CN"/>
        </w:rPr>
        <w:t>全市计划供应住宅用地总计约78.4公顷，其中约74.4公顷为商品住房用地，约4公顷为安置房用地（曲江区），暂不新增保障性住房用地供应。重点保障武江区商品住房用地供应。</w:t>
      </w:r>
    </w:p>
    <w:p w14:paraId="3E29FF78">
      <w:pPr>
        <w:pStyle w:val="23"/>
        <w:pageBreakBefore w:val="0"/>
        <w:kinsoku/>
        <w:wordWrap/>
        <w:overflowPunct/>
        <w:topLinePunct w:val="0"/>
        <w:autoSpaceDE/>
        <w:autoSpaceDN/>
        <w:bidi w:val="0"/>
        <w:adjustRightInd/>
        <w:snapToGrid/>
        <w:spacing w:line="560" w:lineRule="exact"/>
        <w:textAlignment w:val="auto"/>
        <w:rPr>
          <w:rFonts w:hint="default"/>
          <w:lang w:eastAsia="zh-CN"/>
        </w:rPr>
      </w:pPr>
      <w:r>
        <w:rPr>
          <w:rFonts w:hint="eastAsia"/>
          <w:lang w:val="en-US" w:eastAsia="zh-CN"/>
        </w:rPr>
        <w:t>三、住房发展重点任务</w:t>
      </w:r>
    </w:p>
    <w:p w14:paraId="4B31DA11">
      <w:pPr>
        <w:pStyle w:val="24"/>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Times New Roman" w:hAnsi="Times New Roman"/>
          <w:lang w:val="en-US" w:eastAsia="zh-CN"/>
        </w:rPr>
        <w:t>（</w:t>
      </w:r>
      <w:r>
        <w:rPr>
          <w:rFonts w:hint="eastAsia"/>
          <w:lang w:val="en-US" w:eastAsia="zh-CN"/>
        </w:rPr>
        <w:t>一</w:t>
      </w:r>
      <w:r>
        <w:rPr>
          <w:rFonts w:hint="eastAsia" w:ascii="Times New Roman" w:hAnsi="Times New Roman"/>
          <w:lang w:val="en-US" w:eastAsia="zh-CN"/>
        </w:rPr>
        <w:t>）</w:t>
      </w:r>
      <w:r>
        <w:rPr>
          <w:rFonts w:hint="eastAsia"/>
          <w:lang w:val="en-US" w:eastAsia="zh-CN"/>
        </w:rPr>
        <w:t>稳定住房市场</w:t>
      </w:r>
    </w:p>
    <w:p w14:paraId="3FB4DED3">
      <w:pPr>
        <w:pageBreakBefore w:val="0"/>
        <w:widowControl w:val="0"/>
        <w:kinsoku/>
        <w:wordWrap/>
        <w:overflowPunct/>
        <w:topLinePunct w:val="0"/>
        <w:autoSpaceDE/>
        <w:autoSpaceDN/>
        <w:bidi w:val="0"/>
        <w:adjustRightInd/>
        <w:snapToGrid/>
        <w:spacing w:before="0" w:beforeLines="0" w:afterAutospacing="0" w:line="560" w:lineRule="exact"/>
        <w:textAlignment w:val="auto"/>
        <w:outlineLvl w:val="3"/>
        <w:rPr>
          <w:rFonts w:hint="eastAsia" w:ascii="仿宋_GB2312" w:hAnsi="仿宋_GB2312" w:eastAsia="仿宋_GB2312" w:cs="仿宋_GB2312"/>
          <w:b/>
          <w:bCs/>
          <w:szCs w:val="24"/>
          <w:lang w:val="en-US" w:eastAsia="zh-CN" w:bidi="ar"/>
        </w:rPr>
      </w:pPr>
      <w:r>
        <w:rPr>
          <w:rFonts w:hint="eastAsia" w:ascii="仿宋_GB2312" w:hAnsi="仿宋_GB2312" w:eastAsia="仿宋_GB2312" w:cs="仿宋_GB2312"/>
          <w:b/>
          <w:bCs/>
          <w:szCs w:val="24"/>
          <w:lang w:val="en-US" w:eastAsia="zh-CN" w:bidi="ar"/>
        </w:rPr>
        <w:t>1.保障房地产市场平稳健康发展</w:t>
      </w:r>
    </w:p>
    <w:p w14:paraId="2F17D795">
      <w:pPr>
        <w:pageBreakBefore w:val="0"/>
        <w:widowControl w:val="0"/>
        <w:kinsoku/>
        <w:wordWrap/>
        <w:overflowPunct/>
        <w:topLinePunct w:val="0"/>
        <w:autoSpaceDE/>
        <w:autoSpaceDN/>
        <w:bidi w:val="0"/>
        <w:adjustRightInd/>
        <w:snapToGrid/>
        <w:spacing w:before="0" w:beforeLines="0" w:afterAutospacing="0" w:line="560" w:lineRule="exact"/>
        <w:textAlignment w:val="auto"/>
        <w:outlineLvl w:val="9"/>
        <w:rPr>
          <w:rFonts w:hint="default" w:eastAsia="仿宋_GB2312" w:cs="Times New Roman"/>
          <w:b/>
          <w:bCs/>
          <w:szCs w:val="24"/>
          <w:lang w:val="en-US" w:eastAsia="zh-CN" w:bidi="ar"/>
        </w:rPr>
      </w:pPr>
      <w:r>
        <w:rPr>
          <w:rFonts w:hint="eastAsia" w:ascii="仿宋_GB2312" w:hAnsi="仿宋_GB2312" w:cs="仿宋_GB2312"/>
          <w:sz w:val="32"/>
          <w:szCs w:val="32"/>
          <w:lang w:val="en-US" w:eastAsia="zh-CN"/>
        </w:rPr>
        <w:t>坚持“人、房、地、钱”要素联动，根据经济社会发展以及房地产市场库存情况科学确定新增商品住房用地供应规模和时序，</w:t>
      </w:r>
      <w:r>
        <w:rPr>
          <w:rFonts w:hint="eastAsia" w:ascii="仿宋_GB2312" w:hAnsi="仿宋_GB2312" w:eastAsia="仿宋_GB2312" w:cs="仿宋_GB2312"/>
          <w:sz w:val="32"/>
          <w:szCs w:val="32"/>
        </w:rPr>
        <w:t>对商品住宅去化周期</w:t>
      </w:r>
      <w:r>
        <w:rPr>
          <w:rFonts w:hint="eastAsia" w:ascii="仿宋_GB2312" w:hAnsi="仿宋_GB2312" w:cs="仿宋_GB2312"/>
          <w:sz w:val="32"/>
          <w:szCs w:val="32"/>
          <w:lang w:eastAsia="zh-CN"/>
        </w:rPr>
        <w:t>过长的</w:t>
      </w:r>
      <w:r>
        <w:rPr>
          <w:rFonts w:hint="eastAsia" w:ascii="仿宋_GB2312" w:hAnsi="仿宋_GB2312" w:eastAsia="仿宋_GB2312" w:cs="仿宋_GB2312"/>
          <w:sz w:val="32"/>
          <w:szCs w:val="32"/>
        </w:rPr>
        <w:t>县（市、区）严格限制土地供应。</w:t>
      </w:r>
      <w:r>
        <w:t>坚持</w:t>
      </w:r>
      <w:r>
        <w:rPr>
          <w:rFonts w:hint="eastAsia"/>
          <w:lang w:eastAsia="zh-CN"/>
        </w:rPr>
        <w:t>“</w:t>
      </w:r>
      <w:r>
        <w:t>职住交服</w:t>
      </w:r>
      <w:r>
        <w:rPr>
          <w:rFonts w:hint="eastAsia"/>
          <w:lang w:eastAsia="zh-CN"/>
        </w:rPr>
        <w:t>”</w:t>
      </w:r>
      <w:r>
        <w:t>空间协同，加大基础设施投入，确保交通、学校、医疗等公共服务水平大幅提升。</w:t>
      </w:r>
      <w:r>
        <w:rPr>
          <w:rFonts w:hint="eastAsia" w:ascii="仿宋_GB2312" w:hAnsi="仿宋_GB2312" w:cs="仿宋_GB2312"/>
          <w:sz w:val="32"/>
          <w:szCs w:val="32"/>
          <w:lang w:val="en-US" w:eastAsia="zh-CN"/>
        </w:rPr>
        <w:t>合理增加高品质住宅用地供应，释放居民改善性住房需求。进一步强化预售资金监管，根据预售资金监管最新政策要求，</w:t>
      </w:r>
      <w:r>
        <w:rPr>
          <w:rFonts w:hint="eastAsia" w:ascii="仿宋_GB2312" w:hAnsi="Times New Roman" w:eastAsia="仿宋_GB2312" w:cs="仿宋_GB2312"/>
          <w:i w:val="0"/>
          <w:iCs w:val="0"/>
          <w:caps w:val="0"/>
          <w:spacing w:val="0"/>
          <w:kern w:val="2"/>
          <w:sz w:val="32"/>
          <w:szCs w:val="32"/>
          <w:highlight w:val="none"/>
          <w:shd w:val="clear" w:color="auto" w:fill="auto"/>
          <w:lang w:bidi="ar"/>
        </w:rPr>
        <w:t>严格筛选资质合规、风控能力强</w:t>
      </w:r>
      <w:r>
        <w:rPr>
          <w:rFonts w:hint="eastAsia" w:ascii="仿宋_GB2312" w:hAnsi="Times New Roman" w:eastAsia="仿宋_GB2312" w:cs="仿宋_GB2312"/>
          <w:i w:val="0"/>
          <w:iCs w:val="0"/>
          <w:caps w:val="0"/>
          <w:spacing w:val="0"/>
          <w:kern w:val="2"/>
          <w:sz w:val="32"/>
          <w:szCs w:val="32"/>
          <w:highlight w:val="none"/>
          <w:shd w:val="clear" w:color="auto" w:fill="auto"/>
          <w:lang w:eastAsia="zh" w:bidi="ar"/>
        </w:rPr>
        <w:t>、系统建设水平高</w:t>
      </w:r>
      <w:r>
        <w:rPr>
          <w:rFonts w:hint="eastAsia" w:ascii="仿宋_GB2312" w:hAnsi="Times New Roman" w:eastAsia="仿宋_GB2312" w:cs="仿宋_GB2312"/>
          <w:i w:val="0"/>
          <w:iCs w:val="0"/>
          <w:caps w:val="0"/>
          <w:spacing w:val="0"/>
          <w:kern w:val="2"/>
          <w:sz w:val="32"/>
          <w:szCs w:val="32"/>
          <w:highlight w:val="none"/>
          <w:shd w:val="clear" w:color="auto" w:fill="auto"/>
          <w:lang w:bidi="ar"/>
        </w:rPr>
        <w:t>的</w:t>
      </w:r>
      <w:r>
        <w:rPr>
          <w:rFonts w:hint="eastAsia" w:ascii="仿宋_GB2312" w:hAnsi="Times New Roman" w:eastAsia="仿宋_GB2312" w:cs="仿宋_GB2312"/>
          <w:i w:val="0"/>
          <w:iCs w:val="0"/>
          <w:caps w:val="0"/>
          <w:spacing w:val="0"/>
          <w:kern w:val="2"/>
          <w:sz w:val="32"/>
          <w:szCs w:val="32"/>
          <w:highlight w:val="none"/>
          <w:shd w:val="clear" w:color="auto" w:fill="auto"/>
          <w:lang w:eastAsia="zh" w:bidi="ar"/>
        </w:rPr>
        <w:t>商业银行</w:t>
      </w:r>
      <w:r>
        <w:rPr>
          <w:rFonts w:hint="eastAsia" w:ascii="仿宋_GB2312" w:hAnsi="Times New Roman" w:cs="仿宋_GB2312"/>
          <w:i w:val="0"/>
          <w:iCs w:val="0"/>
          <w:caps w:val="0"/>
          <w:spacing w:val="0"/>
          <w:kern w:val="2"/>
          <w:sz w:val="32"/>
          <w:szCs w:val="32"/>
          <w:highlight w:val="none"/>
          <w:shd w:val="clear" w:color="auto" w:fill="auto"/>
          <w:lang w:val="en-US" w:eastAsia="zh-CN" w:bidi="ar"/>
        </w:rPr>
        <w:t>作为监管银行，优化银行考核办法，切实保障预售资金安全。</w:t>
      </w:r>
      <w:r>
        <w:rPr>
          <w:rFonts w:hint="eastAsia" w:ascii="仿宋_GB2312" w:hAnsi="仿宋_GB2312" w:cs="仿宋_GB2312"/>
          <w:sz w:val="32"/>
          <w:szCs w:val="32"/>
          <w:lang w:val="en-US" w:eastAsia="zh-CN"/>
        </w:rPr>
        <w:t>探索推进现房销售制，实现“所见即所得”，从根本上防范交付风险。</w:t>
      </w:r>
    </w:p>
    <w:p w14:paraId="228B703F">
      <w:pPr>
        <w:pageBreakBefore w:val="0"/>
        <w:widowControl w:val="0"/>
        <w:kinsoku/>
        <w:wordWrap/>
        <w:overflowPunct/>
        <w:topLinePunct w:val="0"/>
        <w:autoSpaceDE/>
        <w:autoSpaceDN/>
        <w:bidi w:val="0"/>
        <w:adjustRightInd/>
        <w:snapToGrid/>
        <w:spacing w:before="0" w:beforeLines="0" w:afterAutospacing="0" w:line="560" w:lineRule="exact"/>
        <w:textAlignment w:val="auto"/>
        <w:outlineLvl w:val="3"/>
        <w:rPr>
          <w:rFonts w:hint="eastAsia" w:ascii="仿宋_GB2312" w:hAnsi="仿宋_GB2312" w:eastAsia="仿宋_GB2312" w:cs="仿宋_GB2312"/>
          <w:b/>
          <w:bCs/>
          <w:szCs w:val="24"/>
          <w:lang w:val="en-US" w:eastAsia="zh-CN" w:bidi="ar"/>
        </w:rPr>
      </w:pPr>
      <w:r>
        <w:rPr>
          <w:rFonts w:hint="eastAsia" w:ascii="仿宋_GB2312" w:hAnsi="仿宋_GB2312" w:eastAsia="仿宋_GB2312" w:cs="仿宋_GB2312"/>
          <w:b/>
          <w:bCs/>
          <w:szCs w:val="24"/>
          <w:lang w:val="en-US" w:eastAsia="zh-CN" w:bidi="ar"/>
        </w:rPr>
        <w:t>2.积极消化商品住房库存</w:t>
      </w:r>
    </w:p>
    <w:p w14:paraId="3D8CAE4A">
      <w:pPr>
        <w:pageBreakBefore w:val="0"/>
        <w:widowControl w:val="0"/>
        <w:kinsoku/>
        <w:wordWrap/>
        <w:overflowPunct/>
        <w:topLinePunct w:val="0"/>
        <w:autoSpaceDE/>
        <w:autoSpaceDN/>
        <w:bidi w:val="0"/>
        <w:adjustRightInd/>
        <w:snapToGrid/>
        <w:spacing w:before="0" w:beforeLines="0" w:afterAutospacing="0" w:line="560" w:lineRule="exact"/>
        <w:textAlignment w:val="auto"/>
        <w:outlineLvl w:val="9"/>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动态监测商品住宅库存水平，</w:t>
      </w:r>
      <w:r>
        <w:rPr>
          <w:rFonts w:hint="eastAsia" w:ascii="仿宋_GB2312" w:hAnsi="仿宋_GB2312" w:cs="仿宋_GB2312"/>
          <w:sz w:val="32"/>
          <w:szCs w:val="32"/>
          <w:lang w:val="en-US" w:eastAsia="zh-CN"/>
        </w:rPr>
        <w:t>分类摸清商品住房库存情况</w:t>
      </w:r>
      <w:r>
        <w:rPr>
          <w:rFonts w:hint="eastAsia" w:ascii="仿宋_GB2312" w:hAnsi="仿宋_GB2312" w:eastAsia="仿宋_GB2312" w:cs="仿宋_GB2312"/>
          <w:sz w:val="32"/>
          <w:szCs w:val="32"/>
        </w:rPr>
        <w:t>，及时督促去化周期较</w:t>
      </w:r>
      <w:r>
        <w:rPr>
          <w:rFonts w:hint="eastAsia" w:ascii="仿宋_GB2312" w:hAnsi="仿宋_GB2312" w:cs="仿宋_GB2312"/>
          <w:sz w:val="32"/>
          <w:szCs w:val="32"/>
          <w:lang w:eastAsia="zh-CN"/>
        </w:rPr>
        <w:t>长</w:t>
      </w:r>
      <w:r>
        <w:rPr>
          <w:rFonts w:hint="eastAsia" w:ascii="仿宋_GB2312" w:hAnsi="仿宋_GB2312" w:eastAsia="仿宋_GB2312" w:cs="仿宋_GB2312"/>
          <w:sz w:val="32"/>
          <w:szCs w:val="32"/>
        </w:rPr>
        <w:t>的县（市、区）做好去库存</w:t>
      </w:r>
      <w:r>
        <w:rPr>
          <w:rFonts w:hint="eastAsia" w:ascii="仿宋_GB2312" w:hAnsi="仿宋_GB2312" w:cs="仿宋_GB2312"/>
          <w:sz w:val="32"/>
          <w:szCs w:val="32"/>
          <w:lang w:val="en-US" w:eastAsia="zh-CN"/>
        </w:rPr>
        <w:t>工作</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积极探索盘活存量闲置房源，支持各类主体收购存量商品住房用作保障性住房、人才住房、职工宿舍、机构化租赁住房等</w:t>
      </w:r>
      <w:r>
        <w:rPr>
          <w:rFonts w:hint="eastAsia" w:ascii="仿宋_GB2312" w:hAnsi="仿宋_GB2312" w:cs="仿宋_GB2312"/>
          <w:sz w:val="32"/>
          <w:szCs w:val="32"/>
          <w:lang w:eastAsia="zh-CN"/>
        </w:rPr>
        <w:t>。</w:t>
      </w:r>
      <w:r>
        <w:rPr>
          <w:rFonts w:hint="eastAsia"/>
          <w:lang w:val="en-US" w:eastAsia="zh-CN"/>
        </w:rPr>
        <w:t>鼓励房地产企业将重点产业平台周边的滞销楼盘成规模改造为长租公寓、人才社区运营。</w:t>
      </w:r>
    </w:p>
    <w:p w14:paraId="7146A696">
      <w:pPr>
        <w:pageBreakBefore w:val="0"/>
        <w:widowControl w:val="0"/>
        <w:kinsoku/>
        <w:wordWrap/>
        <w:overflowPunct/>
        <w:topLinePunct w:val="0"/>
        <w:autoSpaceDE/>
        <w:autoSpaceDN/>
        <w:bidi w:val="0"/>
        <w:adjustRightInd/>
        <w:snapToGrid/>
        <w:spacing w:before="0" w:beforeLines="0" w:afterAutospacing="0" w:line="560" w:lineRule="exact"/>
        <w:textAlignment w:val="auto"/>
        <w:outlineLvl w:val="3"/>
        <w:rPr>
          <w:rFonts w:hint="eastAsia" w:ascii="仿宋_GB2312" w:hAnsi="仿宋_GB2312" w:eastAsia="仿宋_GB2312" w:cs="仿宋_GB2312"/>
          <w:b/>
          <w:bCs/>
          <w:szCs w:val="24"/>
          <w:lang w:val="en-US" w:eastAsia="zh-CN" w:bidi="ar"/>
        </w:rPr>
      </w:pPr>
      <w:r>
        <w:rPr>
          <w:rFonts w:hint="eastAsia" w:ascii="仿宋_GB2312" w:hAnsi="仿宋_GB2312" w:eastAsia="仿宋_GB2312" w:cs="仿宋_GB2312"/>
          <w:b/>
          <w:bCs/>
          <w:szCs w:val="24"/>
          <w:lang w:val="en-US" w:eastAsia="zh-CN" w:bidi="ar"/>
        </w:rPr>
        <w:t>3.培育新型城镇化住房需求</w:t>
      </w:r>
    </w:p>
    <w:p w14:paraId="008FF06D">
      <w:pPr>
        <w:pageBreakBefore w:val="0"/>
        <w:kinsoku/>
        <w:wordWrap/>
        <w:overflowPunct/>
        <w:topLinePunct w:val="0"/>
        <w:autoSpaceDE/>
        <w:autoSpaceDN/>
        <w:bidi w:val="0"/>
        <w:adjustRightInd/>
        <w:snapToGrid/>
        <w:spacing w:line="560" w:lineRule="exact"/>
        <w:ind w:firstLine="643"/>
        <w:textAlignment w:val="auto"/>
        <w:rPr>
          <w:rFonts w:hint="default"/>
          <w:lang w:val="en-US"/>
        </w:rPr>
      </w:pPr>
      <w:r>
        <w:rPr>
          <w:rFonts w:hint="eastAsia"/>
          <w:lang w:val="en-US" w:eastAsia="zh-CN"/>
        </w:rPr>
        <w:t>紧抓以县城为重要载体的新型城镇化建设机遇，依托南雄、乳源、乐昌以县城为重要载体的新型城镇化省级试点，</w:t>
      </w:r>
      <w:r>
        <w:t>加快推进以人为核心的高质量新型城镇化</w:t>
      </w:r>
      <w:r>
        <w:rPr>
          <w:rFonts w:hint="eastAsia"/>
          <w:lang w:eastAsia="zh-CN"/>
        </w:rPr>
        <w:t>，</w:t>
      </w:r>
      <w:r>
        <w:rPr>
          <w:rFonts w:hint="eastAsia"/>
        </w:rPr>
        <w:t>进一步深化户籍制度改革，加快推进农业转移人口市民化</w:t>
      </w:r>
      <w:r>
        <w:rPr>
          <w:rFonts w:hint="eastAsia"/>
          <w:lang w:eastAsia="zh-CN"/>
        </w:rPr>
        <w:t>，</w:t>
      </w:r>
      <w:r>
        <w:t>夯实本地住房消费的人口基础。</w:t>
      </w:r>
      <w:r>
        <w:rPr>
          <w:rFonts w:hint="eastAsia"/>
          <w:lang w:val="en-US" w:eastAsia="zh-CN"/>
        </w:rPr>
        <w:t>根据商品住房需求以及农业转移人口市民化情况保障县城商品住房供应，合理确定刚性和改善型住房供应比例，加大高品质教育设施供给，进一步吸引农业转移人口市民化。</w:t>
      </w:r>
    </w:p>
    <w:p w14:paraId="3326648A">
      <w:pPr>
        <w:pageBreakBefore w:val="0"/>
        <w:widowControl w:val="0"/>
        <w:kinsoku/>
        <w:wordWrap/>
        <w:overflowPunct/>
        <w:topLinePunct w:val="0"/>
        <w:autoSpaceDE/>
        <w:autoSpaceDN/>
        <w:bidi w:val="0"/>
        <w:adjustRightInd/>
        <w:snapToGrid/>
        <w:spacing w:before="0" w:beforeLines="0" w:afterAutospacing="0" w:line="560" w:lineRule="exact"/>
        <w:textAlignment w:val="auto"/>
        <w:outlineLvl w:val="3"/>
        <w:rPr>
          <w:rFonts w:hint="default" w:ascii="仿宋_GB2312" w:hAnsi="仿宋_GB2312" w:eastAsia="仿宋_GB2312" w:cs="仿宋_GB2312"/>
          <w:b/>
          <w:bCs/>
          <w:szCs w:val="24"/>
          <w:lang w:val="en-US" w:eastAsia="zh-CN" w:bidi="ar"/>
        </w:rPr>
      </w:pPr>
      <w:r>
        <w:rPr>
          <w:rFonts w:hint="eastAsia" w:ascii="仿宋_GB2312" w:hAnsi="仿宋_GB2312" w:eastAsia="仿宋_GB2312" w:cs="仿宋_GB2312"/>
          <w:b/>
          <w:bCs/>
          <w:szCs w:val="24"/>
          <w:lang w:val="en-US" w:eastAsia="zh-CN" w:bidi="ar"/>
        </w:rPr>
        <w:t>4.发挥住房公积金支持作用</w:t>
      </w:r>
    </w:p>
    <w:p w14:paraId="5ED47EBF">
      <w:pPr>
        <w:keepNext w:val="0"/>
        <w:keepLines w:val="0"/>
        <w:pageBreakBefore w:val="0"/>
        <w:widowControl/>
        <w:kinsoku/>
        <w:wordWrap/>
        <w:overflowPunct/>
        <w:topLinePunct w:val="0"/>
        <w:autoSpaceDE/>
        <w:autoSpaceDN/>
        <w:bidi w:val="0"/>
        <w:adjustRightInd/>
        <w:snapToGrid/>
        <w:spacing w:beforeLines="0" w:line="56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lang w:val="en-US" w:eastAsia="zh-CN"/>
        </w:rPr>
        <w:t>强化住房公积金民生保障作用，根据房地产市场发展情况和群众需求，进一步优化住房公积金提取和贷款政策。不断加大住房公积金</w:t>
      </w:r>
      <w:r>
        <w:rPr>
          <w:rFonts w:hint="eastAsia" w:ascii="仿宋_GB2312" w:hAnsi="仿宋_GB2312" w:eastAsia="仿宋_GB2312" w:cs="仿宋_GB2312"/>
          <w:sz w:val="32"/>
          <w:szCs w:val="22"/>
          <w:lang w:val="en-US" w:eastAsia="zh-CN"/>
        </w:rPr>
        <w:t>对港澳台居民、新市民、青年人贷款支持力度，</w:t>
      </w:r>
      <w:r>
        <w:rPr>
          <w:rFonts w:hint="eastAsia" w:ascii="仿宋_GB2312" w:hAnsi="仿宋_GB2312" w:cs="仿宋_GB2312"/>
          <w:sz w:val="32"/>
          <w:szCs w:val="22"/>
          <w:lang w:val="en-US" w:eastAsia="zh-CN"/>
        </w:rPr>
        <w:t>扩大</w:t>
      </w:r>
      <w:r>
        <w:rPr>
          <w:rFonts w:hint="eastAsia" w:ascii="仿宋_GB2312" w:hAnsi="仿宋_GB2312" w:eastAsia="仿宋_GB2312" w:cs="仿宋_GB2312"/>
          <w:sz w:val="32"/>
          <w:szCs w:val="22"/>
          <w:lang w:val="en-US" w:eastAsia="zh-CN"/>
        </w:rPr>
        <w:t>“商转公”业务</w:t>
      </w:r>
      <w:r>
        <w:rPr>
          <w:rFonts w:hint="eastAsia" w:ascii="仿宋_GB2312" w:hAnsi="仿宋_GB2312" w:cs="仿宋_GB2312"/>
          <w:sz w:val="32"/>
          <w:szCs w:val="22"/>
          <w:lang w:val="en-US" w:eastAsia="zh-CN"/>
        </w:rPr>
        <w:t>适用范围</w:t>
      </w:r>
      <w:r>
        <w:rPr>
          <w:rFonts w:hint="eastAsia" w:ascii="仿宋_GB2312" w:hAnsi="仿宋_GB2312" w:eastAsia="仿宋_GB2312" w:cs="仿宋_GB2312"/>
          <w:sz w:val="32"/>
          <w:szCs w:val="22"/>
          <w:lang w:val="en-US" w:eastAsia="zh-CN"/>
        </w:rPr>
        <w:t>。</w:t>
      </w:r>
      <w:r>
        <w:rPr>
          <w:rFonts w:hint="eastAsia" w:ascii="仿宋_GB2312" w:hAnsi="仿宋_GB2312" w:eastAsia="仿宋_GB2312" w:cs="仿宋_GB2312"/>
          <w:lang w:val="en-US" w:eastAsia="zh-CN"/>
        </w:rPr>
        <w:t>加大公积金对农业转移人口的贷款支持，农业转移人口可自愿缴存住房公积金，对连续足额缴纳满6个月的，给予住房公积金贷款申请资格。</w:t>
      </w:r>
    </w:p>
    <w:p w14:paraId="3DC9325D">
      <w:pPr>
        <w:pStyle w:val="24"/>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Times New Roman" w:hAnsi="Times New Roman"/>
          <w:lang w:val="en-US" w:eastAsia="zh-CN"/>
        </w:rPr>
        <w:t>（二）</w:t>
      </w:r>
      <w:r>
        <w:rPr>
          <w:rFonts w:hint="eastAsia"/>
          <w:lang w:val="en-US" w:eastAsia="zh-CN"/>
        </w:rPr>
        <w:t>完善保障体系</w:t>
      </w:r>
    </w:p>
    <w:p w14:paraId="5E1F64F4">
      <w:pPr>
        <w:pageBreakBefore w:val="0"/>
        <w:widowControl w:val="0"/>
        <w:kinsoku/>
        <w:wordWrap/>
        <w:overflowPunct/>
        <w:topLinePunct w:val="0"/>
        <w:autoSpaceDE/>
        <w:autoSpaceDN/>
        <w:bidi w:val="0"/>
        <w:adjustRightInd/>
        <w:snapToGrid/>
        <w:spacing w:before="0" w:beforeLines="0" w:afterAutospacing="0" w:line="560" w:lineRule="exact"/>
        <w:textAlignment w:val="auto"/>
        <w:outlineLvl w:val="3"/>
        <w:rPr>
          <w:rFonts w:hint="eastAsia" w:ascii="仿宋_GB2312" w:hAnsi="仿宋_GB2312" w:eastAsia="仿宋_GB2312" w:cs="仿宋_GB2312"/>
          <w:b/>
          <w:bCs/>
          <w:szCs w:val="24"/>
          <w:lang w:val="en-US" w:eastAsia="zh-CN" w:bidi="ar"/>
        </w:rPr>
      </w:pPr>
      <w:r>
        <w:rPr>
          <w:rFonts w:hint="eastAsia" w:ascii="仿宋_GB2312" w:hAnsi="仿宋_GB2312" w:eastAsia="仿宋_GB2312" w:cs="仿宋_GB2312"/>
          <w:b/>
          <w:bCs/>
          <w:szCs w:val="24"/>
          <w:lang w:val="en-US" w:eastAsia="zh-CN" w:bidi="ar"/>
        </w:rPr>
        <w:t>1.持续加强保障性住房供给</w:t>
      </w:r>
    </w:p>
    <w:p w14:paraId="10293AC3">
      <w:pPr>
        <w:pageBreakBefore w:val="0"/>
        <w:widowControl/>
        <w:kinsoku/>
        <w:wordWrap/>
        <w:overflowPunct/>
        <w:topLinePunct w:val="0"/>
        <w:autoSpaceDE/>
        <w:autoSpaceDN/>
        <w:bidi w:val="0"/>
        <w:adjustRightInd/>
        <w:snapToGrid/>
        <w:spacing w:before="0" w:beforeLines="-2147483648" w:afterAutospacing="0" w:line="560" w:lineRule="exact"/>
        <w:jc w:val="left"/>
        <w:textAlignment w:val="auto"/>
        <w:rPr>
          <w:rFonts w:hint="default" w:ascii="仿宋_GB2312" w:hAnsi="宋体" w:cs="仿宋_GB2312"/>
          <w:b w:val="0"/>
          <w:bCs w:val="0"/>
          <w:color w:val="000000"/>
          <w:kern w:val="0"/>
          <w:sz w:val="31"/>
          <w:szCs w:val="31"/>
          <w:lang w:val="en-US" w:eastAsia="zh-CN" w:bidi="ar"/>
        </w:rPr>
      </w:pPr>
      <w:r>
        <w:rPr>
          <w:rFonts w:hint="eastAsia" w:ascii="仿宋_GB2312" w:hAnsi="宋体" w:cs="仿宋_GB2312"/>
          <w:b w:val="0"/>
          <w:bCs w:val="0"/>
          <w:color w:val="000000"/>
          <w:kern w:val="0"/>
          <w:sz w:val="31"/>
          <w:szCs w:val="31"/>
          <w:lang w:val="en-US" w:eastAsia="zh-CN" w:bidi="ar"/>
        </w:rPr>
        <w:t>坚持货币与实物相结合的住房保障制度，</w:t>
      </w:r>
      <w:r>
        <w:rPr>
          <w:rFonts w:hint="eastAsia"/>
        </w:rPr>
        <w:t>对城镇住房、收入困难的户籍家庭实现应保尽保，逐步把保障范围扩大到住房、收入困难的常住人口。</w:t>
      </w:r>
      <w:r>
        <w:rPr>
          <w:rFonts w:hint="eastAsia"/>
          <w:lang w:val="en-US" w:eastAsia="zh-CN"/>
        </w:rPr>
        <w:t>积极拓宽保障性住房筹集渠道，根据需求推进闲置棚改安置房转为保障性租赁住房使用，解决新就业大学生、青年人才等住房困难问题。加强人才安居保障，</w:t>
      </w:r>
      <w:r>
        <w:rPr>
          <w:rFonts w:ascii="仿宋_GB2312" w:hAnsi="宋体" w:eastAsia="仿宋_GB2312" w:cs="仿宋_GB2312"/>
          <w:color w:val="000000"/>
          <w:kern w:val="0"/>
          <w:sz w:val="31"/>
          <w:szCs w:val="31"/>
          <w:lang w:val="en-US" w:eastAsia="zh-CN" w:bidi="ar"/>
        </w:rPr>
        <w:t>针对市级以上重点引进</w:t>
      </w:r>
      <w:r>
        <w:rPr>
          <w:rFonts w:hint="eastAsia" w:ascii="仿宋_GB2312" w:hAnsi="宋体" w:eastAsia="仿宋_GB2312" w:cs="仿宋_GB2312"/>
          <w:color w:val="000000"/>
          <w:kern w:val="0"/>
          <w:sz w:val="31"/>
          <w:szCs w:val="31"/>
          <w:lang w:val="en-US" w:eastAsia="zh-CN" w:bidi="ar"/>
        </w:rPr>
        <w:t>的高层次人才和团队</w:t>
      </w:r>
      <w:r>
        <w:rPr>
          <w:rFonts w:hint="eastAsia" w:ascii="仿宋_GB2312" w:hAnsi="宋体"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提供</w:t>
      </w:r>
      <w:r>
        <w:rPr>
          <w:rFonts w:hint="eastAsia"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拎包入住式</w:t>
      </w:r>
      <w:r>
        <w:rPr>
          <w:rFonts w:hint="eastAsia"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人才公寓。</w:t>
      </w:r>
    </w:p>
    <w:p w14:paraId="5681C604">
      <w:pPr>
        <w:pageBreakBefore w:val="0"/>
        <w:widowControl w:val="0"/>
        <w:kinsoku/>
        <w:wordWrap/>
        <w:overflowPunct/>
        <w:topLinePunct w:val="0"/>
        <w:autoSpaceDE/>
        <w:autoSpaceDN/>
        <w:bidi w:val="0"/>
        <w:adjustRightInd/>
        <w:snapToGrid/>
        <w:spacing w:before="0" w:beforeLines="0" w:afterAutospacing="0" w:line="560" w:lineRule="exact"/>
        <w:textAlignment w:val="auto"/>
        <w:outlineLvl w:val="3"/>
        <w:rPr>
          <w:rFonts w:hint="default" w:ascii="仿宋_GB2312" w:hAnsi="仿宋_GB2312" w:eastAsia="仿宋_GB2312" w:cs="仿宋_GB2312"/>
          <w:b/>
          <w:bCs/>
          <w:szCs w:val="24"/>
          <w:lang w:val="en-US" w:eastAsia="zh-CN" w:bidi="ar"/>
        </w:rPr>
      </w:pPr>
      <w:r>
        <w:rPr>
          <w:rFonts w:hint="eastAsia" w:ascii="仿宋_GB2312" w:hAnsi="仿宋_GB2312" w:eastAsia="仿宋_GB2312" w:cs="仿宋_GB2312"/>
          <w:b/>
          <w:bCs/>
          <w:szCs w:val="24"/>
          <w:lang w:val="en-US" w:eastAsia="zh-CN" w:bidi="ar"/>
        </w:rPr>
        <w:t>2.完善保障性住房运营管理</w:t>
      </w:r>
    </w:p>
    <w:p w14:paraId="16E1C1C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宋体" w:cs="仿宋_GB2312"/>
          <w:color w:val="000000"/>
          <w:kern w:val="0"/>
          <w:sz w:val="31"/>
          <w:szCs w:val="31"/>
          <w:lang w:val="en-US" w:eastAsia="zh-CN" w:bidi="ar"/>
        </w:rPr>
      </w:pPr>
      <w:r>
        <w:rPr>
          <w:rFonts w:hint="eastAsia" w:ascii="仿宋_GB2312" w:hAnsi="宋体" w:cs="仿宋_GB2312"/>
          <w:color w:val="000000"/>
          <w:kern w:val="0"/>
          <w:sz w:val="31"/>
          <w:szCs w:val="31"/>
          <w:lang w:val="en-US" w:eastAsia="zh-CN" w:bidi="ar"/>
        </w:rPr>
        <w:t>持续完善保障性住房运营管理，</w:t>
      </w:r>
      <w:r>
        <w:rPr>
          <w:rFonts w:hint="eastAsia" w:ascii="仿宋_GB2312" w:hAnsi="宋体" w:eastAsia="仿宋_GB2312" w:cs="仿宋_GB2312"/>
          <w:color w:val="000000"/>
          <w:kern w:val="0"/>
          <w:sz w:val="31"/>
          <w:szCs w:val="31"/>
          <w:lang w:val="en-US" w:eastAsia="zh-CN" w:bidi="ar"/>
        </w:rPr>
        <w:t>规范租赁合同签订，加大租金催缴力度</w:t>
      </w:r>
      <w:r>
        <w:rPr>
          <w:rFonts w:hint="eastAsia" w:ascii="仿宋_GB2312" w:hAnsi="宋体" w:cs="仿宋_GB2312"/>
          <w:color w:val="000000"/>
          <w:kern w:val="0"/>
          <w:sz w:val="31"/>
          <w:szCs w:val="31"/>
          <w:lang w:val="en-US" w:eastAsia="zh-CN" w:bidi="ar"/>
        </w:rPr>
        <w:t>，</w:t>
      </w:r>
      <w:r>
        <w:rPr>
          <w:rFonts w:hint="eastAsia" w:ascii="Times New Roman" w:hAnsi="Times New Roman" w:eastAsia="仿宋_GB2312" w:cs="Times New Roman"/>
          <w:sz w:val="32"/>
          <w:szCs w:val="22"/>
        </w:rPr>
        <w:t>严格落实准入退出规范，强化使用监管。</w:t>
      </w:r>
      <w:r>
        <w:rPr>
          <w:rFonts w:hint="eastAsia" w:ascii="仿宋_GB2312" w:hAnsi="宋体" w:cs="仿宋_GB2312"/>
          <w:color w:val="000000"/>
          <w:kern w:val="0"/>
          <w:sz w:val="31"/>
          <w:szCs w:val="31"/>
          <w:lang w:val="en-US" w:eastAsia="zh-CN" w:bidi="ar"/>
        </w:rPr>
        <w:t>加强保障性住房质量安全监管，构建保障性住房房屋全生命周期动态监管链条，健全“一资产一档案”电子台账与动态更新核查机制，</w:t>
      </w:r>
      <w:r>
        <w:rPr>
          <w:rFonts w:hint="default"/>
          <w:bCs w:val="0"/>
          <w:color w:val="auto"/>
          <w:szCs w:val="32"/>
          <w:highlight w:val="none"/>
          <w:u w:val="none" w:color="auto"/>
        </w:rPr>
        <w:t>对于建成年代早、管线设施老化的公租房，系统</w:t>
      </w:r>
      <w:r>
        <w:rPr>
          <w:rFonts w:hint="eastAsia"/>
          <w:bCs w:val="0"/>
          <w:color w:val="auto"/>
          <w:szCs w:val="32"/>
          <w:highlight w:val="none"/>
          <w:u w:val="none" w:color="auto"/>
          <w:lang w:val="en-US" w:eastAsia="zh-CN"/>
        </w:rPr>
        <w:t>开展安全隐患</w:t>
      </w:r>
      <w:r>
        <w:rPr>
          <w:rFonts w:hint="default"/>
          <w:bCs w:val="0"/>
          <w:color w:val="auto"/>
          <w:szCs w:val="32"/>
          <w:highlight w:val="none"/>
          <w:u w:val="none" w:color="auto"/>
        </w:rPr>
        <w:t>排查</w:t>
      </w:r>
      <w:r>
        <w:rPr>
          <w:rFonts w:hint="eastAsia"/>
          <w:bCs w:val="0"/>
          <w:color w:val="auto"/>
          <w:szCs w:val="32"/>
          <w:highlight w:val="none"/>
          <w:u w:val="none" w:color="auto"/>
          <w:lang w:eastAsia="zh-CN"/>
        </w:rPr>
        <w:t>，</w:t>
      </w:r>
      <w:r>
        <w:rPr>
          <w:rFonts w:hint="eastAsia"/>
          <w:bCs w:val="0"/>
          <w:color w:val="auto"/>
          <w:szCs w:val="32"/>
          <w:highlight w:val="none"/>
          <w:u w:val="none" w:color="auto"/>
          <w:lang w:val="en-US" w:eastAsia="zh-CN"/>
        </w:rPr>
        <w:t>及时</w:t>
      </w:r>
      <w:r>
        <w:rPr>
          <w:rFonts w:hint="default"/>
          <w:bCs w:val="0"/>
          <w:color w:val="auto"/>
          <w:szCs w:val="32"/>
          <w:highlight w:val="none"/>
          <w:u w:val="none" w:color="auto"/>
        </w:rPr>
        <w:t>消除安全隐患</w:t>
      </w:r>
      <w:r>
        <w:rPr>
          <w:rFonts w:hint="eastAsia" w:ascii="仿宋_GB2312" w:hAnsi="宋体" w:cs="仿宋_GB2312"/>
          <w:color w:val="000000"/>
          <w:kern w:val="0"/>
          <w:sz w:val="31"/>
          <w:szCs w:val="31"/>
          <w:lang w:val="en-US" w:eastAsia="zh-CN" w:bidi="ar"/>
        </w:rPr>
        <w:t>。推进住房保障平台功能升级，加快推进韶关市住房保障监督管理服务互联互通平台国产适配改造，实现保障性租赁住房线上申请全覆盖与便民服务升级，打造全天候、多场景、多渠道的住房保障管理服务新模式。</w:t>
      </w:r>
    </w:p>
    <w:p w14:paraId="320E40C2">
      <w:pPr>
        <w:pStyle w:val="24"/>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Times New Roman" w:hAnsi="Times New Roman"/>
          <w:lang w:val="en-US" w:eastAsia="zh-CN"/>
        </w:rPr>
        <w:t>（</w:t>
      </w:r>
      <w:r>
        <w:rPr>
          <w:rFonts w:hint="eastAsia"/>
          <w:lang w:val="en-US" w:eastAsia="zh-CN"/>
        </w:rPr>
        <w:t>三</w:t>
      </w:r>
      <w:r>
        <w:rPr>
          <w:rFonts w:hint="eastAsia" w:ascii="Times New Roman" w:hAnsi="Times New Roman"/>
          <w:lang w:val="en-US" w:eastAsia="zh-CN"/>
        </w:rPr>
        <w:t>）</w:t>
      </w:r>
      <w:r>
        <w:rPr>
          <w:rFonts w:hint="eastAsia"/>
          <w:lang w:val="en-US" w:eastAsia="zh-CN"/>
        </w:rPr>
        <w:t>提升居住品质</w:t>
      </w:r>
    </w:p>
    <w:p w14:paraId="54B3DE7E">
      <w:pPr>
        <w:pageBreakBefore w:val="0"/>
        <w:widowControl w:val="0"/>
        <w:kinsoku/>
        <w:wordWrap/>
        <w:overflowPunct/>
        <w:topLinePunct w:val="0"/>
        <w:autoSpaceDE/>
        <w:autoSpaceDN/>
        <w:bidi w:val="0"/>
        <w:adjustRightInd/>
        <w:snapToGrid/>
        <w:spacing w:before="0" w:beforeLines="0" w:afterAutospacing="0" w:line="560" w:lineRule="exact"/>
        <w:textAlignment w:val="auto"/>
        <w:outlineLvl w:val="3"/>
        <w:rPr>
          <w:rFonts w:hint="eastAsia" w:ascii="仿宋_GB2312" w:hAnsi="仿宋_GB2312" w:eastAsia="仿宋_GB2312" w:cs="仿宋_GB2312"/>
          <w:b/>
          <w:bCs/>
          <w:szCs w:val="24"/>
          <w:lang w:val="en-US" w:eastAsia="zh-CN" w:bidi="ar"/>
        </w:rPr>
      </w:pPr>
      <w:r>
        <w:rPr>
          <w:rFonts w:hint="eastAsia" w:ascii="仿宋_GB2312" w:hAnsi="仿宋_GB2312" w:eastAsia="仿宋_GB2312" w:cs="仿宋_GB2312"/>
          <w:b/>
          <w:bCs/>
          <w:szCs w:val="24"/>
          <w:lang w:val="en-US" w:eastAsia="zh-CN" w:bidi="ar"/>
        </w:rPr>
        <w:t>1.大力推动“好房子”建设</w:t>
      </w:r>
    </w:p>
    <w:p w14:paraId="4BACD880">
      <w:pPr>
        <w:pageBreakBefore w:val="0"/>
        <w:widowControl w:val="0"/>
        <w:kinsoku/>
        <w:wordWrap/>
        <w:overflowPunct/>
        <w:topLinePunct w:val="0"/>
        <w:autoSpaceDE/>
        <w:autoSpaceDN/>
        <w:bidi w:val="0"/>
        <w:adjustRightInd/>
        <w:snapToGrid/>
        <w:spacing w:before="0" w:beforeLines="-2147483648" w:afterAutospacing="0" w:line="560" w:lineRule="exact"/>
        <w:ind w:firstLine="643"/>
        <w:textAlignment w:val="auto"/>
        <w:rPr>
          <w:rFonts w:hint="eastAsia" w:eastAsia="仿宋_GB2312" w:cs="Times New Roman"/>
          <w:b/>
          <w:bCs/>
          <w:szCs w:val="24"/>
          <w:lang w:val="en-US" w:eastAsia="zh-CN" w:bidi="ar"/>
        </w:rPr>
      </w:pPr>
      <w:r>
        <w:rPr>
          <w:rFonts w:hint="eastAsia"/>
        </w:rPr>
        <w:t>贯彻落实“安全、舒适、绿色、智慧”的</w:t>
      </w:r>
      <w:r>
        <w:rPr>
          <w:rFonts w:hint="eastAsia"/>
          <w:lang w:val="en-US" w:eastAsia="zh-CN"/>
        </w:rPr>
        <w:t>住房</w:t>
      </w:r>
      <w:r>
        <w:rPr>
          <w:rFonts w:hint="eastAsia"/>
        </w:rPr>
        <w:t>建设要求，全面实施《住宅项目规范》，鼓励企业进一步提高住房建设标准。</w:t>
      </w:r>
      <w:r>
        <w:rPr>
          <w:rFonts w:hint="eastAsia" w:ascii="仿宋_GB2312" w:hAnsi="仿宋_GB2312" w:cs="仿宋_GB2312"/>
          <w:sz w:val="32"/>
          <w:szCs w:val="32"/>
          <w:lang w:val="en-US" w:eastAsia="zh-CN"/>
        </w:rPr>
        <w:t>开展</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好房子</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评价体系研究，探索完善适用于“好房子”建设的土地出让、规划设计、开发强度、建设标准、公共配套等基础性制度</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引导房地产企业开发建设不同面积和价位的“好房子”</w:t>
      </w:r>
      <w:r>
        <w:rPr>
          <w:rFonts w:hint="eastAsia" w:ascii="仿宋_GB2312" w:hAnsi="仿宋_GB2312" w:eastAsia="仿宋_GB2312" w:cs="仿宋_GB2312"/>
          <w:sz w:val="32"/>
          <w:szCs w:val="32"/>
        </w:rPr>
        <w:t>。大力推动新材料、新工艺应用，</w:t>
      </w:r>
      <w:r>
        <w:rPr>
          <w:rFonts w:hint="eastAsia" w:ascii="仿宋_GB2312" w:hAnsi="仿宋_GB2312" w:cs="仿宋_GB2312"/>
          <w:sz w:val="32"/>
          <w:szCs w:val="32"/>
          <w:lang w:val="en-US" w:eastAsia="zh-CN"/>
        </w:rPr>
        <w:t>推动新建商品住房向</w:t>
      </w:r>
      <w:r>
        <w:rPr>
          <w:rFonts w:hint="eastAsia" w:ascii="仿宋_GB2312" w:hAnsi="仿宋_GB2312" w:eastAsia="仿宋_GB2312" w:cs="仿宋_GB2312"/>
          <w:sz w:val="32"/>
          <w:szCs w:val="32"/>
        </w:rPr>
        <w:t>绿色、低碳、智能、安全方向发展。</w:t>
      </w:r>
    </w:p>
    <w:p w14:paraId="52758D59">
      <w:pPr>
        <w:pageBreakBefore w:val="0"/>
        <w:widowControl w:val="0"/>
        <w:kinsoku/>
        <w:wordWrap/>
        <w:overflowPunct/>
        <w:topLinePunct w:val="0"/>
        <w:autoSpaceDE/>
        <w:autoSpaceDN/>
        <w:bidi w:val="0"/>
        <w:adjustRightInd/>
        <w:snapToGrid/>
        <w:spacing w:before="0" w:beforeLines="0" w:afterAutospacing="0" w:line="560" w:lineRule="exact"/>
        <w:textAlignment w:val="auto"/>
        <w:outlineLvl w:val="3"/>
        <w:rPr>
          <w:rFonts w:hint="eastAsia" w:ascii="仿宋_GB2312" w:hAnsi="仿宋_GB2312" w:eastAsia="仿宋_GB2312" w:cs="仿宋_GB2312"/>
          <w:b/>
          <w:bCs/>
          <w:szCs w:val="24"/>
          <w:lang w:val="en-US" w:eastAsia="zh-CN" w:bidi="ar"/>
        </w:rPr>
      </w:pPr>
      <w:r>
        <w:rPr>
          <w:rFonts w:hint="eastAsia" w:ascii="仿宋_GB2312" w:hAnsi="仿宋_GB2312" w:eastAsia="仿宋_GB2312" w:cs="仿宋_GB2312"/>
          <w:b/>
          <w:bCs/>
          <w:szCs w:val="24"/>
          <w:lang w:val="en-US" w:eastAsia="zh-CN" w:bidi="ar"/>
        </w:rPr>
        <w:t>2.系统推进城市更新</w:t>
      </w:r>
    </w:p>
    <w:p w14:paraId="450BBE1B">
      <w:pPr>
        <w:pageBreakBefore w:val="0"/>
        <w:widowControl w:val="0"/>
        <w:kinsoku/>
        <w:wordWrap/>
        <w:overflowPunct/>
        <w:topLinePunct w:val="0"/>
        <w:autoSpaceDE/>
        <w:autoSpaceDN/>
        <w:bidi w:val="0"/>
        <w:adjustRightInd/>
        <w:snapToGrid/>
        <w:spacing w:before="0" w:beforeLines="0" w:afterAutospacing="0" w:line="560" w:lineRule="exact"/>
        <w:textAlignment w:val="auto"/>
        <w:rPr>
          <w:rFonts w:hint="default" w:cs="Times New Roman"/>
          <w:szCs w:val="24"/>
          <w:lang w:val="en-US" w:eastAsia="zh-CN" w:bidi="ar"/>
        </w:rPr>
      </w:pPr>
      <w:r>
        <w:rPr>
          <w:rFonts w:hint="eastAsia" w:cs="Times New Roman"/>
          <w:szCs w:val="24"/>
          <w:lang w:val="en-US" w:eastAsia="zh-CN" w:bidi="ar"/>
        </w:rPr>
        <w:t>完善中心城区城市更新规划体系，加快推进韶关市中心城区城市更新专项规划编制，明确中心城区城市更新工作计划、工作时序和项目库，系统、有序推动各类城市更新工作事项。切实把握城市更新政策窗口期，努力打通资金要素等城中村改造卡点堵点，积极争取政策支持。持续大力推进城镇老旧小区改造工作，</w:t>
      </w:r>
      <w:r>
        <w:rPr>
          <w:rFonts w:hint="default" w:ascii="仿宋_GB2312" w:hAnsi="仿宋_GB2312" w:eastAsia="仿宋_GB2312" w:cs="仿宋_GB2312"/>
          <w:sz w:val="32"/>
          <w:szCs w:val="32"/>
          <w:lang w:val="en-US" w:eastAsia="zh-CN"/>
        </w:rPr>
        <w:t>按照“实施一批、谋划一批、储备一批”的原则，</w:t>
      </w:r>
      <w:r>
        <w:rPr>
          <w:rFonts w:hint="eastAsia" w:ascii="仿宋_GB2312" w:hAnsi="仿宋_GB2312" w:cs="仿宋_GB2312"/>
          <w:sz w:val="32"/>
          <w:szCs w:val="32"/>
          <w:lang w:val="en-US" w:eastAsia="zh-CN"/>
        </w:rPr>
        <w:t>重点围绕各类市政基础设施和“一老一小”公共服务设施、便民商业服务设施补短板，推动居民和社会主体参与改造运营，有序推进</w:t>
      </w:r>
      <w:r>
        <w:rPr>
          <w:rFonts w:hint="default" w:ascii="仿宋_GB2312" w:hAnsi="仿宋_GB2312" w:eastAsia="仿宋_GB2312" w:cs="仿宋_GB2312"/>
          <w:sz w:val="32"/>
          <w:szCs w:val="32"/>
          <w:lang w:val="en-US" w:eastAsia="zh-CN"/>
        </w:rPr>
        <w:t>项目</w:t>
      </w:r>
      <w:r>
        <w:rPr>
          <w:rFonts w:hint="eastAsia" w:ascii="仿宋_GB2312" w:hAnsi="仿宋_GB2312" w:cs="仿宋_GB2312"/>
          <w:sz w:val="32"/>
          <w:szCs w:val="32"/>
          <w:lang w:val="en-US" w:eastAsia="zh-CN"/>
        </w:rPr>
        <w:t>落地实施</w:t>
      </w:r>
      <w:r>
        <w:rPr>
          <w:rFonts w:hint="default"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2026年全市计划推进100个城镇老旧小区开工改造。</w:t>
      </w:r>
    </w:p>
    <w:p w14:paraId="28B84DAE">
      <w:pPr>
        <w:pageBreakBefore w:val="0"/>
        <w:widowControl w:val="0"/>
        <w:kinsoku/>
        <w:wordWrap/>
        <w:overflowPunct/>
        <w:topLinePunct w:val="0"/>
        <w:autoSpaceDE/>
        <w:autoSpaceDN/>
        <w:bidi w:val="0"/>
        <w:adjustRightInd/>
        <w:snapToGrid/>
        <w:spacing w:before="0" w:beforeLines="0" w:afterAutospacing="0" w:line="560" w:lineRule="exact"/>
        <w:textAlignment w:val="auto"/>
        <w:outlineLvl w:val="3"/>
        <w:rPr>
          <w:rFonts w:hint="eastAsia" w:ascii="仿宋_GB2312" w:hAnsi="仿宋_GB2312" w:eastAsia="仿宋_GB2312" w:cs="仿宋_GB2312"/>
          <w:b/>
          <w:bCs/>
          <w:szCs w:val="24"/>
          <w:lang w:val="en-US" w:eastAsia="zh-CN" w:bidi="ar"/>
        </w:rPr>
      </w:pPr>
      <w:r>
        <w:rPr>
          <w:rFonts w:hint="eastAsia" w:ascii="仿宋_GB2312" w:hAnsi="仿宋_GB2312" w:eastAsia="仿宋_GB2312" w:cs="仿宋_GB2312"/>
          <w:b/>
          <w:bCs/>
          <w:szCs w:val="24"/>
          <w:lang w:val="en-US" w:eastAsia="zh-CN" w:bidi="ar"/>
        </w:rPr>
        <w:t>3.加快推进危旧房改造</w:t>
      </w:r>
    </w:p>
    <w:p w14:paraId="63E47A48">
      <w:pPr>
        <w:pageBreakBefore w:val="0"/>
        <w:widowControl w:val="0"/>
        <w:kinsoku/>
        <w:wordWrap/>
        <w:overflowPunct/>
        <w:topLinePunct w:val="0"/>
        <w:autoSpaceDE/>
        <w:autoSpaceDN/>
        <w:bidi w:val="0"/>
        <w:adjustRightInd/>
        <w:snapToGrid/>
        <w:spacing w:before="0" w:beforeLines="0" w:afterAutospacing="0" w:line="560" w:lineRule="exact"/>
        <w:textAlignment w:val="auto"/>
        <w:rPr>
          <w:rFonts w:hint="eastAsia" w:ascii="仿宋_GB2312" w:hAnsi="仿宋_GB2312" w:eastAsia="仿宋_GB2312" w:cs="仿宋_GB2312"/>
          <w:b/>
          <w:bCs/>
          <w:sz w:val="32"/>
          <w:szCs w:val="24"/>
          <w:lang w:val="en-US" w:eastAsia="zh-CN" w:bidi="ar"/>
        </w:rPr>
      </w:pPr>
      <w:r>
        <w:rPr>
          <w:rFonts w:hint="eastAsia" w:ascii="仿宋_GB2312" w:hAnsi="仿宋_GB2312" w:eastAsia="仿宋_GB2312" w:cs="仿宋_GB2312"/>
          <w:lang w:val="en-US" w:eastAsia="zh-CN"/>
        </w:rPr>
        <w:t>持续做好老旧住房安全隐患排查，摸清城市危旧房底数，</w:t>
      </w:r>
      <w:r>
        <w:rPr>
          <w:rFonts w:hint="eastAsia" w:ascii="仿宋_GB2312" w:hAnsi="仿宋_GB2312" w:eastAsia="仿宋_GB2312" w:cs="仿宋_GB2312"/>
        </w:rPr>
        <w:t>建立危旧房改造日常监督工作机制，确保危旧房及时改造</w:t>
      </w:r>
      <w:r>
        <w:rPr>
          <w:rFonts w:hint="eastAsia" w:ascii="仿宋_GB2312" w:hAnsi="仿宋_GB2312" w:eastAsia="仿宋_GB2312" w:cs="仿宋_GB2312"/>
          <w:lang w:eastAsia="zh-CN"/>
        </w:rPr>
        <w:t>。</w:t>
      </w:r>
      <w:r>
        <w:rPr>
          <w:rFonts w:hint="eastAsia" w:ascii="仿宋_GB2312" w:hAnsi="仿宋_GB2312" w:eastAsia="仿宋_GB2312" w:cs="仿宋_GB2312"/>
          <w:szCs w:val="24"/>
          <w:lang w:val="en-US" w:eastAsia="zh-CN" w:bidi="ar"/>
        </w:rPr>
        <w:t>深入推进直管公房危旧房改造，通过加固、改建、重建等方式，重点对学工街、高街、老东门、建国路、武江南等片区危旧公房进行改造，促进老旧街区功能转换、业态升级。继续开展中心城区棚改范围内危旧房屋拆除工作，2026年计划拆除危旧房屋面积5000平方米。</w:t>
      </w:r>
    </w:p>
    <w:p w14:paraId="023705D4">
      <w:pPr>
        <w:pageBreakBefore w:val="0"/>
        <w:widowControl w:val="0"/>
        <w:kinsoku/>
        <w:wordWrap/>
        <w:overflowPunct/>
        <w:topLinePunct w:val="0"/>
        <w:autoSpaceDE/>
        <w:autoSpaceDN/>
        <w:bidi w:val="0"/>
        <w:adjustRightInd/>
        <w:snapToGrid/>
        <w:spacing w:before="0" w:beforeLines="0" w:afterAutospacing="0" w:line="560" w:lineRule="exact"/>
        <w:textAlignment w:val="auto"/>
        <w:outlineLvl w:val="3"/>
        <w:rPr>
          <w:rFonts w:hint="eastAsia" w:ascii="仿宋_GB2312" w:hAnsi="仿宋_GB2312" w:eastAsia="仿宋_GB2312" w:cs="仿宋_GB2312"/>
          <w:b/>
          <w:bCs/>
          <w:szCs w:val="24"/>
          <w:lang w:val="en-US" w:eastAsia="zh-CN" w:bidi="ar"/>
        </w:rPr>
      </w:pPr>
      <w:r>
        <w:rPr>
          <w:rFonts w:hint="eastAsia" w:ascii="仿宋_GB2312" w:hAnsi="仿宋_GB2312" w:eastAsia="仿宋_GB2312" w:cs="仿宋_GB2312"/>
          <w:b/>
          <w:bCs/>
          <w:szCs w:val="24"/>
          <w:lang w:val="en-US" w:eastAsia="zh-CN" w:bidi="ar"/>
        </w:rPr>
        <w:t>4.提升住宅小区物业管理服务水平</w:t>
      </w:r>
    </w:p>
    <w:p w14:paraId="4A041067">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Cs w:val="24"/>
          <w:lang w:val="en-US" w:eastAsia="zh-CN" w:bidi="ar"/>
        </w:rPr>
      </w:pPr>
      <w:r>
        <w:rPr>
          <w:rFonts w:hint="eastAsia" w:ascii="Times New Roman" w:hAnsi="Times New Roman" w:cs="Times New Roman"/>
          <w:szCs w:val="24"/>
          <w:lang w:val="en-US" w:eastAsia="zh-CN" w:bidi="ar"/>
        </w:rPr>
        <w:t>深化党建引领的物业服务品质提升，坚持以“红色物业”为抓手，不断强化组织覆盖，将党的政治优势、组织优势转化为社区治理效能，推动社区党组织领导下的居委、物业、居民协同共治新模式，提升物业服务品质。</w:t>
      </w:r>
      <w:r>
        <w:rPr>
          <w:rFonts w:hint="eastAsia"/>
          <w:lang w:val="en-US" w:eastAsia="zh-CN"/>
        </w:rPr>
        <w:t>不断完善物业服务监督管理相关政策体系，</w:t>
      </w:r>
      <w:r>
        <w:rPr>
          <w:rFonts w:hint="eastAsia" w:ascii="Times New Roman" w:hAnsi="Times New Roman" w:cs="Times New Roman"/>
          <w:szCs w:val="24"/>
          <w:lang w:val="en-US" w:eastAsia="zh-CN" w:bidi="ar"/>
        </w:rPr>
        <w:t>加强</w:t>
      </w:r>
      <w:r>
        <w:rPr>
          <w:rFonts w:hint="eastAsia"/>
        </w:rPr>
        <w:t>对物业服务企业和物业服务人员的监督管理</w:t>
      </w:r>
      <w:r>
        <w:rPr>
          <w:rFonts w:hint="eastAsia"/>
          <w:lang w:eastAsia="zh-CN"/>
        </w:rPr>
        <w:t>，</w:t>
      </w:r>
      <w:r>
        <w:rPr>
          <w:rFonts w:hint="eastAsia"/>
          <w:lang w:val="en-US" w:eastAsia="zh-CN"/>
        </w:rPr>
        <w:t>持续做好物业管理重点问题的监督检查和督促整改。</w:t>
      </w:r>
    </w:p>
    <w:p w14:paraId="300F2B62">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0B8EE33E">
      <w:pPr>
        <w:keepNext w:val="0"/>
        <w:keepLines w:val="0"/>
        <w:pageBreakBefore w:val="0"/>
        <w:widowControl w:val="0"/>
        <w:kinsoku/>
        <w:wordWrap/>
        <w:overflowPunct/>
        <w:topLinePunct w:val="0"/>
        <w:autoSpaceDE/>
        <w:autoSpaceDN/>
        <w:bidi w:val="0"/>
        <w:snapToGrid/>
        <w:spacing w:line="520" w:lineRule="exact"/>
        <w:ind w:left="0" w:leftChars="0" w:firstLine="640" w:firstLineChars="200"/>
        <w:textAlignment w:val="auto"/>
        <w:rPr>
          <w:rFonts w:hint="eastAsia" w:ascii="仿宋_GB2312" w:hAnsi="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附件：1.2026年商品住房供应计划</w:t>
      </w:r>
    </w:p>
    <w:p w14:paraId="7E97312F">
      <w:pPr>
        <w:keepNext w:val="0"/>
        <w:keepLines w:val="0"/>
        <w:pageBreakBefore w:val="0"/>
        <w:widowControl w:val="0"/>
        <w:kinsoku/>
        <w:wordWrap/>
        <w:overflowPunct/>
        <w:topLinePunct w:val="0"/>
        <w:autoSpaceDE/>
        <w:autoSpaceDN/>
        <w:bidi w:val="0"/>
        <w:snapToGrid/>
        <w:spacing w:line="520" w:lineRule="exact"/>
        <w:ind w:firstLine="1600" w:firstLineChars="500"/>
        <w:textAlignment w:val="auto"/>
        <w:rPr>
          <w:rFonts w:hint="eastAsia" w:ascii="仿宋_GB2312" w:hAnsi="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2.2026年保障性住房供应计划</w:t>
      </w:r>
    </w:p>
    <w:p w14:paraId="0A60D6D1">
      <w:pPr>
        <w:keepNext w:val="0"/>
        <w:keepLines w:val="0"/>
        <w:pageBreakBefore w:val="0"/>
        <w:widowControl w:val="0"/>
        <w:kinsoku/>
        <w:wordWrap/>
        <w:overflowPunct/>
        <w:topLinePunct w:val="0"/>
        <w:autoSpaceDE/>
        <w:autoSpaceDN/>
        <w:bidi w:val="0"/>
        <w:snapToGrid/>
        <w:spacing w:line="520" w:lineRule="exact"/>
        <w:ind w:firstLine="1600" w:firstLineChars="500"/>
        <w:textAlignment w:val="auto"/>
        <w:rPr>
          <w:rFonts w:hint="eastAsia" w:ascii="仿宋_GB2312" w:hAnsi="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3.2026年商品住房用地供应计划</w:t>
      </w:r>
    </w:p>
    <w:p w14:paraId="7FF106E9">
      <w:pPr>
        <w:keepNext w:val="0"/>
        <w:keepLines w:val="0"/>
        <w:pageBreakBefore w:val="0"/>
        <w:widowControl w:val="0"/>
        <w:kinsoku/>
        <w:wordWrap/>
        <w:overflowPunct/>
        <w:topLinePunct w:val="0"/>
        <w:autoSpaceDE/>
        <w:autoSpaceDN/>
        <w:bidi w:val="0"/>
        <w:snapToGrid/>
        <w:spacing w:line="520" w:lineRule="exact"/>
        <w:ind w:firstLine="1600" w:firstLineChars="500"/>
        <w:textAlignment w:val="auto"/>
        <w:rPr>
          <w:rFonts w:hint="default" w:ascii="仿宋_GB2312" w:hAnsi="仿宋_GB2312" w:cs="仿宋_GB2312"/>
          <w:b w:val="0"/>
          <w:bCs w:val="0"/>
          <w:color w:val="auto"/>
          <w:sz w:val="32"/>
          <w:szCs w:val="32"/>
          <w:lang w:val="en-US" w:eastAsia="zh-CN"/>
        </w:rPr>
      </w:pPr>
    </w:p>
    <w:p w14:paraId="50B5CC63">
      <w:pPr>
        <w:rPr>
          <w:rFonts w:hint="eastAsia" w:ascii="黑体" w:hAnsi="黑体" w:eastAsia="黑体" w:cs="黑体"/>
          <w:lang w:val="en-US" w:eastAsia="zh-CN"/>
        </w:rPr>
      </w:pPr>
      <w:r>
        <w:rPr>
          <w:rFonts w:hint="default" w:ascii="仿宋_GB2312" w:hAnsi="仿宋_GB2312" w:cs="仿宋_GB2312"/>
          <w:sz w:val="32"/>
          <w:szCs w:val="32"/>
          <w:lang w:val="en-US" w:eastAsia="zh-CN"/>
        </w:rPr>
        <w:br w:type="page"/>
      </w:r>
    </w:p>
    <w:p w14:paraId="4A3F597B">
      <w:pPr>
        <w:spacing w:line="560" w:lineRule="exact"/>
        <w:ind w:left="0" w:leftChars="0" w:firstLine="0" w:firstLineChars="0"/>
        <w:outlineLvl w:val="1"/>
        <w:rPr>
          <w:rFonts w:hint="default" w:ascii="黑体" w:hAnsi="黑体" w:eastAsia="黑体" w:cs="黑体"/>
          <w:lang w:val="en-US" w:eastAsia="zh-CN"/>
        </w:rPr>
      </w:pPr>
      <w:r>
        <w:rPr>
          <w:rFonts w:hint="eastAsia" w:ascii="黑体" w:hAnsi="黑体" w:eastAsia="黑体" w:cs="黑体"/>
          <w:lang w:val="en-US" w:eastAsia="zh-CN"/>
        </w:rPr>
        <w:t>附件1</w:t>
      </w:r>
    </w:p>
    <w:p w14:paraId="365EB51A">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 xml:space="preserve"> 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年商品住房供应计划</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9"/>
        <w:gridCol w:w="3674"/>
        <w:gridCol w:w="3675"/>
      </w:tblGrid>
      <w:tr w14:paraId="4EB4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pct"/>
            <w:vAlign w:val="center"/>
          </w:tcPr>
          <w:p w14:paraId="01654327">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区域</w:t>
            </w:r>
          </w:p>
        </w:tc>
        <w:tc>
          <w:tcPr>
            <w:tcW w:w="3674" w:type="dxa"/>
            <w:vAlign w:val="center"/>
          </w:tcPr>
          <w:p w14:paraId="21E3AAC6">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计划</w:t>
            </w:r>
            <w:r>
              <w:rPr>
                <w:rFonts w:hint="eastAsia" w:ascii="黑体" w:hAnsi="黑体" w:eastAsia="黑体" w:cs="黑体"/>
                <w:b w:val="0"/>
                <w:bCs/>
                <w:sz w:val="28"/>
                <w:szCs w:val="28"/>
              </w:rPr>
              <w:t>批准预售和现售</w:t>
            </w:r>
            <w:r>
              <w:rPr>
                <w:rFonts w:hint="eastAsia" w:ascii="黑体" w:hAnsi="黑体" w:eastAsia="黑体" w:cs="黑体"/>
                <w:b w:val="0"/>
                <w:bCs/>
                <w:sz w:val="28"/>
                <w:szCs w:val="28"/>
                <w:lang w:val="en-US" w:eastAsia="zh-CN"/>
              </w:rPr>
              <w:t>商品住房</w:t>
            </w:r>
            <w:r>
              <w:rPr>
                <w:rFonts w:hint="eastAsia" w:ascii="黑体" w:hAnsi="黑体" w:eastAsia="黑体" w:cs="黑体"/>
                <w:b w:val="0"/>
                <w:bCs/>
                <w:sz w:val="28"/>
                <w:szCs w:val="28"/>
              </w:rPr>
              <w:t>建筑面积（万平方米）</w:t>
            </w:r>
          </w:p>
        </w:tc>
        <w:tc>
          <w:tcPr>
            <w:tcW w:w="3675" w:type="dxa"/>
            <w:vAlign w:val="center"/>
          </w:tcPr>
          <w:p w14:paraId="538CA6E7">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计划</w:t>
            </w:r>
            <w:r>
              <w:rPr>
                <w:rFonts w:hint="eastAsia" w:ascii="黑体" w:hAnsi="黑体" w:eastAsia="黑体" w:cs="黑体"/>
                <w:b w:val="0"/>
                <w:bCs/>
                <w:sz w:val="28"/>
                <w:szCs w:val="28"/>
              </w:rPr>
              <w:t>批准预售和现售</w:t>
            </w:r>
            <w:r>
              <w:rPr>
                <w:rFonts w:hint="eastAsia" w:ascii="黑体" w:hAnsi="黑体" w:eastAsia="黑体" w:cs="黑体"/>
                <w:b w:val="0"/>
                <w:bCs/>
                <w:sz w:val="28"/>
                <w:szCs w:val="28"/>
                <w:lang w:val="en-US" w:eastAsia="zh-CN"/>
              </w:rPr>
              <w:t>商品住房</w:t>
            </w:r>
            <w:r>
              <w:rPr>
                <w:rFonts w:hint="eastAsia" w:ascii="黑体" w:hAnsi="黑体" w:eastAsia="黑体" w:cs="黑体"/>
                <w:b w:val="0"/>
                <w:bCs/>
                <w:sz w:val="28"/>
                <w:szCs w:val="28"/>
              </w:rPr>
              <w:t>房源套数（套）</w:t>
            </w:r>
          </w:p>
        </w:tc>
      </w:tr>
      <w:tr w14:paraId="3C51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pct"/>
            <w:vAlign w:val="center"/>
          </w:tcPr>
          <w:p w14:paraId="232D8D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浈江区</w:t>
            </w:r>
          </w:p>
        </w:tc>
        <w:tc>
          <w:tcPr>
            <w:tcW w:w="3674" w:type="dxa"/>
            <w:vAlign w:val="center"/>
          </w:tcPr>
          <w:p w14:paraId="225D8786">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4.60</w:t>
            </w:r>
          </w:p>
        </w:tc>
        <w:tc>
          <w:tcPr>
            <w:tcW w:w="3675" w:type="dxa"/>
            <w:vAlign w:val="center"/>
          </w:tcPr>
          <w:p w14:paraId="0A5306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296</w:t>
            </w:r>
          </w:p>
        </w:tc>
      </w:tr>
      <w:tr w14:paraId="2973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pct"/>
            <w:vAlign w:val="center"/>
          </w:tcPr>
          <w:p w14:paraId="0CAC1B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武江区</w:t>
            </w:r>
          </w:p>
        </w:tc>
        <w:tc>
          <w:tcPr>
            <w:tcW w:w="3674" w:type="dxa"/>
            <w:vAlign w:val="center"/>
          </w:tcPr>
          <w:p w14:paraId="7F96D4C5">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45.07</w:t>
            </w:r>
          </w:p>
        </w:tc>
        <w:tc>
          <w:tcPr>
            <w:tcW w:w="3675" w:type="dxa"/>
            <w:vAlign w:val="center"/>
          </w:tcPr>
          <w:p w14:paraId="682038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3232</w:t>
            </w:r>
          </w:p>
        </w:tc>
      </w:tr>
      <w:tr w14:paraId="6750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pct"/>
            <w:vAlign w:val="center"/>
          </w:tcPr>
          <w:p w14:paraId="7BECBC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曲江区</w:t>
            </w:r>
          </w:p>
        </w:tc>
        <w:tc>
          <w:tcPr>
            <w:tcW w:w="3674" w:type="dxa"/>
            <w:vAlign w:val="center"/>
          </w:tcPr>
          <w:p w14:paraId="120A4D61">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cs="仿宋_GB2312"/>
                <w:bCs/>
                <w:i w:val="0"/>
                <w:iCs w:val="0"/>
                <w:kern w:val="2"/>
                <w:sz w:val="28"/>
                <w:szCs w:val="28"/>
                <w:u w:val="none"/>
                <w:lang w:val="en-US" w:eastAsia="zh-CN" w:bidi="ar"/>
              </w:rPr>
              <w:t>8.00</w:t>
            </w:r>
          </w:p>
        </w:tc>
        <w:tc>
          <w:tcPr>
            <w:tcW w:w="3675" w:type="dxa"/>
            <w:vAlign w:val="center"/>
          </w:tcPr>
          <w:p w14:paraId="0CAD05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仿宋_GB2312" w:hAnsi="仿宋_GB2312" w:eastAsia="仿宋_GB2312" w:cs="仿宋_GB2312"/>
                <w:bCs/>
                <w:sz w:val="28"/>
                <w:szCs w:val="28"/>
                <w:lang w:val="en-US" w:eastAsia="zh-CN"/>
              </w:rPr>
            </w:pPr>
            <w:r>
              <w:rPr>
                <w:rFonts w:hint="eastAsia" w:ascii="仿宋_GB2312" w:hAnsi="仿宋_GB2312" w:cs="仿宋_GB2312"/>
                <w:bCs/>
                <w:i w:val="0"/>
                <w:iCs w:val="0"/>
                <w:kern w:val="2"/>
                <w:sz w:val="28"/>
                <w:szCs w:val="28"/>
                <w:u w:val="none"/>
                <w:lang w:val="en-US" w:eastAsia="zh-CN" w:bidi="ar"/>
              </w:rPr>
              <w:t>700</w:t>
            </w:r>
          </w:p>
        </w:tc>
      </w:tr>
      <w:tr w14:paraId="4989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pct"/>
            <w:vAlign w:val="center"/>
          </w:tcPr>
          <w:p w14:paraId="35781F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始兴县</w:t>
            </w:r>
          </w:p>
        </w:tc>
        <w:tc>
          <w:tcPr>
            <w:tcW w:w="3674" w:type="dxa"/>
            <w:vAlign w:val="center"/>
          </w:tcPr>
          <w:p w14:paraId="3D3624BA">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9.51</w:t>
            </w:r>
          </w:p>
        </w:tc>
        <w:tc>
          <w:tcPr>
            <w:tcW w:w="3675" w:type="dxa"/>
            <w:vAlign w:val="center"/>
          </w:tcPr>
          <w:p w14:paraId="205A81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718</w:t>
            </w:r>
          </w:p>
        </w:tc>
      </w:tr>
      <w:tr w14:paraId="65A0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pct"/>
            <w:vAlign w:val="center"/>
          </w:tcPr>
          <w:p w14:paraId="07832C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仁化县</w:t>
            </w:r>
          </w:p>
        </w:tc>
        <w:tc>
          <w:tcPr>
            <w:tcW w:w="3674" w:type="dxa"/>
            <w:vAlign w:val="center"/>
          </w:tcPr>
          <w:p w14:paraId="662B43D8">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1.18</w:t>
            </w:r>
          </w:p>
        </w:tc>
        <w:tc>
          <w:tcPr>
            <w:tcW w:w="3675" w:type="dxa"/>
            <w:vAlign w:val="center"/>
          </w:tcPr>
          <w:p w14:paraId="2E7F52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107</w:t>
            </w:r>
          </w:p>
        </w:tc>
      </w:tr>
      <w:tr w14:paraId="6BF5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pct"/>
            <w:vAlign w:val="center"/>
          </w:tcPr>
          <w:p w14:paraId="2026FA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翁源县</w:t>
            </w:r>
          </w:p>
        </w:tc>
        <w:tc>
          <w:tcPr>
            <w:tcW w:w="3674" w:type="dxa"/>
            <w:vAlign w:val="center"/>
          </w:tcPr>
          <w:p w14:paraId="642919AE">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8.25</w:t>
            </w:r>
          </w:p>
        </w:tc>
        <w:tc>
          <w:tcPr>
            <w:tcW w:w="3675" w:type="dxa"/>
            <w:vAlign w:val="center"/>
          </w:tcPr>
          <w:p w14:paraId="12F723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588</w:t>
            </w:r>
          </w:p>
        </w:tc>
      </w:tr>
      <w:tr w14:paraId="2766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pct"/>
            <w:vAlign w:val="center"/>
          </w:tcPr>
          <w:p w14:paraId="13FE243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cs="仿宋_GB2312"/>
                <w:bCs/>
                <w:sz w:val="28"/>
                <w:szCs w:val="28"/>
                <w:lang w:val="en-US" w:eastAsia="zh-CN"/>
              </w:rPr>
              <w:t>乳源瑶族自治县</w:t>
            </w:r>
          </w:p>
        </w:tc>
        <w:tc>
          <w:tcPr>
            <w:tcW w:w="3674" w:type="dxa"/>
            <w:vAlign w:val="center"/>
          </w:tcPr>
          <w:p w14:paraId="074B25CE">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1.15</w:t>
            </w:r>
          </w:p>
        </w:tc>
        <w:tc>
          <w:tcPr>
            <w:tcW w:w="3675" w:type="dxa"/>
            <w:vAlign w:val="center"/>
          </w:tcPr>
          <w:p w14:paraId="5F7478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80</w:t>
            </w:r>
          </w:p>
        </w:tc>
      </w:tr>
      <w:tr w14:paraId="0ADC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pct"/>
            <w:vAlign w:val="center"/>
          </w:tcPr>
          <w:p w14:paraId="2BC197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新丰县</w:t>
            </w:r>
          </w:p>
        </w:tc>
        <w:tc>
          <w:tcPr>
            <w:tcW w:w="3674" w:type="dxa"/>
            <w:vAlign w:val="center"/>
          </w:tcPr>
          <w:p w14:paraId="5998C755">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1.46</w:t>
            </w:r>
          </w:p>
        </w:tc>
        <w:tc>
          <w:tcPr>
            <w:tcW w:w="3675" w:type="dxa"/>
            <w:vAlign w:val="center"/>
          </w:tcPr>
          <w:p w14:paraId="0EA327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101</w:t>
            </w:r>
          </w:p>
        </w:tc>
      </w:tr>
      <w:tr w14:paraId="3798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pct"/>
            <w:vAlign w:val="center"/>
          </w:tcPr>
          <w:p w14:paraId="0365FF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乐昌市</w:t>
            </w:r>
          </w:p>
        </w:tc>
        <w:tc>
          <w:tcPr>
            <w:tcW w:w="3674" w:type="dxa"/>
            <w:vAlign w:val="center"/>
          </w:tcPr>
          <w:p w14:paraId="3AC14E43">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11.12</w:t>
            </w:r>
          </w:p>
        </w:tc>
        <w:tc>
          <w:tcPr>
            <w:tcW w:w="3675" w:type="dxa"/>
            <w:vAlign w:val="center"/>
          </w:tcPr>
          <w:p w14:paraId="33E0A3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758</w:t>
            </w:r>
          </w:p>
        </w:tc>
      </w:tr>
      <w:tr w14:paraId="416C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pct"/>
            <w:vAlign w:val="center"/>
          </w:tcPr>
          <w:p w14:paraId="79B4D2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南雄市</w:t>
            </w:r>
          </w:p>
        </w:tc>
        <w:tc>
          <w:tcPr>
            <w:tcW w:w="3674" w:type="dxa"/>
            <w:vAlign w:val="center"/>
          </w:tcPr>
          <w:p w14:paraId="6994252F">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6.58</w:t>
            </w:r>
          </w:p>
        </w:tc>
        <w:tc>
          <w:tcPr>
            <w:tcW w:w="3675" w:type="dxa"/>
            <w:vAlign w:val="center"/>
          </w:tcPr>
          <w:p w14:paraId="28C698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i w:val="0"/>
                <w:iCs w:val="0"/>
                <w:kern w:val="2"/>
                <w:sz w:val="28"/>
                <w:szCs w:val="28"/>
                <w:u w:val="none"/>
                <w:lang w:val="en-US" w:eastAsia="zh-CN" w:bidi="ar"/>
              </w:rPr>
              <w:t>421</w:t>
            </w:r>
          </w:p>
        </w:tc>
      </w:tr>
      <w:tr w14:paraId="43ED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pct"/>
            <w:vAlign w:val="center"/>
          </w:tcPr>
          <w:p w14:paraId="2F3518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合计</w:t>
            </w:r>
          </w:p>
        </w:tc>
        <w:tc>
          <w:tcPr>
            <w:tcW w:w="3674" w:type="dxa"/>
            <w:vAlign w:val="center"/>
          </w:tcPr>
          <w:p w14:paraId="7218C625">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cs="仿宋_GB2312"/>
                <w:bCs/>
                <w:i w:val="0"/>
                <w:iCs w:val="0"/>
                <w:kern w:val="2"/>
                <w:sz w:val="28"/>
                <w:szCs w:val="28"/>
                <w:u w:val="none"/>
                <w:lang w:val="en-US" w:eastAsia="zh-CN" w:bidi="ar"/>
              </w:rPr>
              <w:t>96.92</w:t>
            </w:r>
          </w:p>
        </w:tc>
        <w:tc>
          <w:tcPr>
            <w:tcW w:w="3675" w:type="dxa"/>
            <w:vAlign w:val="center"/>
          </w:tcPr>
          <w:p w14:paraId="721058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仿宋_GB2312" w:hAnsi="仿宋_GB2312" w:eastAsia="仿宋_GB2312" w:cs="仿宋_GB2312"/>
                <w:bCs/>
                <w:sz w:val="28"/>
                <w:szCs w:val="28"/>
                <w:lang w:val="en-US" w:eastAsia="zh-CN"/>
              </w:rPr>
            </w:pPr>
            <w:r>
              <w:rPr>
                <w:rFonts w:hint="eastAsia" w:ascii="仿宋_GB2312" w:hAnsi="仿宋_GB2312" w:cs="仿宋_GB2312"/>
                <w:bCs/>
                <w:i w:val="0"/>
                <w:iCs w:val="0"/>
                <w:kern w:val="2"/>
                <w:sz w:val="28"/>
                <w:szCs w:val="28"/>
                <w:u w:val="none"/>
                <w:lang w:val="en-US" w:eastAsia="zh-CN" w:bidi="ar"/>
              </w:rPr>
              <w:t>7001</w:t>
            </w:r>
          </w:p>
        </w:tc>
      </w:tr>
    </w:tbl>
    <w:p w14:paraId="0A22C3E5">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5B680EED">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407E4FF0">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53689746">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37FD1069">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0970F23C">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7440F042">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6EE8E316">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110A988D">
      <w:pPr>
        <w:pStyle w:val="6"/>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小标宋简体" w:hAnsi="方正小标宋简体" w:eastAsia="方正小标宋简体" w:cs="方正小标宋简体"/>
          <w:sz w:val="44"/>
          <w:szCs w:val="44"/>
          <w:lang w:eastAsia="zh-CN"/>
        </w:rPr>
      </w:pPr>
      <w:r>
        <w:rPr>
          <w:rFonts w:hint="eastAsia" w:ascii="黑体" w:hAnsi="黑体" w:eastAsia="黑体" w:cs="黑体"/>
          <w:sz w:val="32"/>
          <w:szCs w:val="32"/>
          <w:lang w:val="en-US" w:eastAsia="zh-CN"/>
        </w:rPr>
        <w:t>附件</w:t>
      </w:r>
      <w:r>
        <w:rPr>
          <w:rFonts w:hint="eastAsia" w:ascii="黑体" w:hAnsi="黑体" w:cs="黑体"/>
          <w:sz w:val="32"/>
          <w:szCs w:val="32"/>
          <w:lang w:val="en-US" w:eastAsia="zh-CN"/>
        </w:rPr>
        <w:t>2</w:t>
      </w:r>
    </w:p>
    <w:p w14:paraId="42559394">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eastAsia="zh-CN"/>
        </w:rPr>
        <w:t>202</w:t>
      </w:r>
      <w:r>
        <w:rPr>
          <w:rFonts w:hint="default" w:ascii="方正小标宋简体" w:hAnsi="方正小标宋简体" w:eastAsia="方正小标宋简体" w:cs="方正小标宋简体"/>
          <w:sz w:val="44"/>
          <w:szCs w:val="44"/>
          <w:lang w:val="en-US" w:eastAsia="zh-CN"/>
        </w:rPr>
        <w:t>6</w:t>
      </w:r>
      <w:r>
        <w:rPr>
          <w:rFonts w:hint="default" w:ascii="方正小标宋简体" w:hAnsi="方正小标宋简体" w:eastAsia="方正小标宋简体" w:cs="方正小标宋简体"/>
          <w:sz w:val="44"/>
          <w:szCs w:val="44"/>
          <w:lang w:eastAsia="zh-CN"/>
        </w:rPr>
        <w:t>年</w:t>
      </w:r>
      <w:r>
        <w:rPr>
          <w:rFonts w:hint="default" w:ascii="方正小标宋简体" w:hAnsi="方正小标宋简体" w:eastAsia="方正小标宋简体" w:cs="方正小标宋简体"/>
          <w:sz w:val="44"/>
          <w:szCs w:val="44"/>
          <w:lang w:val="en-US" w:eastAsia="zh-CN"/>
        </w:rPr>
        <w:t>保障性住房供应计划</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216"/>
        <w:gridCol w:w="1368"/>
        <w:gridCol w:w="2568"/>
        <w:gridCol w:w="1414"/>
        <w:gridCol w:w="1722"/>
      </w:tblGrid>
      <w:tr w14:paraId="3D10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79" w:type="pct"/>
            <w:vMerge w:val="restart"/>
            <w:vAlign w:val="center"/>
          </w:tcPr>
          <w:p w14:paraId="3B2DBBC8">
            <w:pPr>
              <w:widowControl w:val="0"/>
              <w:spacing w:line="240" w:lineRule="auto"/>
              <w:ind w:firstLine="0" w:firstLineChars="0"/>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663" w:type="pct"/>
            <w:vMerge w:val="restart"/>
            <w:vAlign w:val="center"/>
          </w:tcPr>
          <w:p w14:paraId="7A08FC30">
            <w:pPr>
              <w:widowControl w:val="0"/>
              <w:spacing w:line="240" w:lineRule="auto"/>
              <w:ind w:firstLine="0" w:firstLineChars="0"/>
              <w:jc w:val="center"/>
              <w:rPr>
                <w:rFonts w:hint="eastAsia" w:ascii="黑体" w:hAnsi="黑体" w:eastAsia="黑体" w:cs="黑体"/>
                <w:b w:val="0"/>
                <w:bCs/>
                <w:sz w:val="28"/>
                <w:szCs w:val="28"/>
                <w:lang w:eastAsia="zh-CN"/>
              </w:rPr>
            </w:pPr>
            <w:r>
              <w:rPr>
                <w:rFonts w:hint="eastAsia" w:ascii="黑体" w:hAnsi="黑体" w:eastAsia="黑体" w:cs="黑体"/>
                <w:b w:val="0"/>
                <w:bCs/>
                <w:sz w:val="28"/>
                <w:szCs w:val="28"/>
                <w:lang w:val="en-US" w:eastAsia="zh-CN"/>
              </w:rPr>
              <w:t>区域</w:t>
            </w:r>
          </w:p>
        </w:tc>
        <w:tc>
          <w:tcPr>
            <w:tcW w:w="746" w:type="pct"/>
            <w:vMerge w:val="restart"/>
            <w:vAlign w:val="center"/>
          </w:tcPr>
          <w:p w14:paraId="3570FDE6">
            <w:pPr>
              <w:widowControl w:val="0"/>
              <w:spacing w:line="240" w:lineRule="auto"/>
              <w:ind w:firstLine="0" w:firstLineChars="0"/>
              <w:jc w:val="center"/>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房源类型</w:t>
            </w:r>
          </w:p>
        </w:tc>
        <w:tc>
          <w:tcPr>
            <w:tcW w:w="1400" w:type="pct"/>
            <w:vMerge w:val="restart"/>
            <w:vAlign w:val="center"/>
          </w:tcPr>
          <w:p w14:paraId="345A8ABC">
            <w:pPr>
              <w:widowControl w:val="0"/>
              <w:spacing w:line="240" w:lineRule="auto"/>
              <w:ind w:firstLine="0" w:firstLineChars="0"/>
              <w:jc w:val="center"/>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项目具体位置</w:t>
            </w:r>
          </w:p>
        </w:tc>
        <w:tc>
          <w:tcPr>
            <w:tcW w:w="771" w:type="pct"/>
            <w:vMerge w:val="restart"/>
            <w:vAlign w:val="center"/>
          </w:tcPr>
          <w:p w14:paraId="71ACE267">
            <w:pPr>
              <w:widowControl w:val="0"/>
              <w:spacing w:line="240" w:lineRule="auto"/>
              <w:ind w:firstLine="0" w:firstLineChars="0"/>
              <w:jc w:val="center"/>
              <w:rPr>
                <w:rFonts w:hint="eastAsia" w:ascii="黑体" w:hAnsi="黑体" w:eastAsia="黑体" w:cs="黑体"/>
                <w:b w:val="0"/>
                <w:bCs/>
                <w:sz w:val="28"/>
                <w:szCs w:val="28"/>
              </w:rPr>
            </w:pPr>
            <w:r>
              <w:rPr>
                <w:rFonts w:hint="eastAsia" w:ascii="黑体" w:hAnsi="黑体" w:eastAsia="黑体" w:cs="黑体"/>
                <w:b w:val="0"/>
                <w:bCs/>
                <w:sz w:val="28"/>
                <w:szCs w:val="28"/>
              </w:rPr>
              <w:t>房源套数（套）</w:t>
            </w:r>
          </w:p>
        </w:tc>
        <w:tc>
          <w:tcPr>
            <w:tcW w:w="939" w:type="pct"/>
            <w:vAlign w:val="center"/>
          </w:tcPr>
          <w:p w14:paraId="05103C9C">
            <w:pPr>
              <w:widowControl w:val="0"/>
              <w:spacing w:line="240" w:lineRule="auto"/>
              <w:ind w:firstLine="0" w:firstLineChars="0"/>
              <w:jc w:val="center"/>
              <w:rPr>
                <w:rFonts w:hint="eastAsia" w:ascii="黑体" w:hAnsi="黑体" w:eastAsia="黑体" w:cs="黑体"/>
                <w:b w:val="0"/>
                <w:bCs/>
                <w:sz w:val="28"/>
                <w:szCs w:val="28"/>
              </w:rPr>
            </w:pPr>
            <w:r>
              <w:rPr>
                <w:rFonts w:hint="eastAsia" w:ascii="黑体" w:hAnsi="黑体" w:eastAsia="黑体" w:cs="黑体"/>
                <w:b w:val="0"/>
                <w:bCs/>
                <w:sz w:val="28"/>
                <w:szCs w:val="28"/>
              </w:rPr>
              <w:t>户型结构</w:t>
            </w:r>
          </w:p>
        </w:tc>
      </w:tr>
      <w:tr w14:paraId="7422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79" w:type="pct"/>
            <w:vMerge w:val="continue"/>
            <w:vAlign w:val="center"/>
          </w:tcPr>
          <w:p w14:paraId="0CA43D16">
            <w:pPr>
              <w:widowControl w:val="0"/>
              <w:spacing w:line="240" w:lineRule="auto"/>
              <w:ind w:firstLine="0" w:firstLineChars="0"/>
              <w:jc w:val="center"/>
              <w:rPr>
                <w:rFonts w:hint="eastAsia" w:ascii="黑体" w:hAnsi="黑体" w:eastAsia="黑体" w:cs="黑体"/>
                <w:b w:val="0"/>
                <w:bCs/>
                <w:sz w:val="28"/>
                <w:szCs w:val="28"/>
                <w:highlight w:val="none"/>
              </w:rPr>
            </w:pPr>
          </w:p>
        </w:tc>
        <w:tc>
          <w:tcPr>
            <w:tcW w:w="663" w:type="pct"/>
            <w:vMerge w:val="continue"/>
            <w:vAlign w:val="center"/>
          </w:tcPr>
          <w:p w14:paraId="6B6AEFC4">
            <w:pPr>
              <w:widowControl w:val="0"/>
              <w:spacing w:line="240" w:lineRule="auto"/>
              <w:ind w:firstLine="0" w:firstLineChars="0"/>
              <w:jc w:val="center"/>
              <w:rPr>
                <w:rFonts w:hint="eastAsia" w:ascii="黑体" w:hAnsi="黑体" w:eastAsia="黑体" w:cs="黑体"/>
                <w:b w:val="0"/>
                <w:bCs/>
                <w:sz w:val="28"/>
                <w:szCs w:val="28"/>
                <w:highlight w:val="none"/>
              </w:rPr>
            </w:pPr>
          </w:p>
        </w:tc>
        <w:tc>
          <w:tcPr>
            <w:tcW w:w="746" w:type="pct"/>
            <w:vMerge w:val="continue"/>
            <w:vAlign w:val="center"/>
          </w:tcPr>
          <w:p w14:paraId="229988FC">
            <w:pPr>
              <w:widowControl w:val="0"/>
              <w:spacing w:line="240" w:lineRule="auto"/>
              <w:ind w:firstLine="0" w:firstLineChars="0"/>
              <w:jc w:val="center"/>
              <w:rPr>
                <w:rFonts w:hint="eastAsia" w:ascii="黑体" w:hAnsi="黑体" w:eastAsia="黑体" w:cs="黑体"/>
                <w:b w:val="0"/>
                <w:bCs/>
                <w:sz w:val="28"/>
                <w:szCs w:val="28"/>
                <w:highlight w:val="none"/>
              </w:rPr>
            </w:pPr>
          </w:p>
        </w:tc>
        <w:tc>
          <w:tcPr>
            <w:tcW w:w="1400" w:type="pct"/>
            <w:vMerge w:val="continue"/>
            <w:vAlign w:val="center"/>
          </w:tcPr>
          <w:p w14:paraId="27E65AB5">
            <w:pPr>
              <w:widowControl w:val="0"/>
              <w:spacing w:line="240" w:lineRule="auto"/>
              <w:ind w:firstLine="0" w:firstLineChars="0"/>
              <w:jc w:val="center"/>
              <w:rPr>
                <w:rFonts w:hint="eastAsia" w:ascii="黑体" w:hAnsi="黑体" w:eastAsia="黑体" w:cs="黑体"/>
                <w:b w:val="0"/>
                <w:bCs/>
                <w:sz w:val="28"/>
                <w:szCs w:val="28"/>
                <w:highlight w:val="none"/>
              </w:rPr>
            </w:pPr>
          </w:p>
        </w:tc>
        <w:tc>
          <w:tcPr>
            <w:tcW w:w="771" w:type="pct"/>
            <w:vMerge w:val="continue"/>
            <w:vAlign w:val="center"/>
          </w:tcPr>
          <w:p w14:paraId="6011C8D4">
            <w:pPr>
              <w:widowControl w:val="0"/>
              <w:spacing w:line="240" w:lineRule="auto"/>
              <w:ind w:firstLine="0" w:firstLineChars="0"/>
              <w:jc w:val="center"/>
              <w:rPr>
                <w:rFonts w:hint="eastAsia" w:ascii="黑体" w:hAnsi="黑体" w:eastAsia="黑体" w:cs="黑体"/>
                <w:b w:val="0"/>
                <w:bCs/>
                <w:sz w:val="28"/>
                <w:szCs w:val="28"/>
                <w:highlight w:val="none"/>
              </w:rPr>
            </w:pPr>
          </w:p>
        </w:tc>
        <w:tc>
          <w:tcPr>
            <w:tcW w:w="939" w:type="pct"/>
            <w:vAlign w:val="center"/>
          </w:tcPr>
          <w:p w14:paraId="4E27C8D8">
            <w:pPr>
              <w:widowControl w:val="0"/>
              <w:spacing w:line="240" w:lineRule="auto"/>
              <w:ind w:firstLine="0" w:firstLineChars="0"/>
              <w:jc w:val="center"/>
              <w:rPr>
                <w:rFonts w:hint="eastAsia" w:ascii="黑体" w:hAnsi="黑体" w:eastAsia="黑体" w:cs="黑体"/>
                <w:b w:val="0"/>
                <w:bCs/>
                <w:sz w:val="28"/>
                <w:szCs w:val="28"/>
              </w:rPr>
            </w:pPr>
            <w:r>
              <w:rPr>
                <w:rFonts w:hint="eastAsia" w:ascii="黑体" w:hAnsi="黑体" w:eastAsia="黑体" w:cs="黑体"/>
                <w:b w:val="0"/>
                <w:bCs/>
                <w:sz w:val="28"/>
                <w:szCs w:val="28"/>
              </w:rPr>
              <w:t>两房（套）</w:t>
            </w:r>
          </w:p>
        </w:tc>
      </w:tr>
      <w:tr w14:paraId="6191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67E3A0D0">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w:t>
            </w:r>
          </w:p>
        </w:tc>
        <w:tc>
          <w:tcPr>
            <w:tcW w:w="663" w:type="pct"/>
            <w:vMerge w:val="restart"/>
            <w:vAlign w:val="center"/>
          </w:tcPr>
          <w:p w14:paraId="719CD70A">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浈江区</w:t>
            </w:r>
          </w:p>
        </w:tc>
        <w:tc>
          <w:tcPr>
            <w:tcW w:w="746" w:type="pct"/>
            <w:vMerge w:val="restart"/>
            <w:vAlign w:val="center"/>
          </w:tcPr>
          <w:p w14:paraId="64FD6830">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保障性</w:t>
            </w:r>
            <w:bookmarkStart w:id="0" w:name="_GoBack"/>
            <w:bookmarkEnd w:id="0"/>
          </w:p>
          <w:p w14:paraId="54ECC2DD">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租赁住房</w:t>
            </w:r>
          </w:p>
        </w:tc>
        <w:tc>
          <w:tcPr>
            <w:tcW w:w="1400" w:type="pct"/>
            <w:vAlign w:val="center"/>
          </w:tcPr>
          <w:p w14:paraId="2404134C">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浈江区云峰诗意二期S14栋</w:t>
            </w:r>
          </w:p>
        </w:tc>
        <w:tc>
          <w:tcPr>
            <w:tcW w:w="771" w:type="pct"/>
            <w:vAlign w:val="center"/>
          </w:tcPr>
          <w:p w14:paraId="062CBD56">
            <w:pPr>
              <w:widowControl w:val="0"/>
              <w:spacing w:line="240" w:lineRule="auto"/>
              <w:ind w:firstLine="0" w:firstLineChars="0"/>
              <w:jc w:val="center"/>
              <w:rPr>
                <w:rFonts w:hint="default" w:ascii="仿宋_GB2312" w:hAnsi="仿宋_GB2312" w:eastAsia="仿宋_GB2312" w:cs="仿宋_GB2312"/>
                <w:bCs/>
                <w:sz w:val="28"/>
                <w:szCs w:val="28"/>
                <w:lang w:val="en-US" w:eastAsia="zh-CN"/>
              </w:rPr>
            </w:pPr>
            <w:r>
              <w:rPr>
                <w:rFonts w:hint="eastAsia" w:ascii="仿宋_GB2312" w:hAnsi="仿宋_GB2312" w:cs="仿宋_GB2312"/>
                <w:bCs/>
                <w:sz w:val="28"/>
                <w:szCs w:val="28"/>
                <w:lang w:val="en-US" w:eastAsia="zh-CN"/>
              </w:rPr>
              <w:t>120</w:t>
            </w:r>
          </w:p>
        </w:tc>
        <w:tc>
          <w:tcPr>
            <w:tcW w:w="939" w:type="pct"/>
            <w:vAlign w:val="center"/>
          </w:tcPr>
          <w:p w14:paraId="03F1FAC0">
            <w:pPr>
              <w:widowControl w:val="0"/>
              <w:spacing w:line="240" w:lineRule="auto"/>
              <w:ind w:firstLine="0" w:firstLineChars="0"/>
              <w:jc w:val="center"/>
              <w:rPr>
                <w:rFonts w:hint="default" w:ascii="仿宋_GB2312" w:hAnsi="仿宋_GB2312" w:eastAsia="仿宋_GB2312" w:cs="仿宋_GB2312"/>
                <w:bCs/>
                <w:sz w:val="28"/>
                <w:szCs w:val="28"/>
                <w:lang w:val="en-US" w:eastAsia="zh-CN"/>
              </w:rPr>
            </w:pPr>
            <w:r>
              <w:rPr>
                <w:rFonts w:hint="eastAsia" w:ascii="仿宋_GB2312" w:hAnsi="仿宋_GB2312" w:cs="仿宋_GB2312"/>
                <w:bCs/>
                <w:sz w:val="28"/>
                <w:szCs w:val="28"/>
                <w:lang w:val="en-US" w:eastAsia="zh-CN"/>
              </w:rPr>
              <w:t>120</w:t>
            </w:r>
          </w:p>
        </w:tc>
      </w:tr>
      <w:tr w14:paraId="081D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10F7934E">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w:t>
            </w:r>
          </w:p>
        </w:tc>
        <w:tc>
          <w:tcPr>
            <w:tcW w:w="663" w:type="pct"/>
            <w:vMerge w:val="continue"/>
            <w:vAlign w:val="center"/>
          </w:tcPr>
          <w:p w14:paraId="579ABE8D">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p>
        </w:tc>
        <w:tc>
          <w:tcPr>
            <w:tcW w:w="746" w:type="pct"/>
            <w:vMerge w:val="continue"/>
            <w:vAlign w:val="center"/>
          </w:tcPr>
          <w:p w14:paraId="65C0E037">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p>
        </w:tc>
        <w:tc>
          <w:tcPr>
            <w:tcW w:w="1400" w:type="pct"/>
            <w:vAlign w:val="center"/>
          </w:tcPr>
          <w:p w14:paraId="601D46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浈江区田螺冲</w:t>
            </w:r>
          </w:p>
        </w:tc>
        <w:tc>
          <w:tcPr>
            <w:tcW w:w="771" w:type="pct"/>
            <w:vAlign w:val="center"/>
          </w:tcPr>
          <w:p w14:paraId="28094C09">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204</w:t>
            </w:r>
          </w:p>
        </w:tc>
        <w:tc>
          <w:tcPr>
            <w:tcW w:w="939" w:type="pct"/>
            <w:vAlign w:val="center"/>
          </w:tcPr>
          <w:p w14:paraId="724B0B6F">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204</w:t>
            </w:r>
          </w:p>
        </w:tc>
      </w:tr>
      <w:tr w14:paraId="0265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28350CB8">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p>
        </w:tc>
        <w:tc>
          <w:tcPr>
            <w:tcW w:w="663" w:type="pct"/>
            <w:vAlign w:val="center"/>
          </w:tcPr>
          <w:p w14:paraId="6D0E047E">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武江区</w:t>
            </w:r>
          </w:p>
        </w:tc>
        <w:tc>
          <w:tcPr>
            <w:tcW w:w="746" w:type="pct"/>
            <w:vMerge w:val="continue"/>
            <w:vAlign w:val="center"/>
          </w:tcPr>
          <w:p w14:paraId="16FAD30F">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p>
        </w:tc>
        <w:tc>
          <w:tcPr>
            <w:tcW w:w="1400" w:type="pct"/>
            <w:vAlign w:val="center"/>
          </w:tcPr>
          <w:p w14:paraId="6E5DA998">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武江区芙阳路1号</w:t>
            </w:r>
          </w:p>
        </w:tc>
        <w:tc>
          <w:tcPr>
            <w:tcW w:w="771" w:type="pct"/>
            <w:vAlign w:val="center"/>
          </w:tcPr>
          <w:p w14:paraId="06FDE98C">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204</w:t>
            </w:r>
          </w:p>
        </w:tc>
        <w:tc>
          <w:tcPr>
            <w:tcW w:w="939" w:type="pct"/>
            <w:vAlign w:val="center"/>
          </w:tcPr>
          <w:p w14:paraId="285ADD80">
            <w:pPr>
              <w:widowControl w:val="0"/>
              <w:spacing w:line="240" w:lineRule="auto"/>
              <w:ind w:firstLine="0" w:firstLineChars="0"/>
              <w:jc w:val="center"/>
              <w:rPr>
                <w:rFonts w:hint="eastAsia" w:ascii="仿宋_GB2312" w:hAnsi="仿宋_GB2312" w:eastAsia="仿宋_GB2312" w:cs="仿宋_GB2312"/>
                <w:bCs/>
                <w:sz w:val="28"/>
                <w:szCs w:val="28"/>
                <w:lang w:val="en" w:eastAsia="zh-CN"/>
              </w:rPr>
            </w:pPr>
            <w:r>
              <w:rPr>
                <w:rFonts w:hint="eastAsia" w:ascii="仿宋_GB2312" w:hAnsi="仿宋_GB2312" w:eastAsia="仿宋_GB2312" w:cs="仿宋_GB2312"/>
                <w:bCs/>
                <w:sz w:val="28"/>
                <w:szCs w:val="28"/>
                <w:lang w:val="en-US" w:eastAsia="zh-CN"/>
              </w:rPr>
              <w:t>204</w:t>
            </w:r>
          </w:p>
        </w:tc>
      </w:tr>
      <w:tr w14:paraId="5076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26B5ACA3">
            <w:pPr>
              <w:widowControl w:val="0"/>
              <w:spacing w:line="240" w:lineRule="auto"/>
              <w:ind w:firstLine="0" w:firstLineChars="0"/>
              <w:jc w:val="center"/>
              <w:rPr>
                <w:rFonts w:hint="default" w:ascii="仿宋_GB2312" w:hAnsi="仿宋_GB2312" w:eastAsia="仿宋_GB2312" w:cs="仿宋_GB2312"/>
                <w:bCs/>
                <w:sz w:val="28"/>
                <w:szCs w:val="28"/>
                <w:lang w:val="en-US" w:eastAsia="zh-CN"/>
              </w:rPr>
            </w:pPr>
            <w:r>
              <w:rPr>
                <w:rFonts w:hint="eastAsia" w:ascii="仿宋_GB2312" w:hAnsi="仿宋_GB2312" w:cs="仿宋_GB2312"/>
                <w:bCs/>
                <w:sz w:val="28"/>
                <w:szCs w:val="28"/>
                <w:lang w:val="en-US" w:eastAsia="zh-CN"/>
              </w:rPr>
              <w:t>4</w:t>
            </w:r>
          </w:p>
        </w:tc>
        <w:tc>
          <w:tcPr>
            <w:tcW w:w="663" w:type="pct"/>
            <w:vAlign w:val="center"/>
          </w:tcPr>
          <w:p w14:paraId="685C19DA">
            <w:pPr>
              <w:widowControl w:val="0"/>
              <w:spacing w:line="240" w:lineRule="auto"/>
              <w:ind w:firstLine="0" w:firstLineChars="0"/>
              <w:jc w:val="center"/>
              <w:rPr>
                <w:rFonts w:hint="default" w:ascii="仿宋_GB2312" w:hAnsi="仿宋_GB2312" w:eastAsia="仿宋_GB2312" w:cs="仿宋_GB2312"/>
                <w:bCs/>
                <w:sz w:val="28"/>
                <w:szCs w:val="28"/>
                <w:lang w:val="en-US" w:eastAsia="zh-CN"/>
              </w:rPr>
            </w:pPr>
            <w:r>
              <w:rPr>
                <w:rFonts w:hint="eastAsia" w:ascii="仿宋_GB2312" w:hAnsi="仿宋_GB2312" w:cs="仿宋_GB2312"/>
                <w:bCs/>
                <w:sz w:val="28"/>
                <w:szCs w:val="28"/>
                <w:lang w:val="en-US" w:eastAsia="zh-CN"/>
              </w:rPr>
              <w:t>合计</w:t>
            </w:r>
          </w:p>
        </w:tc>
        <w:tc>
          <w:tcPr>
            <w:tcW w:w="2146" w:type="pct"/>
            <w:gridSpan w:val="2"/>
            <w:vAlign w:val="center"/>
          </w:tcPr>
          <w:p w14:paraId="24D9B85C">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保障性租赁住房</w:t>
            </w:r>
          </w:p>
        </w:tc>
        <w:tc>
          <w:tcPr>
            <w:tcW w:w="771" w:type="pct"/>
            <w:vAlign w:val="center"/>
          </w:tcPr>
          <w:p w14:paraId="49FD9613">
            <w:pPr>
              <w:widowControl w:val="0"/>
              <w:spacing w:line="240" w:lineRule="auto"/>
              <w:ind w:firstLine="0" w:firstLineChars="0"/>
              <w:jc w:val="center"/>
              <w:rPr>
                <w:rFonts w:hint="default" w:ascii="仿宋_GB2312" w:hAnsi="仿宋_GB2312" w:eastAsia="仿宋_GB2312" w:cs="仿宋_GB2312"/>
                <w:bCs/>
                <w:sz w:val="28"/>
                <w:szCs w:val="28"/>
                <w:lang w:val="en-US" w:eastAsia="zh-CN"/>
              </w:rPr>
            </w:pPr>
            <w:r>
              <w:rPr>
                <w:rFonts w:hint="eastAsia" w:ascii="仿宋_GB2312" w:hAnsi="仿宋_GB2312" w:cs="仿宋_GB2312"/>
                <w:bCs/>
                <w:sz w:val="28"/>
                <w:szCs w:val="28"/>
                <w:lang w:val="en-US" w:eastAsia="zh-CN"/>
              </w:rPr>
              <w:t>528</w:t>
            </w:r>
          </w:p>
        </w:tc>
        <w:tc>
          <w:tcPr>
            <w:tcW w:w="939" w:type="pct"/>
            <w:vAlign w:val="center"/>
          </w:tcPr>
          <w:p w14:paraId="6BDEA808">
            <w:pPr>
              <w:widowControl w:val="0"/>
              <w:spacing w:line="240" w:lineRule="auto"/>
              <w:ind w:firstLine="0" w:firstLineChars="0"/>
              <w:jc w:val="center"/>
              <w:rPr>
                <w:rFonts w:hint="default" w:ascii="仿宋_GB2312" w:hAnsi="仿宋_GB2312" w:eastAsia="仿宋_GB2312" w:cs="仿宋_GB2312"/>
                <w:bCs/>
                <w:sz w:val="28"/>
                <w:szCs w:val="28"/>
                <w:lang w:val="en-US" w:eastAsia="zh-CN"/>
              </w:rPr>
            </w:pPr>
            <w:r>
              <w:rPr>
                <w:rFonts w:hint="eastAsia" w:ascii="仿宋_GB2312" w:hAnsi="仿宋_GB2312" w:cs="仿宋_GB2312"/>
                <w:bCs/>
                <w:sz w:val="28"/>
                <w:szCs w:val="28"/>
                <w:lang w:val="en-US" w:eastAsia="zh-CN"/>
              </w:rPr>
              <w:t>528</w:t>
            </w:r>
          </w:p>
        </w:tc>
      </w:tr>
    </w:tbl>
    <w:p w14:paraId="3AC845E4">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18B02894">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3B2D31ED">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7C203DAC">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7BC3BBC9">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74BB198C">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5C22A84E">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362934A2">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20E28312">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471E6425">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2A5F26E5">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49FC854C">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4C1E0599">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heme="minorBidi"/>
          <w:sz w:val="28"/>
          <w:szCs w:val="28"/>
        </w:rPr>
      </w:pPr>
    </w:p>
    <w:p w14:paraId="587C087D"/>
    <w:p w14:paraId="478B03A8">
      <w:pPr>
        <w:pStyle w:val="6"/>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cstheme="minorBidi"/>
          <w:sz w:val="28"/>
          <w:szCs w:val="28"/>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3934830F">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年商品住房用地供应</w:t>
      </w:r>
      <w:r>
        <w:rPr>
          <w:rFonts w:hint="eastAsia" w:ascii="方正小标宋简体" w:hAnsi="方正小标宋简体" w:eastAsia="方正小标宋简体" w:cs="方正小标宋简体"/>
          <w:sz w:val="44"/>
          <w:szCs w:val="44"/>
          <w:lang w:val="en-US" w:eastAsia="zh-CN"/>
        </w:rPr>
        <w:t>计划</w:t>
      </w:r>
    </w:p>
    <w:tbl>
      <w:tblPr>
        <w:tblStyle w:val="1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78"/>
        <w:gridCol w:w="6594"/>
      </w:tblGrid>
      <w:tr w14:paraId="7589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F2412">
            <w:pPr>
              <w:widowControl w:val="0"/>
              <w:spacing w:line="240" w:lineRule="auto"/>
              <w:ind w:firstLine="0" w:firstLineChars="0"/>
              <w:jc w:val="center"/>
              <w:rPr>
                <w:rFonts w:hint="eastAsia" w:ascii="黑体" w:hAnsi="黑体" w:eastAsia="黑体" w:cs="黑体"/>
                <w:b w:val="0"/>
                <w:bCs/>
                <w:sz w:val="28"/>
                <w:szCs w:val="28"/>
                <w:lang w:eastAsia="zh-CN"/>
              </w:rPr>
            </w:pPr>
            <w:r>
              <w:rPr>
                <w:rFonts w:hint="eastAsia" w:ascii="黑体" w:hAnsi="黑体" w:eastAsia="黑体" w:cs="黑体"/>
                <w:b w:val="0"/>
                <w:bCs/>
                <w:sz w:val="28"/>
                <w:szCs w:val="28"/>
                <w:lang w:val="en-US" w:eastAsia="zh-CN"/>
              </w:rPr>
              <w:t>区域</w:t>
            </w:r>
          </w:p>
        </w:tc>
        <w:tc>
          <w:tcPr>
            <w:tcW w:w="3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74B93">
            <w:pPr>
              <w:widowControl w:val="0"/>
              <w:spacing w:line="240" w:lineRule="auto"/>
              <w:ind w:firstLine="0" w:firstLineChars="0"/>
              <w:jc w:val="center"/>
              <w:rPr>
                <w:rFonts w:hint="eastAsia" w:ascii="黑体" w:hAnsi="黑体" w:eastAsia="黑体" w:cs="黑体"/>
                <w:b w:val="0"/>
                <w:bCs/>
                <w:sz w:val="28"/>
                <w:szCs w:val="28"/>
                <w:lang w:eastAsia="zh-CN"/>
              </w:rPr>
            </w:pPr>
            <w:r>
              <w:rPr>
                <w:rFonts w:hint="eastAsia" w:ascii="黑体" w:hAnsi="黑体" w:eastAsia="黑体" w:cs="黑体"/>
                <w:b w:val="0"/>
                <w:bCs/>
                <w:sz w:val="28"/>
                <w:szCs w:val="28"/>
                <w:lang w:val="en-US" w:eastAsia="zh-CN"/>
              </w:rPr>
              <w:t>计划供应商品住房用地规模（公顷）</w:t>
            </w:r>
          </w:p>
        </w:tc>
      </w:tr>
      <w:tr w14:paraId="0769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BBE18">
            <w:pPr>
              <w:spacing w:line="240" w:lineRule="auto"/>
              <w:jc w:val="center"/>
              <w:rPr>
                <w:rFonts w:hint="eastAsia" w:ascii="仿宋_GB2312" w:hAnsi="仿宋_GB2312" w:eastAsia="仿宋_GB2312" w:cs="仿宋_GB2312"/>
                <w:i w:val="0"/>
                <w:iCs w:val="0"/>
                <w:color w:val="000000"/>
                <w:sz w:val="28"/>
                <w:szCs w:val="28"/>
                <w:u w:val="none"/>
              </w:rPr>
            </w:pPr>
          </w:p>
        </w:tc>
        <w:tc>
          <w:tcPr>
            <w:tcW w:w="3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5888">
            <w:pPr>
              <w:spacing w:line="240" w:lineRule="auto"/>
              <w:jc w:val="center"/>
              <w:rPr>
                <w:rFonts w:hint="eastAsia" w:ascii="仿宋_GB2312" w:hAnsi="仿宋_GB2312" w:eastAsia="仿宋_GB2312" w:cs="仿宋_GB2312"/>
                <w:i w:val="0"/>
                <w:iCs w:val="0"/>
                <w:color w:val="000000"/>
                <w:sz w:val="28"/>
                <w:szCs w:val="28"/>
                <w:u w:val="none"/>
              </w:rPr>
            </w:pPr>
          </w:p>
        </w:tc>
      </w:tr>
      <w:tr w14:paraId="4273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F5F7">
            <w:pPr>
              <w:widowControl w:val="0"/>
              <w:spacing w:line="240" w:lineRule="auto"/>
              <w:ind w:firstLine="0" w:firstLineChars="0"/>
              <w:jc w:val="center"/>
              <w:rPr>
                <w:rFonts w:hint="eastAsia" w:ascii="仿宋_GB2312" w:hAnsi="仿宋_GB2312" w:eastAsia="仿宋_GB2312" w:cs="仿宋_GB2312"/>
                <w:bCs/>
                <w:sz w:val="28"/>
                <w:szCs w:val="28"/>
                <w:lang w:val="en" w:eastAsia="zh-CN"/>
              </w:rPr>
            </w:pPr>
            <w:r>
              <w:rPr>
                <w:rFonts w:hint="eastAsia" w:ascii="仿宋_GB2312" w:hAnsi="仿宋_GB2312" w:eastAsia="仿宋_GB2312" w:cs="仿宋_GB2312"/>
                <w:bCs/>
                <w:sz w:val="28"/>
                <w:szCs w:val="28"/>
                <w:lang w:val="en-US" w:eastAsia="zh-CN"/>
              </w:rPr>
              <w:t>浈江区</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67D6">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u w:val="none"/>
                <w:lang w:val="en-US" w:eastAsia="zh-CN" w:bidi="ar"/>
              </w:rPr>
            </w:pPr>
            <w:r>
              <w:rPr>
                <w:rFonts w:hint="eastAsia" w:ascii="仿宋_GB2312" w:hAnsi="仿宋_GB2312" w:eastAsia="仿宋_GB2312" w:cs="仿宋_GB2312"/>
                <w:bCs/>
                <w:i w:val="0"/>
                <w:iCs w:val="0"/>
                <w:kern w:val="2"/>
                <w:sz w:val="28"/>
                <w:szCs w:val="28"/>
                <w:u w:val="none"/>
                <w:lang w:val="en-US" w:eastAsia="zh-CN" w:bidi="ar"/>
              </w:rPr>
              <w:t>0.00</w:t>
            </w:r>
          </w:p>
        </w:tc>
      </w:tr>
      <w:tr w14:paraId="7D3A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21BB">
            <w:pPr>
              <w:widowControl w:val="0"/>
              <w:spacing w:line="240" w:lineRule="auto"/>
              <w:ind w:firstLine="0" w:firstLineChars="0"/>
              <w:jc w:val="center"/>
              <w:rPr>
                <w:rFonts w:hint="eastAsia" w:ascii="仿宋_GB2312" w:hAnsi="仿宋_GB2312" w:eastAsia="仿宋_GB2312" w:cs="仿宋_GB2312"/>
                <w:bCs/>
                <w:sz w:val="28"/>
                <w:szCs w:val="28"/>
                <w:lang w:val="en" w:eastAsia="zh-CN"/>
              </w:rPr>
            </w:pPr>
            <w:r>
              <w:rPr>
                <w:rFonts w:hint="eastAsia" w:ascii="仿宋_GB2312" w:hAnsi="仿宋_GB2312" w:eastAsia="仿宋_GB2312" w:cs="仿宋_GB2312"/>
                <w:bCs/>
                <w:sz w:val="28"/>
                <w:szCs w:val="28"/>
                <w:lang w:val="en-US" w:eastAsia="zh-CN"/>
              </w:rPr>
              <w:t>武江区</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3DE4">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u w:val="none"/>
                <w:lang w:val="en-US" w:eastAsia="zh-CN" w:bidi="ar"/>
              </w:rPr>
            </w:pPr>
            <w:r>
              <w:rPr>
                <w:rFonts w:hint="eastAsia" w:ascii="仿宋_GB2312" w:hAnsi="仿宋_GB2312" w:eastAsia="仿宋_GB2312" w:cs="仿宋_GB2312"/>
                <w:bCs/>
                <w:i w:val="0"/>
                <w:iCs w:val="0"/>
                <w:kern w:val="2"/>
                <w:sz w:val="28"/>
                <w:szCs w:val="28"/>
                <w:u w:val="none"/>
                <w:lang w:val="en-US" w:eastAsia="zh-CN" w:bidi="ar"/>
              </w:rPr>
              <w:t>20.00</w:t>
            </w:r>
          </w:p>
        </w:tc>
      </w:tr>
      <w:tr w14:paraId="6671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BC3E">
            <w:pPr>
              <w:widowControl w:val="0"/>
              <w:spacing w:line="240" w:lineRule="auto"/>
              <w:ind w:firstLine="0" w:firstLineChars="0"/>
              <w:jc w:val="center"/>
              <w:rPr>
                <w:rFonts w:hint="eastAsia" w:ascii="仿宋_GB2312" w:hAnsi="仿宋_GB2312" w:eastAsia="仿宋_GB2312" w:cs="仿宋_GB2312"/>
                <w:bCs/>
                <w:sz w:val="28"/>
                <w:szCs w:val="28"/>
                <w:lang w:val="en" w:eastAsia="zh-CN"/>
              </w:rPr>
            </w:pPr>
            <w:r>
              <w:rPr>
                <w:rFonts w:hint="eastAsia" w:ascii="仿宋_GB2312" w:hAnsi="仿宋_GB2312" w:eastAsia="仿宋_GB2312" w:cs="仿宋_GB2312"/>
                <w:bCs/>
                <w:sz w:val="28"/>
                <w:szCs w:val="28"/>
                <w:lang w:val="en-US" w:eastAsia="zh-CN"/>
              </w:rPr>
              <w:t>曲江区</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8232">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u w:val="none"/>
                <w:lang w:val="en-US" w:eastAsia="zh-CN" w:bidi="ar"/>
              </w:rPr>
            </w:pPr>
            <w:r>
              <w:rPr>
                <w:rFonts w:hint="eastAsia" w:ascii="仿宋_GB2312" w:hAnsi="仿宋_GB2312" w:eastAsia="仿宋_GB2312" w:cs="仿宋_GB2312"/>
                <w:bCs/>
                <w:i w:val="0"/>
                <w:iCs w:val="0"/>
                <w:kern w:val="2"/>
                <w:sz w:val="28"/>
                <w:szCs w:val="28"/>
                <w:u w:val="none"/>
                <w:lang w:val="en-US" w:eastAsia="zh-CN" w:bidi="ar"/>
              </w:rPr>
              <w:t>4.20</w:t>
            </w:r>
          </w:p>
        </w:tc>
      </w:tr>
      <w:tr w14:paraId="738B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F781">
            <w:pPr>
              <w:widowControl w:val="0"/>
              <w:spacing w:line="240" w:lineRule="auto"/>
              <w:ind w:firstLine="0" w:firstLineChars="0"/>
              <w:jc w:val="center"/>
              <w:rPr>
                <w:rFonts w:hint="eastAsia" w:ascii="仿宋_GB2312" w:hAnsi="仿宋_GB2312" w:eastAsia="仿宋_GB2312" w:cs="仿宋_GB2312"/>
                <w:bCs/>
                <w:sz w:val="28"/>
                <w:szCs w:val="28"/>
                <w:lang w:val="en" w:eastAsia="zh-CN"/>
              </w:rPr>
            </w:pPr>
            <w:r>
              <w:rPr>
                <w:rFonts w:hint="eastAsia" w:ascii="仿宋_GB2312" w:hAnsi="仿宋_GB2312" w:eastAsia="仿宋_GB2312" w:cs="仿宋_GB2312"/>
                <w:bCs/>
                <w:sz w:val="28"/>
                <w:szCs w:val="28"/>
                <w:lang w:val="en-US" w:eastAsia="zh-CN"/>
              </w:rPr>
              <w:t>始兴县</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286A">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u w:val="none"/>
                <w:lang w:val="en-US" w:eastAsia="zh-CN" w:bidi="ar"/>
              </w:rPr>
            </w:pPr>
            <w:r>
              <w:rPr>
                <w:rFonts w:hint="eastAsia" w:ascii="仿宋_GB2312" w:hAnsi="仿宋_GB2312" w:eastAsia="仿宋_GB2312" w:cs="仿宋_GB2312"/>
                <w:bCs/>
                <w:i w:val="0"/>
                <w:iCs w:val="0"/>
                <w:kern w:val="2"/>
                <w:sz w:val="28"/>
                <w:szCs w:val="28"/>
                <w:u w:val="none"/>
                <w:lang w:val="en-US" w:eastAsia="zh-CN" w:bidi="ar"/>
              </w:rPr>
              <w:t>10.27</w:t>
            </w:r>
          </w:p>
        </w:tc>
      </w:tr>
      <w:tr w14:paraId="18F5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7159">
            <w:pPr>
              <w:widowControl w:val="0"/>
              <w:spacing w:line="240" w:lineRule="auto"/>
              <w:ind w:firstLine="0" w:firstLineChars="0"/>
              <w:jc w:val="center"/>
              <w:rPr>
                <w:rFonts w:hint="eastAsia" w:ascii="仿宋_GB2312" w:hAnsi="仿宋_GB2312" w:eastAsia="仿宋_GB2312" w:cs="仿宋_GB2312"/>
                <w:bCs/>
                <w:sz w:val="28"/>
                <w:szCs w:val="28"/>
                <w:lang w:val="en" w:eastAsia="zh-CN"/>
              </w:rPr>
            </w:pPr>
            <w:r>
              <w:rPr>
                <w:rFonts w:hint="eastAsia" w:ascii="仿宋_GB2312" w:hAnsi="仿宋_GB2312" w:eastAsia="仿宋_GB2312" w:cs="仿宋_GB2312"/>
                <w:bCs/>
                <w:sz w:val="28"/>
                <w:szCs w:val="28"/>
                <w:lang w:val="en-US" w:eastAsia="zh-CN"/>
              </w:rPr>
              <w:t>仁化县</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6B17">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u w:val="none"/>
                <w:lang w:val="en-US" w:eastAsia="zh-CN" w:bidi="ar"/>
              </w:rPr>
            </w:pPr>
            <w:r>
              <w:rPr>
                <w:rFonts w:hint="eastAsia" w:ascii="仿宋_GB2312" w:hAnsi="仿宋_GB2312" w:eastAsia="仿宋_GB2312" w:cs="仿宋_GB2312"/>
                <w:bCs/>
                <w:i w:val="0"/>
                <w:iCs w:val="0"/>
                <w:kern w:val="2"/>
                <w:sz w:val="28"/>
                <w:szCs w:val="28"/>
                <w:u w:val="none"/>
                <w:lang w:val="en-US" w:eastAsia="zh-CN" w:bidi="ar"/>
              </w:rPr>
              <w:t>4.95</w:t>
            </w:r>
          </w:p>
        </w:tc>
      </w:tr>
      <w:tr w14:paraId="00C0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146F">
            <w:pPr>
              <w:widowControl w:val="0"/>
              <w:spacing w:line="240" w:lineRule="auto"/>
              <w:ind w:firstLine="0" w:firstLineChars="0"/>
              <w:jc w:val="center"/>
              <w:rPr>
                <w:rFonts w:hint="eastAsia" w:ascii="仿宋_GB2312" w:hAnsi="仿宋_GB2312" w:eastAsia="仿宋_GB2312" w:cs="仿宋_GB2312"/>
                <w:bCs/>
                <w:sz w:val="28"/>
                <w:szCs w:val="28"/>
                <w:lang w:val="en" w:eastAsia="zh-CN"/>
              </w:rPr>
            </w:pPr>
            <w:r>
              <w:rPr>
                <w:rFonts w:hint="eastAsia" w:ascii="仿宋_GB2312" w:hAnsi="仿宋_GB2312" w:eastAsia="仿宋_GB2312" w:cs="仿宋_GB2312"/>
                <w:bCs/>
                <w:sz w:val="28"/>
                <w:szCs w:val="28"/>
                <w:lang w:val="en-US" w:eastAsia="zh-CN"/>
              </w:rPr>
              <w:t>翁源县</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7829">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u w:val="none"/>
                <w:lang w:val="en-US" w:eastAsia="zh-CN" w:bidi="ar"/>
              </w:rPr>
            </w:pPr>
            <w:r>
              <w:rPr>
                <w:rFonts w:hint="eastAsia" w:ascii="仿宋_GB2312" w:hAnsi="仿宋_GB2312" w:eastAsia="仿宋_GB2312" w:cs="仿宋_GB2312"/>
                <w:bCs/>
                <w:i w:val="0"/>
                <w:iCs w:val="0"/>
                <w:kern w:val="2"/>
                <w:sz w:val="28"/>
                <w:szCs w:val="28"/>
                <w:u w:val="none"/>
                <w:lang w:val="en-US" w:eastAsia="zh-CN" w:bidi="ar"/>
              </w:rPr>
              <w:t>6.00</w:t>
            </w:r>
          </w:p>
        </w:tc>
      </w:tr>
      <w:tr w14:paraId="48A5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440C">
            <w:pPr>
              <w:widowControl w:val="0"/>
              <w:spacing w:line="240" w:lineRule="auto"/>
              <w:ind w:firstLine="0" w:firstLineChars="0"/>
              <w:jc w:val="center"/>
              <w:rPr>
                <w:rFonts w:hint="eastAsia" w:ascii="仿宋_GB2312" w:hAnsi="仿宋_GB2312" w:eastAsia="仿宋_GB2312" w:cs="仿宋_GB2312"/>
                <w:bCs/>
                <w:sz w:val="28"/>
                <w:szCs w:val="28"/>
                <w:lang w:val="en" w:eastAsia="zh-CN"/>
              </w:rPr>
            </w:pPr>
            <w:r>
              <w:rPr>
                <w:rFonts w:hint="eastAsia" w:ascii="仿宋_GB2312" w:hAnsi="仿宋_GB2312" w:cs="仿宋_GB2312"/>
                <w:bCs/>
                <w:sz w:val="28"/>
                <w:szCs w:val="28"/>
                <w:lang w:val="en-US" w:eastAsia="zh-CN"/>
              </w:rPr>
              <w:t>乳源瑶族自治县</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D489">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bCs/>
                <w:sz w:val="28"/>
                <w:szCs w:val="28"/>
                <w:u w:val="none"/>
                <w:lang w:val="en-US" w:eastAsia="zh-CN" w:bidi="ar"/>
              </w:rPr>
            </w:pPr>
            <w:r>
              <w:rPr>
                <w:rFonts w:hint="eastAsia" w:ascii="仿宋_GB2312" w:hAnsi="仿宋_GB2312" w:cs="仿宋_GB2312"/>
                <w:bCs/>
                <w:i w:val="0"/>
                <w:iCs w:val="0"/>
                <w:kern w:val="2"/>
                <w:sz w:val="28"/>
                <w:szCs w:val="28"/>
                <w:u w:val="none"/>
                <w:lang w:val="en-US" w:eastAsia="zh-CN" w:bidi="ar"/>
              </w:rPr>
              <w:t>8.23</w:t>
            </w:r>
          </w:p>
        </w:tc>
      </w:tr>
      <w:tr w14:paraId="400B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8C64">
            <w:pPr>
              <w:widowControl w:val="0"/>
              <w:spacing w:line="240" w:lineRule="auto"/>
              <w:ind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新丰县</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7776">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bCs/>
                <w:sz w:val="28"/>
                <w:szCs w:val="28"/>
                <w:u w:val="none"/>
                <w:lang w:val="en-US" w:eastAsia="zh-CN" w:bidi="ar"/>
              </w:rPr>
            </w:pPr>
            <w:r>
              <w:rPr>
                <w:rFonts w:hint="eastAsia" w:ascii="仿宋_GB2312" w:hAnsi="仿宋_GB2312" w:cs="仿宋_GB2312"/>
                <w:bCs/>
                <w:i w:val="0"/>
                <w:iCs w:val="0"/>
                <w:kern w:val="2"/>
                <w:sz w:val="28"/>
                <w:szCs w:val="28"/>
                <w:u w:val="none"/>
                <w:lang w:val="en-US" w:eastAsia="zh-CN" w:bidi="ar"/>
              </w:rPr>
              <w:t>14.08</w:t>
            </w:r>
          </w:p>
        </w:tc>
      </w:tr>
      <w:tr w14:paraId="6D9F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CD0C">
            <w:pPr>
              <w:widowControl w:val="0"/>
              <w:spacing w:line="240" w:lineRule="auto"/>
              <w:ind w:firstLine="0" w:firstLineChars="0"/>
              <w:jc w:val="center"/>
              <w:rPr>
                <w:rFonts w:hint="eastAsia" w:ascii="仿宋_GB2312" w:hAnsi="仿宋_GB2312" w:eastAsia="仿宋_GB2312" w:cs="仿宋_GB2312"/>
                <w:bCs/>
                <w:sz w:val="28"/>
                <w:szCs w:val="28"/>
                <w:lang w:val="en" w:eastAsia="zh-CN"/>
              </w:rPr>
            </w:pPr>
            <w:r>
              <w:rPr>
                <w:rFonts w:hint="eastAsia" w:ascii="仿宋_GB2312" w:hAnsi="仿宋_GB2312" w:eastAsia="仿宋_GB2312" w:cs="仿宋_GB2312"/>
                <w:bCs/>
                <w:sz w:val="28"/>
                <w:szCs w:val="28"/>
                <w:lang w:val="en-US" w:eastAsia="zh-CN"/>
              </w:rPr>
              <w:t>乐昌市</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908A">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u w:val="none"/>
                <w:lang w:val="en-US" w:eastAsia="zh-CN" w:bidi="ar"/>
              </w:rPr>
            </w:pPr>
            <w:r>
              <w:rPr>
                <w:rFonts w:hint="eastAsia" w:ascii="仿宋_GB2312" w:hAnsi="仿宋_GB2312" w:eastAsia="仿宋_GB2312" w:cs="仿宋_GB2312"/>
                <w:bCs/>
                <w:i w:val="0"/>
                <w:iCs w:val="0"/>
                <w:kern w:val="2"/>
                <w:sz w:val="28"/>
                <w:szCs w:val="28"/>
                <w:u w:val="none"/>
                <w:lang w:val="en-US" w:eastAsia="zh-CN" w:bidi="ar"/>
              </w:rPr>
              <w:t>6.67</w:t>
            </w:r>
          </w:p>
        </w:tc>
      </w:tr>
      <w:tr w14:paraId="65EE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DF83">
            <w:pPr>
              <w:widowControl w:val="0"/>
              <w:spacing w:line="240" w:lineRule="auto"/>
              <w:ind w:firstLine="0" w:firstLineChars="0"/>
              <w:jc w:val="center"/>
              <w:rPr>
                <w:rFonts w:hint="eastAsia" w:ascii="仿宋_GB2312" w:hAnsi="仿宋_GB2312" w:eastAsia="仿宋_GB2312" w:cs="仿宋_GB2312"/>
                <w:bCs/>
                <w:sz w:val="28"/>
                <w:szCs w:val="28"/>
                <w:lang w:val="en" w:eastAsia="zh-CN"/>
              </w:rPr>
            </w:pPr>
            <w:r>
              <w:rPr>
                <w:rFonts w:hint="eastAsia" w:ascii="仿宋_GB2312" w:hAnsi="仿宋_GB2312" w:eastAsia="仿宋_GB2312" w:cs="仿宋_GB2312"/>
                <w:bCs/>
                <w:sz w:val="28"/>
                <w:szCs w:val="28"/>
                <w:lang w:val="en-US" w:eastAsia="zh-CN"/>
              </w:rPr>
              <w:t>南雄市</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6994">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Cs/>
                <w:sz w:val="28"/>
                <w:szCs w:val="28"/>
                <w:u w:val="none"/>
                <w:lang w:val="en-US" w:eastAsia="zh-CN" w:bidi="ar"/>
              </w:rPr>
            </w:pPr>
            <w:r>
              <w:rPr>
                <w:rFonts w:hint="eastAsia" w:ascii="仿宋_GB2312" w:hAnsi="仿宋_GB2312" w:eastAsia="仿宋_GB2312" w:cs="仿宋_GB2312"/>
                <w:bCs/>
                <w:i w:val="0"/>
                <w:iCs w:val="0"/>
                <w:kern w:val="2"/>
                <w:sz w:val="28"/>
                <w:szCs w:val="28"/>
                <w:u w:val="none"/>
                <w:lang w:val="en-US" w:eastAsia="zh-CN" w:bidi="ar"/>
              </w:rPr>
              <w:t>0.00</w:t>
            </w:r>
          </w:p>
        </w:tc>
      </w:tr>
      <w:tr w14:paraId="769F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1B2E">
            <w:pPr>
              <w:widowControl w:val="0"/>
              <w:spacing w:line="240" w:lineRule="auto"/>
              <w:ind w:firstLine="0" w:firstLineChars="0"/>
              <w:jc w:val="center"/>
              <w:rPr>
                <w:rFonts w:hint="eastAsia" w:ascii="仿宋_GB2312" w:hAnsi="仿宋_GB2312" w:eastAsia="仿宋_GB2312" w:cs="仿宋_GB2312"/>
                <w:bCs/>
                <w:sz w:val="28"/>
                <w:szCs w:val="28"/>
                <w:lang w:val="en" w:eastAsia="zh-CN"/>
              </w:rPr>
            </w:pPr>
            <w:r>
              <w:rPr>
                <w:rFonts w:hint="eastAsia" w:ascii="仿宋_GB2312" w:hAnsi="仿宋_GB2312" w:eastAsia="仿宋_GB2312" w:cs="仿宋_GB2312"/>
                <w:bCs/>
                <w:sz w:val="28"/>
                <w:szCs w:val="28"/>
                <w:lang w:val="en-US" w:eastAsia="zh-CN"/>
              </w:rPr>
              <w:t>合计</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1AB7">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bCs/>
                <w:sz w:val="28"/>
                <w:szCs w:val="28"/>
                <w:u w:val="none"/>
                <w:lang w:val="en-US" w:eastAsia="zh-CN" w:bidi="ar"/>
              </w:rPr>
            </w:pPr>
            <w:r>
              <w:rPr>
                <w:rFonts w:hint="eastAsia" w:ascii="仿宋_GB2312" w:hAnsi="仿宋_GB2312" w:cs="仿宋_GB2312"/>
                <w:bCs/>
                <w:i w:val="0"/>
                <w:iCs w:val="0"/>
                <w:kern w:val="2"/>
                <w:sz w:val="28"/>
                <w:szCs w:val="28"/>
                <w:u w:val="none"/>
                <w:lang w:val="en-US" w:eastAsia="zh-CN" w:bidi="ar"/>
              </w:rPr>
              <w:t>74.40</w:t>
            </w:r>
          </w:p>
        </w:tc>
      </w:tr>
    </w:tbl>
    <w:p w14:paraId="3210E9B4">
      <w:pPr>
        <w:pageBreakBefore w:val="0"/>
        <w:widowControl w:val="0"/>
        <w:kinsoku/>
        <w:wordWrap/>
        <w:overflowPunct/>
        <w:topLinePunct w:val="0"/>
        <w:autoSpaceDE/>
        <w:autoSpaceDN/>
        <w:bidi w:val="0"/>
        <w:adjustRightInd/>
        <w:snapToGrid/>
        <w:spacing w:before="0" w:beforeLines="0" w:afterAutospacing="0" w:line="600" w:lineRule="exact"/>
        <w:ind w:left="0" w:leftChars="0" w:firstLine="0" w:firstLineChars="0"/>
        <w:textAlignment w:val="auto"/>
        <w:rPr>
          <w:rFonts w:hint="default" w:ascii="仿宋_GB2312" w:hAnsi="仿宋_GB2312" w:cs="仿宋_GB2312"/>
          <w:sz w:val="32"/>
          <w:szCs w:val="32"/>
          <w:lang w:val="en-US" w:eastAsia="zh-CN"/>
        </w:rPr>
      </w:pPr>
    </w:p>
    <w:sectPr>
      <w:footerReference r:id="rId5" w:type="default"/>
      <w:pgSz w:w="11906" w:h="16838"/>
      <w:pgMar w:top="1440" w:right="1474" w:bottom="1440"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209D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6D897">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C6D897">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C6C96"/>
    <w:rsid w:val="0205623A"/>
    <w:rsid w:val="03737A1E"/>
    <w:rsid w:val="04003C23"/>
    <w:rsid w:val="049A31FC"/>
    <w:rsid w:val="04DC01EC"/>
    <w:rsid w:val="07094D39"/>
    <w:rsid w:val="0AD8609B"/>
    <w:rsid w:val="0E0B1B42"/>
    <w:rsid w:val="1115605A"/>
    <w:rsid w:val="139323BD"/>
    <w:rsid w:val="154C7400"/>
    <w:rsid w:val="156E45B2"/>
    <w:rsid w:val="16895F09"/>
    <w:rsid w:val="17D03FEC"/>
    <w:rsid w:val="1C742641"/>
    <w:rsid w:val="1D766BDC"/>
    <w:rsid w:val="1E6A6E8D"/>
    <w:rsid w:val="228133C5"/>
    <w:rsid w:val="27417BBA"/>
    <w:rsid w:val="29B207BC"/>
    <w:rsid w:val="2A654A10"/>
    <w:rsid w:val="2C622E1D"/>
    <w:rsid w:val="2DFE1C0C"/>
    <w:rsid w:val="2E342049"/>
    <w:rsid w:val="2F282DDD"/>
    <w:rsid w:val="2F522CD5"/>
    <w:rsid w:val="37CC2099"/>
    <w:rsid w:val="38513B03"/>
    <w:rsid w:val="38F1355F"/>
    <w:rsid w:val="39FB51A0"/>
    <w:rsid w:val="40AA7D0B"/>
    <w:rsid w:val="47813868"/>
    <w:rsid w:val="49E43B49"/>
    <w:rsid w:val="49F5752D"/>
    <w:rsid w:val="4ED909A5"/>
    <w:rsid w:val="4EE206B5"/>
    <w:rsid w:val="4F94051C"/>
    <w:rsid w:val="51210616"/>
    <w:rsid w:val="53D7612D"/>
    <w:rsid w:val="563B26F5"/>
    <w:rsid w:val="57283E0B"/>
    <w:rsid w:val="573F74BB"/>
    <w:rsid w:val="59BC7A3F"/>
    <w:rsid w:val="59C208D3"/>
    <w:rsid w:val="5B6F05E7"/>
    <w:rsid w:val="5CA41582"/>
    <w:rsid w:val="5CB84B4E"/>
    <w:rsid w:val="5E8D242E"/>
    <w:rsid w:val="5ECE3876"/>
    <w:rsid w:val="621A115A"/>
    <w:rsid w:val="622503C2"/>
    <w:rsid w:val="6436423C"/>
    <w:rsid w:val="64746C6E"/>
    <w:rsid w:val="64FA3A6E"/>
    <w:rsid w:val="6543632E"/>
    <w:rsid w:val="66961BF6"/>
    <w:rsid w:val="6C3C331C"/>
    <w:rsid w:val="6EB034E3"/>
    <w:rsid w:val="723A6D94"/>
    <w:rsid w:val="729B75C3"/>
    <w:rsid w:val="73235CBB"/>
    <w:rsid w:val="74FE01D9"/>
    <w:rsid w:val="75D5396A"/>
    <w:rsid w:val="75EC6677"/>
    <w:rsid w:val="769E5DCD"/>
    <w:rsid w:val="77FB2A79"/>
    <w:rsid w:val="782F4F2E"/>
    <w:rsid w:val="785A4034"/>
    <w:rsid w:val="7C631993"/>
    <w:rsid w:val="7C66738C"/>
    <w:rsid w:val="7C8B7328"/>
    <w:rsid w:val="7EF05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spacing w:line="560" w:lineRule="exact"/>
      <w:ind w:firstLine="642" w:firstLineChars="200"/>
      <w:outlineLvl w:val="0"/>
    </w:pPr>
    <w:rPr>
      <w:rFonts w:ascii="黑体" w:hAnsi="黑体" w:eastAsia="黑体"/>
      <w:sz w:val="32"/>
      <w:szCs w:val="30"/>
    </w:rPr>
  </w:style>
  <w:style w:type="paragraph" w:styleId="3">
    <w:name w:val="heading 2"/>
    <w:basedOn w:val="1"/>
    <w:next w:val="1"/>
    <w:qFormat/>
    <w:uiPriority w:val="0"/>
    <w:pPr>
      <w:keepNext/>
      <w:keepLines/>
      <w:spacing w:line="560" w:lineRule="exact"/>
      <w:ind w:firstLine="642" w:firstLineChars="200"/>
      <w:outlineLvl w:val="1"/>
    </w:pPr>
    <w:rPr>
      <w:rFonts w:ascii="黑体" w:hAnsi="黑体" w:eastAsia="楷体_GB2312"/>
      <w:kern w:val="0"/>
      <w:szCs w:val="28"/>
    </w:rPr>
  </w:style>
  <w:style w:type="paragraph" w:styleId="4">
    <w:name w:val="heading 3"/>
    <w:basedOn w:val="1"/>
    <w:next w:val="1"/>
    <w:qFormat/>
    <w:uiPriority w:val="0"/>
    <w:pPr>
      <w:keepNext/>
      <w:keepLines/>
      <w:spacing w:line="560" w:lineRule="exact"/>
      <w:outlineLvl w:val="2"/>
    </w:pPr>
    <w:rPr>
      <w:b/>
    </w:rPr>
  </w:style>
  <w:style w:type="character" w:default="1" w:styleId="17">
    <w:name w:val="Default Paragraph Font"/>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qFormat/>
    <w:uiPriority w:val="0"/>
    <w:pPr>
      <w:jc w:val="left"/>
    </w:pPr>
  </w:style>
  <w:style w:type="paragraph" w:styleId="8">
    <w:name w:val="Body Text"/>
    <w:basedOn w:val="1"/>
    <w:qFormat/>
    <w:uiPriority w:val="1"/>
    <w:pPr>
      <w:ind w:left="115"/>
    </w:pPr>
    <w:rPr>
      <w:rFonts w:ascii="仿宋" w:hAnsi="仿宋" w:eastAsia="仿宋" w:cs="仿宋"/>
      <w:sz w:val="32"/>
      <w:szCs w:val="32"/>
      <w:lang w:val="en-US" w:eastAsia="zh-CN" w:bidi="ar-SA"/>
    </w:rPr>
  </w:style>
  <w:style w:type="paragraph" w:styleId="9">
    <w:name w:val="toc 5"/>
    <w:basedOn w:val="1"/>
    <w:next w:val="1"/>
    <w:qFormat/>
    <w:uiPriority w:val="0"/>
    <w:pPr>
      <w:ind w:left="1680"/>
    </w:pPr>
  </w:style>
  <w:style w:type="paragraph" w:styleId="10">
    <w:name w:val="Body Text Indent 2"/>
    <w:basedOn w:val="1"/>
    <w:next w:val="8"/>
    <w:qFormat/>
    <w:uiPriority w:val="0"/>
    <w:pPr>
      <w:spacing w:line="360" w:lineRule="auto"/>
      <w:ind w:firstLine="360"/>
    </w:pPr>
    <w:rPr>
      <w:rFonts w:ascii="宋体" w:hAnsi="Times New Roman" w:eastAsia="宋体" w:cs="Times New Roman"/>
      <w:sz w:val="24"/>
    </w:rPr>
  </w:style>
  <w:style w:type="paragraph" w:styleId="11">
    <w:name w:val="footer"/>
    <w:basedOn w:val="1"/>
    <w:unhideWhenUsed/>
    <w:qFormat/>
    <w:uiPriority w:val="0"/>
    <w:pPr>
      <w:tabs>
        <w:tab w:val="center" w:pos="4153"/>
        <w:tab w:val="right" w:pos="8306"/>
      </w:tabs>
      <w:snapToGrid w:val="0"/>
      <w:jc w:val="left"/>
    </w:pPr>
    <w:rPr>
      <w:rFonts w:ascii="Calibri" w:hAnsi="Calibri" w:eastAsia="宋体"/>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sz w:val="18"/>
    </w:rPr>
  </w:style>
  <w:style w:type="paragraph" w:styleId="14">
    <w:name w:val="Normal (Web)"/>
    <w:basedOn w:val="1"/>
    <w:qFormat/>
    <w:uiPriority w:val="0"/>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basedOn w:val="17"/>
    <w:qFormat/>
    <w:uiPriority w:val="0"/>
  </w:style>
  <w:style w:type="character" w:styleId="20">
    <w:name w:val="footnote reference"/>
    <w:basedOn w:val="17"/>
    <w:qFormat/>
    <w:uiPriority w:val="0"/>
    <w:rPr>
      <w:vertAlign w:val="superscript"/>
    </w:rPr>
  </w:style>
  <w:style w:type="paragraph" w:customStyle="1" w:styleId="21">
    <w:name w:val="注释"/>
    <w:basedOn w:val="1"/>
    <w:qFormat/>
    <w:uiPriority w:val="0"/>
    <w:rPr>
      <w:rFonts w:hint="eastAsia" w:ascii="楷体_GB2312" w:hAnsi="楷体_GB2312" w:eastAsia="楷体_GB2312" w:cs="楷体_GB2312"/>
      <w:sz w:val="22"/>
    </w:rPr>
  </w:style>
  <w:style w:type="paragraph" w:customStyle="1" w:styleId="22">
    <w:name w:val="大标题"/>
    <w:basedOn w:val="1"/>
    <w:next w:val="1"/>
    <w:qFormat/>
    <w:uiPriority w:val="0"/>
    <w:pPr>
      <w:keepNext/>
      <w:keepLines/>
      <w:spacing w:beforeLines="0" w:afterLines="0"/>
      <w:ind w:firstLine="0" w:firstLineChars="0"/>
      <w:jc w:val="center"/>
      <w:outlineLvl w:val="0"/>
    </w:pPr>
    <w:rPr>
      <w:rFonts w:hint="eastAsia" w:ascii="小标宋" w:hAnsi="小标宋" w:eastAsia="小标宋" w:cs="小标宋"/>
      <w:kern w:val="44"/>
      <w:sz w:val="44"/>
    </w:rPr>
  </w:style>
  <w:style w:type="paragraph" w:customStyle="1" w:styleId="23">
    <w:name w:val="一级标题"/>
    <w:basedOn w:val="1"/>
    <w:next w:val="1"/>
    <w:qFormat/>
    <w:uiPriority w:val="0"/>
    <w:pPr>
      <w:keepNext/>
      <w:keepLines/>
      <w:spacing w:beforeLines="0" w:afterLines="0"/>
      <w:outlineLvl w:val="1"/>
    </w:pPr>
    <w:rPr>
      <w:rFonts w:hint="eastAsia" w:ascii="Arial" w:hAnsi="Arial" w:eastAsia="黑体"/>
    </w:rPr>
  </w:style>
  <w:style w:type="paragraph" w:customStyle="1" w:styleId="24">
    <w:name w:val="二级标题"/>
    <w:basedOn w:val="1"/>
    <w:next w:val="1"/>
    <w:qFormat/>
    <w:uiPriority w:val="0"/>
    <w:pPr>
      <w:keepNext/>
      <w:keepLines/>
      <w:spacing w:beforeLines="0" w:afterLines="0"/>
      <w:outlineLvl w:val="2"/>
    </w:pPr>
    <w:rPr>
      <w:rFonts w:hint="default" w:eastAsia="楷体_GB2312"/>
      <w:sz w:val="32"/>
    </w:rPr>
  </w:style>
  <w:style w:type="paragraph" w:customStyle="1" w:styleId="25">
    <w:name w:val="三级标题"/>
    <w:basedOn w:val="1"/>
    <w:next w:val="1"/>
    <w:qFormat/>
    <w:uiPriority w:val="0"/>
    <w:pPr>
      <w:keepNext/>
      <w:keepLines/>
      <w:spacing w:beforeLines="0" w:afterLines="0"/>
      <w:outlineLvl w:val="3"/>
    </w:pPr>
    <w:rPr>
      <w:rFonts w:hint="eastAsia" w:ascii="仿宋_GB2312" w:hAnsi="仿宋_GB2312" w:cs="仿宋_GB2312"/>
      <w:b/>
      <w:sz w:val="32"/>
    </w:rPr>
  </w:style>
  <w:style w:type="character" w:customStyle="1" w:styleId="2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bb292d-24f4-4ef6-a08f-adaa3a7ca26e}">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2343</Words>
  <Characters>2383</Characters>
  <Lines>0</Lines>
  <Paragraphs>0</Paragraphs>
  <TotalTime>2</TotalTime>
  <ScaleCrop>false</ScaleCrop>
  <LinksUpToDate>false</LinksUpToDate>
  <CharactersWithSpaces>2383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2024-02-19T02:23:00Z</dcterms:created>
  <dc:creator>admin</dc:creator>
  <cp:lastModifiedBy>松</cp:lastModifiedBy>
  <cp:lastPrinted>2025-03-19T00:23:00Z</cp:lastPrinted>
  <dcterms:modified xsi:type="dcterms:W3CDTF">2026-04-07T00:44:33Z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A40A182E7AAE49FD96CC0D62C032BBBF_13</vt:lpwstr>
  </property>
  <property fmtid="{D5CDD505-2E9C-101B-9397-08002B2CF9AE}" pid="4" name="KSOTemplateDocerSaveRecord">
    <vt:lpwstr>eyJoZGlkIjoiZTVkYjM3ZWJhMTJjMzQ3NWU0MjlhZDBlZmFiYWI4YWUiLCJ1c2VySWQiOiIyODQxMDQ0OTcifQ==</vt:lpwstr>
  </property>
</Properties>
</file>