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韶关市人民政府国有资产监督管理委员会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20"/>
          <w:sz w:val="44"/>
          <w:szCs w:val="44"/>
          <w:lang w:val="en-US" w:eastAsia="zh-CN"/>
        </w:rPr>
        <w:t>2024年度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20"/>
          <w:sz w:val="44"/>
          <w:szCs w:val="44"/>
          <w:lang w:eastAsia="zh-CN"/>
        </w:rPr>
        <w:t>部门整体支出第三方绩效评价报告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评价单位：韶关市财政局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二〇二五年十一月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为深入了解</w:t>
      </w:r>
      <w:r>
        <w:rPr>
          <w:rFonts w:hint="eastAsia"/>
        </w:rPr>
        <w:t>韶关市人民政府国有资产监督管理委员会（以下简称“市国资委”）</w:t>
      </w:r>
      <w:r>
        <w:rPr>
          <w:rFonts w:hint="eastAsia"/>
          <w:lang w:val="en-US" w:eastAsia="zh-CN"/>
        </w:rPr>
        <w:t>2024年部门整体支出绩效，强化部门预算绩效管理意识，促进被评价单位提升整体预算绩效管理工作水平，提高财政资金使用效益，受韶关市财政局委托，韶关学院组建绩效评价工作组对</w:t>
      </w:r>
      <w:r>
        <w:rPr>
          <w:rFonts w:hint="eastAsia"/>
        </w:rPr>
        <w:t>市国资委202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年度部门整体支出</w:t>
      </w:r>
      <w:r>
        <w:rPr>
          <w:rFonts w:hint="eastAsia"/>
          <w:lang w:eastAsia="zh-CN"/>
        </w:rPr>
        <w:t>开展绩效</w:t>
      </w:r>
      <w:r>
        <w:rPr>
          <w:rFonts w:hint="eastAsia"/>
        </w:rPr>
        <w:t>评价</w:t>
      </w:r>
      <w:r>
        <w:rPr>
          <w:rFonts w:hint="eastAsia"/>
          <w:lang w:eastAsia="zh-CN"/>
        </w:rPr>
        <w:t>工作。</w:t>
      </w:r>
      <w:r>
        <w:rPr>
          <w:rFonts w:hint="eastAsia"/>
          <w:lang w:val="en-US" w:eastAsia="zh-CN"/>
        </w:rPr>
        <w:t>根据现有评价材料，</w:t>
      </w:r>
      <w:r>
        <w:rPr>
          <w:rFonts w:hint="eastAsia"/>
        </w:rPr>
        <w:t>市国资</w:t>
      </w:r>
      <w:r>
        <w:rPr>
          <w:rFonts w:hint="eastAsia"/>
          <w:highlight w:val="none"/>
        </w:rPr>
        <w:t>委</w:t>
      </w:r>
      <w:r>
        <w:rPr>
          <w:rFonts w:hint="eastAsia"/>
          <w:highlight w:val="none"/>
          <w:lang w:val="en-US" w:eastAsia="zh-CN"/>
        </w:rPr>
        <w:t>2024年部门整体绩效评价综合得分为</w:t>
      </w:r>
      <w:r>
        <w:rPr>
          <w:rFonts w:hint="eastAsia"/>
          <w:highlight w:val="none"/>
        </w:rPr>
        <w:t>8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.57分</w:t>
      </w:r>
      <w:r>
        <w:rPr>
          <w:rFonts w:hint="eastAsia"/>
          <w:highlight w:val="none"/>
          <w:lang w:val="en-US" w:eastAsia="zh-CN"/>
        </w:rPr>
        <w:t>，等级为“良”。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  <w:bookmarkStart w:id="0" w:name="_Toc5888"/>
      <w:bookmarkStart w:id="1" w:name="_Toc31134"/>
      <w:bookmarkStart w:id="2" w:name="_Toc15693"/>
      <w:r>
        <w:rPr>
          <w:rFonts w:hint="eastAsia"/>
        </w:rPr>
        <w:t>本次评价</w:t>
      </w:r>
      <w:r>
        <w:rPr>
          <w:rFonts w:hint="eastAsia"/>
          <w:lang w:val="en-US" w:eastAsia="zh-CN"/>
        </w:rPr>
        <w:t>范围包括市国资委2024年度</w:t>
      </w:r>
      <w:r>
        <w:rPr>
          <w:rFonts w:hint="eastAsia"/>
        </w:rPr>
        <w:t>部门整体支出</w:t>
      </w:r>
      <w:r>
        <w:rPr>
          <w:rFonts w:hint="eastAsia"/>
          <w:lang w:eastAsia="zh-CN"/>
        </w:rPr>
        <w:t>。</w:t>
      </w:r>
      <w:bookmarkEnd w:id="0"/>
      <w:bookmarkEnd w:id="1"/>
      <w:bookmarkEnd w:id="2"/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市国资委</w:t>
      </w:r>
      <w:r>
        <w:rPr>
          <w:rFonts w:hint="eastAsia"/>
          <w:lang w:val="en-US" w:eastAsia="zh-CN"/>
        </w:rPr>
        <w:t>2024年度部门</w:t>
      </w:r>
      <w:r>
        <w:rPr>
          <w:rFonts w:hint="eastAsia"/>
        </w:rPr>
        <w:t>年初收入预算数</w:t>
      </w:r>
      <w:r>
        <w:rPr>
          <w:rFonts w:hint="eastAsia"/>
          <w:lang w:eastAsia="zh-CN"/>
        </w:rPr>
        <w:t>为</w:t>
      </w:r>
      <w:r>
        <w:rPr>
          <w:rFonts w:hint="eastAsia"/>
        </w:rPr>
        <w:t>14,403.47</w:t>
      </w:r>
      <w:r>
        <w:rPr>
          <w:rFonts w:hint="eastAsia"/>
          <w:lang w:eastAsia="zh-CN"/>
        </w:rPr>
        <w:t>万元，调整后全年收入预算数为</w:t>
      </w:r>
      <w:r>
        <w:rPr>
          <w:rFonts w:hint="eastAsia"/>
        </w:rPr>
        <w:t>6,426.49</w:t>
      </w:r>
      <w:r>
        <w:rPr>
          <w:rFonts w:hint="eastAsia"/>
          <w:lang w:eastAsia="zh-CN"/>
        </w:rPr>
        <w:t>万元，</w:t>
      </w:r>
      <w:r>
        <w:rPr>
          <w:rFonts w:hint="eastAsia"/>
          <w:lang w:val="en-US" w:eastAsia="zh-CN"/>
        </w:rPr>
        <w:t>年终决算部门实际支出合计为</w:t>
      </w:r>
      <w:r>
        <w:rPr>
          <w:rFonts w:hint="eastAsia"/>
        </w:rPr>
        <w:t>6,426.49</w:t>
      </w:r>
      <w:r>
        <w:rPr>
          <w:rFonts w:hint="eastAsia"/>
          <w:lang w:val="en-US" w:eastAsia="zh-CN"/>
        </w:rPr>
        <w:t>万元。</w:t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  <w:bookmarkStart w:id="3" w:name="_Toc15503"/>
      <w:bookmarkStart w:id="4" w:name="_Toc10721"/>
      <w:r>
        <w:rPr>
          <w:rFonts w:hint="eastAsia"/>
          <w:lang w:val="en-US" w:eastAsia="zh-CN"/>
        </w:rPr>
        <w:t>2024年度，市国资委围绕深化国资国企改革、优化国有资本布局、强化党建引领保障等目标部署部门工作，共有3项重点工作任务和多项具体工作举措。经评价，部门年度绩效完成情况总体良好，在推动国资国企改革、提升资产运营效益、服务全市发展大局等方面取得了显著成效。</w:t>
      </w:r>
    </w:p>
    <w:bookmarkEnd w:id="3"/>
    <w:bookmarkEnd w:id="4"/>
    <w:p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  <w:sectPr>
          <w:footerReference r:id="rId4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rtlGutter w:val="0"/>
          <w:docGrid w:type="lines" w:linePitch="312" w:charSpace="0"/>
        </w:sectPr>
      </w:pPr>
      <w:r>
        <w:rPr>
          <w:rFonts w:hint="eastAsia"/>
          <w:lang w:val="en-US" w:eastAsia="zh-CN"/>
        </w:rPr>
        <w:t>但部门在预算执行存在较大偏差、绩效评价资料准备不充分、绩效自评报告内容不完整等方面仍有待加强。其中预算执行率仅63.43%，9个项目未发生支出；绩效评价缺少内部控制规范、决算明细表等关键材料；自评报告关键要素填</w:t>
      </w:r>
    </w:p>
    <w:p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写不完整。</w:t>
      </w:r>
    </w:p>
    <w:p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FangSong_GB2312"/>
          <w:lang w:val="en-US" w:eastAsia="zh-CN"/>
        </w:rPr>
        <w:sectPr>
          <w:footerReference r:id="rId5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/>
          <w:lang w:val="en-US" w:eastAsia="zh-CN"/>
        </w:rPr>
        <w:t>针对以上不足，提出相关建议如下：一是建立“目库+预算”联动机制，强化动态监控；二是规范绩效评价佐证材料管理，完善资料归档；三是严格落实绩效自评报告要素填写要求，确保内容完整准确。</w:t>
      </w:r>
      <w:bookmarkStart w:id="5" w:name="_GoBack"/>
      <w:bookmarkEnd w:id="5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highlight w:val="none"/>
        </w:rPr>
      </w:pPr>
    </w:p>
    <w:sectPr>
      <w:footerReference r:id="rId6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ind w:firstLine="560"/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CESI宋体-GB2312" w:hAnsi="CESI宋体-GB2312" w:eastAsia="CESI宋体-GB2312" w:cs="CESI宋体-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firstLine="560"/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</w:pP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CESI宋体-GB2312" w:hAnsi="CESI宋体-GB2312" w:eastAsia="CESI宋体-GB2312" w:cs="CESI宋体-GB2312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CESI宋体-GB2312" w:hAnsi="CESI宋体-GB2312" w:eastAsia="CESI宋体-GB2312" w:cs="CESI宋体-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ZTkzYjU5OTEzMDZlODg4NDJiOTNkMDg2NTQ5YmYifQ=="/>
  </w:docVars>
  <w:rsids>
    <w:rsidRoot w:val="55475BA2"/>
    <w:rsid w:val="07737750"/>
    <w:rsid w:val="0C322DE7"/>
    <w:rsid w:val="14242ADC"/>
    <w:rsid w:val="161A4662"/>
    <w:rsid w:val="18054A12"/>
    <w:rsid w:val="26542CAA"/>
    <w:rsid w:val="26762932"/>
    <w:rsid w:val="292D6202"/>
    <w:rsid w:val="2F0662AB"/>
    <w:rsid w:val="39B80490"/>
    <w:rsid w:val="3D89020A"/>
    <w:rsid w:val="3FF658FE"/>
    <w:rsid w:val="4264686F"/>
    <w:rsid w:val="522A03DB"/>
    <w:rsid w:val="55475BA2"/>
    <w:rsid w:val="58B24529"/>
    <w:rsid w:val="5AB64186"/>
    <w:rsid w:val="64195EA2"/>
    <w:rsid w:val="641B1144"/>
    <w:rsid w:val="675A6FA5"/>
    <w:rsid w:val="7C531A71"/>
    <w:rsid w:val="7C850CC9"/>
    <w:rsid w:val="7DE4E846"/>
    <w:rsid w:val="FE7F4D23"/>
    <w:rsid w:val="FFE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0" w:beforeAutospacing="0" w:after="0" w:afterAutospacing="0" w:line="560" w:lineRule="exact"/>
      <w:outlineLvl w:val="0"/>
    </w:pPr>
    <w:rPr>
      <w:rFonts w:eastAsia="黑体"/>
      <w:kern w:val="44"/>
      <w:sz w:val="32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before="0" w:beforeAutospacing="0" w:after="0" w:afterAutospacing="0" w:line="560" w:lineRule="exact"/>
      <w:outlineLvl w:val="1"/>
    </w:pPr>
    <w:rPr>
      <w:rFonts w:ascii="Arial" w:hAnsi="Arial" w:eastAsia="楷体_GB2312"/>
      <w:sz w:val="32"/>
    </w:rPr>
  </w:style>
  <w:style w:type="paragraph" w:styleId="4">
    <w:name w:val="heading 3"/>
    <w:basedOn w:val="1"/>
    <w:next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outlineLvl w:val="2"/>
    </w:pPr>
    <w:rPr>
      <w:rFonts w:hint="eastAsia" w:ascii="宋体" w:hAnsi="宋体" w:eastAsia="宋体" w:cs="宋体"/>
      <w:kern w:val="0"/>
      <w:sz w:val="24"/>
      <w:szCs w:val="24"/>
      <w:u w:val="none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basedOn w:val="13"/>
    <w:qFormat/>
    <w:uiPriority w:val="0"/>
    <w:rPr>
      <w:b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标题 2 Char"/>
    <w:link w:val="3"/>
    <w:qFormat/>
    <w:uiPriority w:val="0"/>
    <w:rPr>
      <w:rFonts w:ascii="Arial" w:hAnsi="Arial" w:eastAsia="楷体_GB2312"/>
      <w:sz w:val="32"/>
    </w:rPr>
  </w:style>
  <w:style w:type="paragraph" w:customStyle="1" w:styleId="18">
    <w:name w:val="样式1"/>
    <w:basedOn w:val="1"/>
    <w:qFormat/>
    <w:uiPriority w:val="0"/>
    <w:pPr>
      <w:widowControl/>
      <w:shd w:val="clear" w:color="auto" w:fill="FFFFFF"/>
      <w:spacing w:line="360" w:lineRule="auto"/>
      <w:ind w:firstLine="640"/>
      <w:jc w:val="left"/>
    </w:pPr>
    <w:rPr>
      <w:rFonts w:hint="eastAsia" w:ascii="FangSong_GB2312" w:hAnsi="FangSong_GB2312" w:eastAsia="FangSong_GB2312" w:cs="FangSong_GB2312"/>
      <w:kern w:val="0"/>
      <w:sz w:val="32"/>
      <w:szCs w:val="32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7631</Words>
  <Characters>8360</Characters>
  <Lines>0</Lines>
  <Paragraphs>0</Paragraphs>
  <TotalTime>3</TotalTime>
  <ScaleCrop>false</ScaleCrop>
  <LinksUpToDate>false</LinksUpToDate>
  <CharactersWithSpaces>8466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2025-08-16T11:32:00Z</dcterms:created>
  <dc:creator>IO...</dc:creator>
  <cp:lastModifiedBy>谢灵娇</cp:lastModifiedBy>
  <cp:lastPrinted>2025-10-29T17:36:00Z</cp:lastPrinted>
  <dcterms:modified xsi:type="dcterms:W3CDTF">2026-04-09T02:46:09Z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581822E74E8D468197CE7F3BF0B34E05_11</vt:lpwstr>
  </property>
  <property fmtid="{D5CDD505-2E9C-101B-9397-08002B2CF9AE}" pid="4" name="KSOTemplateDocerSaveRecord">
    <vt:lpwstr>eyJoZGlkIjoiMThjMGNkYjhjNjQ1Mjk2NWU2OWNmZTY5Yzk2MjA1Y2QiLCJ1c2VySWQiOiI0MTc3MzY0MzUifQ==</vt:lpwstr>
  </property>
</Properties>
</file>