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bCs/>
          <w:color w:val="auto"/>
          <w:sz w:val="44"/>
          <w:szCs w:val="44"/>
          <w:lang w:val="en-US" w:eastAsia="zh-CN"/>
        </w:rPr>
      </w:pPr>
      <w:r>
        <w:rPr>
          <w:rFonts w:hint="eastAsia" w:ascii="方正小标宋简体" w:hAnsi="方正小标宋简体" w:eastAsia="方正小标宋简体" w:cs="方正小标宋简体"/>
          <w:b/>
          <w:bCs/>
          <w:color w:val="auto"/>
          <w:sz w:val="44"/>
          <w:szCs w:val="44"/>
          <w:lang w:eastAsia="zh-CN"/>
        </w:rPr>
        <w:t>韶关市归国华侨联合会</w:t>
      </w:r>
      <w:r>
        <w:rPr>
          <w:rFonts w:hint="eastAsia" w:ascii="方正小标宋简体" w:hAnsi="方正小标宋简体" w:eastAsia="方正小标宋简体" w:cs="方正小标宋简体"/>
          <w:b/>
          <w:bCs/>
          <w:color w:val="auto"/>
          <w:sz w:val="44"/>
          <w:szCs w:val="44"/>
          <w:lang w:val="en-US" w:eastAsia="zh-CN"/>
        </w:rPr>
        <w:t>2024年度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r>
        <w:rPr>
          <w:rFonts w:hint="eastAsia" w:ascii="方正小标宋简体" w:hAnsi="方正小标宋简体" w:eastAsia="方正小标宋简体" w:cs="方正小标宋简体"/>
          <w:b/>
          <w:bCs/>
          <w:color w:val="auto"/>
          <w:sz w:val="44"/>
          <w:szCs w:val="44"/>
          <w:lang w:eastAsia="zh-CN"/>
        </w:rPr>
        <w:t>部门整体支出第三方绩效评价报告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评价单位：韶关市财政局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二〇二五年十一月</w:t>
      </w:r>
    </w:p>
    <w:p>
      <w:pPr>
        <w:bidi w:val="0"/>
        <w:rPr>
          <w:rFonts w:hint="default" w:ascii="Calibri" w:hAnsi="Calibri" w:eastAsia="宋体" w:cs="Times New Roman"/>
          <w:kern w:val="2"/>
          <w:sz w:val="21"/>
          <w:szCs w:val="24"/>
          <w:lang w:val="en-US" w:eastAsia="zh-CN" w:bidi="ar-SA"/>
        </w:rPr>
      </w:pPr>
    </w:p>
    <w:p>
      <w:pPr>
        <w:tabs>
          <w:tab w:val="left" w:pos="5969"/>
        </w:tabs>
        <w:bidi w:val="0"/>
        <w:jc w:val="left"/>
        <w:rPr>
          <w:rFonts w:hint="default"/>
          <w:lang w:val="en-US" w:eastAsia="zh-CN"/>
        </w:rPr>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为深入了</w:t>
      </w:r>
      <w:r>
        <w:rPr>
          <w:rFonts w:hint="eastAsia" w:ascii="仿宋_GB2312" w:hAnsi="仿宋_GB2312" w:eastAsia="仿宋_GB2312" w:cs="仿宋_GB2312"/>
          <w:b w:val="0"/>
          <w:bCs w:val="0"/>
          <w:color w:val="auto"/>
          <w:sz w:val="32"/>
          <w:szCs w:val="32"/>
          <w:highlight w:val="none"/>
          <w:lang w:val="en-US" w:eastAsia="zh-CN"/>
        </w:rPr>
        <w:t>解</w:t>
      </w:r>
      <w:r>
        <w:rPr>
          <w:rFonts w:hint="eastAsia" w:ascii="仿宋_GB2312" w:hAnsi="仿宋_GB2312" w:eastAsia="仿宋_GB2312" w:cs="仿宋_GB2312"/>
          <w:b w:val="0"/>
          <w:bCs w:val="0"/>
          <w:color w:val="auto"/>
          <w:sz w:val="32"/>
          <w:szCs w:val="32"/>
          <w:highlight w:val="none"/>
          <w:lang w:eastAsia="zh-CN"/>
        </w:rPr>
        <w:t>韶关市归国华侨联合会</w:t>
      </w:r>
      <w:r>
        <w:rPr>
          <w:rFonts w:hint="eastAsia" w:ascii="仿宋_GB2312" w:hAnsi="仿宋_GB2312" w:eastAsia="仿宋_GB2312" w:cs="仿宋_GB2312"/>
          <w:color w:val="auto"/>
          <w:sz w:val="32"/>
          <w:szCs w:val="32"/>
          <w:highlight w:val="none"/>
        </w:rPr>
        <w:t>（简称市</w:t>
      </w:r>
      <w:r>
        <w:rPr>
          <w:rFonts w:hint="eastAsia" w:ascii="仿宋_GB2312" w:hAnsi="仿宋_GB2312" w:eastAsia="仿宋_GB2312" w:cs="仿宋_GB2312"/>
          <w:color w:val="auto"/>
          <w:sz w:val="32"/>
          <w:szCs w:val="32"/>
          <w:highlight w:val="none"/>
          <w:lang w:val="en-US" w:eastAsia="zh-CN"/>
        </w:rPr>
        <w:t>侨联</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2024年部门整体支出绩效，强化部门预算绩效管理意识，促进被评价单位提升整体预算绩效管理工作水平，提高财政资金使用效益，受韶关市财政局委托，韶关学院组建绩效评价工作组对</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val="en-US" w:eastAsia="zh-CN"/>
        </w:rPr>
        <w:t>侨联</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年度部门整体支出</w:t>
      </w:r>
      <w:r>
        <w:rPr>
          <w:rFonts w:hint="eastAsia" w:ascii="仿宋_GB2312" w:hAnsi="仿宋_GB2312" w:eastAsia="仿宋_GB2312" w:cs="仿宋_GB2312"/>
          <w:color w:val="auto"/>
          <w:sz w:val="32"/>
          <w:szCs w:val="32"/>
          <w:highlight w:val="none"/>
          <w:lang w:eastAsia="zh-CN"/>
        </w:rPr>
        <w:t>开展绩效</w:t>
      </w:r>
      <w:r>
        <w:rPr>
          <w:rFonts w:hint="eastAsia" w:ascii="仿宋_GB2312" w:hAnsi="仿宋_GB2312" w:eastAsia="仿宋_GB2312" w:cs="仿宋_GB2312"/>
          <w:color w:val="auto"/>
          <w:sz w:val="32"/>
          <w:szCs w:val="32"/>
          <w:highlight w:val="none"/>
        </w:rPr>
        <w:t>评价</w:t>
      </w:r>
      <w:r>
        <w:rPr>
          <w:rFonts w:hint="eastAsia" w:ascii="仿宋_GB2312" w:hAnsi="仿宋_GB2312" w:eastAsia="仿宋_GB2312" w:cs="仿宋_GB2312"/>
          <w:color w:val="auto"/>
          <w:sz w:val="32"/>
          <w:szCs w:val="32"/>
          <w:highlight w:val="none"/>
          <w:lang w:eastAsia="zh-CN"/>
        </w:rPr>
        <w:t>工作。</w:t>
      </w:r>
      <w:r>
        <w:rPr>
          <w:rFonts w:hint="eastAsia" w:ascii="仿宋_GB2312" w:hAnsi="仿宋_GB2312" w:eastAsia="仿宋_GB2312" w:cs="仿宋_GB2312"/>
          <w:color w:val="auto"/>
          <w:sz w:val="32"/>
          <w:szCs w:val="32"/>
          <w:highlight w:val="none"/>
          <w:lang w:val="en-US" w:eastAsia="zh-CN"/>
        </w:rPr>
        <w:t>根据现有评价材料，</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val="en-US" w:eastAsia="zh-CN"/>
        </w:rPr>
        <w:t>侨联2024年部门整体绩效评价综合得分为92.10分，等级为“优”。</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textAlignment w:val="auto"/>
        <w:outlineLvl w:val="0"/>
        <w:rPr>
          <w:rFonts w:hint="eastAsia" w:ascii="仿宋_GB2312" w:hAnsi="仿宋_GB2312" w:eastAsia="仿宋_GB2312" w:cs="仿宋_GB2312"/>
          <w:color w:val="auto"/>
          <w:sz w:val="32"/>
          <w:szCs w:val="32"/>
          <w:lang w:eastAsia="zh-CN"/>
        </w:rPr>
      </w:pPr>
      <w:bookmarkStart w:id="0" w:name="_Toc5888"/>
      <w:bookmarkStart w:id="1" w:name="_Toc15693"/>
      <w:r>
        <w:rPr>
          <w:rFonts w:hint="eastAsia" w:ascii="仿宋_GB2312" w:hAnsi="仿宋_GB2312" w:eastAsia="仿宋_GB2312" w:cs="仿宋_GB2312"/>
          <w:color w:val="auto"/>
          <w:sz w:val="32"/>
          <w:szCs w:val="32"/>
        </w:rPr>
        <w:t>本次评价</w:t>
      </w:r>
      <w:r>
        <w:rPr>
          <w:rFonts w:hint="eastAsia" w:ascii="仿宋_GB2312" w:hAnsi="仿宋_GB2312" w:eastAsia="仿宋_GB2312" w:cs="仿宋_GB2312"/>
          <w:color w:val="auto"/>
          <w:sz w:val="32"/>
          <w:szCs w:val="32"/>
          <w:lang w:val="en-US" w:eastAsia="zh-CN"/>
        </w:rPr>
        <w:t>范围包括</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val="en-US" w:eastAsia="zh-CN"/>
        </w:rPr>
        <w:t>侨联</w:t>
      </w:r>
      <w:r>
        <w:rPr>
          <w:rFonts w:hint="eastAsia" w:ascii="仿宋_GB2312" w:hAnsi="仿宋_GB2312" w:eastAsia="仿宋_GB2312" w:cs="仿宋_GB2312"/>
          <w:color w:val="auto"/>
          <w:sz w:val="32"/>
          <w:szCs w:val="32"/>
          <w:lang w:val="en-US" w:eastAsia="zh-CN"/>
        </w:rPr>
        <w:t>2024年度</w:t>
      </w:r>
      <w:r>
        <w:rPr>
          <w:rFonts w:hint="eastAsia" w:ascii="仿宋_GB2312" w:hAnsi="仿宋_GB2312" w:eastAsia="仿宋_GB2312" w:cs="仿宋_GB2312"/>
          <w:color w:val="auto"/>
          <w:sz w:val="32"/>
          <w:szCs w:val="32"/>
        </w:rPr>
        <w:t>部门整体支出</w:t>
      </w:r>
      <w:r>
        <w:rPr>
          <w:rFonts w:hint="eastAsia" w:ascii="仿宋_GB2312" w:hAnsi="仿宋_GB2312" w:eastAsia="仿宋_GB2312" w:cs="仿宋_GB2312"/>
          <w:color w:val="auto"/>
          <w:sz w:val="32"/>
          <w:szCs w:val="32"/>
          <w:lang w:eastAsia="zh-CN"/>
        </w:rPr>
        <w:t>。</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val="en-US" w:eastAsia="zh-CN"/>
        </w:rPr>
        <w:t>侨联2024年度部门</w:t>
      </w:r>
      <w:r>
        <w:rPr>
          <w:rFonts w:hint="eastAsia" w:ascii="仿宋_GB2312" w:hAnsi="仿宋_GB2312" w:eastAsia="仿宋_GB2312" w:cs="仿宋_GB2312"/>
          <w:color w:val="auto"/>
          <w:sz w:val="32"/>
          <w:szCs w:val="32"/>
          <w:highlight w:val="none"/>
        </w:rPr>
        <w:t>年初收入预算数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sz w:val="32"/>
          <w:szCs w:val="32"/>
        </w:rPr>
        <w:t>301.3</w:t>
      </w:r>
      <w:r>
        <w:rPr>
          <w:rFonts w:hint="eastAsia" w:ascii="仿宋_GB2312" w:hAnsi="仿宋_GB2312" w:eastAsia="仿宋_GB2312" w:cs="仿宋_GB2312"/>
          <w:color w:val="auto"/>
          <w:sz w:val="32"/>
          <w:szCs w:val="32"/>
          <w:highlight w:val="none"/>
          <w:lang w:eastAsia="zh-CN"/>
        </w:rPr>
        <w:t>万元，调整后全年收入预算数为</w:t>
      </w:r>
      <w:r>
        <w:rPr>
          <w:rFonts w:hint="eastAsia" w:ascii="仿宋_GB2312" w:hAnsi="仿宋_GB2312" w:eastAsia="仿宋_GB2312" w:cs="仿宋_GB2312"/>
          <w:sz w:val="32"/>
          <w:szCs w:val="32"/>
          <w:lang w:val="en-US" w:eastAsia="zh-CN"/>
        </w:rPr>
        <w:t>268.03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年终决算部门实际支出合计为</w:t>
      </w:r>
      <w:r>
        <w:rPr>
          <w:rFonts w:hint="eastAsia" w:ascii="仿宋_GB2312" w:hAnsi="仿宋_GB2312" w:eastAsia="仿宋_GB2312" w:cs="仿宋_GB2312"/>
          <w:sz w:val="32"/>
          <w:szCs w:val="32"/>
          <w:lang w:val="en-US" w:eastAsia="zh-CN"/>
        </w:rPr>
        <w:t>268.03</w:t>
      </w:r>
      <w:r>
        <w:rPr>
          <w:rFonts w:hint="eastAsia" w:ascii="仿宋_GB2312" w:hAnsi="仿宋_GB2312" w:eastAsia="仿宋_GB2312" w:cs="仿宋_GB2312"/>
          <w:color w:val="auto"/>
          <w:sz w:val="32"/>
          <w:szCs w:val="32"/>
          <w:highlight w:val="none"/>
          <w:lang w:val="en-US" w:eastAsia="zh-CN"/>
        </w:rPr>
        <w:t>万元。</w:t>
      </w:r>
    </w:p>
    <w:p>
      <w:pPr>
        <w:numPr>
          <w:ilvl w:val="0"/>
          <w:numId w:val="0"/>
        </w:numPr>
        <w:spacing w:line="560" w:lineRule="exact"/>
        <w:ind w:right="0" w:rightChars="0" w:firstLine="640" w:firstLineChars="0"/>
        <w:jc w:val="left"/>
        <w:outlineLvl w:val="1"/>
        <w:rPr>
          <w:rFonts w:hint="eastAsia" w:ascii="仿宋_GB2312" w:hAnsi="仿宋_GB2312" w:eastAsia="仿宋_GB2312" w:cs="仿宋_GB2312"/>
          <w:color w:val="auto"/>
          <w:sz w:val="32"/>
          <w:szCs w:val="32"/>
          <w:highlight w:val="none"/>
          <w:lang w:val="en-US" w:eastAsia="zh-CN"/>
        </w:rPr>
      </w:pPr>
      <w:bookmarkStart w:id="2" w:name="_Toc8192"/>
      <w:bookmarkStart w:id="3" w:name="_Toc11870"/>
      <w:r>
        <w:rPr>
          <w:rFonts w:hint="eastAsia" w:ascii="仿宋_GB2312" w:hAnsi="仿宋_GB2312" w:eastAsia="仿宋_GB2312" w:cs="仿宋_GB2312"/>
          <w:color w:val="auto"/>
          <w:sz w:val="32"/>
          <w:szCs w:val="32"/>
          <w:highlight w:val="none"/>
          <w:lang w:val="en-US" w:eastAsia="zh-CN"/>
        </w:rPr>
        <w:t>2024年度，</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val="en-US" w:eastAsia="zh-CN"/>
        </w:rPr>
        <w:t>侨联围绕推进</w:t>
      </w:r>
      <w:r>
        <w:rPr>
          <w:rFonts w:ascii="仿宋" w:hAnsi="仿宋" w:eastAsia="仿宋" w:cs="仿宋"/>
          <w:spacing w:val="5"/>
          <w:sz w:val="32"/>
          <w:szCs w:val="32"/>
        </w:rPr>
        <w:t>服务经济</w:t>
      </w:r>
      <w:r>
        <w:rPr>
          <w:rFonts w:ascii="仿宋" w:hAnsi="仿宋" w:eastAsia="仿宋" w:cs="仿宋"/>
          <w:spacing w:val="14"/>
          <w:sz w:val="32"/>
          <w:szCs w:val="32"/>
        </w:rPr>
        <w:t>发展</w:t>
      </w:r>
      <w:r>
        <w:rPr>
          <w:rFonts w:hint="eastAsia" w:ascii="仿宋" w:hAnsi="仿宋" w:eastAsia="仿宋" w:cs="仿宋"/>
          <w:spacing w:val="14"/>
          <w:sz w:val="32"/>
          <w:szCs w:val="32"/>
          <w:lang w:eastAsia="zh-CN"/>
        </w:rPr>
        <w:t>、</w:t>
      </w:r>
      <w:r>
        <w:rPr>
          <w:rFonts w:ascii="仿宋" w:hAnsi="仿宋" w:eastAsia="仿宋" w:cs="仿宋"/>
          <w:spacing w:val="14"/>
          <w:sz w:val="32"/>
          <w:szCs w:val="32"/>
        </w:rPr>
        <w:t>依法维护侨益</w:t>
      </w:r>
      <w:r>
        <w:rPr>
          <w:rFonts w:hint="eastAsia" w:ascii="仿宋" w:hAnsi="仿宋" w:eastAsia="仿宋" w:cs="仿宋"/>
          <w:spacing w:val="14"/>
          <w:sz w:val="32"/>
          <w:szCs w:val="32"/>
          <w:lang w:eastAsia="zh-CN"/>
        </w:rPr>
        <w:t>、</w:t>
      </w:r>
      <w:r>
        <w:rPr>
          <w:rFonts w:ascii="仿宋" w:hAnsi="仿宋" w:eastAsia="仿宋" w:cs="仿宋"/>
          <w:spacing w:val="14"/>
          <w:sz w:val="32"/>
          <w:szCs w:val="32"/>
        </w:rPr>
        <w:t>拓展海外联谊</w:t>
      </w:r>
      <w:r>
        <w:rPr>
          <w:rFonts w:hint="eastAsia" w:ascii="仿宋" w:hAnsi="仿宋" w:eastAsia="仿宋" w:cs="仿宋"/>
          <w:spacing w:val="14"/>
          <w:sz w:val="32"/>
          <w:szCs w:val="32"/>
          <w:lang w:eastAsia="zh-CN"/>
        </w:rPr>
        <w:t>、</w:t>
      </w:r>
      <w:r>
        <w:rPr>
          <w:rFonts w:ascii="仿宋" w:hAnsi="仿宋" w:eastAsia="仿宋" w:cs="仿宋"/>
          <w:spacing w:val="11"/>
          <w:sz w:val="32"/>
          <w:szCs w:val="32"/>
        </w:rPr>
        <w:t>弘扬中华文化</w:t>
      </w:r>
      <w:r>
        <w:rPr>
          <w:rFonts w:hint="eastAsia" w:ascii="仿宋" w:hAnsi="仿宋" w:eastAsia="仿宋" w:cs="仿宋"/>
          <w:spacing w:val="11"/>
          <w:sz w:val="32"/>
          <w:szCs w:val="32"/>
          <w:lang w:eastAsia="zh-CN"/>
        </w:rPr>
        <w:t>、</w:t>
      </w:r>
      <w:r>
        <w:rPr>
          <w:rFonts w:ascii="仿宋" w:hAnsi="仿宋" w:eastAsia="仿宋" w:cs="仿宋"/>
          <w:spacing w:val="11"/>
          <w:sz w:val="32"/>
          <w:szCs w:val="32"/>
        </w:rPr>
        <w:t>参与社会建设</w:t>
      </w:r>
      <w:r>
        <w:rPr>
          <w:rFonts w:hint="eastAsia" w:ascii="仿宋_GB2312" w:hAnsi="仿宋_GB2312" w:eastAsia="仿宋_GB2312" w:cs="仿宋_GB2312"/>
          <w:color w:val="auto"/>
          <w:sz w:val="32"/>
          <w:szCs w:val="32"/>
          <w:highlight w:val="none"/>
          <w:shd w:val="clear" w:color="auto" w:fill="auto"/>
          <w:lang w:val="en-US" w:eastAsia="zh-CN"/>
        </w:rPr>
        <w:t>等目标部署部门工作，共有4项重点工作任务和16项部门整体预算绩效指标。经评价，部门年度绩效完成情况基本符合预期，16项整体预算绩效指标全部完成。部门履职在</w:t>
      </w:r>
      <w:r>
        <w:rPr>
          <w:rFonts w:hint="eastAsia" w:ascii="仿宋_GB2312" w:hAnsi="仿宋_GB2312" w:eastAsia="仿宋_GB2312" w:cs="仿宋_GB2312"/>
          <w:color w:val="auto"/>
          <w:sz w:val="32"/>
          <w:szCs w:val="32"/>
          <w:highlight w:val="none"/>
        </w:rPr>
        <w:t>全面推进侨联组织和侨联工作改革创新，围绕中心、服务大局，为世广会的召开奠定海内外侨团联络联谊基础，团结引领归侨侨眷和海外侨胞为韶关市争当北部生态发展区高质量发展排头兵贡献侨界智慧和力量</w:t>
      </w:r>
      <w:r>
        <w:rPr>
          <w:rFonts w:hint="eastAsia" w:ascii="仿宋_GB2312" w:hAnsi="仿宋_GB2312" w:eastAsia="仿宋_GB2312" w:cs="仿宋_GB2312"/>
          <w:color w:val="auto"/>
          <w:sz w:val="32"/>
          <w:szCs w:val="32"/>
          <w:highlight w:val="none"/>
          <w:lang w:val="en-US" w:eastAsia="zh-CN"/>
        </w:rPr>
        <w:t>等方面取得了较好成效。</w:t>
      </w:r>
      <w:bookmarkEnd w:id="2"/>
      <w:bookmarkEnd w:id="3"/>
    </w:p>
    <w:p>
      <w:pPr>
        <w:keepNext w:val="0"/>
        <w:keepLines w:val="0"/>
        <w:pageBreakBefore w:val="0"/>
        <w:numPr>
          <w:ilvl w:val="0"/>
          <w:numId w:val="0"/>
        </w:numPr>
        <w:kinsoku/>
        <w:overflowPunct/>
        <w:autoSpaceDE/>
        <w:autoSpaceDN/>
        <w:bidi w:val="0"/>
        <w:adjustRightInd/>
        <w:snapToGrid/>
        <w:spacing w:line="560" w:lineRule="exact"/>
        <w:ind w:left="0" w:leftChars="0" w:firstLine="640" w:firstLineChars="0"/>
        <w:jc w:val="left"/>
        <w:textAlignment w:val="auto"/>
        <w:outlineLvl w:val="1"/>
        <w:rPr>
          <w:rFonts w:hint="eastAsia" w:ascii="仿宋_GB2312" w:hAnsi="仿宋_GB2312" w:eastAsia="仿宋_GB2312" w:cs="仿宋_GB2312"/>
          <w:color w:val="auto"/>
          <w:sz w:val="32"/>
          <w:szCs w:val="32"/>
          <w:highlight w:val="none"/>
          <w:lang w:eastAsia="zh-CN" w:bidi="ar"/>
        </w:rPr>
      </w:pPr>
      <w:bookmarkStart w:id="4" w:name="_Toc10721"/>
      <w:bookmarkStart w:id="5" w:name="_Toc15503"/>
      <w:r>
        <w:rPr>
          <w:rFonts w:hint="eastAsia" w:ascii="仿宋_GB2312" w:hAnsi="仿宋_GB2312" w:eastAsia="仿宋_GB2312" w:cs="仿宋_GB2312"/>
          <w:b w:val="0"/>
          <w:bCs w:val="0"/>
          <w:color w:val="auto"/>
          <w:sz w:val="32"/>
          <w:szCs w:val="32"/>
          <w:highlight w:val="none"/>
          <w:lang w:val="en-US" w:eastAsia="zh-CN"/>
        </w:rPr>
        <w:t>但部门</w:t>
      </w:r>
      <w:r>
        <w:rPr>
          <w:rFonts w:hint="eastAsia" w:ascii="仿宋_GB2312" w:hAnsi="仿宋_GB2312" w:eastAsia="仿宋_GB2312" w:cs="仿宋_GB2312"/>
          <w:color w:val="auto"/>
          <w:sz w:val="32"/>
          <w:szCs w:val="32"/>
          <w:highlight w:val="none"/>
        </w:rPr>
        <w:t>绩效指标的设置科学性不足</w:t>
      </w:r>
      <w:r>
        <w:rPr>
          <w:rFonts w:hint="eastAsia" w:ascii="仿宋_GB2312" w:hAnsi="仿宋_GB2312" w:eastAsia="仿宋_GB2312" w:cs="仿宋_GB2312"/>
          <w:color w:val="auto"/>
          <w:sz w:val="32"/>
          <w:szCs w:val="32"/>
          <w:highlight w:val="none"/>
          <w:lang w:eastAsia="zh-CN"/>
        </w:rPr>
        <w:t>、在</w:t>
      </w:r>
      <w:r>
        <w:rPr>
          <w:rFonts w:hint="eastAsia" w:ascii="仿宋_GB2312" w:hAnsi="仿宋_GB2312" w:eastAsia="仿宋_GB2312" w:cs="仿宋_GB2312"/>
          <w:color w:val="auto"/>
          <w:kern w:val="2"/>
          <w:sz w:val="32"/>
          <w:szCs w:val="32"/>
          <w:highlight w:val="none"/>
          <w:lang w:val="en-US" w:eastAsia="zh-CN"/>
        </w:rPr>
        <w:t>严格落实中央及地方关于“过紧日子”、压减一般性支出的要求</w:t>
      </w:r>
      <w:r>
        <w:rPr>
          <w:rFonts w:hint="eastAsia" w:ascii="仿宋_GB2312" w:hAnsi="仿宋_GB2312" w:eastAsia="仿宋_GB2312" w:cs="仿宋_GB2312"/>
          <w:color w:val="auto"/>
          <w:sz w:val="32"/>
          <w:szCs w:val="32"/>
          <w:highlight w:val="none"/>
          <w:lang w:val="en-US" w:eastAsia="zh-CN" w:bidi="ar"/>
        </w:rPr>
        <w:t>等方面仍有待加强。</w:t>
      </w:r>
      <w:bookmarkEnd w:id="4"/>
      <w:bookmarkEnd w:id="5"/>
    </w:p>
    <w:p>
      <w:pPr>
        <w:numPr>
          <w:ilvl w:val="0"/>
          <w:numId w:val="0"/>
        </w:numPr>
        <w:spacing w:line="560" w:lineRule="exact"/>
        <w:ind w:firstLine="640" w:firstLineChars="200"/>
        <w:jc w:val="left"/>
        <w:outlineLvl w:val="1"/>
        <w:rPr>
          <w:rFonts w:hint="eastAsia" w:ascii="仿宋_GB2312" w:hAnsi="仿宋_GB2312" w:eastAsia="仿宋_GB2312" w:cs="仿宋_GB2312"/>
          <w:color w:val="auto"/>
          <w:kern w:val="2"/>
          <w:sz w:val="32"/>
          <w:szCs w:val="32"/>
          <w:highlight w:val="none"/>
          <w:lang w:val="en-US" w:eastAsia="zh-CN"/>
        </w:rPr>
      </w:pPr>
      <w:bookmarkStart w:id="6" w:name="_Toc8268"/>
      <w:bookmarkStart w:id="7" w:name="_Toc10814"/>
      <w:r>
        <w:rPr>
          <w:rFonts w:hint="eastAsia" w:ascii="仿宋_GB2312" w:hAnsi="仿宋_GB2312" w:eastAsia="仿宋_GB2312" w:cs="仿宋_GB2312"/>
          <w:b w:val="0"/>
          <w:bCs w:val="0"/>
          <w:color w:val="auto"/>
          <w:sz w:val="32"/>
          <w:szCs w:val="32"/>
          <w:highlight w:val="none"/>
          <w:lang w:val="en-US" w:eastAsia="zh-CN"/>
        </w:rPr>
        <w:t>针对以上不足，提出以下建议：一是</w:t>
      </w:r>
      <w:r>
        <w:rPr>
          <w:rFonts w:hint="eastAsia" w:ascii="仿宋_GB2312" w:hAnsi="仿宋_GB2312" w:eastAsia="仿宋_GB2312" w:cs="仿宋_GB2312"/>
          <w:color w:val="auto"/>
          <w:kern w:val="2"/>
          <w:sz w:val="32"/>
          <w:szCs w:val="32"/>
          <w:highlight w:val="none"/>
          <w:lang w:val="en-US" w:eastAsia="zh-CN" w:bidi="ar-SA"/>
        </w:rPr>
        <w:t>科学构建绩效指标体系；二</w:t>
      </w:r>
      <w:r>
        <w:rPr>
          <w:rFonts w:hint="eastAsia" w:ascii="仿宋_GB2312" w:hAnsi="仿宋_GB2312" w:eastAsia="仿宋_GB2312" w:cs="仿宋_GB2312"/>
          <w:color w:val="auto"/>
          <w:kern w:val="2"/>
          <w:sz w:val="32"/>
          <w:szCs w:val="32"/>
          <w:highlight w:val="none"/>
          <w:lang w:val="en-US" w:eastAsia="zh-CN"/>
        </w:rPr>
        <w:t>严格落实中央及地方关于“过紧日子”、压减一般性支出的要求。</w:t>
      </w:r>
    </w:p>
    <w:bookmarkEnd w:id="6"/>
    <w:bookmarkEnd w:id="7"/>
    <w:p>
      <w:pPr>
        <w:keepNext w:val="0"/>
        <w:keepLines w:val="0"/>
        <w:pageBreakBefore w:val="0"/>
        <w:numPr>
          <w:ilvl w:val="0"/>
          <w:numId w:val="0"/>
        </w:numPr>
        <w:kinsoku/>
        <w:overflowPunct/>
        <w:autoSpaceDE/>
        <w:autoSpaceDN/>
        <w:bidi w:val="0"/>
        <w:adjustRightInd/>
        <w:snapToGrid/>
        <w:spacing w:line="560" w:lineRule="exact"/>
        <w:ind w:left="0" w:leftChars="0" w:firstLine="0" w:firstLineChars="0"/>
        <w:jc w:val="both"/>
        <w:textAlignment w:val="auto"/>
        <w:outlineLvl w:val="1"/>
        <w:rPr>
          <w:rFonts w:hint="eastAsia" w:ascii="黑体" w:hAnsi="黑体" w:eastAsia="黑体" w:cs="黑体"/>
          <w:b/>
          <w:bCs/>
          <w:color w:val="auto"/>
          <w:kern w:val="2"/>
          <w:sz w:val="32"/>
          <w:szCs w:val="32"/>
          <w:highlight w:val="none"/>
          <w:lang w:val="en-US" w:eastAsia="zh-CN" w:bidi="ar-SA"/>
        </w:rPr>
        <w:sectPr>
          <w:footerReference r:id="rId4"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bookmarkStart w:id="8" w:name="_Toc8986"/>
      <w:bookmarkStart w:id="9" w:name="_Toc14548"/>
      <w:bookmarkStart w:id="10" w:name="_GoBack"/>
      <w:bookmarkEnd w:id="10"/>
    </w:p>
    <w:bookmarkEnd w:id="8"/>
    <w:bookmarkEnd w:id="9"/>
    <w:p>
      <w:pPr>
        <w:pStyle w:val="2"/>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黑体-GB2312">
    <w:altName w:val="黑体"/>
    <w:panose1 w:val="02000500000000000000"/>
    <w:charset w:val="86"/>
    <w:family w:val="auto"/>
    <w:pitch w:val="default"/>
    <w:sig w:usb0="00000000" w:usb1="00000000" w:usb2="00000012" w:usb3="00000000" w:csb0="0004000F" w:csb1="00000000"/>
  </w:font>
  <w:font w:name="楷体_GB2312">
    <w:panose1 w:val="02010609030101010101"/>
    <w:charset w:val="86"/>
    <w:family w:val="modern"/>
    <w:pitch w:val="default"/>
    <w:sig w:usb0="00000001" w:usb1="080E0000" w:usb2="00000000" w:usb3="00000000" w:csb0="00040000" w:csb1="00000000"/>
  </w:font>
  <w:font w:name="CESI宋体-GB2312">
    <w:altName w:val="宋体"/>
    <w:panose1 w:val="02000500000000000000"/>
    <w:charset w:val="86"/>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0" w:firstLineChars="0"/>
    </w:pPr>
    <w:r>
      <w:rPr>
        <w:sz w:val="18"/>
      </w:rP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page">
                <wp:posOffset>10259695</wp:posOffset>
              </wp:positionV>
              <wp:extent cx="1828800" cy="1828800"/>
              <wp:effectExtent l="0" t="0" r="0" b="0"/>
              <wp:wrapSquare wrapText="bothSides"/>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autoSpaceDE w:val="0"/>
                            <w:autoSpaceDN w:val="0"/>
                            <w:bidi w:val="0"/>
                            <w:adjustRightInd/>
                            <w:snapToGrid w:val="0"/>
                            <w:spacing w:after="0"/>
                            <w:textAlignment w:val="auto"/>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4</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pt;margin-top:807.85pt;height:144pt;width:144pt;mso-position-horizontal-relative:margin;mso-position-vertical-relative:page;mso-wrap-distance-bottom:0pt;mso-wrap-distance-left:9pt;mso-wrap-distance-right:9pt;mso-wrap-distance-top:0pt;mso-wrap-style:none;z-index:251663360;mso-width-relative:page;mso-height-relative:page;" filled="f" stroked="f" coordsize="21600,21600" o:gfxdata="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xZTufZAAAACgEA&#10;AA8AAAAAAAAAAQAgAAAAIgAAAGRycy9kb3ducmV2LnhtbFBLAQIUABQAAAAIAIdO4kBt321WGQIA&#10;AB0EAAAOAAAAAAAAAAEAIAAAACgBAABkcnMvZTJvRG9jLnhtbFBLBQYAAAAABgAGAFkBAACzBQAA&#10;AAA=&#10;">
              <v:fill on="f" focussize="0,0"/>
              <v:stroke on="f" weight="0.5pt"/>
              <v:imagedata o:title=""/>
              <o:lock v:ext="edit" aspectratio="f"/>
              <v:textbox inset="16pt,0mm,16pt,0mm" style="mso-fit-shape-to-text:t;">
                <w:txbxContent>
                  <w:p>
                    <w:pPr>
                      <w:pStyle w:val="4"/>
                      <w:keepNext w:val="0"/>
                      <w:keepLines w:val="0"/>
                      <w:pageBreakBefore w:val="0"/>
                      <w:widowControl w:val="0"/>
                      <w:kinsoku/>
                      <w:wordWrap/>
                      <w:overflowPunct/>
                      <w:topLinePunct w:val="0"/>
                      <w:autoSpaceDE w:val="0"/>
                      <w:autoSpaceDN w:val="0"/>
                      <w:bidi w:val="0"/>
                      <w:adjustRightInd/>
                      <w:snapToGrid w:val="0"/>
                      <w:spacing w:after="0"/>
                      <w:textAlignment w:val="auto"/>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4</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w10:wrap type="squar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ZTkzYjU5OTEzMDZlODg4NDJiOTNkMDg2NTQ5YmYifQ=="/>
  </w:docVars>
  <w:rsids>
    <w:rsidRoot w:val="349069E1"/>
    <w:rsid w:val="001A236C"/>
    <w:rsid w:val="0064394E"/>
    <w:rsid w:val="00A51796"/>
    <w:rsid w:val="013E4F63"/>
    <w:rsid w:val="016043AA"/>
    <w:rsid w:val="019E2BC9"/>
    <w:rsid w:val="02022C50"/>
    <w:rsid w:val="029F24C7"/>
    <w:rsid w:val="0341020B"/>
    <w:rsid w:val="03EA6264"/>
    <w:rsid w:val="04966B99"/>
    <w:rsid w:val="04FC263C"/>
    <w:rsid w:val="050C1A0E"/>
    <w:rsid w:val="073F3173"/>
    <w:rsid w:val="076F17EB"/>
    <w:rsid w:val="0773573F"/>
    <w:rsid w:val="07A12501"/>
    <w:rsid w:val="080C2770"/>
    <w:rsid w:val="09B661B2"/>
    <w:rsid w:val="09F20D23"/>
    <w:rsid w:val="0ADE102B"/>
    <w:rsid w:val="0AE1644F"/>
    <w:rsid w:val="0B11052F"/>
    <w:rsid w:val="0B3308C5"/>
    <w:rsid w:val="0B767C1C"/>
    <w:rsid w:val="0C3F4FAD"/>
    <w:rsid w:val="0C4F74F5"/>
    <w:rsid w:val="0CF0404C"/>
    <w:rsid w:val="0D3C7A45"/>
    <w:rsid w:val="0D906017"/>
    <w:rsid w:val="0D9601D4"/>
    <w:rsid w:val="0EDA2FEF"/>
    <w:rsid w:val="0EFE5203"/>
    <w:rsid w:val="0F1633EC"/>
    <w:rsid w:val="0F1D1974"/>
    <w:rsid w:val="0F580211"/>
    <w:rsid w:val="0F5C08A7"/>
    <w:rsid w:val="10A83C7D"/>
    <w:rsid w:val="112559AE"/>
    <w:rsid w:val="11B0086C"/>
    <w:rsid w:val="129F0352"/>
    <w:rsid w:val="15A33AF4"/>
    <w:rsid w:val="185F3F52"/>
    <w:rsid w:val="18AF1F5F"/>
    <w:rsid w:val="18FB159D"/>
    <w:rsid w:val="19377C8F"/>
    <w:rsid w:val="197054C7"/>
    <w:rsid w:val="19AA2269"/>
    <w:rsid w:val="19EA7A06"/>
    <w:rsid w:val="1A295A30"/>
    <w:rsid w:val="1A4C4FC6"/>
    <w:rsid w:val="1B633103"/>
    <w:rsid w:val="1BDA71E1"/>
    <w:rsid w:val="1C444376"/>
    <w:rsid w:val="1CDD723A"/>
    <w:rsid w:val="1D477216"/>
    <w:rsid w:val="1D506AAD"/>
    <w:rsid w:val="1D770D51"/>
    <w:rsid w:val="1DB9788F"/>
    <w:rsid w:val="1DC30351"/>
    <w:rsid w:val="1E406F8C"/>
    <w:rsid w:val="1E6502D1"/>
    <w:rsid w:val="1FB324D3"/>
    <w:rsid w:val="206757EC"/>
    <w:rsid w:val="21485EA7"/>
    <w:rsid w:val="21F07DA4"/>
    <w:rsid w:val="229254B9"/>
    <w:rsid w:val="2299382A"/>
    <w:rsid w:val="239D3CB1"/>
    <w:rsid w:val="23F24EDE"/>
    <w:rsid w:val="24AF3006"/>
    <w:rsid w:val="25330E38"/>
    <w:rsid w:val="27032927"/>
    <w:rsid w:val="27A01B85"/>
    <w:rsid w:val="27DE37C7"/>
    <w:rsid w:val="28414686"/>
    <w:rsid w:val="29410FE1"/>
    <w:rsid w:val="298C0A5A"/>
    <w:rsid w:val="29D56BC2"/>
    <w:rsid w:val="2B0C2F93"/>
    <w:rsid w:val="2B88569C"/>
    <w:rsid w:val="2CC43190"/>
    <w:rsid w:val="2D1C4F41"/>
    <w:rsid w:val="2D415E6F"/>
    <w:rsid w:val="2E147D7C"/>
    <w:rsid w:val="2E6A3279"/>
    <w:rsid w:val="2E6E7F8A"/>
    <w:rsid w:val="308E1846"/>
    <w:rsid w:val="30AA1D95"/>
    <w:rsid w:val="314A22E4"/>
    <w:rsid w:val="31A17F44"/>
    <w:rsid w:val="31B16024"/>
    <w:rsid w:val="31FE0EF2"/>
    <w:rsid w:val="3368124C"/>
    <w:rsid w:val="336C3AE5"/>
    <w:rsid w:val="337A0A4C"/>
    <w:rsid w:val="33F116D8"/>
    <w:rsid w:val="34281068"/>
    <w:rsid w:val="342C5992"/>
    <w:rsid w:val="349069E1"/>
    <w:rsid w:val="34980548"/>
    <w:rsid w:val="35190EE7"/>
    <w:rsid w:val="35202DC8"/>
    <w:rsid w:val="373C7643"/>
    <w:rsid w:val="38180BB7"/>
    <w:rsid w:val="3862721B"/>
    <w:rsid w:val="394664CE"/>
    <w:rsid w:val="3A6B1F59"/>
    <w:rsid w:val="3B9A0713"/>
    <w:rsid w:val="3C5C711F"/>
    <w:rsid w:val="3CF21A10"/>
    <w:rsid w:val="3E875113"/>
    <w:rsid w:val="3EA177D5"/>
    <w:rsid w:val="3EA17887"/>
    <w:rsid w:val="3EF23B8C"/>
    <w:rsid w:val="40C55986"/>
    <w:rsid w:val="4110244E"/>
    <w:rsid w:val="41290704"/>
    <w:rsid w:val="413B5CBF"/>
    <w:rsid w:val="419E58AE"/>
    <w:rsid w:val="41EC02FE"/>
    <w:rsid w:val="42905C19"/>
    <w:rsid w:val="429275C4"/>
    <w:rsid w:val="42B71D3F"/>
    <w:rsid w:val="42FA5B31"/>
    <w:rsid w:val="43EA2ABB"/>
    <w:rsid w:val="441E46B2"/>
    <w:rsid w:val="444D6BD8"/>
    <w:rsid w:val="449D46CC"/>
    <w:rsid w:val="45415CBB"/>
    <w:rsid w:val="463352C3"/>
    <w:rsid w:val="465E7D59"/>
    <w:rsid w:val="467B6B5D"/>
    <w:rsid w:val="471E7C15"/>
    <w:rsid w:val="478832E0"/>
    <w:rsid w:val="47EE0084"/>
    <w:rsid w:val="48BA473B"/>
    <w:rsid w:val="4982363A"/>
    <w:rsid w:val="49866617"/>
    <w:rsid w:val="49E553E4"/>
    <w:rsid w:val="4A4462D6"/>
    <w:rsid w:val="4B6B20D2"/>
    <w:rsid w:val="4BB77705"/>
    <w:rsid w:val="4C306680"/>
    <w:rsid w:val="4C7A325C"/>
    <w:rsid w:val="4D26247E"/>
    <w:rsid w:val="4D6B60EF"/>
    <w:rsid w:val="4D9F3131"/>
    <w:rsid w:val="4DD83A9A"/>
    <w:rsid w:val="4DDA69FA"/>
    <w:rsid w:val="4DFA64E0"/>
    <w:rsid w:val="4E7072E8"/>
    <w:rsid w:val="4EC5761F"/>
    <w:rsid w:val="4F6D7A11"/>
    <w:rsid w:val="500748D6"/>
    <w:rsid w:val="519A67CE"/>
    <w:rsid w:val="535569D5"/>
    <w:rsid w:val="537D751F"/>
    <w:rsid w:val="53941781"/>
    <w:rsid w:val="54617D5D"/>
    <w:rsid w:val="55AC6D33"/>
    <w:rsid w:val="56126C00"/>
    <w:rsid w:val="56BE114E"/>
    <w:rsid w:val="56FE7282"/>
    <w:rsid w:val="578A4BF7"/>
    <w:rsid w:val="587578B0"/>
    <w:rsid w:val="587A6CBA"/>
    <w:rsid w:val="58947BD6"/>
    <w:rsid w:val="59446A2C"/>
    <w:rsid w:val="59A57E04"/>
    <w:rsid w:val="59B419C2"/>
    <w:rsid w:val="5A296BA4"/>
    <w:rsid w:val="5A450E3E"/>
    <w:rsid w:val="5AB23E3D"/>
    <w:rsid w:val="5B4D5442"/>
    <w:rsid w:val="5BA109BC"/>
    <w:rsid w:val="5BD42877"/>
    <w:rsid w:val="5C59610A"/>
    <w:rsid w:val="5D760A36"/>
    <w:rsid w:val="5D7C5FFB"/>
    <w:rsid w:val="5DEF5A0F"/>
    <w:rsid w:val="5EAC5CC5"/>
    <w:rsid w:val="5EFF6126"/>
    <w:rsid w:val="63602910"/>
    <w:rsid w:val="63ED2718"/>
    <w:rsid w:val="649906BA"/>
    <w:rsid w:val="64BE4B90"/>
    <w:rsid w:val="65332714"/>
    <w:rsid w:val="654B66B5"/>
    <w:rsid w:val="66176455"/>
    <w:rsid w:val="66FE7AAE"/>
    <w:rsid w:val="67441544"/>
    <w:rsid w:val="679821A1"/>
    <w:rsid w:val="6819075E"/>
    <w:rsid w:val="683454CC"/>
    <w:rsid w:val="68CD66A1"/>
    <w:rsid w:val="68F448A4"/>
    <w:rsid w:val="69A434BC"/>
    <w:rsid w:val="69E15C01"/>
    <w:rsid w:val="6A475243"/>
    <w:rsid w:val="6A4E1D0F"/>
    <w:rsid w:val="6A871E73"/>
    <w:rsid w:val="6AC41FD2"/>
    <w:rsid w:val="6B6A0DCB"/>
    <w:rsid w:val="6B9524B0"/>
    <w:rsid w:val="6C3A69EF"/>
    <w:rsid w:val="6DA85BDA"/>
    <w:rsid w:val="6DF42BCE"/>
    <w:rsid w:val="6E0A5675"/>
    <w:rsid w:val="6E413283"/>
    <w:rsid w:val="6E657628"/>
    <w:rsid w:val="70205AFA"/>
    <w:rsid w:val="70CA62C3"/>
    <w:rsid w:val="70E14B9A"/>
    <w:rsid w:val="71DB7118"/>
    <w:rsid w:val="71FF234A"/>
    <w:rsid w:val="72D51220"/>
    <w:rsid w:val="730D7B36"/>
    <w:rsid w:val="73CF576E"/>
    <w:rsid w:val="75B9544D"/>
    <w:rsid w:val="762B79C6"/>
    <w:rsid w:val="76627434"/>
    <w:rsid w:val="7674027F"/>
    <w:rsid w:val="77642B72"/>
    <w:rsid w:val="779C2014"/>
    <w:rsid w:val="78827261"/>
    <w:rsid w:val="78873633"/>
    <w:rsid w:val="794F17A7"/>
    <w:rsid w:val="79C96B07"/>
    <w:rsid w:val="7A3666DA"/>
    <w:rsid w:val="7AA77CA3"/>
    <w:rsid w:val="7B620D79"/>
    <w:rsid w:val="7B8C3D78"/>
    <w:rsid w:val="7CBE5ECC"/>
    <w:rsid w:val="7DB706D4"/>
    <w:rsid w:val="7E7C5BB6"/>
    <w:rsid w:val="7EDC1B88"/>
    <w:rsid w:val="7F0E44B9"/>
    <w:rsid w:val="7F2D0D90"/>
    <w:rsid w:val="7F631454"/>
    <w:rsid w:val="7F761695"/>
    <w:rsid w:val="7FE078B6"/>
    <w:rsid w:val="DF3FB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3" w:firstLineChars="20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_Style 5"/>
    <w:qFormat/>
    <w:uiPriority w:val="0"/>
    <w:pPr>
      <w:widowControl w:val="0"/>
      <w:ind w:firstLine="200" w:firstLineChars="200"/>
      <w:jc w:val="both"/>
    </w:pPr>
    <w:rPr>
      <w:rFonts w:ascii="Calibri" w:hAnsi="Calibri" w:eastAsiaTheme="minorEastAsia" w:cstheme="minorBidi"/>
      <w:kern w:val="2"/>
      <w:sz w:val="24"/>
      <w:szCs w:val="22"/>
      <w:lang w:val="en-US" w:eastAsia="zh-CN" w:bidi="ar-SA"/>
    </w:rPr>
  </w:style>
  <w:style w:type="paragraph" w:customStyle="1" w:styleId="14">
    <w:name w:val="Table Text"/>
    <w:basedOn w:val="1"/>
    <w:semiHidden/>
    <w:qFormat/>
    <w:uiPriority w:val="0"/>
    <w:rPr>
      <w:rFonts w:ascii="宋体" w:hAnsi="宋体" w:eastAsia="宋体" w:cs="宋体"/>
      <w:sz w:val="22"/>
      <w:szCs w:val="22"/>
      <w:lang w:val="en-US" w:eastAsia="en-US" w:bidi="ar-SA"/>
    </w:rPr>
  </w:style>
  <w:style w:type="table" w:customStyle="1" w:styleId="15">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6859</Words>
  <Characters>7759</Characters>
  <Lines>0</Lines>
  <Paragraphs>0</Paragraphs>
  <TotalTime>0</TotalTime>
  <ScaleCrop>false</ScaleCrop>
  <LinksUpToDate>false</LinksUpToDate>
  <CharactersWithSpaces>7869</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2025-05-27T03:41:00Z</dcterms:created>
  <dc:creator>夏桂香</dc:creator>
  <cp:lastModifiedBy>谢灵娇</cp:lastModifiedBy>
  <dcterms:modified xsi:type="dcterms:W3CDTF">2026-04-09T02:50:16Z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8895A03B07444769A2FD39DE89A306E6_13</vt:lpwstr>
  </property>
  <property fmtid="{D5CDD505-2E9C-101B-9397-08002B2CF9AE}" pid="4" name="KSOTemplateDocerSaveRecord">
    <vt:lpwstr>eyJoZGlkIjoiNTc3YjllOGNjMzg1YWZjMzdmNGNlZjEzMDgyNDNjYmEiLCJ1c2VySWQiOiI0MjkyMjU5ODcifQ==</vt:lpwstr>
  </property>
</Properties>
</file>