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9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leftChars="0" w:right="0" w:rightChars="0" w:firstLine="0" w:firstLineChars="0"/>
        <w:jc w:val="center"/>
        <w:outlineLvl w:val="9"/>
        <w:rPr>
          <w:rFonts w:hint="eastAsia" w:ascii="Times New Roman" w:hAnsi="Times New Roman" w:eastAsia="仿宋_GB2312" w:cs="仿宋_GB2312"/>
          <w:color w:val="auto"/>
          <w:kern w:val="2"/>
          <w:sz w:val="32"/>
          <w:highlight w:val="none"/>
          <w:lang w:val="en-US" w:eastAsia="zh-CN"/>
        </w:rPr>
      </w:pPr>
      <w:bookmarkStart w:id="0" w:name="_Toc20310"/>
      <w:bookmarkStart w:id="1" w:name="_Toc7988"/>
    </w:p>
    <w:p>
      <w:pPr>
        <w:pStyle w:val="29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leftChars="0" w:right="0" w:rightChars="0" w:firstLine="0" w:firstLineChars="0"/>
        <w:jc w:val="center"/>
        <w:outlineLvl w:val="9"/>
        <w:rPr>
          <w:rFonts w:hint="default" w:ascii="Times New Roman" w:hAnsi="Times New Roman" w:eastAsia="仿宋_GB2312" w:cs="仿宋_GB2312"/>
          <w:color w:val="auto"/>
          <w:kern w:val="2"/>
          <w:sz w:val="32"/>
          <w:highlight w:val="none"/>
          <w:lang w:val="en-US" w:eastAsia="zh-CN"/>
        </w:rPr>
      </w:pPr>
    </w:p>
    <w:p>
      <w:pPr>
        <w:pStyle w:val="29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leftChars="0" w:right="0" w:rightChars="0" w:firstLine="0" w:firstLineChars="0"/>
        <w:jc w:val="center"/>
        <w:outlineLvl w:val="9"/>
        <w:rPr>
          <w:rFonts w:hint="default" w:ascii="Times New Roman" w:hAnsi="Times New Roman" w:eastAsia="仿宋_GB2312" w:cs="仿宋_GB2312"/>
          <w:color w:val="auto"/>
          <w:kern w:val="2"/>
          <w:sz w:val="32"/>
          <w:highlight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700" w:lineRule="exact"/>
        <w:ind w:left="0" w:leftChars="0" w:firstLine="0" w:firstLineChars="0"/>
        <w:jc w:val="center"/>
        <w:textAlignment w:val="auto"/>
        <w:outlineLvl w:val="9"/>
        <w:rPr>
          <w:rFonts w:hint="eastAsia" w:ascii="方正小标宋简体" w:hAnsi="宋体" w:eastAsia="方正小标宋简体" w:cs="Times New Roman"/>
          <w:sz w:val="44"/>
          <w:szCs w:val="44"/>
          <w:lang w:val="en-US" w:eastAsia="zh-CN"/>
        </w:rPr>
      </w:pPr>
      <w:r>
        <w:rPr>
          <w:rFonts w:hint="eastAsia" w:ascii="方正小标宋简体" w:hAnsi="宋体" w:eastAsia="方正小标宋简体" w:cs="Times New Roman"/>
          <w:sz w:val="44"/>
          <w:szCs w:val="44"/>
          <w:lang w:val="en-US" w:eastAsia="zh-CN"/>
        </w:rPr>
        <w:t>韶关市2024年全市科技计划项目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700" w:lineRule="exact"/>
        <w:ind w:left="0" w:leftChars="0" w:firstLine="0" w:firstLineChars="0"/>
        <w:jc w:val="center"/>
        <w:textAlignment w:val="auto"/>
        <w:outlineLvl w:val="9"/>
        <w:rPr>
          <w:rFonts w:hint="default" w:ascii="方正小标宋简体" w:hAnsi="宋体" w:eastAsia="方正小标宋简体" w:cs="Times New Roman"/>
          <w:sz w:val="44"/>
          <w:szCs w:val="44"/>
          <w:lang w:val="en-US" w:eastAsia="zh-CN"/>
        </w:rPr>
      </w:pPr>
      <w:r>
        <w:rPr>
          <w:rFonts w:hint="eastAsia" w:ascii="方正小标宋简体" w:hAnsi="宋体" w:eastAsia="方正小标宋简体" w:cs="Times New Roman"/>
          <w:sz w:val="44"/>
          <w:szCs w:val="44"/>
          <w:lang w:val="en-US" w:eastAsia="zh-CN"/>
        </w:rPr>
        <w:t>重点绩效评价报告</w:t>
      </w:r>
    </w:p>
    <w:p>
      <w:pPr>
        <w:pStyle w:val="29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leftChars="0" w:right="0" w:rightChars="0" w:firstLine="0" w:firstLineChars="0"/>
        <w:jc w:val="center"/>
        <w:outlineLvl w:val="9"/>
        <w:rPr>
          <w:rFonts w:hint="default" w:ascii="Times New Roman" w:hAnsi="Times New Roman" w:eastAsia="仿宋_GB2312" w:cs="仿宋_GB2312"/>
          <w:color w:val="auto"/>
          <w:kern w:val="2"/>
          <w:sz w:val="32"/>
          <w:highlight w:val="none"/>
          <w:lang w:val="en-US" w:eastAsia="zh-CN"/>
        </w:rPr>
      </w:pPr>
    </w:p>
    <w:p>
      <w:pPr>
        <w:pStyle w:val="29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leftChars="0" w:right="0" w:rightChars="0" w:firstLine="0" w:firstLineChars="0"/>
        <w:jc w:val="center"/>
        <w:outlineLvl w:val="9"/>
        <w:rPr>
          <w:rFonts w:hint="default" w:ascii="Times New Roman" w:hAnsi="Times New Roman" w:eastAsia="仿宋_GB2312" w:cs="仿宋_GB2312"/>
          <w:color w:val="auto"/>
          <w:kern w:val="2"/>
          <w:sz w:val="32"/>
          <w:highlight w:val="none"/>
          <w:lang w:val="en-US" w:eastAsia="zh-CN"/>
        </w:rPr>
      </w:pPr>
    </w:p>
    <w:p>
      <w:pPr>
        <w:pStyle w:val="29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leftChars="0" w:right="0" w:rightChars="0" w:firstLine="0" w:firstLineChars="0"/>
        <w:jc w:val="center"/>
        <w:outlineLvl w:val="9"/>
        <w:rPr>
          <w:rFonts w:hint="default" w:ascii="Times New Roman" w:hAnsi="Times New Roman" w:eastAsia="仿宋_GB2312" w:cs="仿宋_GB2312"/>
          <w:color w:val="auto"/>
          <w:kern w:val="2"/>
          <w:sz w:val="32"/>
          <w:highlight w:val="none"/>
          <w:lang w:val="en-US" w:eastAsia="zh-CN"/>
        </w:rPr>
      </w:pPr>
    </w:p>
    <w:p>
      <w:pPr>
        <w:pStyle w:val="29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leftChars="0" w:right="0" w:rightChars="0" w:firstLine="0" w:firstLineChars="0"/>
        <w:jc w:val="center"/>
        <w:outlineLvl w:val="9"/>
        <w:rPr>
          <w:rFonts w:hint="default" w:ascii="Times New Roman" w:hAnsi="Times New Roman" w:eastAsia="仿宋_GB2312" w:cs="仿宋_GB2312"/>
          <w:color w:val="auto"/>
          <w:kern w:val="2"/>
          <w:sz w:val="32"/>
          <w:highlight w:val="none"/>
          <w:lang w:val="en-US" w:eastAsia="zh-CN"/>
        </w:rPr>
      </w:pPr>
    </w:p>
    <w:p>
      <w:pPr>
        <w:pStyle w:val="29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leftChars="0" w:right="0" w:rightChars="0" w:firstLine="0" w:firstLineChars="0"/>
        <w:jc w:val="center"/>
        <w:outlineLvl w:val="9"/>
        <w:rPr>
          <w:rFonts w:hint="default" w:ascii="Times New Roman" w:hAnsi="Times New Roman" w:eastAsia="仿宋_GB2312" w:cs="仿宋_GB2312"/>
          <w:color w:val="auto"/>
          <w:kern w:val="2"/>
          <w:sz w:val="32"/>
          <w:highlight w:val="none"/>
          <w:lang w:val="en-US" w:eastAsia="zh-CN"/>
        </w:rPr>
      </w:pPr>
    </w:p>
    <w:p>
      <w:pPr>
        <w:pStyle w:val="29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leftChars="0" w:right="0" w:rightChars="0" w:firstLine="0" w:firstLineChars="0"/>
        <w:jc w:val="center"/>
        <w:outlineLvl w:val="9"/>
        <w:rPr>
          <w:rFonts w:hint="default" w:ascii="Times New Roman" w:hAnsi="Times New Roman" w:eastAsia="仿宋_GB2312" w:cs="仿宋_GB2312"/>
          <w:color w:val="auto"/>
          <w:kern w:val="2"/>
          <w:sz w:val="32"/>
          <w:highlight w:val="none"/>
          <w:lang w:val="en-US" w:eastAsia="zh-CN"/>
        </w:rPr>
      </w:pPr>
    </w:p>
    <w:p>
      <w:pPr>
        <w:pStyle w:val="29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leftChars="0" w:right="0" w:rightChars="0" w:firstLine="0" w:firstLineChars="0"/>
        <w:jc w:val="center"/>
        <w:outlineLvl w:val="9"/>
        <w:rPr>
          <w:rFonts w:hint="default" w:ascii="Times New Roman" w:hAnsi="Times New Roman" w:eastAsia="仿宋_GB2312" w:cs="仿宋_GB2312"/>
          <w:color w:val="auto"/>
          <w:kern w:val="2"/>
          <w:sz w:val="32"/>
          <w:highlight w:val="none"/>
          <w:lang w:val="en-US" w:eastAsia="zh-CN"/>
        </w:rPr>
      </w:pPr>
    </w:p>
    <w:p>
      <w:pPr>
        <w:pStyle w:val="29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leftChars="0" w:right="0" w:rightChars="0" w:firstLine="0" w:firstLineChars="0"/>
        <w:jc w:val="center"/>
        <w:outlineLvl w:val="9"/>
        <w:rPr>
          <w:rFonts w:hint="default" w:ascii="Times New Roman" w:hAnsi="Times New Roman" w:eastAsia="仿宋_GB2312" w:cs="仿宋_GB2312"/>
          <w:color w:val="auto"/>
          <w:kern w:val="2"/>
          <w:sz w:val="32"/>
          <w:highlight w:val="none"/>
          <w:lang w:val="en-US" w:eastAsia="zh-CN"/>
        </w:rPr>
      </w:pPr>
    </w:p>
    <w:p>
      <w:pPr>
        <w:pStyle w:val="29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leftChars="0" w:right="0" w:rightChars="0" w:firstLine="0" w:firstLineChars="0"/>
        <w:jc w:val="center"/>
        <w:outlineLvl w:val="9"/>
        <w:rPr>
          <w:rFonts w:hint="default" w:ascii="Times New Roman" w:hAnsi="Times New Roman" w:eastAsia="仿宋_GB2312" w:cs="仿宋_GB2312"/>
          <w:color w:val="auto"/>
          <w:kern w:val="2"/>
          <w:sz w:val="32"/>
          <w:highlight w:val="none"/>
          <w:lang w:val="en-US" w:eastAsia="zh-CN"/>
        </w:rPr>
      </w:pPr>
    </w:p>
    <w:p>
      <w:pPr>
        <w:pStyle w:val="29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leftChars="0" w:right="0" w:rightChars="0" w:firstLine="0" w:firstLineChars="0"/>
        <w:jc w:val="center"/>
        <w:outlineLvl w:val="9"/>
        <w:rPr>
          <w:rFonts w:hint="default" w:ascii="Times New Roman" w:hAnsi="Times New Roman" w:eastAsia="仿宋_GB2312" w:cs="仿宋_GB2312"/>
          <w:color w:val="auto"/>
          <w:kern w:val="2"/>
          <w:sz w:val="32"/>
          <w:highlight w:val="none"/>
          <w:lang w:val="en-US" w:eastAsia="zh-CN"/>
        </w:rPr>
      </w:pPr>
    </w:p>
    <w:p>
      <w:pPr>
        <w:pStyle w:val="29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leftChars="0" w:right="0" w:rightChars="0" w:firstLine="0" w:firstLineChars="0"/>
        <w:jc w:val="center"/>
        <w:outlineLvl w:val="9"/>
        <w:rPr>
          <w:rFonts w:hint="default" w:ascii="Times New Roman" w:hAnsi="Times New Roman" w:eastAsia="仿宋_GB2312" w:cs="仿宋_GB2312"/>
          <w:color w:val="auto"/>
          <w:kern w:val="2"/>
          <w:sz w:val="32"/>
          <w:highlight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1050" w:leftChars="500" w:right="0" w:rightChars="0" w:firstLine="0" w:firstLineChars="0"/>
        <w:jc w:val="left"/>
        <w:textAlignment w:val="auto"/>
        <w:rPr>
          <w:rFonts w:hint="default" w:ascii="宋体" w:hAnsi="宋体" w:cs="宋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宋体" w:hAnsi="宋体" w:cs="宋体"/>
          <w:b w:val="0"/>
          <w:bCs w:val="0"/>
          <w:spacing w:val="53"/>
          <w:kern w:val="0"/>
          <w:sz w:val="32"/>
          <w:szCs w:val="32"/>
          <w:fitText w:val="1600" w:id="0"/>
          <w:lang w:val="en-US" w:eastAsia="zh-CN"/>
        </w:rPr>
        <w:t>评价机</w:t>
      </w:r>
      <w:r>
        <w:rPr>
          <w:rFonts w:hint="eastAsia" w:ascii="宋体" w:hAnsi="宋体" w:cs="宋体"/>
          <w:b w:val="0"/>
          <w:bCs w:val="0"/>
          <w:spacing w:val="1"/>
          <w:kern w:val="0"/>
          <w:sz w:val="32"/>
          <w:szCs w:val="32"/>
          <w:fitText w:val="1600" w:id="0"/>
          <w:lang w:val="en-US" w:eastAsia="zh-CN"/>
        </w:rPr>
        <w:t>构</w:t>
      </w:r>
      <w:r>
        <w:rPr>
          <w:rFonts w:hint="eastAsia" w:ascii="宋体" w:hAnsi="宋体" w:cs="宋体"/>
          <w:b w:val="0"/>
          <w:bCs w:val="0"/>
          <w:sz w:val="32"/>
          <w:szCs w:val="32"/>
          <w:lang w:val="en-US" w:eastAsia="zh-CN"/>
        </w:rPr>
        <w:t>：上海元方智库公共管理咨询有限公司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1050" w:leftChars="500" w:right="0" w:rightChars="0" w:firstLine="0" w:firstLineChars="0"/>
        <w:jc w:val="left"/>
        <w:textAlignment w:val="auto"/>
        <w:rPr>
          <w:rFonts w:hint="eastAsia" w:ascii="宋体" w:hAnsi="宋体" w:eastAsia="宋体" w:cs="宋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pacing w:val="480"/>
          <w:kern w:val="0"/>
          <w:sz w:val="32"/>
          <w:szCs w:val="32"/>
          <w:fitText w:val="1600" w:id="1"/>
          <w:lang w:val="en-US" w:eastAsia="zh-CN"/>
        </w:rPr>
        <w:t>日</w:t>
      </w:r>
      <w:r>
        <w:rPr>
          <w:rFonts w:hint="eastAsia" w:ascii="宋体" w:hAnsi="宋体" w:eastAsia="宋体" w:cs="宋体"/>
          <w:b w:val="0"/>
          <w:bCs w:val="0"/>
          <w:spacing w:val="0"/>
          <w:kern w:val="0"/>
          <w:sz w:val="32"/>
          <w:szCs w:val="32"/>
          <w:fitText w:val="1600" w:id="1"/>
          <w:lang w:val="en-US" w:eastAsia="zh-CN"/>
        </w:rPr>
        <w:t>期</w:t>
      </w:r>
      <w:r>
        <w:rPr>
          <w:rFonts w:hint="eastAsia" w:ascii="宋体" w:hAnsi="宋体" w:eastAsia="宋体" w:cs="宋体"/>
          <w:b w:val="0"/>
          <w:bCs w:val="0"/>
          <w:sz w:val="32"/>
          <w:szCs w:val="32"/>
          <w:lang w:val="en-US" w:eastAsia="zh-CN"/>
        </w:rPr>
        <w:t>：</w:t>
      </w:r>
      <w:r>
        <w:rPr>
          <w:rFonts w:hint="default" w:ascii="Times New Roman" w:hAnsi="Times New Roman" w:eastAsia="宋体" w:cs="Times New Roman"/>
          <w:b w:val="0"/>
          <w:bCs w:val="0"/>
          <w:sz w:val="32"/>
          <w:szCs w:val="32"/>
          <w:lang w:val="en-US" w:eastAsia="zh-CN"/>
        </w:rPr>
        <w:t>202</w:t>
      </w:r>
      <w:r>
        <w:rPr>
          <w:rFonts w:hint="eastAsia" w:ascii="Times New Roman" w:hAnsi="Times New Roman" w:eastAsia="宋体" w:cs="Times New Roman"/>
          <w:b w:val="0"/>
          <w:bCs w:val="0"/>
          <w:sz w:val="32"/>
          <w:szCs w:val="32"/>
          <w:lang w:val="en-US" w:eastAsia="zh-CN"/>
        </w:rPr>
        <w:t>5</w:t>
      </w:r>
      <w:r>
        <w:rPr>
          <w:rFonts w:hint="default" w:ascii="Times New Roman" w:hAnsi="Times New Roman" w:eastAsia="宋体" w:cs="Times New Roman"/>
          <w:b w:val="0"/>
          <w:bCs w:val="0"/>
          <w:sz w:val="32"/>
          <w:szCs w:val="32"/>
          <w:lang w:val="en-US" w:eastAsia="zh-CN"/>
        </w:rPr>
        <w:t>年1</w:t>
      </w:r>
      <w:r>
        <w:rPr>
          <w:rFonts w:hint="eastAsia" w:ascii="Times New Roman" w:hAnsi="Times New Roman" w:eastAsia="宋体" w:cs="Times New Roman"/>
          <w:b w:val="0"/>
          <w:bCs w:val="0"/>
          <w:sz w:val="32"/>
          <w:szCs w:val="32"/>
          <w:lang w:val="en-US" w:eastAsia="zh"/>
        </w:rPr>
        <w:t>1</w:t>
      </w:r>
      <w:r>
        <w:rPr>
          <w:rFonts w:hint="default" w:ascii="Times New Roman" w:hAnsi="Times New Roman" w:eastAsia="宋体" w:cs="Times New Roman"/>
          <w:b w:val="0"/>
          <w:bCs w:val="0"/>
          <w:sz w:val="32"/>
          <w:szCs w:val="32"/>
          <w:lang w:val="en-US" w:eastAsia="zh-CN"/>
        </w:rPr>
        <w:t>月</w:t>
      </w:r>
    </w:p>
    <w:p>
      <w:pPr>
        <w:keepNext/>
        <w:keepLines/>
        <w:adjustRightInd w:val="0"/>
        <w:ind w:firstLine="0" w:firstLineChars="0"/>
        <w:jc w:val="both"/>
        <w:outlineLvl w:val="9"/>
        <w:rPr>
          <w:rFonts w:hint="default" w:ascii="方正小标宋简体" w:hAnsi="方正小标宋简体" w:eastAsia="方正小标宋简体" w:cs="方正小标宋简体"/>
          <w:b w:val="0"/>
          <w:bCs/>
          <w:kern w:val="44"/>
          <w:sz w:val="32"/>
          <w:szCs w:val="32"/>
          <w:lang w:val="en-US" w:eastAsia="zh-CN"/>
        </w:rPr>
        <w:sectPr>
          <w:pgSz w:w="11906" w:h="16838"/>
          <w:pgMar w:top="2098" w:right="1474" w:bottom="1984" w:left="1587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decimal"/>
          <w:cols w:space="425" w:num="1"/>
          <w:docGrid w:type="lines" w:linePitch="312" w:charSpace="0"/>
        </w:sectPr>
      </w:pPr>
      <w:r>
        <w:rPr>
          <w:rFonts w:hint="eastAsia" w:ascii="方正小标宋简体" w:hAnsi="方正小标宋简体" w:eastAsia="方正小标宋简体" w:cs="方正小标宋简体"/>
          <w:b w:val="0"/>
          <w:bCs/>
          <w:kern w:val="44"/>
          <w:sz w:val="32"/>
          <w:szCs w:val="32"/>
          <w:lang w:val="en-US" w:eastAsia="zh-CN"/>
        </w:rPr>
        <w:t xml:space="preserve"> </w:t>
      </w:r>
    </w:p>
    <w:p>
      <w:pPr>
        <w:pStyle w:val="29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leftChars="0" w:firstLine="640" w:firstLineChars="200"/>
        <w:outlineLvl w:val="9"/>
        <w:rPr>
          <w:rFonts w:hint="eastAsia" w:ascii="Times New Roman" w:hAnsi="Times New Roman" w:eastAsia="仿宋_GB2312" w:cs="仿宋_GB2312"/>
          <w:color w:val="auto"/>
          <w:kern w:val="2"/>
          <w:sz w:val="32"/>
          <w:highlight w:val="none"/>
          <w:lang w:val="en-US" w:eastAsia="zh-CN"/>
        </w:rPr>
      </w:pPr>
      <w:r>
        <w:rPr>
          <w:rFonts w:hint="eastAsia" w:ascii="Times New Roman" w:hAnsi="Times New Roman" w:eastAsia="仿宋_GB2312" w:cs="仿宋_GB2312"/>
          <w:color w:val="auto"/>
          <w:kern w:val="2"/>
          <w:sz w:val="32"/>
          <w:highlight w:val="none"/>
          <w:lang w:val="en-US" w:eastAsia="zh-CN"/>
        </w:rPr>
        <w:t>受韶关市财政局委托，上海元方智库公共管理咨询有限公司组成绩效评价工作组，对韶关市2024年全市科技计划项目资金使用情况开展了重点绩效评价。本次评价基准日为2024年12月31日。根据现有评价材料，结合书面评价、现场座谈及实地勘验情况，韶关市2024年全市科技计划项目资金绩效得分为84.64分，评价等级为“良”。</w:t>
      </w:r>
    </w:p>
    <w:p>
      <w:pPr>
        <w:pStyle w:val="29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/>
        <w:outlineLvl w:val="9"/>
        <w:rPr>
          <w:rFonts w:hint="default" w:ascii="Times New Roman" w:hAnsi="Times New Roman" w:eastAsia="仿宋_GB2312" w:cs="Times New Roman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韶关市下达</w:t>
      </w:r>
      <w:r>
        <w:rPr>
          <w:rFonts w:hint="default" w:ascii="Times New Roman" w:hAnsi="Times New Roman" w:eastAsia="仿宋_GB2312" w:cs="Times New Roman"/>
          <w:color w:val="auto"/>
          <w:kern w:val="2"/>
          <w:sz w:val="32"/>
          <w:highlight w:val="none"/>
          <w:lang w:val="en-US" w:eastAsia="zh-CN"/>
        </w:rPr>
        <w:t>2024年全市科技计划项目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（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以下简称“科技计划项目”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）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共5,000.00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万元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，</w:t>
      </w:r>
      <w:r>
        <w:rPr>
          <w:rFonts w:hint="default" w:ascii="Times New Roman" w:hAnsi="Times New Roman" w:eastAsia="仿宋_GB2312" w:cs="Times New Roman"/>
          <w:color w:val="auto"/>
          <w:kern w:val="2"/>
          <w:sz w:val="32"/>
          <w:highlight w:val="none"/>
          <w:lang w:val="en-US" w:eastAsia="zh-CN"/>
        </w:rPr>
        <w:t>资金主管单位为韶关市科学技术局。资金主要支持</w:t>
      </w:r>
      <w:r>
        <w:rPr>
          <w:rFonts w:hint="default" w:ascii="Times New Roman" w:hAnsi="Times New Roman" w:eastAsia="仿宋_GB2312" w:cs="Times New Roman"/>
          <w:i w:val="0"/>
          <w:caps w:val="0"/>
          <w:color w:val="auto"/>
          <w:spacing w:val="0"/>
          <w:kern w:val="0"/>
          <w:sz w:val="32"/>
          <w:szCs w:val="32"/>
          <w:highlight w:val="none"/>
          <w:shd w:val="clear" w:color="auto" w:fill="FFFFFF"/>
          <w:lang w:val="en-US" w:eastAsia="zh-CN" w:bidi="ar"/>
        </w:rPr>
        <w:t>研究院建设、创新平台奖补、科技信贷风险准备金业务费、高新技术企业认定奖补、高新技术企业申报奖补、科技创新普及项目、科技创新资源引进项目、项目管理费</w:t>
      </w:r>
      <w:r>
        <w:rPr>
          <w:rFonts w:hint="default" w:ascii="Times New Roman" w:hAnsi="Times New Roman" w:eastAsia="仿宋_GB2312" w:cs="Times New Roman"/>
          <w:color w:val="auto"/>
          <w:kern w:val="2"/>
          <w:sz w:val="32"/>
          <w:highlight w:val="none"/>
          <w:lang w:val="en-US" w:eastAsia="zh-CN"/>
        </w:rPr>
        <w:t>等方向。对7家签约研究院开展2023年绩效考核，其中3家符合奖补条件，按程序办理资金拨付。根据2023年</w:t>
      </w:r>
      <w:r>
        <w:rPr>
          <w:rFonts w:hint="default" w:ascii="Times New Roman" w:hAnsi="Times New Roman" w:eastAsia="仿宋_GB2312" w:cs="Times New Roman"/>
          <w:i w:val="0"/>
          <w:caps w:val="0"/>
          <w:color w:val="auto"/>
          <w:spacing w:val="0"/>
          <w:kern w:val="0"/>
          <w:sz w:val="32"/>
          <w:szCs w:val="32"/>
          <w:highlight w:val="none"/>
          <w:shd w:val="clear" w:color="auto" w:fill="FFFFFF"/>
          <w:lang w:val="en-US" w:eastAsia="zh-CN" w:bidi="ar"/>
        </w:rPr>
        <w:t>省、市企业工程技术研究中心评定结果，办理创新平台奖补资金拨付；省级工程技术研究中心增长至124家，总量</w:t>
      </w:r>
      <w:r>
        <w:rPr>
          <w:rFonts w:hint="eastAsia" w:ascii="Times New Roman" w:hAnsi="Times New Roman" w:eastAsia="仿宋_GB2312" w:cs="Times New Roman"/>
          <w:i w:val="0"/>
          <w:caps w:val="0"/>
          <w:color w:val="auto"/>
          <w:spacing w:val="0"/>
          <w:kern w:val="0"/>
          <w:sz w:val="32"/>
          <w:szCs w:val="32"/>
          <w:highlight w:val="none"/>
          <w:shd w:val="clear" w:color="auto" w:fill="FFFFFF"/>
          <w:lang w:val="en-US" w:eastAsia="zh-CN" w:bidi="ar"/>
        </w:rPr>
        <w:t>居</w:t>
      </w:r>
      <w:r>
        <w:rPr>
          <w:rFonts w:hint="default" w:ascii="Times New Roman" w:hAnsi="Times New Roman" w:eastAsia="仿宋_GB2312" w:cs="Times New Roman"/>
          <w:i w:val="0"/>
          <w:caps w:val="0"/>
          <w:color w:val="auto"/>
          <w:spacing w:val="0"/>
          <w:kern w:val="0"/>
          <w:sz w:val="32"/>
          <w:szCs w:val="32"/>
          <w:highlight w:val="none"/>
          <w:shd w:val="clear" w:color="auto" w:fill="FFFFFF"/>
          <w:lang w:val="en-US" w:eastAsia="zh-CN" w:bidi="ar"/>
        </w:rPr>
        <w:t>粤东西北第3位。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sz w:val="32"/>
          <w:szCs w:val="32"/>
          <w:lang w:val="en-US" w:eastAsia="zh-CN"/>
        </w:rPr>
        <w:t>科技信贷健康运行，未发生不良贷款，撬动银行信贷投放10.13亿元，成果入选省科技金融典型案例。对符合高新技术企业申报、认定奖补条件的企业进行公示，按程序办理奖补，高新技术企业数量2024年内稳步增长至44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sz w:val="32"/>
          <w:szCs w:val="32"/>
          <w:lang w:val="en-US" w:eastAsia="zh-CN"/>
        </w:rPr>
        <w:t>6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sz w:val="32"/>
          <w:szCs w:val="32"/>
          <w:lang w:val="en-US" w:eastAsia="zh-CN"/>
        </w:rPr>
        <w:t>家。韶关市R&amp;D经费投入与地区生产总值之比、R&amp;D人员全时当量与年度常住人口数量的比值、规上企业研发经费支出占主营业务收入比例等指标近年均稳中有升。</w:t>
      </w:r>
    </w:p>
    <w:p>
      <w:pPr>
        <w:pStyle w:val="29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/>
        <w:outlineLvl w:val="9"/>
        <w:rPr>
          <w:rFonts w:hint="default" w:ascii="Times New Roman" w:hAnsi="Times New Roman" w:eastAsia="仿宋_GB2312" w:cs="仿宋_GB2312"/>
          <w:color w:val="auto"/>
          <w:kern w:val="2"/>
          <w:sz w:val="32"/>
          <w:highlight w:val="none"/>
          <w:lang w:val="en-US" w:eastAsia="zh-CN"/>
        </w:rPr>
      </w:pPr>
      <w:r>
        <w:rPr>
          <w:rFonts w:hint="eastAsia" w:ascii="Times New Roman" w:hAnsi="Times New Roman" w:eastAsia="仿宋_GB2312" w:cs="仿宋_GB2312"/>
          <w:color w:val="auto"/>
          <w:kern w:val="2"/>
          <w:sz w:val="32"/>
          <w:highlight w:val="none"/>
          <w:lang w:val="en-US" w:eastAsia="zh-CN"/>
        </w:rPr>
        <w:t>项目主要存在三个问题：一是制度体系与资金属性匹配不足，管理细则缺位。事前项目与事后奖补项目差异化管理不到位，部分事后奖补资金（如高企认定、创新平台奖补）通过“科技计划项目”名义下达，对事后奖补资金使用规范表述模糊，缺少实施细则，存在执行风险。二是预算申报分配精准度不足，竞争性科研支持弱化。预算编制科学性欠缺，子项目年初预算与实际需求差距大，未参考历史执行情况。竞争性事前项目资金与事后奖补共用总资金盘子，削弱了对具体科研项目的支持。三是实施程序规范性不足，监管效能待提升。部分流程执行失效，如已注销研究院仍列入拟奖补名单、委托服务未约定工作量和计费标准、整改建议缺乏针对性。绩效目标管理粗放，总体目标表述模糊，与实际工作关联度低，与重点工作任务衔接不足。重点项目指标类型不完整；效益指标偏重“动作”而轻视“效果”。</w:t>
      </w:r>
    </w:p>
    <w:p>
      <w:pPr>
        <w:pStyle w:val="29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/>
        <w:outlineLvl w:val="9"/>
        <w:rPr>
          <w:rFonts w:hint="eastAsia" w:ascii="Times New Roman" w:hAnsi="Times New Roman" w:eastAsia="仿宋_GB2312" w:cs="仿宋_GB2312"/>
          <w:color w:val="auto"/>
          <w:kern w:val="2"/>
          <w:sz w:val="32"/>
          <w:highlight w:val="none"/>
          <w:lang w:val="en-US" w:eastAsia="zh-CN"/>
        </w:rPr>
        <w:sectPr>
          <w:pgSz w:w="11906" w:h="16838"/>
          <w:pgMar w:top="2098" w:right="1474" w:bottom="1984" w:left="1587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decimal"/>
          <w:cols w:space="425" w:num="1"/>
          <w:docGrid w:type="lines" w:linePitch="312" w:charSpace="0"/>
        </w:sectPr>
      </w:pPr>
      <w:r>
        <w:rPr>
          <w:rFonts w:hint="eastAsia" w:ascii="Times New Roman" w:hAnsi="Times New Roman" w:eastAsia="仿宋_GB2312" w:cs="仿宋_GB2312"/>
          <w:color w:val="auto"/>
          <w:kern w:val="2"/>
          <w:sz w:val="32"/>
          <w:highlight w:val="none"/>
          <w:lang w:val="en-US" w:eastAsia="zh-CN"/>
        </w:rPr>
        <w:t>针对上述问题，提出如下建议：一是完善制度设计，强化项目分类管理。制定或修订专项管理办法，明确区分事前与事后项目（特别是奖补类）管理要求，细化事后奖补资金使用规范、分档标准、边界情形处理及评分标准，消除制度模糊地带。二是提升预算精准性，优化资金分配结构。加强预算编制科学性，参考历史执行情况和实际需求精准测算，</w:t>
      </w:r>
      <w:r>
        <w:rPr>
          <w:rFonts w:hint="default" w:ascii="Times New Roman" w:hAnsi="Times New Roman" w:eastAsia="仿宋_GB2312" w:cs="仿宋_GB2312"/>
          <w:b w:val="0"/>
          <w:bCs w:val="0"/>
          <w:color w:val="auto"/>
          <w:sz w:val="32"/>
          <w:szCs w:val="22"/>
          <w:highlight w:val="none"/>
          <w:lang w:val="en-US" w:eastAsia="zh-CN"/>
        </w:rPr>
        <w:t>对不具备实施条件、连年结转额度较大、支出进度慢的项目，要</w:t>
      </w:r>
      <w:r>
        <w:rPr>
          <w:rFonts w:hint="eastAsia" w:ascii="Times New Roman" w:hAnsi="Times New Roman" w:eastAsia="仿宋_GB2312" w:cs="仿宋_GB2312"/>
          <w:b w:val="0"/>
          <w:bCs w:val="0"/>
          <w:color w:val="auto"/>
          <w:sz w:val="32"/>
          <w:szCs w:val="22"/>
          <w:highlight w:val="none"/>
          <w:lang w:val="en-US" w:eastAsia="zh-CN"/>
        </w:rPr>
        <w:t>取消</w:t>
      </w:r>
      <w:r>
        <w:rPr>
          <w:rFonts w:hint="default" w:ascii="Times New Roman" w:hAnsi="Times New Roman" w:eastAsia="仿宋_GB2312" w:cs="仿宋_GB2312"/>
          <w:b w:val="0"/>
          <w:bCs w:val="0"/>
          <w:color w:val="auto"/>
          <w:sz w:val="32"/>
          <w:szCs w:val="22"/>
          <w:highlight w:val="none"/>
          <w:lang w:val="en-US" w:eastAsia="zh-CN"/>
        </w:rPr>
        <w:t>申</w:t>
      </w:r>
      <w:r>
        <w:rPr>
          <w:rFonts w:hint="eastAsia" w:ascii="Times New Roman" w:hAnsi="Times New Roman" w:eastAsia="仿宋_GB2312" w:cs="仿宋_GB2312"/>
          <w:b w:val="0"/>
          <w:bCs w:val="0"/>
          <w:color w:val="auto"/>
          <w:sz w:val="32"/>
          <w:szCs w:val="22"/>
          <w:highlight w:val="none"/>
          <w:lang w:val="en-US" w:eastAsia="zh-CN"/>
        </w:rPr>
        <w:t>或减少申请下一年度</w:t>
      </w:r>
      <w:r>
        <w:rPr>
          <w:rFonts w:hint="default" w:ascii="Times New Roman" w:hAnsi="Times New Roman" w:eastAsia="仿宋_GB2312" w:cs="仿宋_GB2312"/>
          <w:b w:val="0"/>
          <w:bCs w:val="0"/>
          <w:color w:val="auto"/>
          <w:sz w:val="32"/>
          <w:szCs w:val="22"/>
          <w:highlight w:val="none"/>
          <w:lang w:val="en-US" w:eastAsia="zh-CN"/>
        </w:rPr>
        <w:t>预算</w:t>
      </w:r>
      <w:r>
        <w:rPr>
          <w:rFonts w:hint="eastAsia" w:ascii="Times New Roman" w:hAnsi="Times New Roman" w:eastAsia="仿宋_GB2312" w:cs="仿宋_GB2312"/>
          <w:b w:val="0"/>
          <w:bCs w:val="0"/>
          <w:color w:val="auto"/>
          <w:sz w:val="32"/>
          <w:szCs w:val="22"/>
          <w:highlight w:val="none"/>
          <w:lang w:val="en-US" w:eastAsia="zh-CN"/>
        </w:rPr>
        <w:t>；</w:t>
      </w:r>
      <w:r>
        <w:rPr>
          <w:rFonts w:hint="eastAsia" w:ascii="Times New Roman" w:hAnsi="Times New Roman" w:eastAsia="仿宋_GB2312" w:cs="仿宋_GB2312"/>
          <w:color w:val="auto"/>
          <w:kern w:val="2"/>
          <w:sz w:val="32"/>
          <w:highlight w:val="none"/>
          <w:lang w:val="en-US" w:eastAsia="zh-CN"/>
        </w:rPr>
        <w:t>优化资金分配机制，给予竞争性事前项目（定向组织前资助）合理保障，确保对具体科研项目和技术攻关合理支持力度，平衡企业主体培育与科研项目引导。三是规范实施流程，加强绩效管理。强化流程执行监督与审核，建立奖补名单复核机制、细化合同提高委托服务约束性、形成考核问题整改闭环。提升绩效目标管理质量，设定清晰、差异化、可衡量的总体目标；为重点项目设置质量、效益等多维度指标；效益指标应聚焦实际效益并关联市级重点任务。</w:t>
      </w:r>
      <w:bookmarkStart w:id="2" w:name="_GoBack"/>
      <w:bookmarkEnd w:id="2"/>
    </w:p>
    <w:bookmarkEnd w:id="0"/>
    <w:bookmarkEnd w:id="1"/>
    <w:p>
      <w:pPr>
        <w:keepNext w:val="0"/>
        <w:keepLines w:val="0"/>
        <w:pageBreakBefore w:val="0"/>
        <w:widowControl w:val="0"/>
        <w:kinsoku/>
        <w:wordWrap/>
        <w:overflowPunct/>
        <w:autoSpaceDE/>
        <w:autoSpaceDN/>
        <w:bidi w:val="0"/>
        <w:adjustRightInd w:val="0"/>
        <w:snapToGrid w:val="0"/>
        <w:spacing w:line="240" w:lineRule="auto"/>
        <w:ind w:firstLine="0" w:firstLineChars="0"/>
        <w:jc w:val="both"/>
        <w:textAlignment w:val="auto"/>
        <w:rPr>
          <w:rFonts w:hint="default" w:ascii="Times New Roman" w:hAnsi="Times New Roman" w:eastAsia="仿宋_GB2312" w:cs="Times New Roman"/>
          <w:sz w:val="24"/>
          <w:szCs w:val="24"/>
          <w:highlight w:val="none"/>
          <w:lang w:val="en-US" w:eastAsia="zh-CN"/>
        </w:rPr>
      </w:pPr>
    </w:p>
    <w:sectPr>
      <w:footerReference r:id="rId3" w:type="default"/>
      <w:pgSz w:w="11906" w:h="16838"/>
      <w:pgMar w:top="2098" w:right="1474" w:bottom="1984" w:left="1587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alibri Light">
    <w:altName w:val="Calibri"/>
    <w:panose1 w:val="020F0302020204030204"/>
    <w:charset w:val="00"/>
    <w:family w:val="auto"/>
    <w:pitch w:val="default"/>
    <w:sig w:usb0="00000000" w:usb1="00000000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0000600000000000000"/>
    <w:charset w:val="86"/>
    <w:family w:val="auto"/>
    <w:pitch w:val="default"/>
    <w:sig w:usb0="800002BF" w:usb1="184F6CF8" w:usb2="00000012" w:usb3="00000000" w:csb0="00160001" w:csb1="1203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12"/>
                            <w:rPr>
                              <w:rFonts w:ascii="Times New Roman" w:hAnsi="Times New Roman" w:cs="Times New Roman"/>
                              <w:sz w:val="28"/>
                              <w:szCs w:val="44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44"/>
                            </w:rPr>
                            <w:t xml:space="preserve">— </w:t>
                          </w: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44"/>
                            </w:rPr>
                            <w:fldChar w:fldCharType="begin"/>
                          </w: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44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44"/>
                            </w:rPr>
                            <w:fldChar w:fldCharType="separate"/>
                          </w: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44"/>
                            </w:rPr>
                            <w:t>1</w:t>
                          </w: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44"/>
                            </w:rPr>
                            <w:fldChar w:fldCharType="end"/>
                          </w: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44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s0lY7tAAAAAFAQAADwAAAAAAAAABACAAAAAi&#10;AAAAZHJzL2Rvd25yZXYueG1sUEsBAhQAFAAAAAgAh07iQErbzf8SAgAAEwQAAA4AAAAAAAAAAQAg&#10;AAAAHwEAAGRycy9lMm9Eb2MueG1sUEsFBgAAAAAGAAYAWQEAAKM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12"/>
                      <w:rPr>
                        <w:rFonts w:ascii="Times New Roman" w:hAnsi="Times New Roman" w:cs="Times New Roman"/>
                        <w:sz w:val="28"/>
                        <w:szCs w:val="44"/>
                      </w:rPr>
                    </w:pPr>
                    <w:r>
                      <w:rPr>
                        <w:rFonts w:ascii="Times New Roman" w:hAnsi="Times New Roman" w:cs="Times New Roman"/>
                        <w:sz w:val="28"/>
                        <w:szCs w:val="44"/>
                      </w:rPr>
                      <w:t xml:space="preserve">— </w:t>
                    </w:r>
                    <w:r>
                      <w:rPr>
                        <w:rFonts w:ascii="Times New Roman" w:hAnsi="Times New Roman" w:cs="Times New Roman"/>
                        <w:sz w:val="28"/>
                        <w:szCs w:val="44"/>
                      </w:rPr>
                      <w:fldChar w:fldCharType="begin"/>
                    </w:r>
                    <w:r>
                      <w:rPr>
                        <w:rFonts w:ascii="Times New Roman" w:hAnsi="Times New Roman" w:cs="Times New Roman"/>
                        <w:sz w:val="28"/>
                        <w:szCs w:val="44"/>
                      </w:rPr>
                      <w:instrText xml:space="preserve"> PAGE  \* MERGEFORMAT </w:instrText>
                    </w:r>
                    <w:r>
                      <w:rPr>
                        <w:rFonts w:ascii="Times New Roman" w:hAnsi="Times New Roman" w:cs="Times New Roman"/>
                        <w:sz w:val="28"/>
                        <w:szCs w:val="44"/>
                      </w:rPr>
                      <w:fldChar w:fldCharType="separate"/>
                    </w:r>
                    <w:r>
                      <w:rPr>
                        <w:rFonts w:ascii="Times New Roman" w:hAnsi="Times New Roman" w:cs="Times New Roman"/>
                        <w:sz w:val="28"/>
                        <w:szCs w:val="44"/>
                      </w:rPr>
                      <w:t>1</w:t>
                    </w:r>
                    <w:r>
                      <w:rPr>
                        <w:rFonts w:ascii="Times New Roman" w:hAnsi="Times New Roman" w:cs="Times New Roman"/>
                        <w:sz w:val="28"/>
                        <w:szCs w:val="44"/>
                      </w:rPr>
                      <w:fldChar w:fldCharType="end"/>
                    </w:r>
                    <w:r>
                      <w:rPr>
                        <w:rFonts w:ascii="Times New Roman" w:hAnsi="Times New Roman" w:cs="Times New Roman"/>
                        <w:sz w:val="28"/>
                        <w:szCs w:val="44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FjZTBmMzM0OWY1OWM4NDgyNjAwOWNkODZiZjk3ZGIifQ=="/>
  </w:docVars>
  <w:rsids>
    <w:rsidRoot w:val="05E75777"/>
    <w:rsid w:val="0002561E"/>
    <w:rsid w:val="00510B10"/>
    <w:rsid w:val="00986B93"/>
    <w:rsid w:val="00A67223"/>
    <w:rsid w:val="0247556A"/>
    <w:rsid w:val="037D56E7"/>
    <w:rsid w:val="05CD222A"/>
    <w:rsid w:val="05E75777"/>
    <w:rsid w:val="064E6EC7"/>
    <w:rsid w:val="06B807E5"/>
    <w:rsid w:val="06C55827"/>
    <w:rsid w:val="06E3363B"/>
    <w:rsid w:val="098716FD"/>
    <w:rsid w:val="09CF77DB"/>
    <w:rsid w:val="0A1151BE"/>
    <w:rsid w:val="0A1A3FBC"/>
    <w:rsid w:val="0BBF6BBF"/>
    <w:rsid w:val="0C371FFC"/>
    <w:rsid w:val="0D2E1346"/>
    <w:rsid w:val="0D451E07"/>
    <w:rsid w:val="0F257E51"/>
    <w:rsid w:val="0F6273CA"/>
    <w:rsid w:val="0FAC4EAF"/>
    <w:rsid w:val="105A40DF"/>
    <w:rsid w:val="12135E62"/>
    <w:rsid w:val="12696DA5"/>
    <w:rsid w:val="12A837F3"/>
    <w:rsid w:val="14490175"/>
    <w:rsid w:val="14F275B8"/>
    <w:rsid w:val="18422604"/>
    <w:rsid w:val="18842C1C"/>
    <w:rsid w:val="188577E5"/>
    <w:rsid w:val="18F40581"/>
    <w:rsid w:val="1940737B"/>
    <w:rsid w:val="197113F3"/>
    <w:rsid w:val="19C260B6"/>
    <w:rsid w:val="19F03C9C"/>
    <w:rsid w:val="1B734E81"/>
    <w:rsid w:val="1CE26164"/>
    <w:rsid w:val="1D3C5EFB"/>
    <w:rsid w:val="1D7838FA"/>
    <w:rsid w:val="1DBE097F"/>
    <w:rsid w:val="1DF3595C"/>
    <w:rsid w:val="1F153298"/>
    <w:rsid w:val="1F443106"/>
    <w:rsid w:val="237E140E"/>
    <w:rsid w:val="24455956"/>
    <w:rsid w:val="24603257"/>
    <w:rsid w:val="24804FD6"/>
    <w:rsid w:val="24D942F0"/>
    <w:rsid w:val="24EB0ADA"/>
    <w:rsid w:val="252C4420"/>
    <w:rsid w:val="25D328A4"/>
    <w:rsid w:val="25E6190F"/>
    <w:rsid w:val="25EE4FFC"/>
    <w:rsid w:val="268904F6"/>
    <w:rsid w:val="28425D45"/>
    <w:rsid w:val="28703966"/>
    <w:rsid w:val="296D18B6"/>
    <w:rsid w:val="298876BE"/>
    <w:rsid w:val="299F3558"/>
    <w:rsid w:val="2A0240FC"/>
    <w:rsid w:val="2A2B114A"/>
    <w:rsid w:val="2A7D127A"/>
    <w:rsid w:val="2AAA0B1E"/>
    <w:rsid w:val="2BB54170"/>
    <w:rsid w:val="2BC41856"/>
    <w:rsid w:val="2C772424"/>
    <w:rsid w:val="2E0D6CDC"/>
    <w:rsid w:val="2E7D0396"/>
    <w:rsid w:val="2E961182"/>
    <w:rsid w:val="2ECF367B"/>
    <w:rsid w:val="2F22270B"/>
    <w:rsid w:val="2F5F14EB"/>
    <w:rsid w:val="30414CCD"/>
    <w:rsid w:val="30424B3B"/>
    <w:rsid w:val="312267DB"/>
    <w:rsid w:val="315A1C17"/>
    <w:rsid w:val="31C03DCD"/>
    <w:rsid w:val="32244DFC"/>
    <w:rsid w:val="33BF52B9"/>
    <w:rsid w:val="346F4329"/>
    <w:rsid w:val="347D6A67"/>
    <w:rsid w:val="34DA0600"/>
    <w:rsid w:val="35CD1307"/>
    <w:rsid w:val="36345CFB"/>
    <w:rsid w:val="36F54FB9"/>
    <w:rsid w:val="372870EA"/>
    <w:rsid w:val="38490269"/>
    <w:rsid w:val="387827D6"/>
    <w:rsid w:val="39605CAC"/>
    <w:rsid w:val="39E331A5"/>
    <w:rsid w:val="3A802587"/>
    <w:rsid w:val="3B0A2942"/>
    <w:rsid w:val="3CF16F29"/>
    <w:rsid w:val="3D1C0468"/>
    <w:rsid w:val="3D534EB2"/>
    <w:rsid w:val="3DAC6D1D"/>
    <w:rsid w:val="3E126566"/>
    <w:rsid w:val="3F070380"/>
    <w:rsid w:val="3F1C2CFB"/>
    <w:rsid w:val="412020E6"/>
    <w:rsid w:val="42075D83"/>
    <w:rsid w:val="4280061C"/>
    <w:rsid w:val="42CF5E08"/>
    <w:rsid w:val="43266FB8"/>
    <w:rsid w:val="432B081F"/>
    <w:rsid w:val="44086B09"/>
    <w:rsid w:val="44104AB1"/>
    <w:rsid w:val="445B2296"/>
    <w:rsid w:val="44703ED1"/>
    <w:rsid w:val="450A0AA9"/>
    <w:rsid w:val="450B2882"/>
    <w:rsid w:val="473751E4"/>
    <w:rsid w:val="47B922BA"/>
    <w:rsid w:val="49FE1F7F"/>
    <w:rsid w:val="4B5D4584"/>
    <w:rsid w:val="4C8A6843"/>
    <w:rsid w:val="4DFF6F08"/>
    <w:rsid w:val="4E0E16B0"/>
    <w:rsid w:val="4E8A5B90"/>
    <w:rsid w:val="4FC04863"/>
    <w:rsid w:val="500D63FB"/>
    <w:rsid w:val="503A40DD"/>
    <w:rsid w:val="506F4A69"/>
    <w:rsid w:val="50773C53"/>
    <w:rsid w:val="5116195C"/>
    <w:rsid w:val="51AA7C07"/>
    <w:rsid w:val="51AD59B8"/>
    <w:rsid w:val="51C13FFB"/>
    <w:rsid w:val="52396861"/>
    <w:rsid w:val="52A8342C"/>
    <w:rsid w:val="534156B2"/>
    <w:rsid w:val="539A6875"/>
    <w:rsid w:val="554C5760"/>
    <w:rsid w:val="55672065"/>
    <w:rsid w:val="55FE78C9"/>
    <w:rsid w:val="5771158F"/>
    <w:rsid w:val="585E454A"/>
    <w:rsid w:val="58743E2D"/>
    <w:rsid w:val="59030A18"/>
    <w:rsid w:val="59336FC2"/>
    <w:rsid w:val="5A0709DC"/>
    <w:rsid w:val="5A1C5EA1"/>
    <w:rsid w:val="5A6621BA"/>
    <w:rsid w:val="5A89319F"/>
    <w:rsid w:val="5B0C0C33"/>
    <w:rsid w:val="5B764E22"/>
    <w:rsid w:val="5B9B5880"/>
    <w:rsid w:val="5BFD0E7B"/>
    <w:rsid w:val="5CAA564F"/>
    <w:rsid w:val="5EBF3633"/>
    <w:rsid w:val="5F2B789F"/>
    <w:rsid w:val="5F5F6D89"/>
    <w:rsid w:val="60433DDE"/>
    <w:rsid w:val="606E6D3B"/>
    <w:rsid w:val="60CF3106"/>
    <w:rsid w:val="61A22D98"/>
    <w:rsid w:val="63053881"/>
    <w:rsid w:val="64613B3E"/>
    <w:rsid w:val="64C96C92"/>
    <w:rsid w:val="64E2007C"/>
    <w:rsid w:val="6502427A"/>
    <w:rsid w:val="65BF660F"/>
    <w:rsid w:val="66B80634"/>
    <w:rsid w:val="67D63EC0"/>
    <w:rsid w:val="67EF6279"/>
    <w:rsid w:val="68085FF1"/>
    <w:rsid w:val="683C2A58"/>
    <w:rsid w:val="69931944"/>
    <w:rsid w:val="6A936ACD"/>
    <w:rsid w:val="6AF278C4"/>
    <w:rsid w:val="6B090B4D"/>
    <w:rsid w:val="6BA05AEF"/>
    <w:rsid w:val="6C666467"/>
    <w:rsid w:val="6CC30D7F"/>
    <w:rsid w:val="6CD627E7"/>
    <w:rsid w:val="6CE907A2"/>
    <w:rsid w:val="6D035033"/>
    <w:rsid w:val="6DC055B3"/>
    <w:rsid w:val="6E03374E"/>
    <w:rsid w:val="6E10335D"/>
    <w:rsid w:val="6E1342B7"/>
    <w:rsid w:val="6E251CE2"/>
    <w:rsid w:val="6F2705AC"/>
    <w:rsid w:val="6F274635"/>
    <w:rsid w:val="6FAD2BCF"/>
    <w:rsid w:val="70C6493F"/>
    <w:rsid w:val="723F7E21"/>
    <w:rsid w:val="72E876CC"/>
    <w:rsid w:val="73B6EE09"/>
    <w:rsid w:val="74465C79"/>
    <w:rsid w:val="74F71921"/>
    <w:rsid w:val="750839DB"/>
    <w:rsid w:val="758B206A"/>
    <w:rsid w:val="76116A13"/>
    <w:rsid w:val="766B2A54"/>
    <w:rsid w:val="7730111A"/>
    <w:rsid w:val="77EA6748"/>
    <w:rsid w:val="785B6E24"/>
    <w:rsid w:val="78A0407E"/>
    <w:rsid w:val="79187B3A"/>
    <w:rsid w:val="79B923B1"/>
    <w:rsid w:val="79F8707E"/>
    <w:rsid w:val="7A080CC1"/>
    <w:rsid w:val="7A772BBC"/>
    <w:rsid w:val="7B074467"/>
    <w:rsid w:val="7B720F71"/>
    <w:rsid w:val="7B754B99"/>
    <w:rsid w:val="7BFA50B7"/>
    <w:rsid w:val="7C25698E"/>
    <w:rsid w:val="7CDE181C"/>
    <w:rsid w:val="7CE34539"/>
    <w:rsid w:val="7CEF2753"/>
    <w:rsid w:val="7CFB341F"/>
    <w:rsid w:val="7D2251FD"/>
    <w:rsid w:val="7D2708CA"/>
    <w:rsid w:val="7D536CAF"/>
    <w:rsid w:val="7DB06213"/>
    <w:rsid w:val="7E1019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nhideWhenUsed="0" w:uiPriority="9" w:semiHidden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29" w:semiHidden="0" w:name="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link w:val="22"/>
    <w:qFormat/>
    <w:uiPriority w:val="0"/>
    <w:pPr>
      <w:snapToGrid w:val="0"/>
      <w:spacing w:line="360" w:lineRule="auto"/>
      <w:ind w:firstLine="883"/>
      <w:outlineLvl w:val="0"/>
    </w:pPr>
    <w:rPr>
      <w:rFonts w:eastAsia="黑体"/>
      <w:b/>
    </w:rPr>
  </w:style>
  <w:style w:type="paragraph" w:styleId="4">
    <w:name w:val="heading 2"/>
    <w:basedOn w:val="1"/>
    <w:next w:val="1"/>
    <w:link w:val="24"/>
    <w:semiHidden/>
    <w:unhideWhenUsed/>
    <w:qFormat/>
    <w:uiPriority w:val="0"/>
    <w:pPr>
      <w:keepNext/>
      <w:keepLines/>
      <w:snapToGrid/>
      <w:spacing w:before="10" w:beforeLines="0" w:beforeAutospacing="0" w:after="10" w:afterLines="0" w:afterAutospacing="0" w:line="360" w:lineRule="auto"/>
      <w:ind w:firstLine="883" w:firstLineChars="200"/>
      <w:outlineLvl w:val="1"/>
    </w:pPr>
    <w:rPr>
      <w:rFonts w:ascii="Times New Roman" w:hAnsi="Times New Roman" w:eastAsia="楷体"/>
      <w:b/>
    </w:rPr>
  </w:style>
  <w:style w:type="paragraph" w:styleId="5">
    <w:name w:val="heading 3"/>
    <w:basedOn w:val="1"/>
    <w:next w:val="1"/>
    <w:link w:val="27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paragraph" w:styleId="6">
    <w:name w:val="heading 4"/>
    <w:basedOn w:val="1"/>
    <w:next w:val="1"/>
    <w:link w:val="28"/>
    <w:semiHidden/>
    <w:unhideWhenUsed/>
    <w:qFormat/>
    <w:uiPriority w:val="0"/>
    <w:pPr>
      <w:keepNext/>
      <w:keepLines/>
      <w:spacing w:before="280" w:after="290" w:line="376" w:lineRule="auto"/>
      <w:outlineLvl w:val="3"/>
    </w:pPr>
    <w:rPr>
      <w:rFonts w:eastAsia="仿宋" w:asciiTheme="majorAscii" w:hAnsiTheme="majorAscii" w:cstheme="majorBidi"/>
      <w:b/>
      <w:bCs/>
      <w:sz w:val="28"/>
      <w:szCs w:val="28"/>
    </w:rPr>
  </w:style>
  <w:style w:type="paragraph" w:styleId="7">
    <w:name w:val="heading 5"/>
    <w:basedOn w:val="1"/>
    <w:next w:val="1"/>
    <w:semiHidden/>
    <w:unhideWhenUsed/>
    <w:qFormat/>
    <w:uiPriority w:val="0"/>
    <w:pPr>
      <w:keepNext/>
      <w:keepLines/>
      <w:spacing w:before="280" w:beforeLines="0" w:beforeAutospacing="0" w:after="290" w:afterLines="0" w:afterAutospacing="0" w:line="372" w:lineRule="auto"/>
      <w:outlineLvl w:val="4"/>
    </w:pPr>
    <w:rPr>
      <w:rFonts w:eastAsia="仿宋" w:asciiTheme="minorAscii" w:hAnsiTheme="minorAscii"/>
      <w:b/>
      <w:sz w:val="28"/>
    </w:rPr>
  </w:style>
  <w:style w:type="paragraph" w:styleId="8">
    <w:name w:val="heading 6"/>
    <w:basedOn w:val="1"/>
    <w:next w:val="1"/>
    <w:qFormat/>
    <w:uiPriority w:val="9"/>
    <w:pPr>
      <w:keepNext/>
      <w:keepLines/>
      <w:ind w:firstLine="200" w:firstLineChars="200"/>
      <w:outlineLvl w:val="5"/>
    </w:pPr>
    <w:rPr>
      <w:rFonts w:ascii="Cambria" w:hAnsi="Cambria" w:eastAsia="仿宋"/>
      <w:b/>
      <w:bCs/>
      <w:kern w:val="0"/>
      <w:sz w:val="28"/>
      <w:szCs w:val="24"/>
    </w:rPr>
  </w:style>
  <w:style w:type="character" w:default="1" w:styleId="17">
    <w:name w:val="Default Paragraph Font"/>
    <w:unhideWhenUsed/>
    <w:qFormat/>
    <w:uiPriority w:val="1"/>
  </w:style>
  <w:style w:type="table" w:default="1" w:styleId="20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2"/>
    <w:basedOn w:val="1"/>
    <w:next w:val="1"/>
    <w:link w:val="26"/>
    <w:qFormat/>
    <w:uiPriority w:val="0"/>
    <w:pPr>
      <w:tabs>
        <w:tab w:val="right" w:leader="dot" w:pos="8845"/>
      </w:tabs>
      <w:spacing w:line="440" w:lineRule="exact"/>
      <w:ind w:left="420" w:leftChars="200"/>
    </w:pPr>
    <w:rPr>
      <w:rFonts w:ascii="Times New Roman" w:hAnsi="Times New Roman" w:eastAsia="楷体" w:cs="楷体"/>
      <w:bCs/>
      <w:sz w:val="28"/>
      <w:szCs w:val="32"/>
      <w:highlight w:val="none"/>
    </w:rPr>
  </w:style>
  <w:style w:type="paragraph" w:styleId="9">
    <w:name w:val="Normal Indent"/>
    <w:basedOn w:val="1"/>
    <w:qFormat/>
    <w:uiPriority w:val="0"/>
    <w:pPr>
      <w:ind w:firstLine="420" w:firstLineChars="200"/>
    </w:pPr>
  </w:style>
  <w:style w:type="paragraph" w:styleId="10">
    <w:name w:val="caption"/>
    <w:basedOn w:val="1"/>
    <w:next w:val="1"/>
    <w:semiHidden/>
    <w:unhideWhenUsed/>
    <w:qFormat/>
    <w:uiPriority w:val="0"/>
    <w:pPr>
      <w:spacing w:line="560" w:lineRule="exact"/>
      <w:ind w:firstLine="0" w:firstLineChars="0"/>
      <w:jc w:val="center"/>
    </w:pPr>
    <w:rPr>
      <w:rFonts w:ascii="Times New Roman" w:hAnsi="Times New Roman" w:eastAsia="黑体" w:cs="Times New Roman"/>
      <w:sz w:val="28"/>
      <w:szCs w:val="28"/>
    </w:rPr>
  </w:style>
  <w:style w:type="paragraph" w:styleId="11">
    <w:name w:val="annotation text"/>
    <w:basedOn w:val="1"/>
    <w:qFormat/>
    <w:uiPriority w:val="0"/>
    <w:pPr>
      <w:jc w:val="left"/>
    </w:pPr>
  </w:style>
  <w:style w:type="paragraph" w:styleId="1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14">
    <w:name w:val="toc 1"/>
    <w:basedOn w:val="1"/>
    <w:next w:val="1"/>
    <w:link w:val="25"/>
    <w:qFormat/>
    <w:uiPriority w:val="0"/>
    <w:pPr>
      <w:tabs>
        <w:tab w:val="right" w:leader="dot" w:pos="8300"/>
      </w:tabs>
      <w:spacing w:line="480" w:lineRule="exact"/>
    </w:pPr>
    <w:rPr>
      <w:rFonts w:ascii="Times New Roman" w:hAnsi="Times New Roman" w:eastAsia="宋体" w:cs="黑体"/>
      <w:b/>
      <w:color w:val="auto"/>
      <w:sz w:val="28"/>
      <w:szCs w:val="32"/>
      <w:highlight w:val="none"/>
    </w:rPr>
  </w:style>
  <w:style w:type="paragraph" w:styleId="15">
    <w:name w:val="footnote text"/>
    <w:basedOn w:val="1"/>
    <w:qFormat/>
    <w:uiPriority w:val="0"/>
    <w:pPr>
      <w:snapToGrid w:val="0"/>
      <w:jc w:val="left"/>
    </w:pPr>
    <w:rPr>
      <w:sz w:val="18"/>
    </w:rPr>
  </w:style>
  <w:style w:type="paragraph" w:styleId="16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18">
    <w:name w:val="Strong"/>
    <w:basedOn w:val="17"/>
    <w:qFormat/>
    <w:uiPriority w:val="0"/>
    <w:rPr>
      <w:b/>
    </w:rPr>
  </w:style>
  <w:style w:type="character" w:styleId="19">
    <w:name w:val="footnote reference"/>
    <w:basedOn w:val="17"/>
    <w:qFormat/>
    <w:uiPriority w:val="0"/>
    <w:rPr>
      <w:vertAlign w:val="superscript"/>
    </w:rPr>
  </w:style>
  <w:style w:type="table" w:styleId="21">
    <w:name w:val="Table Grid"/>
    <w:basedOn w:val="20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22">
    <w:name w:val="标题 1 Char"/>
    <w:link w:val="3"/>
    <w:qFormat/>
    <w:uiPriority w:val="0"/>
    <w:rPr>
      <w:rFonts w:ascii="Times New Roman" w:hAnsi="Times New Roman" w:eastAsia="黑体" w:cs="Times New Roman"/>
      <w:b/>
      <w:snapToGrid w:val="0"/>
      <w:kern w:val="0"/>
    </w:rPr>
  </w:style>
  <w:style w:type="paragraph" w:customStyle="1" w:styleId="23">
    <w:name w:val="test1"/>
    <w:basedOn w:val="3"/>
    <w:next w:val="4"/>
    <w:qFormat/>
    <w:uiPriority w:val="0"/>
    <w:pPr>
      <w:snapToGrid w:val="0"/>
      <w:spacing w:before="100" w:beforeAutospacing="1" w:afterAutospacing="0" w:line="560" w:lineRule="atLeast"/>
      <w:outlineLvl w:val="1"/>
    </w:pPr>
    <w:rPr>
      <w:rFonts w:hint="eastAsia" w:ascii="Times New Roman" w:hAnsi="Times New Roman" w:cs="Times New Roman"/>
      <w:b w:val="0"/>
      <w:snapToGrid w:val="0"/>
      <w:kern w:val="0"/>
    </w:rPr>
  </w:style>
  <w:style w:type="character" w:customStyle="1" w:styleId="24">
    <w:name w:val="标题 2 Char"/>
    <w:link w:val="4"/>
    <w:qFormat/>
    <w:uiPriority w:val="0"/>
    <w:rPr>
      <w:rFonts w:ascii="Times New Roman" w:hAnsi="Times New Roman" w:eastAsia="楷体" w:cs="Times New Roman"/>
      <w:b/>
      <w:snapToGrid w:val="0"/>
      <w:kern w:val="0"/>
    </w:rPr>
  </w:style>
  <w:style w:type="character" w:customStyle="1" w:styleId="25">
    <w:name w:val="目录 1 Char"/>
    <w:link w:val="14"/>
    <w:qFormat/>
    <w:uiPriority w:val="39"/>
    <w:rPr>
      <w:rFonts w:ascii="Times New Roman" w:hAnsi="Times New Roman" w:eastAsia="宋体" w:cs="黑体"/>
      <w:b/>
      <w:color w:val="auto"/>
      <w:kern w:val="2"/>
      <w:sz w:val="28"/>
      <w:szCs w:val="32"/>
      <w:highlight w:val="none"/>
      <w:lang w:val="en-US" w:eastAsia="zh-CN" w:bidi="ar-SA"/>
    </w:rPr>
  </w:style>
  <w:style w:type="character" w:customStyle="1" w:styleId="26">
    <w:name w:val="目录 2 Char"/>
    <w:link w:val="2"/>
    <w:qFormat/>
    <w:uiPriority w:val="0"/>
    <w:rPr>
      <w:rFonts w:ascii="Times New Roman" w:hAnsi="Times New Roman" w:eastAsia="楷体" w:cs="楷体"/>
      <w:bCs/>
      <w:kern w:val="2"/>
      <w:sz w:val="28"/>
      <w:szCs w:val="32"/>
      <w:highlight w:val="none"/>
      <w:lang w:val="en-US" w:eastAsia="zh-CN" w:bidi="ar-SA"/>
    </w:rPr>
  </w:style>
  <w:style w:type="character" w:customStyle="1" w:styleId="27">
    <w:name w:val="标题 3 字符"/>
    <w:basedOn w:val="17"/>
    <w:link w:val="5"/>
    <w:qFormat/>
    <w:uiPriority w:val="9"/>
    <w:rPr>
      <w:rFonts w:eastAsia="楷体" w:asciiTheme="minorAscii" w:hAnsiTheme="minorAscii"/>
      <w:b/>
      <w:bCs/>
      <w:sz w:val="32"/>
      <w:szCs w:val="32"/>
    </w:rPr>
  </w:style>
  <w:style w:type="character" w:customStyle="1" w:styleId="28">
    <w:name w:val="标题 4 字符"/>
    <w:basedOn w:val="17"/>
    <w:link w:val="6"/>
    <w:qFormat/>
    <w:uiPriority w:val="9"/>
    <w:rPr>
      <w:rFonts w:eastAsia="仿宋" w:asciiTheme="majorAscii" w:hAnsiTheme="majorAscii" w:cstheme="majorBidi"/>
      <w:b/>
      <w:bCs/>
      <w:sz w:val="28"/>
      <w:szCs w:val="28"/>
    </w:rPr>
  </w:style>
  <w:style w:type="paragraph" w:customStyle="1" w:styleId="29">
    <w:name w:val="_Style 5"/>
    <w:qFormat/>
    <w:uiPriority w:val="0"/>
    <w:pPr>
      <w:widowControl w:val="0"/>
      <w:ind w:firstLine="200" w:firstLineChars="200"/>
      <w:jc w:val="both"/>
    </w:pPr>
    <w:rPr>
      <w:rFonts w:ascii="Calibri" w:hAnsi="Calibri" w:eastAsia="宋体" w:cs="Times New Roman"/>
      <w:kern w:val="2"/>
      <w:sz w:val="24"/>
      <w:szCs w:val="22"/>
      <w:lang w:val="en-US" w:eastAsia="zh-CN" w:bidi="ar-SA"/>
    </w:rPr>
  </w:style>
  <w:style w:type="character" w:customStyle="1" w:styleId="30">
    <w:name w:val="font41"/>
    <w:basedOn w:val="17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character" w:customStyle="1" w:styleId="31">
    <w:name w:val="font51"/>
    <w:basedOn w:val="17"/>
    <w:qFormat/>
    <w:uiPriority w:val="0"/>
    <w:rPr>
      <w:rFonts w:hint="eastAsia" w:ascii="宋体" w:hAnsi="宋体" w:eastAsia="宋体" w:cs="宋体"/>
      <w:strike/>
      <w:color w:val="000000"/>
      <w:sz w:val="28"/>
      <w:szCs w:val="28"/>
    </w:rPr>
  </w:style>
  <w:style w:type="paragraph" w:customStyle="1" w:styleId="32">
    <w:name w:val="正文 New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3">
    <w:name w:val="Quote"/>
    <w:basedOn w:val="1"/>
    <w:next w:val="1"/>
    <w:qFormat/>
    <w:uiPriority w:val="29"/>
    <w:pPr>
      <w:adjustRightInd/>
      <w:snapToGrid/>
      <w:spacing w:line="560" w:lineRule="exact"/>
      <w:ind w:firstLine="0" w:firstLineChars="0"/>
      <w:jc w:val="center"/>
    </w:pPr>
    <w:rPr>
      <w:rFonts w:ascii="仿宋_GB2312" w:hAnsi="Times New Roman" w:cs="仿宋_GB2312"/>
      <w:b/>
      <w:szCs w:val="3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44</Pages>
  <Words>1842</Words>
  <Characters>1913</Characters>
  <Lines>0</Lines>
  <Paragraphs>0</Paragraphs>
  <TotalTime>27</TotalTime>
  <ScaleCrop>false</ScaleCrop>
  <LinksUpToDate>false</LinksUpToDate>
  <CharactersWithSpaces>1941</CharactersWithSpaces>
  <Application>WPS Office_10.8.2.7119_F1E327BC-269C-435d-A152-05C5408002CA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2024-07-15T09:35:00Z</dcterms:created>
  <dc:creator>llh</dc:creator>
  <cp:lastModifiedBy>谢灵娇</cp:lastModifiedBy>
  <dcterms:modified xsi:type="dcterms:W3CDTF">2026-04-09T02:34:09Z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2052-10.8.2.7119</vt:lpwstr>
  </property>
  <property fmtid="{D5CDD505-2E9C-101B-9397-08002B2CF9AE}" pid="3" name="ICV">
    <vt:lpwstr>D0982A6FB17145DC83D5D4566FCE7FD4_13</vt:lpwstr>
  </property>
  <property fmtid="{D5CDD505-2E9C-101B-9397-08002B2CF9AE}" pid="4" name="KSOTemplateDocerSaveRecord">
    <vt:lpwstr>eyJoZGlkIjoiNjFjZTBmMzM0OWY1OWM4NDgyNjAwOWNkODZiZjk3ZGIiLCJ1c2VySWQiOiIxMTU4Njk3NjMwIn0=</vt:lpwstr>
  </property>
</Properties>
</file>