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outlineLvl w:val="9"/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</w:pPr>
      <w:bookmarkStart w:id="0" w:name="_Toc20310"/>
      <w:bookmarkStart w:id="1" w:name="_Toc7988"/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outlineLvl w:val="9"/>
        <w:rPr>
          <w:rFonts w:hint="default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</w:pP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outlineLvl w:val="9"/>
        <w:rPr>
          <w:rFonts w:hint="default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left="0" w:leftChars="0" w:firstLine="0" w:firstLineChars="0"/>
        <w:jc w:val="center"/>
        <w:textAlignment w:val="auto"/>
        <w:outlineLvl w:val="9"/>
        <w:rPr>
          <w:rFonts w:hint="eastAsia" w:ascii="方正小标宋简体" w:hAnsi="宋体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 w:cs="Times New Roman"/>
          <w:sz w:val="44"/>
          <w:szCs w:val="44"/>
          <w:lang w:val="en-US" w:eastAsia="zh-CN"/>
        </w:rPr>
        <w:t>韶关市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2024</w:t>
      </w:r>
      <w:r>
        <w:rPr>
          <w:rFonts w:hint="eastAsia" w:ascii="方正小标宋简体" w:hAnsi="宋体" w:eastAsia="方正小标宋简体" w:cs="Times New Roman"/>
          <w:sz w:val="44"/>
          <w:szCs w:val="44"/>
          <w:lang w:val="en-US" w:eastAsia="zh-CN"/>
        </w:rPr>
        <w:t>年度芙蓉园物业管理服务费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left="0" w:leftChars="0" w:firstLine="0" w:firstLineChars="0"/>
        <w:jc w:val="center"/>
        <w:textAlignment w:val="auto"/>
        <w:outlineLvl w:val="9"/>
        <w:rPr>
          <w:rFonts w:hint="default" w:ascii="方正小标宋简体" w:hAnsi="宋体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 w:cs="Times New Roman"/>
          <w:sz w:val="44"/>
          <w:szCs w:val="44"/>
          <w:lang w:val="en-US" w:eastAsia="zh-CN"/>
        </w:rPr>
        <w:t>项目重点绩效评价报告</w:t>
      </w: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outlineLvl w:val="9"/>
        <w:rPr>
          <w:rFonts w:hint="default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</w:pP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outlineLvl w:val="9"/>
        <w:rPr>
          <w:rFonts w:hint="default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</w:pP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outlineLvl w:val="9"/>
        <w:rPr>
          <w:rFonts w:hint="default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</w:pP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outlineLvl w:val="9"/>
        <w:rPr>
          <w:rFonts w:hint="default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</w:pP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outlineLvl w:val="9"/>
        <w:rPr>
          <w:rFonts w:hint="default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</w:pP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outlineLvl w:val="9"/>
        <w:rPr>
          <w:rFonts w:hint="default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</w:pP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outlineLvl w:val="9"/>
        <w:rPr>
          <w:rFonts w:hint="default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</w:pP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outlineLvl w:val="9"/>
        <w:rPr>
          <w:rFonts w:hint="default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</w:pP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outlineLvl w:val="9"/>
        <w:rPr>
          <w:rFonts w:hint="default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</w:pP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outlineLvl w:val="9"/>
        <w:rPr>
          <w:rFonts w:hint="default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</w:pP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outlineLvl w:val="9"/>
        <w:rPr>
          <w:rFonts w:hint="default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1050" w:leftChars="500" w:right="0" w:rightChars="0" w:firstLine="0" w:firstLineChars="0"/>
        <w:jc w:val="left"/>
        <w:textAlignment w:val="auto"/>
        <w:rPr>
          <w:rFonts w:hint="default" w:ascii="宋体" w:hAnsi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 w:val="0"/>
          <w:spacing w:val="53"/>
          <w:kern w:val="0"/>
          <w:sz w:val="32"/>
          <w:szCs w:val="32"/>
          <w:fitText w:val="1600" w:id="0"/>
          <w:lang w:val="en-US" w:eastAsia="zh-CN"/>
        </w:rPr>
        <w:t>评价机</w:t>
      </w:r>
      <w:r>
        <w:rPr>
          <w:rFonts w:hint="eastAsia" w:ascii="宋体" w:hAnsi="宋体" w:cs="宋体"/>
          <w:b w:val="0"/>
          <w:bCs w:val="0"/>
          <w:spacing w:val="1"/>
          <w:kern w:val="0"/>
          <w:sz w:val="32"/>
          <w:szCs w:val="32"/>
          <w:fitText w:val="1600" w:id="0"/>
          <w:lang w:val="en-US" w:eastAsia="zh-CN"/>
        </w:rPr>
        <w:t>构</w:t>
      </w:r>
      <w:r>
        <w:rPr>
          <w:rFonts w:hint="eastAsia" w:ascii="宋体" w:hAnsi="宋体" w:cs="宋体"/>
          <w:b w:val="0"/>
          <w:bCs w:val="0"/>
          <w:sz w:val="32"/>
          <w:szCs w:val="32"/>
          <w:lang w:val="en-US" w:eastAsia="zh-CN"/>
        </w:rPr>
        <w:t>：上海元方智库公共管理咨询有限公司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1050" w:leftChars="500" w:right="0" w:rightChars="0" w:firstLine="0" w:firstLineChars="0"/>
        <w:jc w:val="left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kern w:val="44"/>
          <w:sz w:val="32"/>
          <w:szCs w:val="32"/>
          <w:lang w:val="en-US" w:eastAsia="zh-CN"/>
        </w:rPr>
        <w:sectPr>
          <w:pgSz w:w="11906" w:h="16838"/>
          <w:pgMar w:top="2098" w:right="1474" w:bottom="1984" w:left="158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 w:val="0"/>
          <w:bCs w:val="0"/>
          <w:spacing w:val="480"/>
          <w:kern w:val="0"/>
          <w:sz w:val="32"/>
          <w:szCs w:val="32"/>
          <w:fitText w:val="1600" w:id="1"/>
          <w:lang w:val="en-US" w:eastAsia="zh-CN"/>
        </w:rPr>
        <w:t>日</w:t>
      </w:r>
      <w:r>
        <w:rPr>
          <w:rFonts w:hint="eastAsia" w:ascii="宋体" w:hAnsi="宋体" w:eastAsia="宋体" w:cs="宋体"/>
          <w:b w:val="0"/>
          <w:bCs w:val="0"/>
          <w:spacing w:val="0"/>
          <w:kern w:val="0"/>
          <w:sz w:val="32"/>
          <w:szCs w:val="32"/>
          <w:fitText w:val="1600" w:id="1"/>
          <w:lang w:val="en-US" w:eastAsia="zh-CN"/>
        </w:rPr>
        <w:t>期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b w:val="0"/>
          <w:bCs w:val="0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宋体" w:cs="Times New Roman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b w:val="0"/>
          <w:bCs w:val="0"/>
          <w:sz w:val="32"/>
          <w:szCs w:val="32"/>
          <w:lang w:val="en-US" w:eastAsia="zh-CN"/>
        </w:rPr>
        <w:t>年1</w:t>
      </w:r>
      <w:r>
        <w:rPr>
          <w:rFonts w:hint="eastAsia" w:ascii="Times New Roman" w:hAnsi="Times New Roman" w:eastAsia="宋体" w:cs="Times New Roman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 w:val="0"/>
          <w:bCs w:val="0"/>
          <w:sz w:val="32"/>
          <w:szCs w:val="32"/>
          <w:lang w:val="en-US" w:eastAsia="zh-CN"/>
        </w:rPr>
        <w:t>月</w:t>
      </w: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outlineLvl w:val="9"/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  <w:t>受韶关市财政局委托，上海元方智库公共管理咨询有限公司组成绩效评价工作组，对韶关市2024年度芙蓉园物业管理服务费项目开展了重点绩效评价。本次评价基准日为2024年12月31日。根据现有评价材料，结合书面评价、现场座谈及实地勘验情况，韶关市2024年度芙蓉园物业管理服务费项目绩效得分为85.85分，评价等级为“良”。</w:t>
      </w: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outlineLvl w:val="9"/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韶关市财政局批复2024年度芙蓉园物业管理服务费共500</w:t>
      </w:r>
      <w:r>
        <w:rPr>
          <w:rFonts w:hint="eastAsia" w:ascii="Times New Roman" w:hAnsi="Times New Roman" w:eastAsia="仿宋_GB2312" w:cs="仿宋_GB2312"/>
          <w:sz w:val="32"/>
          <w:szCs w:val="32"/>
        </w:rPr>
        <w:t>万元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  <w:t>资金主管部门为韶关市人民政府国有资产监督管理委员会，资金使用部门是韶关市城市投资发展集团有限公司。项目资金主要用于支出园区食堂经营、日常维护维修和园区外包服务三部分费用支出，具体包括食堂食材采购费用、食堂用品采购费用、维修维护费、保洁服务费、保安服务费、绿化养护费、劳务派遣费及其他确保园区正常运转费用。</w:t>
      </w: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outlineLvl w:val="9"/>
        <w:rPr>
          <w:rFonts w:hint="default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  <w:t>项目的主要问题有五个：</w:t>
      </w:r>
      <w:r>
        <w:rPr>
          <w:rFonts w:hint="eastAsia" w:ascii="Times New Roman" w:hAnsi="Times New Roman" w:eastAsia="仿宋_GB2312" w:cs="仿宋_GB2312"/>
          <w:b/>
          <w:bCs/>
          <w:color w:val="auto"/>
          <w:kern w:val="2"/>
          <w:sz w:val="32"/>
          <w:highlight w:val="none"/>
          <w:lang w:val="en-US" w:eastAsia="zh-CN"/>
        </w:rPr>
        <w:t>一是</w:t>
      </w:r>
      <w:r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  <w:t>前期论证决策不够充分，未见2024年度向市财政局提交的经费申请请示及批复文件，缺失预算调整的集体决策记录和绩效评估材料。</w:t>
      </w:r>
      <w:r>
        <w:rPr>
          <w:rFonts w:hint="eastAsia" w:ascii="Times New Roman" w:hAnsi="Times New Roman" w:eastAsia="仿宋_GB2312" w:cs="仿宋_GB2312"/>
          <w:b/>
          <w:bCs/>
          <w:color w:val="auto"/>
          <w:kern w:val="2"/>
          <w:sz w:val="32"/>
          <w:highlight w:val="none"/>
          <w:lang w:val="en-US" w:eastAsia="zh-CN"/>
        </w:rPr>
        <w:t>二是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2"/>
          <w:sz w:val="32"/>
          <w:highlight w:val="none"/>
          <w:lang w:val="en-US" w:eastAsia="zh-CN"/>
        </w:rPr>
        <w:t>绩效目标设置脱离项目实际，个别</w:t>
      </w:r>
      <w:r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  <w:t>指标内容重复交叉以及指标值不可量化。</w:t>
      </w:r>
      <w:r>
        <w:rPr>
          <w:rFonts w:hint="eastAsia" w:ascii="Times New Roman" w:hAnsi="Times New Roman" w:eastAsia="仿宋_GB2312" w:cs="仿宋_GB2312"/>
          <w:b/>
          <w:bCs/>
          <w:color w:val="auto"/>
          <w:kern w:val="2"/>
          <w:sz w:val="32"/>
          <w:highlight w:val="none"/>
          <w:lang w:val="en-US" w:eastAsia="zh-CN"/>
        </w:rPr>
        <w:t>三是</w:t>
      </w:r>
      <w:r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  <w:t>过程监管机制未能予以完善，未能针对项目实施过程开展有效的检查、监控、督促整改工作，未能提供有关针对园区安保、绿化、保洁、配餐等服务事项开展的督导巡查或质量检查方面工作台账。</w:t>
      </w:r>
      <w:r>
        <w:rPr>
          <w:rFonts w:hint="eastAsia" w:ascii="Times New Roman" w:hAnsi="Times New Roman" w:eastAsia="仿宋_GB2312" w:cs="仿宋_GB2312"/>
          <w:b/>
          <w:bCs/>
          <w:color w:val="auto"/>
          <w:kern w:val="2"/>
          <w:sz w:val="32"/>
          <w:highlight w:val="none"/>
          <w:lang w:val="en-US" w:eastAsia="zh-CN"/>
        </w:rPr>
        <w:t>四是</w:t>
      </w:r>
      <w:r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  <w:t>节能降耗管理工作有待改进，反映出未建立用水量监测机制，以及缺乏节能技术改造，空调系统、照明设备等高耗能设施未能有效升级。</w:t>
      </w: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outlineLvl w:val="9"/>
        <w:rPr>
          <w:rFonts w:hint="default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  <w:sectPr>
          <w:pgSz w:w="11906" w:h="16838"/>
          <w:pgMar w:top="2098" w:right="1474" w:bottom="1984" w:left="158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  <w:r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  <w:t>针对以上问题，</w:t>
      </w:r>
      <w:r>
        <w:rPr>
          <w:rFonts w:hint="eastAsia" w:ascii="Times New Roman" w:hAnsi="Times New Roman" w:eastAsia="仿宋_GB2312" w:cs="仿宋_GB2312"/>
          <w:b/>
          <w:bCs/>
          <w:color w:val="auto"/>
          <w:kern w:val="2"/>
          <w:sz w:val="32"/>
          <w:highlight w:val="none"/>
          <w:lang w:val="en-US" w:eastAsia="zh-CN"/>
        </w:rPr>
        <w:t>一是</w:t>
      </w:r>
      <w:r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  <w:t>建议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2"/>
          <w:sz w:val="32"/>
          <w:highlight w:val="none"/>
          <w:lang w:val="en-US" w:eastAsia="zh-CN"/>
        </w:rPr>
        <w:t>建立完善的项目立项流程，确保所有项目在启动前均需经过充分论证</w:t>
      </w:r>
      <w:r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  <w:t>。</w:t>
      </w:r>
      <w:r>
        <w:rPr>
          <w:rFonts w:hint="eastAsia" w:ascii="Times New Roman" w:hAnsi="Times New Roman" w:eastAsia="仿宋_GB2312" w:cs="仿宋_GB2312"/>
          <w:b/>
          <w:bCs/>
          <w:color w:val="auto"/>
          <w:kern w:val="2"/>
          <w:sz w:val="32"/>
          <w:highlight w:val="none"/>
          <w:lang w:val="en-US" w:eastAsia="zh-CN"/>
        </w:rPr>
        <w:t>二是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2"/>
          <w:sz w:val="32"/>
          <w:highlight w:val="none"/>
          <w:lang w:val="en-US" w:eastAsia="zh-CN"/>
        </w:rPr>
        <w:t>建议重构服务导向型绩效指标，按业务模块拆解可量化指标</w:t>
      </w:r>
      <w:r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  <w:t>。</w:t>
      </w:r>
      <w:r>
        <w:rPr>
          <w:rFonts w:hint="eastAsia" w:ascii="Times New Roman" w:hAnsi="Times New Roman" w:eastAsia="仿宋_GB2312" w:cs="仿宋_GB2312"/>
          <w:b/>
          <w:bCs/>
          <w:color w:val="auto"/>
          <w:kern w:val="2"/>
          <w:sz w:val="32"/>
          <w:highlight w:val="none"/>
          <w:lang w:val="en-US" w:eastAsia="zh-CN"/>
        </w:rPr>
        <w:t>三是</w:t>
      </w:r>
      <w:r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  <w:t>建议构建“检查—整改—考核”的闭环管理体系，有效制定《月度服务质量检查清单》，覆盖保安巡逻打卡率、保洁区域抽检合格率、绿化乔木存活率等多项核心指标，同时建立服务商分级考评制度，按季度对保洁、绿化、维修等外包单位实施评分，评分结果与费用支付挂钩。</w:t>
      </w:r>
      <w:r>
        <w:rPr>
          <w:rFonts w:hint="eastAsia" w:ascii="Times New Roman" w:hAnsi="Times New Roman" w:eastAsia="仿宋_GB2312" w:cs="仿宋_GB2312"/>
          <w:b/>
          <w:bCs/>
          <w:color w:val="auto"/>
          <w:kern w:val="2"/>
          <w:sz w:val="32"/>
          <w:highlight w:val="none"/>
          <w:lang w:val="en-US" w:eastAsia="zh-CN"/>
        </w:rPr>
        <w:t>四是</w:t>
      </w:r>
      <w:r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  <w:t>建议建立健全用水量监测机制，定期对园区内用水情况进行数据收集与分析，同时积极推进节能技术改造，更新空调系统、照明设备等高耗能设施，引入高效节能的设备和技术。</w:t>
      </w:r>
    </w:p>
    <w:bookmarkEnd w:id="0"/>
    <w:bookmarkEnd w:id="1"/>
    <w:p>
      <w:pPr>
        <w:pStyle w:val="2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outlineLvl w:val="9"/>
        <w:rPr>
          <w:rFonts w:hint="default" w:ascii="Times New Roman" w:hAnsi="Times New Roman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bookmarkStart w:id="2" w:name="_GoBack"/>
      <w:bookmarkEnd w:id="2"/>
    </w:p>
    <w:sectPr>
      <w:footerReference r:id="rId3" w:type="default"/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CCB32D1-C4CE-48C2-9245-AF4EDCF5662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831440FF-84B5-4414-B266-4F062233C1BD}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  <w:embedRegular r:id="rId3" w:fontKey="{C17C2C7A-9210-4D93-9E59-680172FBD51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3"/>
                            <w:rPr>
                              <w:rFonts w:ascii="Times New Roman" w:hAnsi="Times New Roman" w:cs="Times New Roman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44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4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3"/>
                      <w:rPr>
                        <w:rFonts w:ascii="Times New Roman" w:hAnsi="Times New Roman" w:cs="Times New Roman"/>
                        <w:sz w:val="28"/>
                        <w:szCs w:val="44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44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44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4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FjZTBmMzM0OWY1OWM4NDgyNjAwOWNkODZiZjk3ZGIifQ=="/>
  </w:docVars>
  <w:rsids>
    <w:rsidRoot w:val="05E75777"/>
    <w:rsid w:val="0002561E"/>
    <w:rsid w:val="00510B10"/>
    <w:rsid w:val="00986B93"/>
    <w:rsid w:val="00A67223"/>
    <w:rsid w:val="00F26F51"/>
    <w:rsid w:val="0247556A"/>
    <w:rsid w:val="035F50DA"/>
    <w:rsid w:val="037D56E7"/>
    <w:rsid w:val="041022F0"/>
    <w:rsid w:val="04E52B6B"/>
    <w:rsid w:val="05CD222A"/>
    <w:rsid w:val="05E75777"/>
    <w:rsid w:val="06B807E5"/>
    <w:rsid w:val="06C55827"/>
    <w:rsid w:val="06E3363B"/>
    <w:rsid w:val="099A0675"/>
    <w:rsid w:val="09BF622F"/>
    <w:rsid w:val="0A4403BD"/>
    <w:rsid w:val="0A565862"/>
    <w:rsid w:val="0BBF6BBF"/>
    <w:rsid w:val="0BDA103D"/>
    <w:rsid w:val="0C120997"/>
    <w:rsid w:val="0C182A8F"/>
    <w:rsid w:val="0C371FFC"/>
    <w:rsid w:val="0C8109AA"/>
    <w:rsid w:val="0D451E07"/>
    <w:rsid w:val="0F257E51"/>
    <w:rsid w:val="0F6273CA"/>
    <w:rsid w:val="10BC60B8"/>
    <w:rsid w:val="125745D6"/>
    <w:rsid w:val="12B835C4"/>
    <w:rsid w:val="13150164"/>
    <w:rsid w:val="13286ABC"/>
    <w:rsid w:val="13C80768"/>
    <w:rsid w:val="14490175"/>
    <w:rsid w:val="186C6E80"/>
    <w:rsid w:val="18842C1C"/>
    <w:rsid w:val="1940737B"/>
    <w:rsid w:val="197113F3"/>
    <w:rsid w:val="19C260B6"/>
    <w:rsid w:val="19F03C9C"/>
    <w:rsid w:val="1B734E81"/>
    <w:rsid w:val="1CE26164"/>
    <w:rsid w:val="1D3C5EFB"/>
    <w:rsid w:val="1DBE097F"/>
    <w:rsid w:val="1DF3595C"/>
    <w:rsid w:val="1E6E11AE"/>
    <w:rsid w:val="1F053082"/>
    <w:rsid w:val="1F153298"/>
    <w:rsid w:val="200F584A"/>
    <w:rsid w:val="237E140E"/>
    <w:rsid w:val="24603257"/>
    <w:rsid w:val="2460453E"/>
    <w:rsid w:val="24804FD6"/>
    <w:rsid w:val="24EB0ADA"/>
    <w:rsid w:val="252C4420"/>
    <w:rsid w:val="25D328A4"/>
    <w:rsid w:val="25EE4FFC"/>
    <w:rsid w:val="26D4785A"/>
    <w:rsid w:val="27EF07E9"/>
    <w:rsid w:val="28425D45"/>
    <w:rsid w:val="2A0240FC"/>
    <w:rsid w:val="2A7D127A"/>
    <w:rsid w:val="2B536BAA"/>
    <w:rsid w:val="2B894C74"/>
    <w:rsid w:val="2BC41856"/>
    <w:rsid w:val="2E0D6CDC"/>
    <w:rsid w:val="2F22270B"/>
    <w:rsid w:val="2F5F14EB"/>
    <w:rsid w:val="30414CCD"/>
    <w:rsid w:val="30424B3B"/>
    <w:rsid w:val="312267DB"/>
    <w:rsid w:val="32244DFC"/>
    <w:rsid w:val="327115F0"/>
    <w:rsid w:val="330C5B46"/>
    <w:rsid w:val="347D6A67"/>
    <w:rsid w:val="35854309"/>
    <w:rsid w:val="36293BE7"/>
    <w:rsid w:val="372870EA"/>
    <w:rsid w:val="38490269"/>
    <w:rsid w:val="387827D6"/>
    <w:rsid w:val="398A38E6"/>
    <w:rsid w:val="3A802587"/>
    <w:rsid w:val="3B0A2942"/>
    <w:rsid w:val="3B9457FC"/>
    <w:rsid w:val="3BFA0B10"/>
    <w:rsid w:val="3C5A3D40"/>
    <w:rsid w:val="3CF16F29"/>
    <w:rsid w:val="3D1C0468"/>
    <w:rsid w:val="3D534EB2"/>
    <w:rsid w:val="3EFE4404"/>
    <w:rsid w:val="3F070380"/>
    <w:rsid w:val="3F1C2CFB"/>
    <w:rsid w:val="3F2B3CC7"/>
    <w:rsid w:val="3F483491"/>
    <w:rsid w:val="412020E6"/>
    <w:rsid w:val="42075D83"/>
    <w:rsid w:val="42CF5E08"/>
    <w:rsid w:val="43266FB8"/>
    <w:rsid w:val="432B081F"/>
    <w:rsid w:val="43953A64"/>
    <w:rsid w:val="44104AB1"/>
    <w:rsid w:val="441D40A1"/>
    <w:rsid w:val="443D1D4E"/>
    <w:rsid w:val="445B2296"/>
    <w:rsid w:val="450A0AA9"/>
    <w:rsid w:val="450B2882"/>
    <w:rsid w:val="45AA6CD7"/>
    <w:rsid w:val="473751E4"/>
    <w:rsid w:val="47B922BA"/>
    <w:rsid w:val="48BE0261"/>
    <w:rsid w:val="4C4F033B"/>
    <w:rsid w:val="4C567C79"/>
    <w:rsid w:val="4C8A6843"/>
    <w:rsid w:val="4CC41E4C"/>
    <w:rsid w:val="4D0F2046"/>
    <w:rsid w:val="4E8A5B90"/>
    <w:rsid w:val="4FC04863"/>
    <w:rsid w:val="50C513DE"/>
    <w:rsid w:val="51AD59B8"/>
    <w:rsid w:val="52396861"/>
    <w:rsid w:val="534156B2"/>
    <w:rsid w:val="554C5760"/>
    <w:rsid w:val="55672065"/>
    <w:rsid w:val="55FE78C9"/>
    <w:rsid w:val="56C332A1"/>
    <w:rsid w:val="5771158F"/>
    <w:rsid w:val="585E454A"/>
    <w:rsid w:val="58743E2D"/>
    <w:rsid w:val="59030A18"/>
    <w:rsid w:val="590D23B8"/>
    <w:rsid w:val="59336FC2"/>
    <w:rsid w:val="5A1C5EA1"/>
    <w:rsid w:val="5A6621BA"/>
    <w:rsid w:val="5B9B5880"/>
    <w:rsid w:val="5BFD0E7B"/>
    <w:rsid w:val="5CAA564F"/>
    <w:rsid w:val="5DA015BC"/>
    <w:rsid w:val="5E214385"/>
    <w:rsid w:val="5EBF3633"/>
    <w:rsid w:val="5F132F6B"/>
    <w:rsid w:val="5F2B789F"/>
    <w:rsid w:val="5F5F6D89"/>
    <w:rsid w:val="606E6D3B"/>
    <w:rsid w:val="63053881"/>
    <w:rsid w:val="635934C3"/>
    <w:rsid w:val="63BE498E"/>
    <w:rsid w:val="63FD11AC"/>
    <w:rsid w:val="64613B3E"/>
    <w:rsid w:val="64C96C92"/>
    <w:rsid w:val="64D67CF8"/>
    <w:rsid w:val="64E2007C"/>
    <w:rsid w:val="6502427A"/>
    <w:rsid w:val="65F13C22"/>
    <w:rsid w:val="66B80634"/>
    <w:rsid w:val="66D16DCE"/>
    <w:rsid w:val="67D63EC0"/>
    <w:rsid w:val="6A936ACD"/>
    <w:rsid w:val="6AA12921"/>
    <w:rsid w:val="6AF278C4"/>
    <w:rsid w:val="6BA05AEF"/>
    <w:rsid w:val="6C666467"/>
    <w:rsid w:val="6CC30D7F"/>
    <w:rsid w:val="6CD8170A"/>
    <w:rsid w:val="6CE907A2"/>
    <w:rsid w:val="6D035033"/>
    <w:rsid w:val="6DC055B3"/>
    <w:rsid w:val="6E03374E"/>
    <w:rsid w:val="6E10335D"/>
    <w:rsid w:val="6E1342B7"/>
    <w:rsid w:val="6E194955"/>
    <w:rsid w:val="6F0D7491"/>
    <w:rsid w:val="6F2705AC"/>
    <w:rsid w:val="6F274635"/>
    <w:rsid w:val="6F3B3BB8"/>
    <w:rsid w:val="703052EE"/>
    <w:rsid w:val="722A4929"/>
    <w:rsid w:val="723F7E21"/>
    <w:rsid w:val="72E876CC"/>
    <w:rsid w:val="7457449F"/>
    <w:rsid w:val="766B2A54"/>
    <w:rsid w:val="7730111A"/>
    <w:rsid w:val="77D31AA6"/>
    <w:rsid w:val="78161F6B"/>
    <w:rsid w:val="785B6E24"/>
    <w:rsid w:val="787943FB"/>
    <w:rsid w:val="78A0407E"/>
    <w:rsid w:val="78C1487A"/>
    <w:rsid w:val="79187B3A"/>
    <w:rsid w:val="796B0008"/>
    <w:rsid w:val="79B923B1"/>
    <w:rsid w:val="79F8707E"/>
    <w:rsid w:val="7A080CC1"/>
    <w:rsid w:val="7A086F06"/>
    <w:rsid w:val="7A772BBC"/>
    <w:rsid w:val="7B074467"/>
    <w:rsid w:val="7B720F71"/>
    <w:rsid w:val="7C25698E"/>
    <w:rsid w:val="7CDE181C"/>
    <w:rsid w:val="7CEF2753"/>
    <w:rsid w:val="7CFB341F"/>
    <w:rsid w:val="7D536CAF"/>
    <w:rsid w:val="7DB06213"/>
    <w:rsid w:val="7E0119EF"/>
    <w:rsid w:val="7E101900"/>
    <w:rsid w:val="7E620B81"/>
    <w:rsid w:val="7F1D365C"/>
    <w:rsid w:val="CFEF9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2"/>
    <w:qFormat/>
    <w:uiPriority w:val="0"/>
    <w:pPr>
      <w:snapToGrid w:val="0"/>
      <w:spacing w:line="360" w:lineRule="auto"/>
      <w:ind w:firstLine="883"/>
      <w:outlineLvl w:val="0"/>
    </w:pPr>
    <w:rPr>
      <w:rFonts w:eastAsia="黑体"/>
      <w:b/>
    </w:rPr>
  </w:style>
  <w:style w:type="paragraph" w:styleId="4">
    <w:name w:val="heading 2"/>
    <w:basedOn w:val="1"/>
    <w:next w:val="1"/>
    <w:link w:val="24"/>
    <w:semiHidden/>
    <w:unhideWhenUsed/>
    <w:qFormat/>
    <w:uiPriority w:val="0"/>
    <w:pPr>
      <w:keepNext/>
      <w:keepLines/>
      <w:snapToGrid/>
      <w:spacing w:before="10" w:beforeLines="0" w:beforeAutospacing="0" w:after="10" w:afterLines="0" w:afterAutospacing="0" w:line="360" w:lineRule="auto"/>
      <w:ind w:firstLine="883" w:firstLineChars="200"/>
      <w:outlineLvl w:val="1"/>
    </w:pPr>
    <w:rPr>
      <w:rFonts w:ascii="Times New Roman" w:hAnsi="Times New Roman" w:eastAsia="楷体"/>
      <w:b/>
    </w:rPr>
  </w:style>
  <w:style w:type="paragraph" w:styleId="5">
    <w:name w:val="heading 3"/>
    <w:basedOn w:val="1"/>
    <w:next w:val="1"/>
    <w:link w:val="27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rFonts w:eastAsia="楷体" w:asciiTheme="minorAscii" w:hAnsiTheme="minorAscii"/>
      <w:b/>
      <w:bCs/>
      <w:sz w:val="32"/>
      <w:szCs w:val="32"/>
    </w:rPr>
  </w:style>
  <w:style w:type="paragraph" w:styleId="6">
    <w:name w:val="heading 4"/>
    <w:basedOn w:val="1"/>
    <w:next w:val="1"/>
    <w:link w:val="28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eastAsia="仿宋" w:asciiTheme="majorAscii" w:hAnsiTheme="majorAscii" w:cstheme="majorBidi"/>
      <w:b/>
      <w:bCs/>
      <w:sz w:val="28"/>
      <w:szCs w:val="28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rFonts w:eastAsia="仿宋" w:asciiTheme="minorAscii" w:hAnsiTheme="minorAscii"/>
      <w:b/>
      <w:sz w:val="28"/>
    </w:rPr>
  </w:style>
  <w:style w:type="character" w:default="1" w:styleId="17">
    <w:name w:val="Default Paragraph Font"/>
    <w:unhideWhenUsed/>
    <w:qFormat/>
    <w:uiPriority w:val="1"/>
  </w:style>
  <w:style w:type="table" w:default="1" w:styleId="2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link w:val="26"/>
    <w:qFormat/>
    <w:uiPriority w:val="0"/>
    <w:pPr>
      <w:tabs>
        <w:tab w:val="right" w:leader="dot" w:pos="8845"/>
      </w:tabs>
      <w:spacing w:line="440" w:lineRule="exact"/>
      <w:ind w:left="420" w:leftChars="200"/>
    </w:pPr>
    <w:rPr>
      <w:rFonts w:ascii="Times New Roman" w:hAnsi="Times New Roman" w:eastAsia="楷体" w:cs="楷体"/>
      <w:bCs/>
      <w:sz w:val="28"/>
      <w:szCs w:val="32"/>
      <w:highlight w:val="none"/>
    </w:rPr>
  </w:style>
  <w:style w:type="paragraph" w:styleId="8">
    <w:name w:val="Normal Indent"/>
    <w:basedOn w:val="1"/>
    <w:qFormat/>
    <w:uiPriority w:val="0"/>
    <w:pPr>
      <w:ind w:firstLine="420" w:firstLineChars="200"/>
    </w:pPr>
  </w:style>
  <w:style w:type="paragraph" w:styleId="9">
    <w:name w:val="caption"/>
    <w:basedOn w:val="1"/>
    <w:next w:val="1"/>
    <w:semiHidden/>
    <w:unhideWhenUsed/>
    <w:qFormat/>
    <w:uiPriority w:val="0"/>
    <w:pPr>
      <w:spacing w:line="560" w:lineRule="exact"/>
      <w:ind w:firstLine="0" w:firstLineChars="0"/>
      <w:jc w:val="center"/>
    </w:pPr>
    <w:rPr>
      <w:rFonts w:ascii="Times New Roman" w:hAnsi="Times New Roman" w:eastAsia="黑体" w:cs="Times New Roman"/>
      <w:sz w:val="28"/>
      <w:szCs w:val="28"/>
    </w:rPr>
  </w:style>
  <w:style w:type="paragraph" w:styleId="10">
    <w:name w:val="annotation text"/>
    <w:basedOn w:val="1"/>
    <w:qFormat/>
    <w:uiPriority w:val="0"/>
    <w:pPr>
      <w:jc w:val="left"/>
    </w:pPr>
  </w:style>
  <w:style w:type="paragraph" w:styleId="11">
    <w:name w:val="Body Text"/>
    <w:basedOn w:val="1"/>
    <w:next w:val="12"/>
    <w:qFormat/>
    <w:uiPriority w:val="0"/>
    <w:pPr>
      <w:spacing w:line="320" w:lineRule="exact"/>
      <w:ind w:firstLine="0" w:firstLineChars="0"/>
      <w:jc w:val="center"/>
    </w:pPr>
    <w:rPr>
      <w:sz w:val="24"/>
      <w:szCs w:val="24"/>
    </w:rPr>
  </w:style>
  <w:style w:type="paragraph" w:styleId="12">
    <w:name w:val="toc 5"/>
    <w:basedOn w:val="1"/>
    <w:next w:val="1"/>
    <w:qFormat/>
    <w:uiPriority w:val="0"/>
    <w:pPr>
      <w:ind w:left="1680" w:leftChars="800"/>
    </w:p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5">
    <w:name w:val="toc 1"/>
    <w:basedOn w:val="1"/>
    <w:next w:val="1"/>
    <w:link w:val="25"/>
    <w:qFormat/>
    <w:uiPriority w:val="0"/>
    <w:pPr>
      <w:tabs>
        <w:tab w:val="right" w:leader="dot" w:pos="8300"/>
      </w:tabs>
      <w:spacing w:line="480" w:lineRule="exact"/>
    </w:pPr>
    <w:rPr>
      <w:rFonts w:ascii="Times New Roman" w:hAnsi="Times New Roman" w:eastAsia="宋体" w:cs="黑体"/>
      <w:b/>
      <w:color w:val="auto"/>
      <w:sz w:val="28"/>
      <w:szCs w:val="32"/>
      <w:highlight w:val="none"/>
    </w:rPr>
  </w:style>
  <w:style w:type="paragraph" w:styleId="16">
    <w:name w:val="footnote text"/>
    <w:basedOn w:val="1"/>
    <w:qFormat/>
    <w:uiPriority w:val="0"/>
    <w:pPr>
      <w:snapToGrid w:val="0"/>
      <w:jc w:val="left"/>
    </w:pPr>
    <w:rPr>
      <w:sz w:val="18"/>
    </w:rPr>
  </w:style>
  <w:style w:type="character" w:styleId="18">
    <w:name w:val="Strong"/>
    <w:basedOn w:val="17"/>
    <w:qFormat/>
    <w:uiPriority w:val="0"/>
    <w:rPr>
      <w:b/>
    </w:rPr>
  </w:style>
  <w:style w:type="character" w:styleId="19">
    <w:name w:val="footnote reference"/>
    <w:basedOn w:val="17"/>
    <w:qFormat/>
    <w:uiPriority w:val="0"/>
    <w:rPr>
      <w:vertAlign w:val="superscript"/>
    </w:rPr>
  </w:style>
  <w:style w:type="table" w:styleId="21">
    <w:name w:val="Table Grid"/>
    <w:basedOn w:val="2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2">
    <w:name w:val="标题 1 Char"/>
    <w:link w:val="3"/>
    <w:qFormat/>
    <w:uiPriority w:val="0"/>
    <w:rPr>
      <w:rFonts w:ascii="Times New Roman" w:hAnsi="Times New Roman" w:eastAsia="黑体" w:cs="Times New Roman"/>
      <w:b/>
      <w:snapToGrid w:val="0"/>
      <w:kern w:val="0"/>
    </w:rPr>
  </w:style>
  <w:style w:type="paragraph" w:customStyle="1" w:styleId="23">
    <w:name w:val="test1"/>
    <w:basedOn w:val="3"/>
    <w:next w:val="4"/>
    <w:qFormat/>
    <w:uiPriority w:val="0"/>
    <w:pPr>
      <w:snapToGrid w:val="0"/>
      <w:spacing w:before="100" w:beforeAutospacing="1" w:afterAutospacing="0" w:line="560" w:lineRule="atLeast"/>
      <w:outlineLvl w:val="1"/>
    </w:pPr>
    <w:rPr>
      <w:rFonts w:hint="eastAsia" w:ascii="Times New Roman" w:hAnsi="Times New Roman" w:cs="Times New Roman"/>
      <w:b w:val="0"/>
      <w:snapToGrid w:val="0"/>
      <w:kern w:val="0"/>
    </w:rPr>
  </w:style>
  <w:style w:type="character" w:customStyle="1" w:styleId="24">
    <w:name w:val="标题 2 Char"/>
    <w:link w:val="4"/>
    <w:qFormat/>
    <w:uiPriority w:val="0"/>
    <w:rPr>
      <w:rFonts w:ascii="Times New Roman" w:hAnsi="Times New Roman" w:eastAsia="楷体" w:cs="Times New Roman"/>
      <w:b/>
      <w:snapToGrid w:val="0"/>
      <w:kern w:val="0"/>
    </w:rPr>
  </w:style>
  <w:style w:type="character" w:customStyle="1" w:styleId="25">
    <w:name w:val="目录 1 Char"/>
    <w:link w:val="15"/>
    <w:qFormat/>
    <w:uiPriority w:val="39"/>
    <w:rPr>
      <w:rFonts w:ascii="Times New Roman" w:hAnsi="Times New Roman" w:eastAsia="宋体" w:cs="黑体"/>
      <w:b/>
      <w:color w:val="auto"/>
      <w:kern w:val="2"/>
      <w:sz w:val="28"/>
      <w:szCs w:val="32"/>
      <w:highlight w:val="none"/>
      <w:lang w:val="en-US" w:eastAsia="zh-CN" w:bidi="ar-SA"/>
    </w:rPr>
  </w:style>
  <w:style w:type="character" w:customStyle="1" w:styleId="26">
    <w:name w:val="目录 2 Char"/>
    <w:link w:val="2"/>
    <w:qFormat/>
    <w:uiPriority w:val="0"/>
    <w:rPr>
      <w:rFonts w:ascii="Times New Roman" w:hAnsi="Times New Roman" w:eastAsia="楷体" w:cs="楷体"/>
      <w:bCs/>
      <w:kern w:val="2"/>
      <w:sz w:val="28"/>
      <w:szCs w:val="32"/>
      <w:highlight w:val="none"/>
      <w:lang w:val="en-US" w:eastAsia="zh-CN" w:bidi="ar-SA"/>
    </w:rPr>
  </w:style>
  <w:style w:type="character" w:customStyle="1" w:styleId="27">
    <w:name w:val="标题 3 字符"/>
    <w:basedOn w:val="17"/>
    <w:link w:val="5"/>
    <w:qFormat/>
    <w:uiPriority w:val="9"/>
    <w:rPr>
      <w:rFonts w:eastAsia="楷体" w:asciiTheme="minorAscii" w:hAnsiTheme="minorAscii"/>
      <w:b/>
      <w:bCs/>
      <w:sz w:val="32"/>
      <w:szCs w:val="32"/>
    </w:rPr>
  </w:style>
  <w:style w:type="character" w:customStyle="1" w:styleId="28">
    <w:name w:val="标题 4 字符"/>
    <w:basedOn w:val="17"/>
    <w:link w:val="6"/>
    <w:qFormat/>
    <w:uiPriority w:val="9"/>
    <w:rPr>
      <w:rFonts w:eastAsia="仿宋" w:asciiTheme="majorAscii" w:hAnsiTheme="majorAscii" w:cstheme="majorBidi"/>
      <w:b/>
      <w:bCs/>
      <w:sz w:val="28"/>
      <w:szCs w:val="28"/>
    </w:rPr>
  </w:style>
  <w:style w:type="paragraph" w:customStyle="1" w:styleId="29">
    <w:name w:val="_Style 5"/>
    <w:qFormat/>
    <w:uiPriority w:val="0"/>
    <w:pPr>
      <w:widowControl w:val="0"/>
      <w:ind w:firstLine="200" w:firstLineChars="20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character" w:customStyle="1" w:styleId="30">
    <w:name w:val="font41"/>
    <w:basedOn w:val="1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31">
    <w:name w:val="font51"/>
    <w:basedOn w:val="17"/>
    <w:qFormat/>
    <w:uiPriority w:val="0"/>
    <w:rPr>
      <w:rFonts w:hint="eastAsia" w:ascii="宋体" w:hAnsi="宋体" w:eastAsia="宋体" w:cs="宋体"/>
      <w:strike/>
      <w:color w:val="000000"/>
      <w:sz w:val="28"/>
      <w:szCs w:val="28"/>
    </w:rPr>
  </w:style>
  <w:style w:type="paragraph" w:customStyle="1" w:styleId="32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3">
    <w:name w:val="Quote"/>
    <w:basedOn w:val="1"/>
    <w:next w:val="1"/>
    <w:qFormat/>
    <w:uiPriority w:val="29"/>
    <w:pPr>
      <w:adjustRightInd/>
      <w:snapToGrid/>
      <w:spacing w:line="560" w:lineRule="exact"/>
      <w:ind w:firstLine="0" w:firstLineChars="0"/>
      <w:jc w:val="center"/>
    </w:pPr>
    <w:rPr>
      <w:rFonts w:ascii="仿宋_GB2312" w:hAnsi="Times New Roman" w:cs="仿宋_GB2312"/>
      <w:b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35</Pages>
  <Words>5597</Words>
  <Characters>5840</Characters>
  <Lines>0</Lines>
  <Paragraphs>0</Paragraphs>
  <TotalTime>125</TotalTime>
  <ScaleCrop>false</ScaleCrop>
  <LinksUpToDate>false</LinksUpToDate>
  <CharactersWithSpaces>5871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2024-07-15T17:35:00Z</dcterms:created>
  <dc:creator>llh</dc:creator>
  <cp:lastModifiedBy>谢灵娇</cp:lastModifiedBy>
  <dcterms:modified xsi:type="dcterms:W3CDTF">2026-04-09T02:29:11Z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251299B5221D4D9C994F54C275336022_13</vt:lpwstr>
  </property>
  <property fmtid="{D5CDD505-2E9C-101B-9397-08002B2CF9AE}" pid="4" name="KSOTemplateDocerSaveRecord">
    <vt:lpwstr>eyJoZGlkIjoiNjFjZTBmMzM0OWY1OWM4NDgyNjAwOWNkODZiZjk3ZGIiLCJ1c2VySWQiOiIxMTU4Njk3NjMwIn0=</vt:lpwstr>
  </property>
</Properties>
</file>