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outlineLvl w:val="9"/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  <w:bookmarkStart w:id="0" w:name="_Toc9853"/>
      <w:bookmarkStart w:id="1" w:name="_Toc4778"/>
      <w:bookmarkStart w:id="2" w:name="_Toc6332"/>
      <w:bookmarkStart w:id="3" w:name="_Toc2981"/>
      <w:bookmarkStart w:id="4" w:name="_Toc10927"/>
      <w:bookmarkStart w:id="5" w:name="_Toc23420"/>
      <w:bookmarkStart w:id="6" w:name="_Toc29303"/>
      <w:bookmarkStart w:id="7" w:name="_Toc14731"/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4"/>
          <w:szCs w:val="44"/>
          <w:highlight w:val="none"/>
          <w:lang w:val="en-US" w:eastAsia="zh-CN"/>
        </w:rPr>
        <w:t>2022-2024年长者饭堂建设运营经费项目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outlineLvl w:val="9"/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4"/>
          <w:szCs w:val="44"/>
          <w:highlight w:val="none"/>
          <w:lang w:val="en-US" w:eastAsia="zh-CN"/>
        </w:rPr>
        <w:t>绩效评价报告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ind w:firstLine="0" w:firstLineChars="0"/>
        <w:rPr>
          <w:rFonts w:hint="eastAsia"/>
          <w:lang w:val="en-US" w:eastAsia="zh-CN"/>
        </w:rPr>
      </w:pPr>
    </w:p>
    <w:p>
      <w:pPr>
        <w:bidi w:val="0"/>
        <w:ind w:firstLine="0" w:firstLineChars="0"/>
        <w:rPr>
          <w:rFonts w:hint="eastAsia"/>
          <w:lang w:val="en-US" w:eastAsia="zh-CN"/>
        </w:rPr>
      </w:pPr>
    </w:p>
    <w:p>
      <w:pPr>
        <w:bidi w:val="0"/>
        <w:ind w:firstLine="0" w:firstLineChars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广东三胜管理顾问有限公司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月</w:t>
      </w:r>
    </w:p>
    <w:p>
      <w:pPr>
        <w:pStyle w:val="6"/>
        <w:ind w:firstLine="0" w:firstLineChars="0"/>
        <w:rPr>
          <w:rFonts w:hint="eastAsia" w:ascii="宋体" w:hAnsi="宋体" w:cs="宋体"/>
          <w:color w:val="auto"/>
          <w:sz w:val="32"/>
          <w:szCs w:val="3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425" w:num="1"/>
          <w:docGrid w:type="lines" w:linePitch="312" w:charSpace="0"/>
        </w:sectPr>
      </w:pPr>
    </w:p>
    <w:p>
      <w:pPr>
        <w:bidi w:val="0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贯彻落实全面实施绩效管理的重要部署，进一步规范和加强部门预算资金管理，提高财政资源配置效率和使用效益，提升预算管理水平和政策实施效果，韶关市财政局委托广东三胜管理顾问有限公司（以下简称“评价组”）开展2022—2024年长者饭堂建设运营经费项目重点绩效评价工作，</w:t>
      </w:r>
      <w:r>
        <w:rPr>
          <w:rFonts w:hint="eastAsia" w:ascii="Times New Roman" w:hAnsi="Times New Roman" w:cs="仿宋_GB2312"/>
          <w:color w:val="auto"/>
          <w:sz w:val="32"/>
          <w:szCs w:val="32"/>
          <w:highlight w:val="none"/>
          <w:lang w:eastAsia="zh-CN"/>
        </w:rPr>
        <w:t>评价基准日为202</w:t>
      </w:r>
      <w:r>
        <w:rPr>
          <w:rFonts w:hint="eastAsia" w:ascii="Times New Roman" w:hAnsi="Times New Roman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cs="仿宋_GB2312"/>
          <w:color w:val="auto"/>
          <w:sz w:val="32"/>
          <w:szCs w:val="32"/>
          <w:highlight w:val="none"/>
          <w:lang w:eastAsia="zh-CN"/>
        </w:rPr>
        <w:t>年12月31日。</w:t>
      </w:r>
    </w:p>
    <w:p>
      <w:pPr>
        <w:bidi w:val="0"/>
        <w:rPr>
          <w:rFonts w:hint="eastAsia" w:ascii="Times New Roman" w:hAnsi="Times New Roman" w:eastAsia="仿宋_GB2312" w:cs="仿宋_GB2312"/>
          <w:color w:val="auto"/>
          <w:kern w:val="0"/>
          <w:sz w:val="32"/>
          <w:szCs w:val="40"/>
          <w:highlight w:val="none"/>
          <w:lang w:val="en-US" w:eastAsia="zh-CN"/>
        </w:rPr>
      </w:pPr>
      <w:r>
        <w:rPr>
          <w:rFonts w:hint="eastAsia"/>
          <w:lang w:val="en-US" w:eastAsia="zh-CN"/>
        </w:rPr>
        <w:t>根据《韶关市财政局关于开展2025年市级财政重点评价及绩效自评复核工作的通知》（韶财绩〔2025〕3号）文件要求，评价组</w:t>
      </w:r>
      <w:r>
        <w:rPr>
          <w:rFonts w:hint="eastAsia" w:cs="仿宋_GB2312"/>
          <w:color w:val="auto"/>
          <w:kern w:val="0"/>
          <w:sz w:val="32"/>
          <w:szCs w:val="40"/>
          <w:highlight w:val="none"/>
          <w:lang w:val="en-US" w:eastAsia="zh-CN"/>
        </w:rPr>
        <w:t>通过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40"/>
          <w:highlight w:val="none"/>
          <w:lang w:val="en-US" w:eastAsia="zh-CN"/>
        </w:rPr>
        <w:t>实施单位自评材料审核、座谈交流、实地核查和现场评价</w:t>
      </w:r>
      <w:r>
        <w:rPr>
          <w:rFonts w:hint="eastAsia"/>
          <w:lang w:val="en-US" w:eastAsia="zh-CN"/>
        </w:rPr>
        <w:t>等环节，对项目从投入、过程、产出和效益等四个方面进行综合评价，形成本评价报告。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40"/>
          <w:highlight w:val="none"/>
          <w:lang w:val="en-US" w:eastAsia="zh-CN"/>
        </w:rPr>
        <w:t>项目绩效评价得分为67.</w:t>
      </w:r>
      <w:r>
        <w:rPr>
          <w:rFonts w:hint="eastAsia" w:cs="仿宋_GB2312"/>
          <w:color w:val="auto"/>
          <w:kern w:val="0"/>
          <w:sz w:val="32"/>
          <w:szCs w:val="40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40"/>
          <w:highlight w:val="none"/>
          <w:lang w:val="en-US" w:eastAsia="zh-CN"/>
        </w:rPr>
        <w:t>2分，绩效等级为“</w:t>
      </w:r>
      <w:r>
        <w:rPr>
          <w:rFonts w:hint="eastAsia" w:cs="仿宋_GB2312"/>
          <w:color w:val="auto"/>
          <w:kern w:val="0"/>
          <w:sz w:val="32"/>
          <w:szCs w:val="40"/>
          <w:highlight w:val="none"/>
          <w:lang w:val="en-US" w:eastAsia="zh-CN"/>
        </w:rPr>
        <w:t>低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40"/>
          <w:highlight w:val="none"/>
          <w:lang w:val="en-US" w:eastAsia="zh-CN"/>
        </w:rPr>
        <w:t>”。</w:t>
      </w:r>
    </w:p>
    <w:p>
      <w:pPr>
        <w:bidi w:val="0"/>
        <w:rPr>
          <w:rFonts w:hint="eastAsia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cs="仿宋_GB2312"/>
          <w:color w:val="auto"/>
          <w:sz w:val="32"/>
          <w:szCs w:val="32"/>
          <w:highlight w:val="none"/>
          <w:lang w:eastAsia="zh-CN"/>
        </w:rPr>
        <w:t>2022—2024年</w:t>
      </w:r>
      <w:r>
        <w:rPr>
          <w:rFonts w:hint="eastAsia" w:cs="仿宋_GB2312"/>
          <w:color w:val="auto"/>
          <w:sz w:val="32"/>
          <w:szCs w:val="32"/>
          <w:highlight w:val="none"/>
          <w:lang w:val="en-US" w:eastAsia="zh-CN"/>
        </w:rPr>
        <w:t>本</w:t>
      </w:r>
      <w:r>
        <w:rPr>
          <w:rFonts w:hint="eastAsia" w:ascii="Times New Roman" w:hAnsi="Times New Roman" w:cs="仿宋_GB2312"/>
          <w:color w:val="auto"/>
          <w:sz w:val="32"/>
          <w:szCs w:val="32"/>
          <w:highlight w:val="none"/>
          <w:lang w:eastAsia="zh-CN"/>
        </w:rPr>
        <w:t>项目预算安排1200.6万元，</w:t>
      </w:r>
      <w:r>
        <w:rPr>
          <w:rFonts w:hint="eastAsia" w:cs="仿宋_GB2312"/>
          <w:color w:val="auto"/>
          <w:sz w:val="32"/>
          <w:szCs w:val="32"/>
          <w:highlight w:val="none"/>
          <w:lang w:val="en-US" w:eastAsia="zh-CN"/>
        </w:rPr>
        <w:t>其中市本级预算批复17万元，占比1.42%；三区预算批复1183.6万元，占比98.58%。</w:t>
      </w:r>
      <w:r>
        <w:rPr>
          <w:rFonts w:hint="eastAsia" w:ascii="Times New Roman" w:hAnsi="Times New Roman" w:cs="仿宋_GB2312"/>
          <w:color w:val="auto"/>
          <w:sz w:val="32"/>
          <w:szCs w:val="32"/>
          <w:highlight w:val="none"/>
          <w:lang w:eastAsia="zh-CN"/>
        </w:rPr>
        <w:t>截至2024年12月31日，项目已支出300.06万元</w:t>
      </w:r>
      <w:r>
        <w:rPr>
          <w:rFonts w:hint="eastAsia" w:cs="仿宋_GB2312"/>
          <w:color w:val="auto"/>
          <w:sz w:val="32"/>
          <w:szCs w:val="32"/>
          <w:highlight w:val="none"/>
          <w:lang w:eastAsia="zh-CN"/>
        </w:rPr>
        <w:t>。其中市本级支出6.192万元；三区支出293.87万元</w:t>
      </w:r>
      <w:bookmarkStart w:id="8" w:name="_GoBack"/>
      <w:bookmarkEnd w:id="8"/>
      <w:r>
        <w:rPr>
          <w:rFonts w:hint="eastAsia" w:cs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bidi w:val="0"/>
        <w:rPr>
          <w:rFonts w:hint="eastAsia" w:ascii="Times New Roman" w:hAnsi="Times New Roman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cs="仿宋_GB2312"/>
          <w:b/>
          <w:bCs/>
          <w:color w:val="auto"/>
          <w:sz w:val="32"/>
          <w:szCs w:val="32"/>
          <w:highlight w:val="none"/>
          <w:lang w:eastAsia="zh-CN"/>
        </w:rPr>
        <w:t>市本级支出率偏低主要原因</w:t>
      </w:r>
      <w:r>
        <w:rPr>
          <w:rFonts w:hint="eastAsia" w:cs="仿宋_GB2312"/>
          <w:color w:val="auto"/>
          <w:sz w:val="32"/>
          <w:szCs w:val="32"/>
          <w:highlight w:val="none"/>
          <w:lang w:eastAsia="zh-CN"/>
        </w:rPr>
        <w:t>：韶关市智慧助餐系统无需开展等保测评，实际支出仅为系统运行维护费用。</w:t>
      </w:r>
      <w:r>
        <w:rPr>
          <w:rFonts w:hint="eastAsia" w:cs="仿宋_GB2312"/>
          <w:b/>
          <w:bCs/>
          <w:color w:val="auto"/>
          <w:sz w:val="32"/>
          <w:szCs w:val="32"/>
          <w:highlight w:val="none"/>
          <w:lang w:eastAsia="zh-CN"/>
        </w:rPr>
        <w:t>三区支出率偏低主要原因</w:t>
      </w:r>
      <w:r>
        <w:rPr>
          <w:rFonts w:hint="eastAsia" w:cs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cs="仿宋_GB2312"/>
          <w:b/>
          <w:bCs/>
          <w:color w:val="auto"/>
          <w:sz w:val="32"/>
          <w:szCs w:val="32"/>
          <w:highlight w:val="none"/>
          <w:lang w:eastAsia="zh-CN"/>
        </w:rPr>
        <w:t>一是</w:t>
      </w:r>
      <w:r>
        <w:rPr>
          <w:rFonts w:hint="eastAsia" w:cs="仿宋_GB2312"/>
          <w:color w:val="auto"/>
          <w:sz w:val="32"/>
          <w:szCs w:val="32"/>
          <w:highlight w:val="none"/>
          <w:lang w:eastAsia="zh-CN"/>
        </w:rPr>
        <w:t>运营就餐人数不足，绩效考核方案对运营经费进行扣减。</w:t>
      </w:r>
      <w:r>
        <w:rPr>
          <w:rFonts w:hint="eastAsia" w:cs="仿宋_GB2312"/>
          <w:b/>
          <w:bCs/>
          <w:color w:val="auto"/>
          <w:sz w:val="32"/>
          <w:szCs w:val="32"/>
          <w:highlight w:val="none"/>
          <w:lang w:eastAsia="zh-CN"/>
        </w:rPr>
        <w:t>二是</w:t>
      </w:r>
      <w:r>
        <w:rPr>
          <w:rFonts w:hint="eastAsia" w:cs="仿宋_GB2312"/>
          <w:color w:val="auto"/>
          <w:sz w:val="32"/>
          <w:szCs w:val="32"/>
          <w:highlight w:val="none"/>
          <w:lang w:eastAsia="zh-CN"/>
        </w:rPr>
        <w:t>优先使用上年结转资金。</w:t>
      </w:r>
      <w:r>
        <w:rPr>
          <w:rFonts w:hint="eastAsia" w:cs="仿宋_GB2312"/>
          <w:b/>
          <w:bCs/>
          <w:color w:val="auto"/>
          <w:sz w:val="32"/>
          <w:szCs w:val="32"/>
          <w:highlight w:val="none"/>
          <w:lang w:eastAsia="zh-CN"/>
        </w:rPr>
        <w:t>三是</w:t>
      </w:r>
      <w:r>
        <w:rPr>
          <w:rFonts w:hint="eastAsia" w:cs="仿宋_GB2312"/>
          <w:color w:val="auto"/>
          <w:sz w:val="32"/>
          <w:szCs w:val="32"/>
          <w:highlight w:val="none"/>
          <w:lang w:eastAsia="zh-CN"/>
        </w:rPr>
        <w:t>部分尾款因需跨年支出，暂未提出支付申请。</w:t>
      </w:r>
    </w:p>
    <w:p>
      <w:pPr>
        <w:bidi w:val="0"/>
        <w:rPr>
          <w:rFonts w:hint="default" w:ascii="Times New Roman" w:hAnsi="Times New Roman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cs="仿宋_GB2312"/>
          <w:color w:val="auto"/>
          <w:sz w:val="32"/>
          <w:szCs w:val="32"/>
          <w:highlight w:val="none"/>
          <w:lang w:eastAsia="zh-CN"/>
        </w:rPr>
        <w:t>存在</w:t>
      </w:r>
      <w:r>
        <w:rPr>
          <w:rFonts w:hint="eastAsia" w:ascii="Times New Roman" w:hAnsi="Times New Roman" w:cs="仿宋_GB2312"/>
          <w:color w:val="auto"/>
          <w:sz w:val="32"/>
          <w:szCs w:val="32"/>
          <w:highlight w:val="none"/>
          <w:lang w:val="en-US" w:eastAsia="zh-CN"/>
        </w:rPr>
        <w:t>值得关注的问题</w:t>
      </w:r>
      <w:r>
        <w:rPr>
          <w:rFonts w:hint="eastAsia" w:ascii="Times New Roman" w:hAnsi="Times New Roman" w:cs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cs="仿宋_GB2312"/>
          <w:b/>
          <w:bCs/>
          <w:color w:val="auto"/>
          <w:sz w:val="32"/>
          <w:szCs w:val="32"/>
          <w:highlight w:val="none"/>
          <w:lang w:val="en-US" w:eastAsia="zh-CN"/>
        </w:rPr>
        <w:t>一是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经费分配标准和依据不够清晰、合理，本应由运营方列支的资金，却编入市本级项目预算、资金分配补助标准低于合同约定的补助标准</w:t>
      </w:r>
      <w:r>
        <w:rPr>
          <w:rFonts w:hint="eastAsia" w:cs="仿宋_GB2312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cs="仿宋_GB2312"/>
          <w:b/>
          <w:bCs/>
          <w:color w:val="auto"/>
          <w:sz w:val="32"/>
          <w:szCs w:val="32"/>
          <w:highlight w:val="none"/>
          <w:lang w:val="en-US" w:eastAsia="zh-CN"/>
        </w:rPr>
        <w:t>二是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部分配餐点就餐人次偏低，部分长者饭堂收支失衡和运营能力不足</w:t>
      </w:r>
      <w:r>
        <w:rPr>
          <w:rFonts w:hint="eastAsia" w:cs="仿宋_GB2312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cs="仿宋_GB2312"/>
          <w:b/>
          <w:bCs/>
          <w:color w:val="auto"/>
          <w:sz w:val="32"/>
          <w:szCs w:val="32"/>
          <w:highlight w:val="none"/>
          <w:lang w:val="en-US" w:eastAsia="zh-CN"/>
        </w:rPr>
        <w:t>三是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过程管理有待规范，部分合同签订日期晚于服务起始日期、考核指标缺少细化的扣分标准。</w:t>
      </w:r>
      <w:r>
        <w:rPr>
          <w:rFonts w:hint="eastAsia" w:cs="仿宋_GB2312"/>
          <w:b/>
          <w:bCs/>
          <w:color w:val="auto"/>
          <w:sz w:val="32"/>
          <w:szCs w:val="32"/>
          <w:highlight w:val="none"/>
          <w:lang w:val="en-US" w:eastAsia="zh-CN"/>
        </w:rPr>
        <w:t>四是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绩效目标设置科学性不足、个别指标值偏低、个别指标量化不足</w:t>
      </w:r>
      <w:r>
        <w:rPr>
          <w:rFonts w:hint="eastAsia" w:cs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bidi w:val="0"/>
        <w:rPr>
          <w:rFonts w:hint="eastAsia" w:eastAsia="仿宋_GB231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Times New Roman" w:hAnsi="Times New Roman" w:cs="仿宋_GB2312"/>
          <w:color w:val="auto"/>
          <w:sz w:val="32"/>
          <w:szCs w:val="32"/>
          <w:highlight w:val="none"/>
          <w:lang w:eastAsia="zh-CN"/>
        </w:rPr>
        <w:t>建议：</w:t>
      </w:r>
      <w:r>
        <w:rPr>
          <w:rFonts w:hint="eastAsia" w:ascii="Times New Roman" w:hAnsi="Times New Roman" w:cs="仿宋_GB2312"/>
          <w:b/>
          <w:bCs/>
          <w:color w:val="auto"/>
          <w:sz w:val="32"/>
          <w:szCs w:val="32"/>
          <w:highlight w:val="none"/>
          <w:lang w:val="en-US" w:eastAsia="zh-CN"/>
        </w:rPr>
        <w:t>一是</w:t>
      </w:r>
      <w:r>
        <w:rPr>
          <w:rFonts w:hint="eastAsia" w:ascii="Times New Roman" w:hAnsi="Times New Roman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优化预算编制流程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Times New Roman" w:hAnsi="Times New Roman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运营补贴方式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cs="仿宋_GB2312"/>
          <w:b/>
          <w:bCs/>
          <w:color w:val="auto"/>
          <w:sz w:val="32"/>
          <w:szCs w:val="32"/>
          <w:highlight w:val="none"/>
          <w:lang w:val="en-US" w:eastAsia="zh-CN"/>
        </w:rPr>
        <w:t>二是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科学优化布局长者饭堂，保证服务精准触达；创新运营模式，增强造血能力。</w:t>
      </w:r>
      <w:r>
        <w:rPr>
          <w:rFonts w:hint="eastAsia" w:cs="仿宋_GB2312"/>
          <w:b/>
          <w:bCs/>
          <w:color w:val="auto"/>
          <w:sz w:val="32"/>
          <w:szCs w:val="32"/>
          <w:highlight w:val="none"/>
          <w:lang w:val="en-US" w:eastAsia="zh-CN"/>
        </w:rPr>
        <w:t>三是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加强合同管理控制，确保合同合法合规；借助技术手段，优化支付方式；细化评估标准。</w:t>
      </w:r>
      <w:r>
        <w:rPr>
          <w:rFonts w:hint="eastAsia" w:cs="仿宋_GB2312"/>
          <w:b/>
          <w:bCs/>
          <w:color w:val="auto"/>
          <w:sz w:val="32"/>
          <w:szCs w:val="32"/>
          <w:highlight w:val="none"/>
          <w:lang w:val="en-US" w:eastAsia="zh-CN"/>
        </w:rPr>
        <w:t>四是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绩效目标及指标设置应可衡量，便于事后对标考核。</w:t>
      </w:r>
    </w:p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ind w:left="0" w:leftChars="0" w:firstLine="0" w:firstLineChars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—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- 3 -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ind w:left="0" w:leftChars="0" w:firstLine="0" w:firstLineChars="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—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- 3 -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83257D"/>
    <w:rsid w:val="538721C7"/>
    <w:rsid w:val="71B715CE"/>
    <w:rsid w:val="75FE42F8"/>
    <w:rsid w:val="7BD3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spacing w:line="360" w:lineRule="auto"/>
      <w:ind w:firstLine="1044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 w:cs="仿宋"/>
      <w:szCs w:val="32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_Style 5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谢灵娇</cp:lastModifiedBy>
  <dcterms:modified xsi:type="dcterms:W3CDTF">2026-04-13T01:50:30Z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